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方正小标宋_GBK" w:eastAsia="方正小标宋_GBK"/>
          <w:bCs/>
          <w:color w:val="auto"/>
          <w:sz w:val="72"/>
          <w:szCs w:val="72"/>
        </w:rPr>
      </w:pPr>
      <w:bookmarkStart w:id="0" w:name="_Toc27631"/>
      <w:bookmarkStart w:id="1" w:name="_Toc1125"/>
    </w:p>
    <w:p>
      <w:pPr>
        <w:adjustRightInd w:val="0"/>
        <w:snapToGrid w:val="0"/>
        <w:jc w:val="center"/>
        <w:outlineLvl w:val="0"/>
        <w:rPr>
          <w:rFonts w:hint="eastAsia" w:ascii="方正小标宋_GBK" w:eastAsia="方正小标宋_GBK"/>
          <w:bCs/>
          <w:color w:val="auto"/>
          <w:sz w:val="72"/>
          <w:szCs w:val="72"/>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bookmarkEnd w:id="0"/>
      <w:bookmarkEnd w:id="1"/>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rPr>
          <w:color w:val="auto"/>
        </w:rPr>
      </w:pPr>
    </w:p>
    <w:p>
      <w:pPr>
        <w:rPr>
          <w:color w:val="auto"/>
        </w:rPr>
      </w:pPr>
    </w:p>
    <w:p>
      <w:pPr>
        <w:ind w:firstLine="1040"/>
        <w:rPr>
          <w:rFonts w:eastAsia="仿宋"/>
          <w:color w:val="auto"/>
          <w:sz w:val="44"/>
          <w:szCs w:val="44"/>
        </w:rPr>
      </w:pPr>
    </w:p>
    <w:p>
      <w:pPr>
        <w:ind w:firstLine="1040"/>
        <w:rPr>
          <w:rFonts w:eastAsia="仿宋"/>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年产340万米聚氨酯</w:t>
      </w:r>
      <w:r>
        <w:rPr>
          <w:rFonts w:hint="eastAsia" w:ascii="仿宋_GB2312" w:eastAsia="仿宋_GB2312"/>
          <w:color w:val="auto"/>
          <w:sz w:val="36"/>
          <w:szCs w:val="36"/>
          <w:u w:val="single"/>
          <w:lang w:eastAsia="zh-CN"/>
        </w:rPr>
        <w:t>泡绵</w:t>
      </w:r>
      <w:r>
        <w:rPr>
          <w:rFonts w:hint="eastAsia" w:ascii="仿宋_GB2312" w:eastAsia="仿宋_GB2312"/>
          <w:color w:val="auto"/>
          <w:sz w:val="36"/>
          <w:szCs w:val="36"/>
          <w:u w:val="single"/>
        </w:rPr>
        <w:t xml:space="preserve">项目        </w:t>
      </w:r>
    </w:p>
    <w:p>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湖南省森研高分子新材料股份有限公司</w:t>
      </w:r>
    </w:p>
    <w:p>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二〇二</w:t>
      </w:r>
      <w:r>
        <w:rPr>
          <w:rFonts w:hint="eastAsia" w:ascii="仿宋_GB2312" w:eastAsia="仿宋_GB2312"/>
          <w:color w:val="auto"/>
          <w:sz w:val="36"/>
          <w:szCs w:val="36"/>
          <w:u w:val="single"/>
          <w:lang w:val="en-US" w:eastAsia="zh-CN"/>
        </w:rPr>
        <w:t>三</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六</w:t>
      </w:r>
      <w:r>
        <w:rPr>
          <w:rFonts w:hint="eastAsia" w:ascii="仿宋_GB2312" w:eastAsia="仿宋_GB2312"/>
          <w:color w:val="auto"/>
          <w:sz w:val="36"/>
          <w:szCs w:val="36"/>
          <w:u w:val="single"/>
        </w:rPr>
        <w:t xml:space="preserve">月  </w:t>
      </w:r>
      <w:r>
        <w:rPr>
          <w:rFonts w:ascii="仿宋_GB2312" w:eastAsia="仿宋_GB2312"/>
          <w:color w:val="auto"/>
          <w:sz w:val="36"/>
          <w:szCs w:val="36"/>
          <w:u w:val="single"/>
        </w:rPr>
        <w:t xml:space="preserve">        </w:t>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lang w:eastAsia="zh-CN"/>
        </w:rPr>
        <w:drawing>
          <wp:inline distT="0" distB="0" distL="114300" distR="114300">
            <wp:extent cx="5267960" cy="7446010"/>
            <wp:effectExtent l="0" t="0" r="8890" b="2540"/>
            <wp:docPr id="20" name="图片 20" descr="img20230508_1814077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30508_18140773_00"/>
                    <pic:cNvPicPr>
                      <a:picLocks noChangeAspect="1"/>
                    </pic:cNvPicPr>
                  </pic:nvPicPr>
                  <pic:blipFill>
                    <a:blip r:embed="rId7"/>
                    <a:stretch>
                      <a:fillRect/>
                    </a:stretch>
                  </pic:blipFill>
                  <pic:spPr>
                    <a:xfrm>
                      <a:off x="0" y="0"/>
                      <a:ext cx="5267960" cy="7446010"/>
                    </a:xfrm>
                    <a:prstGeom prst="rect">
                      <a:avLst/>
                    </a:prstGeom>
                  </pic:spPr>
                </pic:pic>
              </a:graphicData>
            </a:graphic>
          </wp:inline>
        </w:drawing>
      </w:r>
    </w:p>
    <w:p>
      <w:pPr>
        <w:bidi w:val="0"/>
        <w:jc w:val="cente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drawing>
          <wp:inline distT="0" distB="0" distL="114300" distR="114300">
            <wp:extent cx="5392420" cy="7725410"/>
            <wp:effectExtent l="0" t="0" r="8255" b="8890"/>
            <wp:docPr id="21" name="图片 21" descr="罗鑫工程师证书（已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罗鑫工程师证书（已盖章）_00"/>
                    <pic:cNvPicPr>
                      <a:picLocks noChangeAspect="1"/>
                    </pic:cNvPicPr>
                  </pic:nvPicPr>
                  <pic:blipFill>
                    <a:blip r:embed="rId8"/>
                    <a:srcRect l="14477" t="7019" r="9499" b="15930"/>
                    <a:stretch>
                      <a:fillRect/>
                    </a:stretch>
                  </pic:blipFill>
                  <pic:spPr>
                    <a:xfrm>
                      <a:off x="0" y="0"/>
                      <a:ext cx="5392420" cy="7725410"/>
                    </a:xfrm>
                    <a:prstGeom prst="rect">
                      <a:avLst/>
                    </a:prstGeom>
                  </pic:spPr>
                </pic:pic>
              </a:graphicData>
            </a:graphic>
          </wp:inline>
        </w:drawing>
      </w:r>
    </w:p>
    <w:p>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drawing>
          <wp:inline distT="0" distB="0" distL="114300" distR="114300">
            <wp:extent cx="5267960" cy="5408295"/>
            <wp:effectExtent l="0" t="0" r="8890" b="1905"/>
            <wp:docPr id="10" name="图片 10" descr="泡绵项目修改说明2023.4.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泡绵项目修改说明2023.4.9_01"/>
                    <pic:cNvPicPr>
                      <a:picLocks noChangeAspect="1"/>
                    </pic:cNvPicPr>
                  </pic:nvPicPr>
                  <pic:blipFill>
                    <a:blip r:embed="rId9"/>
                    <a:srcRect b="27428"/>
                    <a:stretch>
                      <a:fillRect/>
                    </a:stretch>
                  </pic:blipFill>
                  <pic:spPr>
                    <a:xfrm>
                      <a:off x="0" y="0"/>
                      <a:ext cx="5267960" cy="5408295"/>
                    </a:xfrm>
                    <a:prstGeom prst="rect">
                      <a:avLst/>
                    </a:prstGeom>
                    <a:ln>
                      <a:noFill/>
                    </a:ln>
                  </pic:spPr>
                </pic:pic>
              </a:graphicData>
            </a:graphic>
          </wp:inline>
        </w:drawing>
      </w:r>
    </w:p>
    <w:p>
      <w:pPr>
        <w:keepNext w:val="0"/>
        <w:keepLines w:val="0"/>
        <w:pageBreakBefore w:val="0"/>
        <w:widowControl w:val="0"/>
        <w:tabs>
          <w:tab w:val="left" w:pos="0"/>
        </w:tabs>
        <w:kinsoku/>
        <w:wordWrap/>
        <w:overflowPunct/>
        <w:topLinePunct w:val="0"/>
        <w:autoSpaceDE/>
        <w:autoSpaceDN/>
        <w:bidi w:val="0"/>
        <w:adjustRightInd/>
        <w:snapToGrid/>
        <w:jc w:val="center"/>
        <w:textAlignment w:val="auto"/>
        <w:rPr>
          <w:rFonts w:ascii="Times New Roman" w:hAnsi="Times New Roman" w:cs="Times New Roman"/>
          <w:b/>
          <w:sz w:val="36"/>
          <w:szCs w:val="36"/>
        </w:rPr>
      </w:pPr>
      <w:r>
        <w:rPr>
          <w:rFonts w:ascii="Times New Roman" w:hAnsi="Times New Roman" w:cs="Times New Roman"/>
          <w:b/>
          <w:sz w:val="36"/>
          <w:szCs w:val="36"/>
        </w:rPr>
        <w:t>目 录</w:t>
      </w:r>
    </w:p>
    <w:p>
      <w:pPr>
        <w:pStyle w:val="2"/>
      </w:pPr>
    </w:p>
    <w:p>
      <w:pPr>
        <w:pStyle w:val="10"/>
        <w:tabs>
          <w:tab w:val="right" w:leader="dot" w:pos="8844"/>
          <w:tab w:val="clear" w:pos="420"/>
          <w:tab w:val="clear" w:pos="8948"/>
        </w:tabs>
      </w:pPr>
      <w:r>
        <w:rPr>
          <w:rFonts w:ascii="Times New Roman" w:hAnsi="Times New Roman" w:cs="Times New Roman"/>
          <w:b/>
          <w:bCs/>
          <w:sz w:val="36"/>
          <w:szCs w:val="36"/>
        </w:rPr>
        <w:fldChar w:fldCharType="begin"/>
      </w:r>
      <w:r>
        <w:rPr>
          <w:rFonts w:ascii="Times New Roman" w:hAnsi="Times New Roman" w:cs="Times New Roman"/>
          <w:b/>
          <w:bCs/>
          <w:sz w:val="36"/>
          <w:szCs w:val="36"/>
        </w:rPr>
        <w:instrText xml:space="preserve">TOC \o "1-1" \h \u </w:instrText>
      </w:r>
      <w:r>
        <w:rPr>
          <w:rFonts w:ascii="Times New Roman" w:hAnsi="Times New Roman" w:cs="Times New Roman"/>
          <w:b/>
          <w:bCs/>
          <w:sz w:val="36"/>
          <w:szCs w:val="36"/>
        </w:rPr>
        <w:fldChar w:fldCharType="separate"/>
      </w: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_Toc2146 </w:instrText>
      </w:r>
      <w:r>
        <w:rPr>
          <w:rFonts w:ascii="Times New Roman" w:hAnsi="Times New Roman" w:cs="Times New Roman"/>
          <w:bCs/>
          <w:szCs w:val="36"/>
        </w:rPr>
        <w:fldChar w:fldCharType="separate"/>
      </w:r>
      <w:r>
        <w:rPr>
          <w:rFonts w:hint="eastAsia" w:ascii="黑体" w:hAnsi="黑体" w:eastAsia="黑体"/>
          <w:snapToGrid w:val="0"/>
          <w:szCs w:val="30"/>
        </w:rPr>
        <w:t>一、建设项目基本情况</w:t>
      </w:r>
      <w:r>
        <w:tab/>
      </w:r>
      <w:r>
        <w:fldChar w:fldCharType="begin"/>
      </w:r>
      <w:r>
        <w:instrText xml:space="preserve"> PAGEREF _Toc2146 \h </w:instrText>
      </w:r>
      <w:r>
        <w:fldChar w:fldCharType="separate"/>
      </w:r>
      <w:r>
        <w:t>1</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_Toc9336 </w:instrText>
      </w:r>
      <w:r>
        <w:rPr>
          <w:rFonts w:ascii="Times New Roman" w:hAnsi="Times New Roman" w:cs="Times New Roman"/>
          <w:bCs/>
          <w:szCs w:val="36"/>
        </w:rPr>
        <w:fldChar w:fldCharType="separate"/>
      </w:r>
      <w:r>
        <w:rPr>
          <w:rFonts w:hint="eastAsia" w:ascii="黑体" w:hAnsi="黑体" w:eastAsia="黑体"/>
          <w:snapToGrid w:val="0"/>
          <w:szCs w:val="30"/>
          <w:highlight w:val="none"/>
        </w:rPr>
        <w:t>二、建设项目工程分析</w:t>
      </w:r>
      <w:r>
        <w:tab/>
      </w:r>
      <w:r>
        <w:fldChar w:fldCharType="begin"/>
      </w:r>
      <w:r>
        <w:instrText xml:space="preserve"> PAGEREF _Toc9336 \h </w:instrText>
      </w:r>
      <w:r>
        <w:fldChar w:fldCharType="separate"/>
      </w:r>
      <w:r>
        <w:t>10</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_Toc1364 </w:instrText>
      </w:r>
      <w:r>
        <w:rPr>
          <w:rFonts w:ascii="Times New Roman" w:hAnsi="Times New Roman" w:cs="Times New Roman"/>
          <w:bCs/>
          <w:szCs w:val="36"/>
        </w:rP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_Toc1364 \h </w:instrText>
      </w:r>
      <w:r>
        <w:fldChar w:fldCharType="separate"/>
      </w:r>
      <w:r>
        <w:t>20</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_Toc15193 </w:instrText>
      </w:r>
      <w:r>
        <w:rPr>
          <w:rFonts w:ascii="Times New Roman" w:hAnsi="Times New Roman" w:cs="Times New Roman"/>
          <w:bCs/>
          <w:szCs w:val="36"/>
        </w:rPr>
        <w:fldChar w:fldCharType="separate"/>
      </w:r>
      <w:r>
        <w:rPr>
          <w:rFonts w:hint="eastAsia" w:ascii="黑体" w:hAnsi="黑体" w:eastAsia="黑体"/>
          <w:snapToGrid w:val="0"/>
          <w:szCs w:val="30"/>
        </w:rPr>
        <w:t>四、主要环境影响和保护措施</w:t>
      </w:r>
      <w:r>
        <w:tab/>
      </w:r>
      <w:r>
        <w:fldChar w:fldCharType="begin"/>
      </w:r>
      <w:r>
        <w:instrText xml:space="preserve"> PAGEREF _Toc15193 \h </w:instrText>
      </w:r>
      <w:r>
        <w:fldChar w:fldCharType="separate"/>
      </w:r>
      <w:r>
        <w:t>25</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_Toc26545 </w:instrText>
      </w:r>
      <w:r>
        <w:rPr>
          <w:rFonts w:ascii="Times New Roman" w:hAnsi="Times New Roman" w:cs="Times New Roman"/>
          <w:bCs/>
          <w:szCs w:val="36"/>
        </w:rPr>
        <w:fldChar w:fldCharType="separate"/>
      </w:r>
      <w:r>
        <w:rPr>
          <w:rFonts w:hint="eastAsia" w:ascii="黑体" w:hAnsi="黑体" w:eastAsia="黑体"/>
          <w:snapToGrid w:val="0"/>
          <w:szCs w:val="30"/>
        </w:rPr>
        <w:t>五、环境保护措施监督检查清单</w:t>
      </w:r>
      <w:r>
        <w:tab/>
      </w:r>
      <w:r>
        <w:fldChar w:fldCharType="begin"/>
      </w:r>
      <w:r>
        <w:instrText xml:space="preserve"> PAGEREF _Toc26545 \h </w:instrText>
      </w:r>
      <w:r>
        <w:fldChar w:fldCharType="separate"/>
      </w:r>
      <w:r>
        <w:t>42</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_Toc12002 </w:instrText>
      </w:r>
      <w:r>
        <w:rPr>
          <w:rFonts w:ascii="Times New Roman" w:hAnsi="Times New Roman" w:cs="Times New Roman"/>
          <w:bCs/>
          <w:szCs w:val="36"/>
        </w:rPr>
        <w:fldChar w:fldCharType="separate"/>
      </w:r>
      <w:r>
        <w:rPr>
          <w:rFonts w:hint="eastAsia" w:ascii="黑体" w:hAnsi="黑体" w:eastAsia="黑体"/>
          <w:snapToGrid w:val="0"/>
          <w:szCs w:val="30"/>
        </w:rPr>
        <w:t>六、结论</w:t>
      </w:r>
      <w:r>
        <w:tab/>
      </w:r>
      <w:r>
        <w:fldChar w:fldCharType="begin"/>
      </w:r>
      <w:r>
        <w:instrText xml:space="preserve"> PAGEREF _Toc12002 \h </w:instrText>
      </w:r>
      <w:r>
        <w:fldChar w:fldCharType="separate"/>
      </w:r>
      <w:r>
        <w:t>54</w:t>
      </w:r>
      <w:r>
        <w:fldChar w:fldCharType="end"/>
      </w:r>
      <w:r>
        <w:rPr>
          <w:rFonts w:ascii="Times New Roman" w:hAnsi="Times New Roman" w:cs="Times New Roman"/>
          <w:bCs/>
          <w:szCs w:val="36"/>
        </w:rPr>
        <w:fldChar w:fldCharType="end"/>
      </w:r>
    </w:p>
    <w:p>
      <w:pPr>
        <w:pStyle w:val="10"/>
        <w:tabs>
          <w:tab w:val="right" w:leader="dot" w:pos="8844"/>
          <w:tab w:val="clear" w:pos="420"/>
          <w:tab w:val="clear" w:pos="8948"/>
        </w:tabs>
      </w:pPr>
      <w:r>
        <w:rPr>
          <w:rFonts w:ascii="Times New Roman" w:hAnsi="Times New Roman" w:cs="Times New Roman"/>
          <w:bCs/>
          <w:szCs w:val="36"/>
        </w:rPr>
        <w:fldChar w:fldCharType="begin"/>
      </w:r>
      <w:r>
        <w:rPr>
          <w:rFonts w:ascii="Times New Roman" w:hAnsi="Times New Roman" w:cs="Times New Roman"/>
          <w:bCs/>
          <w:szCs w:val="36"/>
        </w:rPr>
        <w:instrText xml:space="preserve"> HYPERLINK \l _Toc3663 </w:instrText>
      </w:r>
      <w:r>
        <w:rPr>
          <w:rFonts w:ascii="Times New Roman" w:hAnsi="Times New Roman" w:cs="Times New Roman"/>
          <w:bCs/>
          <w:szCs w:val="36"/>
        </w:rPr>
        <w:fldChar w:fldCharType="separate"/>
      </w:r>
      <w:r>
        <w:rPr>
          <w:rFonts w:hint="eastAsia" w:cs="宋体"/>
          <w:snapToGrid w:val="0"/>
          <w:szCs w:val="28"/>
        </w:rPr>
        <w:t>附表</w:t>
      </w:r>
      <w:r>
        <w:tab/>
      </w:r>
      <w:r>
        <w:fldChar w:fldCharType="begin"/>
      </w:r>
      <w:r>
        <w:instrText xml:space="preserve"> PAGEREF _Toc3663 \h </w:instrText>
      </w:r>
      <w:r>
        <w:fldChar w:fldCharType="separate"/>
      </w:r>
      <w:r>
        <w:t>55</w:t>
      </w:r>
      <w:r>
        <w:fldChar w:fldCharType="end"/>
      </w:r>
      <w:r>
        <w:rPr>
          <w:rFonts w:ascii="Times New Roman" w:hAnsi="Times New Roman" w:cs="Times New Roman"/>
          <w:bCs/>
          <w:szCs w:val="36"/>
        </w:rPr>
        <w:fldChar w:fldCharType="end"/>
      </w:r>
    </w:p>
    <w:p>
      <w:pPr>
        <w:spacing w:line="360" w:lineRule="auto"/>
        <w:rPr>
          <w:color w:val="auto"/>
        </w:rPr>
      </w:pPr>
      <w:r>
        <w:rPr>
          <w:rFonts w:ascii="Times New Roman" w:hAnsi="Times New Roman" w:cs="Times New Roman"/>
          <w:bCs/>
          <w:szCs w:val="36"/>
        </w:rPr>
        <w:fldChar w:fldCharType="end"/>
      </w:r>
    </w:p>
    <w:p>
      <w:pPr>
        <w:pStyle w:val="11"/>
        <w:jc w:val="center"/>
        <w:rPr>
          <w:rFonts w:hint="default" w:ascii="黑体" w:hAnsi="黑体" w:eastAsia="黑体"/>
          <w:snapToGrid w:val="0"/>
          <w:color w:val="auto"/>
          <w:sz w:val="30"/>
          <w:szCs w:val="30"/>
          <w:lang w:val="en-US"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黑体" w:hAnsi="黑体" w:eastAsia="黑体"/>
          <w:snapToGrid w:val="0"/>
          <w:color w:val="auto"/>
          <w:sz w:val="30"/>
          <w:szCs w:val="30"/>
          <w:lang w:val="en-US" w:eastAsia="zh-CN"/>
        </w:rPr>
        <w:t xml:space="preserve">  </w:t>
      </w:r>
    </w:p>
    <w:p>
      <w:pPr>
        <w:pStyle w:val="11"/>
        <w:jc w:val="center"/>
        <w:outlineLvl w:val="0"/>
        <w:rPr>
          <w:rFonts w:hint="eastAsia" w:ascii="黑体" w:hAnsi="黑体" w:eastAsia="黑体"/>
          <w:snapToGrid w:val="0"/>
          <w:color w:val="auto"/>
          <w:sz w:val="30"/>
          <w:szCs w:val="30"/>
        </w:rPr>
      </w:pPr>
      <w:bookmarkStart w:id="2" w:name="_Toc26224"/>
      <w:bookmarkStart w:id="3" w:name="_Toc25430"/>
      <w:bookmarkStart w:id="4" w:name="_Toc2146"/>
      <w:r>
        <w:rPr>
          <w:rFonts w:hint="eastAsia" w:ascii="黑体" w:hAnsi="黑体" w:eastAsia="黑体"/>
          <w:snapToGrid w:val="0"/>
          <w:color w:val="auto"/>
          <w:sz w:val="30"/>
          <w:szCs w:val="30"/>
        </w:rPr>
        <w:t>一、建设项目基本情况</w:t>
      </w:r>
      <w:bookmarkEnd w:id="2"/>
      <w:bookmarkEnd w:id="3"/>
      <w:bookmarkEnd w:id="4"/>
    </w:p>
    <w:tbl>
      <w:tblPr>
        <w:tblStyle w:val="1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8"/>
        <w:gridCol w:w="2163"/>
        <w:gridCol w:w="2201"/>
        <w:gridCol w:w="28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建设项目名称</w:t>
            </w:r>
          </w:p>
        </w:tc>
        <w:tc>
          <w:tcPr>
            <w:tcW w:w="7212" w:type="dxa"/>
            <w:gridSpan w:val="3"/>
            <w:noWrap w:val="0"/>
            <w:vAlign w:val="center"/>
          </w:tcPr>
          <w:p>
            <w:pPr>
              <w:adjustRightInd w:val="0"/>
              <w:snapToGrid w:val="0"/>
              <w:jc w:val="center"/>
              <w:rPr>
                <w:color w:val="auto"/>
                <w:sz w:val="24"/>
                <w:szCs w:val="24"/>
                <w:u w:val="none"/>
              </w:rPr>
            </w:pPr>
            <w:r>
              <w:rPr>
                <w:rFonts w:hint="eastAsia"/>
                <w:color w:val="auto"/>
                <w:sz w:val="24"/>
                <w:szCs w:val="24"/>
                <w:u w:val="none"/>
              </w:rPr>
              <w:t>年产340万米聚氨酯泡绵项目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项目代码</w:t>
            </w:r>
          </w:p>
        </w:tc>
        <w:tc>
          <w:tcPr>
            <w:tcW w:w="7212" w:type="dxa"/>
            <w:gridSpan w:val="3"/>
            <w:noWrap w:val="0"/>
            <w:vAlign w:val="center"/>
          </w:tcPr>
          <w:p>
            <w:pPr>
              <w:adjustRightInd w:val="0"/>
              <w:snapToGrid w:val="0"/>
              <w:jc w:val="center"/>
              <w:rPr>
                <w:rFonts w:hint="eastAsia" w:eastAsia="宋体"/>
                <w:color w:val="auto"/>
                <w:sz w:val="24"/>
                <w:szCs w:val="24"/>
                <w:highlight w:val="none"/>
                <w:u w:val="none"/>
                <w:lang w:eastAsia="zh-CN"/>
              </w:rPr>
            </w:pPr>
            <w:r>
              <w:rPr>
                <w:rFonts w:hint="eastAsia"/>
                <w:color w:val="auto"/>
                <w:sz w:val="24"/>
                <w:szCs w:val="24"/>
                <w:highlight w:val="none"/>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建设单位联系人</w:t>
            </w:r>
          </w:p>
        </w:tc>
        <w:tc>
          <w:tcPr>
            <w:tcW w:w="2163" w:type="dxa"/>
            <w:noWrap w:val="0"/>
            <w:vAlign w:val="center"/>
          </w:tcPr>
          <w:p>
            <w:pPr>
              <w:adjustRightInd w:val="0"/>
              <w:snapToGrid w:val="0"/>
              <w:jc w:val="center"/>
              <w:rPr>
                <w:color w:val="auto"/>
                <w:sz w:val="24"/>
                <w:szCs w:val="24"/>
                <w:u w:val="none"/>
              </w:rPr>
            </w:pPr>
            <w:r>
              <w:rPr>
                <w:rFonts w:hint="eastAsia"/>
                <w:color w:val="auto"/>
                <w:sz w:val="24"/>
                <w:szCs w:val="24"/>
                <w:u w:val="none"/>
              </w:rPr>
              <w:t>唐勇军</w:t>
            </w:r>
          </w:p>
        </w:tc>
        <w:tc>
          <w:tcPr>
            <w:tcW w:w="2201" w:type="dxa"/>
            <w:noWrap w:val="0"/>
            <w:vAlign w:val="center"/>
          </w:tcPr>
          <w:p>
            <w:pPr>
              <w:adjustRightInd w:val="0"/>
              <w:snapToGrid w:val="0"/>
              <w:jc w:val="center"/>
              <w:rPr>
                <w:color w:val="auto"/>
                <w:sz w:val="24"/>
                <w:szCs w:val="24"/>
                <w:u w:val="none"/>
              </w:rPr>
            </w:pPr>
            <w:r>
              <w:rPr>
                <w:color w:val="auto"/>
                <w:sz w:val="24"/>
                <w:szCs w:val="24"/>
                <w:u w:val="none"/>
              </w:rPr>
              <w:t>联系方式</w:t>
            </w:r>
          </w:p>
        </w:tc>
        <w:tc>
          <w:tcPr>
            <w:tcW w:w="2848" w:type="dxa"/>
            <w:noWrap w:val="0"/>
            <w:vAlign w:val="center"/>
          </w:tcPr>
          <w:p>
            <w:pPr>
              <w:adjustRightInd w:val="0"/>
              <w:snapToGrid w:val="0"/>
              <w:jc w:val="center"/>
              <w:rPr>
                <w:color w:val="auto"/>
                <w:sz w:val="24"/>
                <w:szCs w:val="24"/>
                <w:u w:val="none"/>
              </w:rPr>
            </w:pPr>
            <w:r>
              <w:rPr>
                <w:rFonts w:hint="eastAsia"/>
                <w:color w:val="auto"/>
                <w:sz w:val="24"/>
                <w:szCs w:val="24"/>
                <w:u w:val="none"/>
              </w:rPr>
              <w:t>15869965808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建设地点</w:t>
            </w:r>
          </w:p>
        </w:tc>
        <w:tc>
          <w:tcPr>
            <w:tcW w:w="7212" w:type="dxa"/>
            <w:gridSpan w:val="3"/>
            <w:noWrap w:val="0"/>
            <w:vAlign w:val="center"/>
          </w:tcPr>
          <w:p>
            <w:pPr>
              <w:adjustRightInd w:val="0"/>
              <w:snapToGrid w:val="0"/>
              <w:jc w:val="center"/>
              <w:rPr>
                <w:rFonts w:hint="default" w:eastAsia="宋体"/>
                <w:color w:val="auto"/>
                <w:sz w:val="24"/>
                <w:szCs w:val="24"/>
                <w:u w:val="none"/>
                <w:lang w:val="en-US" w:eastAsia="zh-CN"/>
              </w:rPr>
            </w:pPr>
            <w:r>
              <w:rPr>
                <w:rFonts w:hint="eastAsia"/>
                <w:color w:val="auto"/>
                <w:sz w:val="24"/>
                <w:szCs w:val="24"/>
                <w:u w:val="none"/>
                <w:lang w:eastAsia="zh-CN"/>
              </w:rPr>
              <w:t>湖南省永州市新田县电子信息产业园10栋</w:t>
            </w:r>
            <w:r>
              <w:rPr>
                <w:rFonts w:hint="eastAsia"/>
                <w:color w:val="auto"/>
                <w:sz w:val="24"/>
                <w:szCs w:val="24"/>
                <w:u w:val="none"/>
                <w:lang w:val="en-US" w:eastAsia="zh-CN"/>
              </w:rPr>
              <w:t>第二层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地理坐标</w:t>
            </w:r>
          </w:p>
        </w:tc>
        <w:tc>
          <w:tcPr>
            <w:tcW w:w="7212" w:type="dxa"/>
            <w:gridSpan w:val="3"/>
            <w:noWrap w:val="0"/>
            <w:vAlign w:val="center"/>
          </w:tcPr>
          <w:p>
            <w:pPr>
              <w:jc w:val="center"/>
              <w:rPr>
                <w:color w:val="auto"/>
                <w:sz w:val="24"/>
                <w:szCs w:val="24"/>
                <w:highlight w:val="none"/>
                <w:u w:val="none"/>
              </w:rPr>
            </w:pPr>
            <w:r>
              <w:rPr>
                <w:color w:val="auto"/>
                <w:sz w:val="24"/>
                <w:szCs w:val="24"/>
                <w:highlight w:val="none"/>
                <w:u w:val="none"/>
              </w:rPr>
              <w:t>（E</w:t>
            </w:r>
            <w:r>
              <w:rPr>
                <w:rFonts w:hint="eastAsia"/>
                <w:color w:val="auto"/>
                <w:sz w:val="24"/>
                <w:szCs w:val="24"/>
                <w:highlight w:val="none"/>
                <w:u w:val="none"/>
              </w:rPr>
              <w:t>112</w:t>
            </w:r>
            <w:r>
              <w:rPr>
                <w:color w:val="auto"/>
                <w:sz w:val="24"/>
                <w:szCs w:val="24"/>
                <w:highlight w:val="none"/>
                <w:u w:val="none"/>
              </w:rPr>
              <w:t>度</w:t>
            </w:r>
            <w:r>
              <w:rPr>
                <w:rFonts w:hint="eastAsia"/>
                <w:color w:val="auto"/>
                <w:sz w:val="24"/>
                <w:szCs w:val="24"/>
                <w:highlight w:val="none"/>
                <w:u w:val="none"/>
                <w:lang w:val="en-US" w:eastAsia="zh-CN"/>
              </w:rPr>
              <w:t>11</w:t>
            </w:r>
            <w:r>
              <w:rPr>
                <w:color w:val="auto"/>
                <w:sz w:val="24"/>
                <w:szCs w:val="24"/>
                <w:highlight w:val="none"/>
                <w:u w:val="none"/>
              </w:rPr>
              <w:t>分</w:t>
            </w:r>
            <w:r>
              <w:rPr>
                <w:rFonts w:hint="eastAsia"/>
                <w:color w:val="auto"/>
                <w:sz w:val="24"/>
                <w:szCs w:val="24"/>
                <w:highlight w:val="none"/>
                <w:u w:val="none"/>
                <w:lang w:val="en-US" w:eastAsia="zh-CN"/>
              </w:rPr>
              <w:t>55.616</w:t>
            </w:r>
            <w:r>
              <w:rPr>
                <w:color w:val="auto"/>
                <w:sz w:val="24"/>
                <w:szCs w:val="24"/>
                <w:highlight w:val="none"/>
                <w:u w:val="none"/>
              </w:rPr>
              <w:t>秒，N2</w:t>
            </w:r>
            <w:r>
              <w:rPr>
                <w:rFonts w:hint="eastAsia"/>
                <w:color w:val="auto"/>
                <w:sz w:val="24"/>
                <w:szCs w:val="24"/>
                <w:highlight w:val="none"/>
                <w:u w:val="none"/>
                <w:lang w:val="en-US" w:eastAsia="zh-CN"/>
              </w:rPr>
              <w:t>5</w:t>
            </w:r>
            <w:r>
              <w:rPr>
                <w:color w:val="auto"/>
                <w:sz w:val="24"/>
                <w:szCs w:val="24"/>
                <w:highlight w:val="none"/>
                <w:u w:val="none"/>
              </w:rPr>
              <w:t>度</w:t>
            </w:r>
            <w:r>
              <w:rPr>
                <w:rFonts w:hint="eastAsia"/>
                <w:color w:val="auto"/>
                <w:sz w:val="24"/>
                <w:szCs w:val="24"/>
                <w:highlight w:val="none"/>
                <w:u w:val="none"/>
                <w:lang w:val="en-US" w:eastAsia="zh-CN"/>
              </w:rPr>
              <w:t>53</w:t>
            </w:r>
            <w:r>
              <w:rPr>
                <w:color w:val="auto"/>
                <w:sz w:val="24"/>
                <w:szCs w:val="24"/>
                <w:highlight w:val="none"/>
                <w:u w:val="none"/>
              </w:rPr>
              <w:t>分</w:t>
            </w:r>
            <w:r>
              <w:rPr>
                <w:rFonts w:hint="eastAsia"/>
                <w:color w:val="auto"/>
                <w:sz w:val="24"/>
                <w:szCs w:val="24"/>
                <w:highlight w:val="none"/>
                <w:u w:val="none"/>
                <w:lang w:val="en-US" w:eastAsia="zh-CN"/>
              </w:rPr>
              <w:t>6.662</w:t>
            </w:r>
            <w:r>
              <w:rPr>
                <w:color w:val="auto"/>
                <w:sz w:val="24"/>
                <w:szCs w:val="24"/>
                <w:highlight w:val="none"/>
                <w:u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国民经济</w:t>
            </w:r>
          </w:p>
          <w:p>
            <w:pPr>
              <w:adjustRightInd w:val="0"/>
              <w:snapToGrid w:val="0"/>
              <w:jc w:val="center"/>
              <w:rPr>
                <w:color w:val="auto"/>
                <w:sz w:val="24"/>
                <w:szCs w:val="24"/>
                <w:highlight w:val="none"/>
                <w:u w:val="none"/>
              </w:rPr>
            </w:pPr>
            <w:r>
              <w:rPr>
                <w:color w:val="auto"/>
                <w:sz w:val="24"/>
                <w:szCs w:val="24"/>
                <w:highlight w:val="none"/>
                <w:u w:val="none"/>
              </w:rPr>
              <w:t>行业类别</w:t>
            </w:r>
          </w:p>
        </w:tc>
        <w:tc>
          <w:tcPr>
            <w:tcW w:w="2163" w:type="dxa"/>
            <w:noWrap w:val="0"/>
            <w:vAlign w:val="center"/>
          </w:tcPr>
          <w:p>
            <w:pPr>
              <w:adjustRightInd w:val="0"/>
              <w:snapToGrid w:val="0"/>
              <w:jc w:val="center"/>
              <w:rPr>
                <w:rFonts w:hint="eastAsia" w:eastAsia="宋体"/>
                <w:color w:val="auto"/>
                <w:sz w:val="24"/>
                <w:szCs w:val="24"/>
                <w:highlight w:val="none"/>
                <w:u w:val="none"/>
                <w:lang w:eastAsia="zh-CN"/>
              </w:rPr>
            </w:pPr>
            <w:r>
              <w:rPr>
                <w:rFonts w:hint="eastAsia"/>
                <w:color w:val="auto"/>
                <w:sz w:val="24"/>
                <w:szCs w:val="24"/>
                <w:highlight w:val="none"/>
                <w:u w:val="none"/>
              </w:rPr>
              <w:t>C</w:t>
            </w:r>
            <w:r>
              <w:rPr>
                <w:rFonts w:hint="eastAsia"/>
                <w:color w:val="auto"/>
                <w:sz w:val="24"/>
                <w:szCs w:val="24"/>
                <w:highlight w:val="none"/>
                <w:u w:val="none"/>
                <w:lang w:val="en-US" w:eastAsia="zh-CN"/>
              </w:rPr>
              <w:t>2924</w:t>
            </w:r>
            <w:r>
              <w:rPr>
                <w:rFonts w:hint="eastAsia"/>
                <w:color w:val="auto"/>
                <w:sz w:val="24"/>
                <w:szCs w:val="24"/>
                <w:highlight w:val="none"/>
                <w:u w:val="none"/>
                <w:lang w:eastAsia="zh-CN"/>
              </w:rPr>
              <w:t>泡沫塑料制造</w:t>
            </w:r>
          </w:p>
        </w:tc>
        <w:tc>
          <w:tcPr>
            <w:tcW w:w="2201" w:type="dxa"/>
            <w:noWrap w:val="0"/>
            <w:vAlign w:val="center"/>
          </w:tcPr>
          <w:p>
            <w:pPr>
              <w:adjustRightInd w:val="0"/>
              <w:snapToGrid w:val="0"/>
              <w:jc w:val="center"/>
              <w:rPr>
                <w:color w:val="auto"/>
                <w:sz w:val="24"/>
                <w:szCs w:val="24"/>
                <w:highlight w:val="none"/>
                <w:u w:val="none"/>
              </w:rPr>
            </w:pPr>
            <w:r>
              <w:rPr>
                <w:color w:val="auto"/>
                <w:sz w:val="24"/>
                <w:szCs w:val="24"/>
                <w:highlight w:val="none"/>
                <w:u w:val="none"/>
              </w:rPr>
              <w:t>建设项目</w:t>
            </w:r>
          </w:p>
          <w:p>
            <w:pPr>
              <w:adjustRightInd w:val="0"/>
              <w:snapToGrid w:val="0"/>
              <w:jc w:val="center"/>
              <w:rPr>
                <w:color w:val="auto"/>
                <w:sz w:val="24"/>
                <w:szCs w:val="24"/>
                <w:highlight w:val="none"/>
                <w:u w:val="none"/>
              </w:rPr>
            </w:pPr>
            <w:r>
              <w:rPr>
                <w:color w:val="auto"/>
                <w:sz w:val="24"/>
                <w:szCs w:val="24"/>
                <w:highlight w:val="none"/>
                <w:u w:val="none"/>
              </w:rPr>
              <w:t>行业类别</w:t>
            </w:r>
          </w:p>
        </w:tc>
        <w:tc>
          <w:tcPr>
            <w:tcW w:w="2848" w:type="dxa"/>
            <w:noWrap w:val="0"/>
            <w:vAlign w:val="center"/>
          </w:tcPr>
          <w:p>
            <w:pPr>
              <w:adjustRightInd w:val="0"/>
              <w:snapToGrid w:val="0"/>
              <w:jc w:val="center"/>
              <w:rPr>
                <w:rFonts w:hint="default" w:eastAsia="宋体"/>
                <w:color w:val="auto"/>
                <w:sz w:val="24"/>
                <w:szCs w:val="24"/>
                <w:highlight w:val="none"/>
                <w:u w:val="none"/>
                <w:lang w:val="en-US" w:eastAsia="zh-CN"/>
              </w:rPr>
            </w:pPr>
            <w:r>
              <w:rPr>
                <w:rFonts w:hint="eastAsia"/>
                <w:color w:val="auto"/>
                <w:sz w:val="24"/>
                <w:szCs w:val="24"/>
                <w:highlight w:val="none"/>
                <w:u w:val="none"/>
              </w:rPr>
              <w:t>二十</w:t>
            </w:r>
            <w:r>
              <w:rPr>
                <w:rFonts w:hint="eastAsia"/>
                <w:color w:val="auto"/>
                <w:sz w:val="24"/>
                <w:szCs w:val="24"/>
                <w:highlight w:val="none"/>
                <w:u w:val="none"/>
                <w:lang w:eastAsia="zh-CN"/>
              </w:rPr>
              <w:t>六</w:t>
            </w:r>
            <w:r>
              <w:rPr>
                <w:rFonts w:hint="eastAsia"/>
                <w:color w:val="auto"/>
                <w:sz w:val="24"/>
                <w:szCs w:val="24"/>
                <w:highlight w:val="none"/>
                <w:u w:val="none"/>
              </w:rPr>
              <w:t>、</w:t>
            </w:r>
            <w:r>
              <w:rPr>
                <w:rFonts w:hint="eastAsia"/>
                <w:color w:val="auto"/>
                <w:sz w:val="24"/>
                <w:szCs w:val="24"/>
                <w:highlight w:val="none"/>
                <w:u w:val="none"/>
                <w:lang w:eastAsia="zh-CN"/>
              </w:rPr>
              <w:t>橡胶和塑料制品业</w:t>
            </w:r>
            <w:r>
              <w:rPr>
                <w:rFonts w:hint="eastAsia"/>
                <w:color w:val="auto"/>
                <w:sz w:val="24"/>
                <w:szCs w:val="24"/>
                <w:highlight w:val="none"/>
                <w:u w:val="none"/>
                <w:lang w:val="en-US" w:eastAsia="zh-CN"/>
              </w:rPr>
              <w:t>29-塑料制品业292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建设性质</w:t>
            </w:r>
          </w:p>
        </w:tc>
        <w:tc>
          <w:tcPr>
            <w:tcW w:w="2163" w:type="dxa"/>
            <w:noWrap w:val="0"/>
            <w:vAlign w:val="center"/>
          </w:tcPr>
          <w:p>
            <w:pPr>
              <w:jc w:val="left"/>
              <w:rPr>
                <w:color w:val="auto"/>
                <w:sz w:val="24"/>
                <w:szCs w:val="24"/>
                <w:u w:val="none"/>
              </w:rPr>
            </w:pPr>
            <w:r>
              <w:rPr>
                <w:rFonts w:hint="eastAsia"/>
                <w:color w:val="auto"/>
                <w:sz w:val="24"/>
                <w:szCs w:val="24"/>
                <w:u w:val="none"/>
                <w:lang w:eastAsia="zh-CN"/>
              </w:rPr>
              <w:sym w:font="Wingdings 2" w:char="0052"/>
            </w:r>
            <w:r>
              <w:rPr>
                <w:color w:val="auto"/>
                <w:sz w:val="24"/>
                <w:szCs w:val="24"/>
                <w:u w:val="none"/>
              </w:rPr>
              <w:t>新建（迁建）</w:t>
            </w:r>
          </w:p>
          <w:p>
            <w:pPr>
              <w:jc w:val="left"/>
              <w:rPr>
                <w:color w:val="auto"/>
                <w:sz w:val="24"/>
                <w:szCs w:val="24"/>
                <w:u w:val="none"/>
              </w:rPr>
            </w:pPr>
            <w:r>
              <w:rPr>
                <w:color w:val="auto"/>
                <w:sz w:val="24"/>
                <w:szCs w:val="24"/>
                <w:u w:val="none"/>
              </w:rPr>
              <w:t>□改建</w:t>
            </w:r>
          </w:p>
          <w:p>
            <w:pPr>
              <w:jc w:val="left"/>
              <w:rPr>
                <w:color w:val="auto"/>
                <w:sz w:val="24"/>
                <w:szCs w:val="24"/>
                <w:u w:val="none"/>
              </w:rPr>
            </w:pPr>
            <w:r>
              <w:rPr>
                <w:color w:val="auto"/>
                <w:sz w:val="24"/>
                <w:szCs w:val="24"/>
                <w:u w:val="none"/>
              </w:rPr>
              <w:t>□扩建</w:t>
            </w:r>
          </w:p>
          <w:p>
            <w:pPr>
              <w:jc w:val="left"/>
              <w:rPr>
                <w:color w:val="auto"/>
                <w:sz w:val="24"/>
                <w:szCs w:val="24"/>
                <w:u w:val="none"/>
              </w:rPr>
            </w:pPr>
            <w:r>
              <w:rPr>
                <w:color w:val="auto"/>
                <w:sz w:val="24"/>
                <w:szCs w:val="24"/>
                <w:u w:val="none"/>
              </w:rPr>
              <w:t>□技术改造</w:t>
            </w:r>
          </w:p>
        </w:tc>
        <w:tc>
          <w:tcPr>
            <w:tcW w:w="2201" w:type="dxa"/>
            <w:noWrap w:val="0"/>
            <w:vAlign w:val="center"/>
          </w:tcPr>
          <w:p>
            <w:pPr>
              <w:adjustRightInd w:val="0"/>
              <w:snapToGrid w:val="0"/>
              <w:jc w:val="center"/>
              <w:rPr>
                <w:color w:val="auto"/>
                <w:sz w:val="24"/>
                <w:szCs w:val="24"/>
                <w:u w:val="none"/>
              </w:rPr>
            </w:pPr>
            <w:r>
              <w:rPr>
                <w:color w:val="auto"/>
                <w:sz w:val="24"/>
                <w:szCs w:val="24"/>
                <w:u w:val="none"/>
              </w:rPr>
              <w:t>建设项目</w:t>
            </w:r>
          </w:p>
          <w:p>
            <w:pPr>
              <w:adjustRightInd w:val="0"/>
              <w:snapToGrid w:val="0"/>
              <w:jc w:val="center"/>
              <w:rPr>
                <w:color w:val="auto"/>
                <w:sz w:val="24"/>
                <w:szCs w:val="24"/>
                <w:u w:val="none"/>
              </w:rPr>
            </w:pPr>
            <w:r>
              <w:rPr>
                <w:color w:val="auto"/>
                <w:sz w:val="24"/>
                <w:szCs w:val="24"/>
                <w:u w:val="none"/>
              </w:rPr>
              <w:t>申报情形</w:t>
            </w:r>
          </w:p>
        </w:tc>
        <w:tc>
          <w:tcPr>
            <w:tcW w:w="2848" w:type="dxa"/>
            <w:noWrap w:val="0"/>
            <w:vAlign w:val="center"/>
          </w:tcPr>
          <w:p>
            <w:pPr>
              <w:jc w:val="left"/>
              <w:rPr>
                <w:color w:val="auto"/>
                <w:sz w:val="24"/>
                <w:szCs w:val="24"/>
                <w:u w:val="none"/>
              </w:rPr>
            </w:pPr>
            <w:r>
              <w:rPr>
                <w:rFonts w:hint="eastAsia"/>
                <w:color w:val="auto"/>
                <w:sz w:val="24"/>
                <w:szCs w:val="24"/>
                <w:u w:val="none"/>
                <w:lang w:eastAsia="zh-CN"/>
              </w:rPr>
              <w:sym w:font="Wingdings 2" w:char="0052"/>
            </w:r>
            <w:r>
              <w:rPr>
                <w:color w:val="auto"/>
                <w:sz w:val="24"/>
                <w:szCs w:val="24"/>
                <w:u w:val="none"/>
              </w:rPr>
              <w:t xml:space="preserve">首次申报项目             </w:t>
            </w:r>
          </w:p>
          <w:p>
            <w:pPr>
              <w:jc w:val="left"/>
              <w:rPr>
                <w:color w:val="auto"/>
                <w:sz w:val="24"/>
                <w:szCs w:val="24"/>
                <w:u w:val="none"/>
              </w:rPr>
            </w:pPr>
            <w:r>
              <w:rPr>
                <w:color w:val="auto"/>
                <w:sz w:val="24"/>
                <w:szCs w:val="24"/>
                <w:u w:val="none"/>
              </w:rPr>
              <w:t>□不予批准后再次申报项目</w:t>
            </w:r>
          </w:p>
          <w:p>
            <w:pPr>
              <w:jc w:val="left"/>
              <w:rPr>
                <w:color w:val="auto"/>
                <w:sz w:val="24"/>
                <w:szCs w:val="24"/>
                <w:u w:val="none"/>
              </w:rPr>
            </w:pPr>
            <w:r>
              <w:rPr>
                <w:color w:val="auto"/>
                <w:sz w:val="24"/>
                <w:szCs w:val="24"/>
                <w:u w:val="none"/>
              </w:rPr>
              <w:t xml:space="preserve">□超五年重新审核项目     </w:t>
            </w:r>
          </w:p>
          <w:p>
            <w:pPr>
              <w:jc w:val="left"/>
              <w:rPr>
                <w:color w:val="auto"/>
                <w:sz w:val="24"/>
                <w:szCs w:val="24"/>
                <w:u w:val="none"/>
              </w:rPr>
            </w:pPr>
            <w:r>
              <w:rPr>
                <w:color w:val="auto"/>
                <w:sz w:val="24"/>
                <w:szCs w:val="24"/>
                <w:u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项目审批（核准/</w:t>
            </w:r>
          </w:p>
          <w:p>
            <w:pPr>
              <w:adjustRightInd w:val="0"/>
              <w:snapToGrid w:val="0"/>
              <w:jc w:val="center"/>
              <w:rPr>
                <w:color w:val="auto"/>
                <w:sz w:val="24"/>
                <w:szCs w:val="24"/>
                <w:highlight w:val="none"/>
                <w:u w:val="none"/>
              </w:rPr>
            </w:pPr>
            <w:r>
              <w:rPr>
                <w:color w:val="auto"/>
                <w:sz w:val="24"/>
                <w:szCs w:val="24"/>
                <w:highlight w:val="none"/>
                <w:u w:val="none"/>
              </w:rPr>
              <w:t>备案）部门（选填）</w:t>
            </w:r>
          </w:p>
        </w:tc>
        <w:tc>
          <w:tcPr>
            <w:tcW w:w="2163" w:type="dxa"/>
            <w:noWrap w:val="0"/>
            <w:vAlign w:val="center"/>
          </w:tcPr>
          <w:p>
            <w:pPr>
              <w:adjustRightInd w:val="0"/>
              <w:snapToGrid w:val="0"/>
              <w:jc w:val="center"/>
              <w:rPr>
                <w:rFonts w:hint="eastAsia" w:eastAsia="宋体"/>
                <w:color w:val="auto"/>
                <w:sz w:val="24"/>
                <w:szCs w:val="24"/>
                <w:highlight w:val="none"/>
                <w:u w:val="none"/>
                <w:lang w:eastAsia="zh-CN"/>
              </w:rPr>
            </w:pPr>
            <w:r>
              <w:rPr>
                <w:rFonts w:hint="eastAsia"/>
                <w:color w:val="auto"/>
                <w:sz w:val="24"/>
                <w:szCs w:val="24"/>
                <w:highlight w:val="none"/>
                <w:u w:val="none"/>
                <w:lang w:val="en-US" w:eastAsia="zh-CN"/>
              </w:rPr>
              <w:t>无</w:t>
            </w:r>
          </w:p>
        </w:tc>
        <w:tc>
          <w:tcPr>
            <w:tcW w:w="2201" w:type="dxa"/>
            <w:noWrap w:val="0"/>
            <w:vAlign w:val="center"/>
          </w:tcPr>
          <w:p>
            <w:pPr>
              <w:adjustRightInd w:val="0"/>
              <w:snapToGrid w:val="0"/>
              <w:jc w:val="center"/>
              <w:rPr>
                <w:color w:val="auto"/>
                <w:sz w:val="24"/>
                <w:szCs w:val="24"/>
                <w:highlight w:val="none"/>
                <w:u w:val="none"/>
              </w:rPr>
            </w:pPr>
            <w:r>
              <w:rPr>
                <w:color w:val="auto"/>
                <w:sz w:val="24"/>
                <w:szCs w:val="24"/>
                <w:highlight w:val="none"/>
                <w:u w:val="none"/>
              </w:rPr>
              <w:t>项目审批（核准/</w:t>
            </w:r>
          </w:p>
          <w:p>
            <w:pPr>
              <w:adjustRightInd w:val="0"/>
              <w:snapToGrid w:val="0"/>
              <w:jc w:val="center"/>
              <w:rPr>
                <w:color w:val="auto"/>
                <w:sz w:val="24"/>
                <w:szCs w:val="24"/>
                <w:highlight w:val="none"/>
                <w:u w:val="none"/>
              </w:rPr>
            </w:pPr>
            <w:r>
              <w:rPr>
                <w:color w:val="auto"/>
                <w:sz w:val="24"/>
                <w:szCs w:val="24"/>
                <w:highlight w:val="none"/>
                <w:u w:val="none"/>
              </w:rPr>
              <w:t>备案）文号（选填）</w:t>
            </w:r>
          </w:p>
        </w:tc>
        <w:tc>
          <w:tcPr>
            <w:tcW w:w="2848" w:type="dxa"/>
            <w:noWrap w:val="0"/>
            <w:vAlign w:val="center"/>
          </w:tcPr>
          <w:p>
            <w:pPr>
              <w:adjustRightInd w:val="0"/>
              <w:snapToGrid w:val="0"/>
              <w:jc w:val="center"/>
              <w:rPr>
                <w:color w:val="auto"/>
                <w:sz w:val="24"/>
                <w:szCs w:val="24"/>
                <w:highlight w:val="none"/>
                <w:u w:val="none"/>
              </w:rPr>
            </w:pPr>
            <w:r>
              <w:rPr>
                <w:rFonts w:hint="eastAsia"/>
                <w:color w:val="auto"/>
                <w:sz w:val="24"/>
                <w:szCs w:val="24"/>
                <w:highlight w:val="none"/>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总投资（万元）</w:t>
            </w:r>
          </w:p>
        </w:tc>
        <w:tc>
          <w:tcPr>
            <w:tcW w:w="2163" w:type="dxa"/>
            <w:noWrap w:val="0"/>
            <w:vAlign w:val="center"/>
          </w:tcPr>
          <w:p>
            <w:pPr>
              <w:adjustRightInd w:val="0"/>
              <w:snapToGrid w:val="0"/>
              <w:jc w:val="center"/>
              <w:rPr>
                <w:color w:val="auto"/>
                <w:sz w:val="24"/>
                <w:szCs w:val="24"/>
                <w:highlight w:val="none"/>
                <w:u w:val="none"/>
              </w:rPr>
            </w:pPr>
            <w:r>
              <w:rPr>
                <w:rFonts w:hint="eastAsia"/>
                <w:color w:val="auto"/>
                <w:sz w:val="24"/>
                <w:szCs w:val="24"/>
                <w:highlight w:val="none"/>
                <w:u w:val="none"/>
              </w:rPr>
              <w:t>6000</w:t>
            </w:r>
          </w:p>
        </w:tc>
        <w:tc>
          <w:tcPr>
            <w:tcW w:w="2201" w:type="dxa"/>
            <w:noWrap w:val="0"/>
            <w:tcMar>
              <w:top w:w="16" w:type="dxa"/>
              <w:left w:w="16" w:type="dxa"/>
              <w:right w:w="16" w:type="dxa"/>
            </w:tcMar>
            <w:vAlign w:val="center"/>
          </w:tcPr>
          <w:p>
            <w:pPr>
              <w:adjustRightInd w:val="0"/>
              <w:snapToGrid w:val="0"/>
              <w:jc w:val="center"/>
              <w:rPr>
                <w:rFonts w:hint="eastAsia" w:eastAsia="宋体"/>
                <w:color w:val="auto"/>
                <w:sz w:val="24"/>
                <w:szCs w:val="24"/>
                <w:highlight w:val="none"/>
                <w:u w:val="none"/>
                <w:lang w:val="en-US" w:eastAsia="zh-CN"/>
              </w:rPr>
            </w:pPr>
            <w:r>
              <w:rPr>
                <w:color w:val="auto"/>
                <w:sz w:val="24"/>
                <w:szCs w:val="24"/>
                <w:highlight w:val="none"/>
                <w:u w:val="none"/>
              </w:rPr>
              <w:t>环保投资（万元）</w:t>
            </w:r>
            <w:r>
              <w:rPr>
                <w:rFonts w:hint="eastAsia"/>
                <w:color w:val="auto"/>
                <w:sz w:val="24"/>
                <w:szCs w:val="24"/>
                <w:highlight w:val="none"/>
                <w:u w:val="none"/>
                <w:lang w:val="en-US" w:eastAsia="zh-CN"/>
              </w:rPr>
              <w:t xml:space="preserve"> </w:t>
            </w:r>
          </w:p>
        </w:tc>
        <w:tc>
          <w:tcPr>
            <w:tcW w:w="2848" w:type="dxa"/>
            <w:noWrap w:val="0"/>
            <w:vAlign w:val="center"/>
          </w:tcPr>
          <w:p>
            <w:pPr>
              <w:adjustRightInd w:val="0"/>
              <w:snapToGrid w:val="0"/>
              <w:jc w:val="center"/>
              <w:rPr>
                <w:color w:val="auto"/>
                <w:sz w:val="24"/>
                <w:szCs w:val="24"/>
                <w:highlight w:val="none"/>
                <w:u w:val="none"/>
              </w:rPr>
            </w:pPr>
            <w:r>
              <w:rPr>
                <w:rFonts w:hint="eastAsia"/>
                <w:color w:val="auto"/>
                <w:sz w:val="24"/>
                <w:szCs w:val="24"/>
                <w:highlight w:val="none"/>
                <w:u w:val="none"/>
                <w:lang w:val="en-US" w:eastAsia="zh-CN"/>
              </w:rPr>
              <w:t>2</w:t>
            </w:r>
            <w:r>
              <w:rPr>
                <w:rFonts w:hint="eastAsia"/>
                <w:color w:val="auto"/>
                <w:sz w:val="24"/>
                <w:szCs w:val="24"/>
                <w:highlight w:val="none"/>
                <w:u w:val="none"/>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highlight w:val="none"/>
                <w:u w:val="none"/>
              </w:rPr>
            </w:pPr>
            <w:r>
              <w:rPr>
                <w:color w:val="auto"/>
                <w:sz w:val="24"/>
                <w:szCs w:val="24"/>
                <w:highlight w:val="none"/>
                <w:u w:val="none"/>
              </w:rPr>
              <w:t>环保投资占比（%）</w:t>
            </w:r>
          </w:p>
        </w:tc>
        <w:tc>
          <w:tcPr>
            <w:tcW w:w="2163" w:type="dxa"/>
            <w:noWrap w:val="0"/>
            <w:vAlign w:val="center"/>
          </w:tcPr>
          <w:p>
            <w:pPr>
              <w:adjustRightInd w:val="0"/>
              <w:snapToGrid w:val="0"/>
              <w:jc w:val="center"/>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3.33</w:t>
            </w:r>
          </w:p>
        </w:tc>
        <w:tc>
          <w:tcPr>
            <w:tcW w:w="2201"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施工工期</w:t>
            </w:r>
          </w:p>
        </w:tc>
        <w:tc>
          <w:tcPr>
            <w:tcW w:w="2848" w:type="dxa"/>
            <w:noWrap w:val="0"/>
            <w:vAlign w:val="center"/>
          </w:tcPr>
          <w:p>
            <w:pPr>
              <w:adjustRightInd w:val="0"/>
              <w:snapToGrid w:val="0"/>
              <w:jc w:val="center"/>
              <w:rPr>
                <w:color w:val="auto"/>
                <w:sz w:val="24"/>
                <w:szCs w:val="24"/>
                <w:u w:val="none"/>
              </w:rPr>
            </w:pPr>
            <w:r>
              <w:rPr>
                <w:rFonts w:hint="eastAsia"/>
                <w:color w:val="auto"/>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noWrap w:val="0"/>
            <w:tcMar>
              <w:top w:w="16" w:type="dxa"/>
              <w:left w:w="16" w:type="dxa"/>
              <w:right w:w="16" w:type="dxa"/>
            </w:tcMar>
            <w:vAlign w:val="center"/>
          </w:tcPr>
          <w:p>
            <w:pPr>
              <w:adjustRightInd w:val="0"/>
              <w:snapToGrid w:val="0"/>
              <w:jc w:val="center"/>
              <w:rPr>
                <w:color w:val="auto"/>
                <w:sz w:val="24"/>
                <w:szCs w:val="24"/>
                <w:u w:val="none"/>
              </w:rPr>
            </w:pPr>
            <w:r>
              <w:rPr>
                <w:color w:val="auto"/>
                <w:sz w:val="24"/>
                <w:szCs w:val="24"/>
                <w:u w:val="none"/>
              </w:rPr>
              <w:t>是否开工建设</w:t>
            </w:r>
          </w:p>
        </w:tc>
        <w:tc>
          <w:tcPr>
            <w:tcW w:w="2163" w:type="dxa"/>
            <w:noWrap w:val="0"/>
            <w:vAlign w:val="center"/>
          </w:tcPr>
          <w:p>
            <w:pPr>
              <w:adjustRightInd w:val="0"/>
              <w:snapToGrid w:val="0"/>
              <w:rPr>
                <w:color w:val="auto"/>
                <w:sz w:val="24"/>
                <w:szCs w:val="24"/>
                <w:u w:val="none"/>
              </w:rPr>
            </w:pPr>
            <w:r>
              <w:rPr>
                <w:rFonts w:hint="eastAsia"/>
                <w:color w:val="auto"/>
                <w:sz w:val="24"/>
                <w:szCs w:val="24"/>
                <w:u w:val="none"/>
              </w:rPr>
              <w:t>☑</w:t>
            </w:r>
            <w:r>
              <w:rPr>
                <w:color w:val="auto"/>
                <w:sz w:val="24"/>
                <w:szCs w:val="24"/>
                <w:u w:val="none"/>
              </w:rPr>
              <w:t>否</w:t>
            </w:r>
          </w:p>
          <w:p>
            <w:pPr>
              <w:adjustRightInd w:val="0"/>
              <w:snapToGrid w:val="0"/>
              <w:rPr>
                <w:color w:val="auto"/>
                <w:sz w:val="24"/>
                <w:szCs w:val="24"/>
                <w:u w:val="none"/>
              </w:rPr>
            </w:pPr>
            <w:r>
              <w:rPr>
                <w:color w:val="auto"/>
                <w:sz w:val="24"/>
                <w:szCs w:val="24"/>
                <w:u w:val="none"/>
              </w:rPr>
              <w:t xml:space="preserve">□是：             </w:t>
            </w:r>
          </w:p>
        </w:tc>
        <w:tc>
          <w:tcPr>
            <w:tcW w:w="2201" w:type="dxa"/>
            <w:noWrap w:val="0"/>
            <w:tcMar>
              <w:top w:w="16" w:type="dxa"/>
              <w:left w:w="16" w:type="dxa"/>
              <w:right w:w="16" w:type="dxa"/>
            </w:tcMar>
            <w:vAlign w:val="center"/>
          </w:tcPr>
          <w:p>
            <w:pPr>
              <w:adjustRightInd w:val="0"/>
              <w:snapToGrid w:val="0"/>
              <w:jc w:val="center"/>
              <w:rPr>
                <w:color w:val="auto"/>
                <w:spacing w:val="-6"/>
                <w:sz w:val="24"/>
                <w:szCs w:val="24"/>
                <w:highlight w:val="none"/>
                <w:u w:val="none"/>
              </w:rPr>
            </w:pPr>
            <w:r>
              <w:rPr>
                <w:color w:val="auto"/>
                <w:spacing w:val="-6"/>
                <w:sz w:val="24"/>
                <w:szCs w:val="24"/>
                <w:highlight w:val="none"/>
                <w:u w:val="none"/>
              </w:rPr>
              <w:t>用地（用海）</w:t>
            </w:r>
          </w:p>
          <w:p>
            <w:pPr>
              <w:adjustRightInd w:val="0"/>
              <w:snapToGrid w:val="0"/>
              <w:jc w:val="center"/>
              <w:rPr>
                <w:color w:val="auto"/>
                <w:sz w:val="24"/>
                <w:szCs w:val="24"/>
                <w:highlight w:val="none"/>
                <w:u w:val="none"/>
              </w:rPr>
            </w:pPr>
            <w:r>
              <w:rPr>
                <w:color w:val="auto"/>
                <w:spacing w:val="-6"/>
                <w:sz w:val="24"/>
                <w:szCs w:val="24"/>
                <w:highlight w:val="none"/>
                <w:u w:val="none"/>
              </w:rPr>
              <w:t>面积（m</w:t>
            </w:r>
            <w:r>
              <w:rPr>
                <w:color w:val="auto"/>
                <w:spacing w:val="-6"/>
                <w:sz w:val="24"/>
                <w:szCs w:val="24"/>
                <w:highlight w:val="none"/>
                <w:u w:val="none"/>
                <w:vertAlign w:val="superscript"/>
              </w:rPr>
              <w:t>2</w:t>
            </w:r>
            <w:r>
              <w:rPr>
                <w:color w:val="auto"/>
                <w:spacing w:val="-6"/>
                <w:sz w:val="24"/>
                <w:szCs w:val="24"/>
                <w:highlight w:val="none"/>
                <w:u w:val="none"/>
              </w:rPr>
              <w:t>）</w:t>
            </w:r>
          </w:p>
        </w:tc>
        <w:tc>
          <w:tcPr>
            <w:tcW w:w="2848" w:type="dxa"/>
            <w:noWrap w:val="0"/>
            <w:vAlign w:val="center"/>
          </w:tcPr>
          <w:p>
            <w:pPr>
              <w:adjustRightInd w:val="0"/>
              <w:snapToGrid w:val="0"/>
              <w:jc w:val="center"/>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4268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58" w:type="dxa"/>
            <w:noWrap w:val="0"/>
            <w:vAlign w:val="center"/>
          </w:tcPr>
          <w:p>
            <w:pPr>
              <w:autoSpaceDE w:val="0"/>
              <w:autoSpaceDN w:val="0"/>
              <w:adjustRightInd w:val="0"/>
              <w:snapToGrid w:val="0"/>
              <w:jc w:val="center"/>
              <w:rPr>
                <w:color w:val="auto"/>
                <w:kern w:val="0"/>
                <w:sz w:val="24"/>
                <w:szCs w:val="24"/>
                <w:u w:val="none"/>
              </w:rPr>
            </w:pPr>
            <w:r>
              <w:rPr>
                <w:color w:val="auto"/>
                <w:kern w:val="0"/>
                <w:sz w:val="24"/>
                <w:szCs w:val="24"/>
                <w:u w:val="none"/>
              </w:rPr>
              <w:t>专项评价设置情况</w:t>
            </w:r>
          </w:p>
        </w:tc>
        <w:tc>
          <w:tcPr>
            <w:tcW w:w="721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eastAsia="宋体"/>
                <w:color w:val="auto"/>
                <w:kern w:val="0"/>
                <w:sz w:val="24"/>
                <w:szCs w:val="24"/>
                <w:u w:val="none"/>
                <w:lang w:eastAsia="zh-CN"/>
              </w:rPr>
            </w:pPr>
            <w:r>
              <w:rPr>
                <w:rFonts w:hint="eastAsia"/>
                <w:color w:val="auto"/>
                <w:kern w:val="0"/>
                <w:sz w:val="24"/>
                <w:szCs w:val="24"/>
                <w:u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58" w:type="dxa"/>
            <w:noWrap w:val="0"/>
            <w:vAlign w:val="center"/>
          </w:tcPr>
          <w:p>
            <w:pPr>
              <w:autoSpaceDE w:val="0"/>
              <w:autoSpaceDN w:val="0"/>
              <w:adjustRightInd w:val="0"/>
              <w:snapToGrid w:val="0"/>
              <w:jc w:val="center"/>
              <w:rPr>
                <w:color w:val="auto"/>
                <w:kern w:val="0"/>
                <w:sz w:val="24"/>
                <w:szCs w:val="24"/>
                <w:highlight w:val="none"/>
                <w:u w:val="none"/>
              </w:rPr>
            </w:pPr>
            <w:r>
              <w:rPr>
                <w:color w:val="auto"/>
                <w:sz w:val="24"/>
                <w:szCs w:val="24"/>
                <w:highlight w:val="none"/>
                <w:u w:val="none"/>
              </w:rPr>
              <w:t>规划情况</w:t>
            </w:r>
          </w:p>
        </w:tc>
        <w:tc>
          <w:tcPr>
            <w:tcW w:w="721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cs="Times New Roman"/>
                <w:color w:val="auto"/>
                <w:kern w:val="0"/>
                <w:sz w:val="24"/>
                <w:szCs w:val="24"/>
                <w:u w:val="none"/>
                <w:lang w:eastAsia="zh-CN"/>
              </w:rPr>
            </w:pPr>
            <w:r>
              <w:rPr>
                <w:rFonts w:hint="default" w:ascii="Times New Roman" w:hAnsi="Times New Roman" w:cs="Times New Roman"/>
                <w:color w:val="auto"/>
                <w:kern w:val="0"/>
                <w:sz w:val="24"/>
                <w:szCs w:val="24"/>
                <w:u w:val="none"/>
                <w:lang w:eastAsia="zh-CN"/>
              </w:rPr>
              <w:t>新田县已委托湖南大学设计研究院有限公司完成《新田县县城总体规划(2009-2030)》规划编制并进行备案。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8" w:type="dxa"/>
            <w:noWrap w:val="0"/>
            <w:vAlign w:val="center"/>
          </w:tcPr>
          <w:p>
            <w:pPr>
              <w:adjustRightInd w:val="0"/>
              <w:snapToGrid w:val="0"/>
              <w:jc w:val="center"/>
              <w:rPr>
                <w:color w:val="auto"/>
                <w:sz w:val="24"/>
                <w:szCs w:val="24"/>
                <w:highlight w:val="none"/>
                <w:u w:val="none"/>
              </w:rPr>
            </w:pPr>
            <w:r>
              <w:rPr>
                <w:color w:val="auto"/>
                <w:sz w:val="24"/>
                <w:szCs w:val="24"/>
                <w:highlight w:val="none"/>
                <w:u w:val="none"/>
              </w:rPr>
              <w:t>规划环境影响</w:t>
            </w:r>
          </w:p>
          <w:p>
            <w:pPr>
              <w:adjustRightInd w:val="0"/>
              <w:snapToGrid w:val="0"/>
              <w:jc w:val="center"/>
              <w:rPr>
                <w:color w:val="auto"/>
                <w:kern w:val="0"/>
                <w:sz w:val="24"/>
                <w:szCs w:val="24"/>
                <w:highlight w:val="none"/>
                <w:u w:val="none"/>
              </w:rPr>
            </w:pPr>
            <w:r>
              <w:rPr>
                <w:color w:val="auto"/>
                <w:sz w:val="24"/>
                <w:szCs w:val="24"/>
                <w:highlight w:val="none"/>
                <w:u w:val="none"/>
              </w:rPr>
              <w:t>评价情况</w:t>
            </w:r>
          </w:p>
        </w:tc>
        <w:tc>
          <w:tcPr>
            <w:tcW w:w="721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color w:val="auto"/>
                <w:kern w:val="0"/>
                <w:sz w:val="24"/>
                <w:szCs w:val="24"/>
                <w:u w:val="none"/>
                <w:lang w:eastAsia="zh-CN"/>
              </w:rPr>
            </w:pPr>
            <w:r>
              <w:rPr>
                <w:rFonts w:hint="default" w:ascii="Times New Roman" w:hAnsi="Times New Roman" w:cs="Times New Roman"/>
                <w:color w:val="auto"/>
                <w:kern w:val="0"/>
                <w:sz w:val="24"/>
                <w:szCs w:val="24"/>
                <w:u w:val="none"/>
                <w:lang w:eastAsia="zh-CN"/>
              </w:rPr>
              <w:t>规划环境影响评价文件名称：《湖南省永州市新田工业园项目环境影响报告书》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color w:val="auto"/>
                <w:kern w:val="0"/>
                <w:sz w:val="24"/>
                <w:szCs w:val="24"/>
                <w:u w:val="none"/>
                <w:lang w:eastAsia="zh-CN"/>
              </w:rPr>
            </w:pPr>
            <w:r>
              <w:rPr>
                <w:rFonts w:hint="default" w:ascii="Times New Roman" w:hAnsi="Times New Roman" w:cs="Times New Roman"/>
                <w:color w:val="auto"/>
                <w:kern w:val="0"/>
                <w:sz w:val="24"/>
                <w:szCs w:val="24"/>
                <w:u w:val="none"/>
                <w:lang w:eastAsia="zh-CN"/>
              </w:rPr>
              <w:t>审查机关：原湖南省环境保护局</w:t>
            </w:r>
            <w:r>
              <w:rPr>
                <w:rFonts w:hint="eastAsia" w:ascii="Times New Roman" w:hAnsi="Times New Roman" w:cs="Times New Roman"/>
                <w:color w:val="auto"/>
                <w:kern w:val="0"/>
                <w:sz w:val="24"/>
                <w:szCs w:val="24"/>
                <w:u w:val="none"/>
                <w:lang w:eastAsia="zh-CN"/>
              </w:rPr>
              <w:t>（现湖南省生态环境厅）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color w:val="auto"/>
                <w:kern w:val="0"/>
                <w:sz w:val="24"/>
                <w:szCs w:val="24"/>
                <w:u w:val="none"/>
                <w:lang w:eastAsia="zh-CN"/>
              </w:rPr>
            </w:pPr>
            <w:r>
              <w:rPr>
                <w:rFonts w:hint="default" w:ascii="Times New Roman" w:hAnsi="Times New Roman" w:cs="Times New Roman"/>
                <w:color w:val="auto"/>
                <w:kern w:val="0"/>
                <w:sz w:val="24"/>
                <w:szCs w:val="24"/>
                <w:u w:val="none"/>
                <w:lang w:eastAsia="zh-CN"/>
              </w:rPr>
              <w:t>审查文件名称及文号：《关于湖南省永州市新田工业园项目环境影响报告书的批复》（湘环评[2008] 180号）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1658" w:type="dxa"/>
            <w:noWrap w:val="0"/>
            <w:vAlign w:val="center"/>
          </w:tcPr>
          <w:p>
            <w:pPr>
              <w:autoSpaceDE w:val="0"/>
              <w:autoSpaceDN w:val="0"/>
              <w:adjustRightInd w:val="0"/>
              <w:snapToGrid w:val="0"/>
              <w:jc w:val="center"/>
              <w:rPr>
                <w:color w:val="auto"/>
                <w:sz w:val="24"/>
                <w:szCs w:val="24"/>
                <w:highlight w:val="none"/>
                <w:u w:val="none"/>
              </w:rPr>
            </w:pPr>
            <w:r>
              <w:rPr>
                <w:color w:val="auto"/>
                <w:kern w:val="0"/>
                <w:sz w:val="24"/>
                <w:szCs w:val="24"/>
                <w:u w:val="none"/>
              </w:rPr>
              <w:t>规划及规划环境影响评价符合性分析</w:t>
            </w:r>
          </w:p>
        </w:tc>
        <w:tc>
          <w:tcPr>
            <w:tcW w:w="7212" w:type="dxa"/>
            <w:gridSpan w:val="3"/>
            <w:noWrap w:val="0"/>
            <w:vAlign w:val="center"/>
          </w:tcPr>
          <w:p>
            <w:pPr>
              <w:autoSpaceDE w:val="0"/>
              <w:autoSpaceDN w:val="0"/>
              <w:adjustRightInd w:val="0"/>
              <w:snapToGrid w:val="0"/>
              <w:spacing w:line="360" w:lineRule="auto"/>
              <w:rPr>
                <w:rFonts w:hint="default" w:ascii="Times New Roman" w:hAnsi="Times New Roman" w:cs="Times New Roman"/>
                <w:color w:val="auto"/>
                <w:kern w:val="0"/>
                <w:sz w:val="24"/>
                <w:szCs w:val="24"/>
                <w:u w:val="none"/>
              </w:rPr>
            </w:pPr>
            <w:r>
              <w:rPr>
                <w:rFonts w:hint="eastAsia" w:cs="Times New Roman"/>
                <w:b/>
                <w:bCs/>
                <w:color w:val="auto"/>
                <w:kern w:val="0"/>
                <w:sz w:val="24"/>
                <w:szCs w:val="24"/>
                <w:u w:val="none"/>
                <w:lang w:val="en-US" w:eastAsia="zh-CN"/>
              </w:rPr>
              <w:t>1、</w:t>
            </w:r>
            <w:r>
              <w:rPr>
                <w:rFonts w:hint="default" w:ascii="Times New Roman" w:hAnsi="Times New Roman" w:cs="Times New Roman"/>
                <w:b/>
                <w:bCs/>
                <w:color w:val="auto"/>
                <w:kern w:val="0"/>
                <w:sz w:val="24"/>
                <w:szCs w:val="24"/>
                <w:u w:val="none"/>
              </w:rPr>
              <w:t>与湖南省永州市新田工业园项目环境影响报告书批复相符性分析</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u w:val="none"/>
              </w:rPr>
            </w:pPr>
            <w:r>
              <w:rPr>
                <w:rFonts w:hint="default" w:ascii="Times New Roman" w:hAnsi="Times New Roman" w:cs="Times New Roman"/>
                <w:color w:val="auto"/>
                <w:kern w:val="0"/>
                <w:sz w:val="24"/>
                <w:szCs w:val="24"/>
                <w:u w:val="none"/>
              </w:rPr>
              <w:t>本项目拟建于</w:t>
            </w:r>
            <w:r>
              <w:rPr>
                <w:rFonts w:hint="eastAsia" w:cs="Times New Roman"/>
                <w:color w:val="auto"/>
                <w:sz w:val="24"/>
                <w:u w:val="none"/>
                <w:lang w:eastAsia="zh-CN"/>
              </w:rPr>
              <w:t>湖南省永州市新田县电子信息产业园10栋</w:t>
            </w:r>
            <w:r>
              <w:rPr>
                <w:rFonts w:hint="eastAsia" w:cs="Times New Roman"/>
                <w:color w:val="auto"/>
                <w:sz w:val="24"/>
                <w:u w:val="none"/>
                <w:lang w:val="en-US" w:eastAsia="zh-CN"/>
              </w:rPr>
              <w:t>第二层</w:t>
            </w:r>
            <w:r>
              <w:rPr>
                <w:rFonts w:hint="default" w:ascii="Times New Roman" w:hAnsi="Times New Roman" w:cs="Times New Roman"/>
                <w:color w:val="auto"/>
                <w:kern w:val="0"/>
                <w:sz w:val="24"/>
                <w:szCs w:val="24"/>
                <w:u w:val="none"/>
              </w:rPr>
              <w:t>，位于新田县工业园，所处地块为工业用地，符合用地规划要求和准入要求。</w:t>
            </w:r>
          </w:p>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表1-1 本项目与湖南省永州市新田工业园项目环境影响报告书批复</w:t>
            </w:r>
          </w:p>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相符性分析</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4202"/>
              <w:gridCol w:w="1740"/>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序号</w:t>
                  </w:r>
                </w:p>
              </w:tc>
              <w:tc>
                <w:tcPr>
                  <w:tcW w:w="3006" w:type="pct"/>
                  <w:tcBorders>
                    <w:tl2br w:val="nil"/>
                    <w:tr2bl w:val="nil"/>
                  </w:tcBorders>
                  <w:vAlign w:val="center"/>
                </w:tcPr>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园区入驻企业准入要求</w:t>
                  </w:r>
                </w:p>
              </w:tc>
              <w:tc>
                <w:tcPr>
                  <w:tcW w:w="1245" w:type="pct"/>
                  <w:tcBorders>
                    <w:tl2br w:val="nil"/>
                    <w:tr2bl w:val="nil"/>
                  </w:tcBorders>
                  <w:vAlign w:val="center"/>
                </w:tcPr>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本项目情况</w:t>
                  </w:r>
                </w:p>
              </w:tc>
              <w:tc>
                <w:tcPr>
                  <w:tcW w:w="464" w:type="pct"/>
                  <w:tcBorders>
                    <w:tl2br w:val="nil"/>
                    <w:tr2bl w:val="nil"/>
                  </w:tcBorders>
                  <w:vAlign w:val="center"/>
                </w:tcPr>
                <w:p>
                  <w:pPr>
                    <w:jc w:val="center"/>
                    <w:rPr>
                      <w:rFonts w:hint="default" w:ascii="Times New Roman" w:hAnsi="Times New Roman" w:cs="Times New Roman"/>
                      <w:b/>
                      <w:bCs/>
                      <w:color w:val="auto"/>
                      <w:kern w:val="0"/>
                      <w:u w:val="none"/>
                    </w:rPr>
                  </w:pPr>
                  <w:r>
                    <w:rPr>
                      <w:rFonts w:hint="default" w:ascii="Times New Roman" w:hAnsi="Times New Roman" w:cs="Times New Roman"/>
                      <w:b/>
                      <w:bCs/>
                      <w:color w:val="auto"/>
                      <w:kern w:val="0"/>
                      <w:u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w:t>
                  </w:r>
                </w:p>
              </w:tc>
              <w:tc>
                <w:tcPr>
                  <w:tcW w:w="3006"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进一步优化规划布局，园区内各功能区相对集中；严格按照功能区划进行开发建设，处理好工业、生活、配套服务等各功能组团的关系，充分利用自然地形和绿化隔离带使各功能区隔离，确保功能区划明确、产业相对集中、生态环境优良。工业园内生活服务设施应充分依托新田县县城，园区内不得设置商品住宅用地。</w:t>
                  </w:r>
                </w:p>
              </w:tc>
              <w:tc>
                <w:tcPr>
                  <w:tcW w:w="1245" w:type="pct"/>
                  <w:tcBorders>
                    <w:tl2br w:val="nil"/>
                    <w:tr2bl w:val="nil"/>
                  </w:tcBorders>
                  <w:vAlign w:val="center"/>
                </w:tcPr>
                <w:p>
                  <w:pPr>
                    <w:jc w:val="both"/>
                    <w:rPr>
                      <w:rFonts w:hint="eastAsia" w:ascii="Times New Roman" w:hAnsi="Times New Roman" w:eastAsia="宋体" w:cs="Times New Roman"/>
                      <w:color w:val="auto"/>
                      <w:kern w:val="0"/>
                      <w:u w:val="none"/>
                      <w:lang w:eastAsia="zh-CN"/>
                    </w:rPr>
                  </w:pPr>
                  <w:r>
                    <w:rPr>
                      <w:rFonts w:hint="default" w:ascii="Times New Roman" w:hAnsi="Times New Roman" w:cs="Times New Roman"/>
                      <w:color w:val="auto"/>
                      <w:kern w:val="0"/>
                      <w:u w:val="none"/>
                    </w:rPr>
                    <w:t>本项目位于新田县工业园内</w:t>
                  </w:r>
                  <w:r>
                    <w:rPr>
                      <w:rFonts w:hint="eastAsia" w:cs="Times New Roman"/>
                      <w:color w:val="auto"/>
                      <w:kern w:val="0"/>
                      <w:u w:val="none"/>
                      <w:lang w:eastAsia="zh-CN"/>
                    </w:rPr>
                    <w:t>。</w:t>
                  </w:r>
                </w:p>
              </w:tc>
              <w:tc>
                <w:tcPr>
                  <w:tcW w:w="464"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w:t>
                  </w:r>
                </w:p>
              </w:tc>
              <w:tc>
                <w:tcPr>
                  <w:tcW w:w="3006"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严格执行入园企业准入制度，入园项目选址必须符合园区总体发展规划和环保规划，园区仅允许发展一、二类工业，禁止引进和建设三类工业、按照园区主导产业定位要求，鼓励引进农产品深加工，纺织品来料加工，计算机软件研发、电子配件组装等高新技术项目，允许引进新型显示器材、电子陶瓷半导体器件生产(后工序)、光纤预制棒制造等符合高新技术产业导向要求的项目，限制农产品初加工、半导体器件生产(前工序)项目，禁止建设印染、印刷电路板、半导体材料制造、电池生产、集成电路芯片(封装)、集成电路芯片(清洗前工序)、玻壳、电真空器件生产项目以及国家明令淘汰和禁止发展的能耗物耗高.环境污染严重、不符合产业政策的建设项目。鉴于工业园紧邻新田县城建成区，园区应严格限制大气污染物排放量较大的企业，防止对县城环境空气质量产生不利影响。</w:t>
                  </w:r>
                </w:p>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在入园项目前期和建设期，必须严格执行建设项目环境影响评价和“三同时”制度，其排污浓度、总量必须满足达标排放和总量控制要求，并推行清洁生产工艺；对园区已建项目进行清理，完善环境影响评价和“三同时”手续；对不符合园区产业规划的新田县正和科技有限公司必须限期搬迁。</w:t>
                  </w:r>
                </w:p>
              </w:tc>
              <w:tc>
                <w:tcPr>
                  <w:tcW w:w="1245" w:type="pct"/>
                  <w:tcBorders>
                    <w:tl2br w:val="nil"/>
                    <w:tr2bl w:val="nil"/>
                  </w:tcBorders>
                  <w:vAlign w:val="center"/>
                </w:tcPr>
                <w:p>
                  <w:pPr>
                    <w:jc w:val="both"/>
                    <w:rPr>
                      <w:rFonts w:hint="eastAsia" w:ascii="Times New Roman" w:hAnsi="Times New Roman" w:eastAsia="宋体" w:cs="Times New Roman"/>
                      <w:color w:val="auto"/>
                      <w:kern w:val="0"/>
                      <w:highlight w:val="yellow"/>
                      <w:u w:val="none"/>
                      <w:lang w:eastAsia="zh-CN"/>
                    </w:rPr>
                  </w:pPr>
                  <w:r>
                    <w:rPr>
                      <w:rFonts w:hint="default" w:ascii="Times New Roman" w:hAnsi="Times New Roman" w:cs="Times New Roman"/>
                      <w:color w:val="auto"/>
                      <w:kern w:val="0"/>
                      <w:highlight w:val="none"/>
                      <w:u w:val="none"/>
                    </w:rPr>
                    <w:t>本项目属于二类工业，为聚氨酯泡绵</w:t>
                  </w:r>
                  <w:r>
                    <w:rPr>
                      <w:rFonts w:hint="eastAsia" w:cs="Times New Roman"/>
                      <w:color w:val="auto"/>
                      <w:kern w:val="0"/>
                      <w:highlight w:val="none"/>
                      <w:u w:val="none"/>
                      <w:lang w:eastAsia="zh-CN"/>
                    </w:rPr>
                    <w:t>生产</w:t>
                  </w:r>
                  <w:r>
                    <w:rPr>
                      <w:rFonts w:hint="default" w:ascii="Times New Roman" w:hAnsi="Times New Roman" w:cs="Times New Roman"/>
                      <w:color w:val="auto"/>
                      <w:kern w:val="0"/>
                      <w:highlight w:val="none"/>
                      <w:u w:val="none"/>
                    </w:rPr>
                    <w:t>项目，本项目不涉及印染、印刷电路板、半导体材料制造、电池生产、集成电路芯片(封装)、集成电路芯片(清洗前工序)、玻壳、电真空器件生产项目以及国家明令淘汰和禁止发展的能耗物耗高</w:t>
                  </w:r>
                  <w:r>
                    <w:rPr>
                      <w:rFonts w:hint="eastAsia" w:cs="Times New Roman"/>
                      <w:color w:val="auto"/>
                      <w:kern w:val="0"/>
                      <w:highlight w:val="none"/>
                      <w:u w:val="none"/>
                      <w:lang w:eastAsia="zh-CN"/>
                    </w:rPr>
                    <w:t>、</w:t>
                  </w:r>
                  <w:r>
                    <w:rPr>
                      <w:rFonts w:hint="default" w:ascii="Times New Roman" w:hAnsi="Times New Roman" w:cs="Times New Roman"/>
                      <w:color w:val="auto"/>
                      <w:kern w:val="0"/>
                      <w:highlight w:val="none"/>
                      <w:u w:val="none"/>
                    </w:rPr>
                    <w:t>环境污染严重、不符合产业政策的建设项目，且本项目不属于大气污染物排放量较大的企业</w:t>
                  </w:r>
                  <w:r>
                    <w:rPr>
                      <w:rFonts w:hint="eastAsia" w:cs="Times New Roman"/>
                      <w:color w:val="auto"/>
                      <w:kern w:val="0"/>
                      <w:highlight w:val="none"/>
                      <w:u w:val="none"/>
                      <w:lang w:eastAsia="zh-CN"/>
                    </w:rPr>
                    <w:t>。</w:t>
                  </w:r>
                </w:p>
              </w:tc>
              <w:tc>
                <w:tcPr>
                  <w:tcW w:w="464"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w:t>
                  </w:r>
                </w:p>
              </w:tc>
              <w:tc>
                <w:tcPr>
                  <w:tcW w:w="3006"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按雨污分流制建设园区排水管网，加快污水处理厂等配套基础设施建设进度，截污、排污管网必须与道路建设及区域开发同步进行，保障园区污水顺利进入污水集中处理厂。园区与新田县城污水处理厂合并建设处理规模4万吨/天的污水处理厂，处理后的污水执行《城镇污水处理厂污染物排放标准》( GB18918-2002)一级B标准排入新田河城区下游河段。污水处理厂应另行进行环境影响评价。污水处理厂建成前，园区企业外排废水必须自行处理达到《污水综合排放标准》( GB8978-1996)一级标准；污水处理厂建成运营后，各企业单位废水必须进行处理满足污水处理厂进水水质要求后进入污水处理厂处理。</w:t>
                  </w:r>
                </w:p>
              </w:tc>
              <w:tc>
                <w:tcPr>
                  <w:tcW w:w="1245" w:type="pct"/>
                  <w:tcBorders>
                    <w:tl2br w:val="nil"/>
                    <w:tr2bl w:val="nil"/>
                  </w:tcBorders>
                  <w:vAlign w:val="center"/>
                </w:tcPr>
                <w:p>
                  <w:pPr>
                    <w:jc w:val="both"/>
                    <w:rPr>
                      <w:rFonts w:hint="default" w:ascii="Times New Roman" w:hAnsi="Times New Roman" w:eastAsia="宋体" w:cs="Times New Roman"/>
                      <w:color w:val="auto"/>
                      <w:kern w:val="0"/>
                      <w:highlight w:val="yellow"/>
                      <w:u w:val="none"/>
                      <w:lang w:val="en-US" w:eastAsia="zh-CN"/>
                    </w:rPr>
                  </w:pPr>
                  <w:r>
                    <w:rPr>
                      <w:rFonts w:hint="default" w:ascii="Times New Roman" w:hAnsi="Times New Roman" w:cs="Times New Roman"/>
                      <w:color w:val="auto"/>
                      <w:kern w:val="0"/>
                      <w:highlight w:val="none"/>
                      <w:u w:val="none"/>
                    </w:rPr>
                    <w:t>本项目生活</w:t>
                  </w:r>
                  <w:r>
                    <w:rPr>
                      <w:rFonts w:hint="eastAsia" w:cs="Times New Roman"/>
                      <w:color w:val="auto"/>
                      <w:kern w:val="0"/>
                      <w:highlight w:val="none"/>
                      <w:u w:val="none"/>
                      <w:lang w:val="en-US" w:eastAsia="zh-CN"/>
                    </w:rPr>
                    <w:t>污水</w:t>
                  </w:r>
                  <w:r>
                    <w:rPr>
                      <w:rFonts w:hint="default" w:ascii="Times New Roman" w:hAnsi="Times New Roman" w:cs="Times New Roman"/>
                      <w:color w:val="auto"/>
                      <w:kern w:val="0"/>
                      <w:highlight w:val="none"/>
                      <w:u w:val="none"/>
                    </w:rPr>
                    <w:t>经化粪池处理后进入</w:t>
                  </w:r>
                  <w:r>
                    <w:rPr>
                      <w:rFonts w:hint="eastAsia"/>
                      <w:color w:val="auto"/>
                      <w:sz w:val="21"/>
                      <w:szCs w:val="21"/>
                      <w:highlight w:val="none"/>
                      <w:u w:val="none"/>
                      <w:lang w:eastAsia="zh-CN"/>
                    </w:rPr>
                    <w:t>工业园污水管网</w:t>
                  </w:r>
                  <w:r>
                    <w:rPr>
                      <w:rFonts w:hint="default" w:ascii="Times New Roman" w:hAnsi="Times New Roman" w:cs="Times New Roman"/>
                      <w:color w:val="auto"/>
                      <w:kern w:val="0"/>
                      <w:highlight w:val="none"/>
                      <w:u w:val="none"/>
                    </w:rPr>
                    <w:t>，排入新田县污水处理厂处理达标后，排入新田河</w:t>
                  </w:r>
                  <w:r>
                    <w:rPr>
                      <w:rFonts w:hint="eastAsia" w:cs="Times New Roman"/>
                      <w:color w:val="auto"/>
                      <w:highlight w:val="none"/>
                      <w:u w:val="none"/>
                      <w:lang w:eastAsia="zh-CN"/>
                    </w:rPr>
                    <w:t>。设备冷却水</w:t>
                  </w:r>
                  <w:r>
                    <w:rPr>
                      <w:rFonts w:hint="eastAsia" w:cs="Times New Roman"/>
                      <w:color w:val="auto"/>
                      <w:highlight w:val="none"/>
                      <w:u w:val="none"/>
                      <w:lang w:val="en-US" w:eastAsia="zh-CN"/>
                    </w:rPr>
                    <w:t>循环使用，不外排。印刷机清洗废水采用胶桶收集后交湖南普瑞达内装材料有限公司处理，不外排。</w:t>
                  </w:r>
                </w:p>
              </w:tc>
              <w:tc>
                <w:tcPr>
                  <w:tcW w:w="464"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4</w:t>
                  </w:r>
                </w:p>
              </w:tc>
              <w:tc>
                <w:tcPr>
                  <w:tcW w:w="3006"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工业园近期采用分散供热方式，园区宜对企业用煤统一调配，尽量保证低硫煤的供应</w:t>
                  </w:r>
                  <w:r>
                    <w:rPr>
                      <w:rFonts w:hint="eastAsia" w:cs="Times New Roman"/>
                      <w:color w:val="auto"/>
                      <w:kern w:val="0"/>
                      <w:u w:val="none"/>
                      <w:lang w:eastAsia="zh-CN"/>
                    </w:rPr>
                    <w:t>；</w:t>
                  </w:r>
                  <w:r>
                    <w:rPr>
                      <w:rFonts w:hint="default" w:ascii="Times New Roman" w:hAnsi="Times New Roman" w:cs="Times New Roman"/>
                      <w:color w:val="auto"/>
                      <w:kern w:val="0"/>
                      <w:u w:val="none"/>
                    </w:rPr>
                    <w:t>各企业自建的燃煤锅炉必须采用有效的脱硫除尘措施，确保外排烟气符合国家相关排放标准。工业园在管线综合布置时应预留燃气管线通道，并考虑远期集中供热的实施规划</w:t>
                  </w:r>
                  <w:r>
                    <w:rPr>
                      <w:rFonts w:hint="eastAsia" w:cs="Times New Roman"/>
                      <w:color w:val="auto"/>
                      <w:kern w:val="0"/>
                      <w:u w:val="none"/>
                      <w:lang w:eastAsia="zh-CN"/>
                    </w:rPr>
                    <w:t>；</w:t>
                  </w:r>
                  <w:r>
                    <w:rPr>
                      <w:rFonts w:hint="default" w:ascii="Times New Roman" w:hAnsi="Times New Roman" w:cs="Times New Roman"/>
                      <w:color w:val="auto"/>
                      <w:kern w:val="0"/>
                      <w:u w:val="none"/>
                    </w:rPr>
                    <w:t>在园区集中供热或燃气条件成熟时必须全面改用清洁能源。</w:t>
                  </w:r>
                </w:p>
              </w:tc>
              <w:tc>
                <w:tcPr>
                  <w:tcW w:w="1245" w:type="pct"/>
                  <w:tcBorders>
                    <w:tl2br w:val="nil"/>
                    <w:tr2bl w:val="nil"/>
                  </w:tcBorders>
                  <w:vAlign w:val="center"/>
                </w:tcPr>
                <w:p>
                  <w:pPr>
                    <w:jc w:val="both"/>
                    <w:rPr>
                      <w:rFonts w:hint="eastAsia" w:ascii="Times New Roman" w:hAnsi="Times New Roman" w:eastAsia="宋体" w:cs="Times New Roman"/>
                      <w:color w:val="auto"/>
                      <w:kern w:val="0"/>
                      <w:highlight w:val="yellow"/>
                      <w:u w:val="none"/>
                      <w:lang w:eastAsia="zh-CN"/>
                    </w:rPr>
                  </w:pPr>
                  <w:r>
                    <w:rPr>
                      <w:rFonts w:hint="default" w:ascii="Times New Roman" w:hAnsi="Times New Roman" w:cs="Times New Roman"/>
                      <w:color w:val="auto"/>
                      <w:kern w:val="0"/>
                      <w:highlight w:val="none"/>
                      <w:u w:val="none"/>
                    </w:rPr>
                    <w:t>本项目</w:t>
                  </w:r>
                  <w:r>
                    <w:rPr>
                      <w:rFonts w:hint="eastAsia" w:cs="Times New Roman"/>
                      <w:color w:val="auto"/>
                      <w:kern w:val="0"/>
                      <w:highlight w:val="none"/>
                      <w:u w:val="none"/>
                      <w:lang w:eastAsia="zh-CN"/>
                    </w:rPr>
                    <w:t>热风炉使用清洁能源：天然气。</w:t>
                  </w:r>
                </w:p>
              </w:tc>
              <w:tc>
                <w:tcPr>
                  <w:tcW w:w="464"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5</w:t>
                  </w:r>
                </w:p>
              </w:tc>
              <w:tc>
                <w:tcPr>
                  <w:tcW w:w="3006" w:type="pct"/>
                  <w:tcBorders>
                    <w:tl2br w:val="nil"/>
                    <w:tr2bl w:val="nil"/>
                  </w:tcBorders>
                  <w:vAlign w:val="center"/>
                </w:tcPr>
                <w:p>
                  <w:pPr>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工业园应建立统一的固废收集、贮存、运输、综合利用和安全处置的运营管理体系，做好工业固体废物和生活垃圾的分类收集、转运、综合利用和无害化处理。</w:t>
                  </w:r>
                </w:p>
                <w:p>
                  <w:pPr>
                    <w:jc w:val="both"/>
                    <w:rPr>
                      <w:rFonts w:hint="default" w:ascii="Times New Roman" w:hAnsi="Times New Roman" w:cs="Times New Roman"/>
                      <w:color w:val="auto"/>
                      <w:kern w:val="0"/>
                      <w:u w:val="none"/>
                    </w:rPr>
                  </w:pPr>
                </w:p>
              </w:tc>
              <w:tc>
                <w:tcPr>
                  <w:tcW w:w="1245" w:type="pct"/>
                  <w:tcBorders>
                    <w:tl2br w:val="nil"/>
                    <w:tr2bl w:val="nil"/>
                  </w:tcBorders>
                  <w:vAlign w:val="center"/>
                </w:tcPr>
                <w:p>
                  <w:pPr>
                    <w:jc w:val="both"/>
                    <w:rPr>
                      <w:rFonts w:hint="eastAsia" w:ascii="Times New Roman" w:hAnsi="Times New Roman" w:eastAsia="宋体" w:cs="Times New Roman"/>
                      <w:color w:val="auto"/>
                      <w:kern w:val="0"/>
                      <w:highlight w:val="none"/>
                      <w:u w:val="none"/>
                      <w:lang w:eastAsia="zh-CN"/>
                    </w:rPr>
                  </w:pPr>
                  <w:r>
                    <w:rPr>
                      <w:rFonts w:hint="default" w:ascii="Times New Roman" w:hAnsi="Times New Roman" w:cs="Times New Roman"/>
                      <w:color w:val="auto"/>
                      <w:kern w:val="0"/>
                      <w:highlight w:val="none"/>
                      <w:u w:val="none"/>
                    </w:rPr>
                    <w:t>本项目固体废物分类收集</w:t>
                  </w:r>
                  <w:r>
                    <w:rPr>
                      <w:rFonts w:hint="eastAsia" w:cs="Times New Roman"/>
                      <w:color w:val="auto"/>
                      <w:kern w:val="0"/>
                      <w:highlight w:val="none"/>
                      <w:u w:val="none"/>
                      <w:lang w:eastAsia="zh-CN"/>
                    </w:rPr>
                    <w:t>后按国家有关标准妥善处置。</w:t>
                  </w:r>
                </w:p>
              </w:tc>
              <w:tc>
                <w:tcPr>
                  <w:tcW w:w="464" w:type="pct"/>
                  <w:tcBorders>
                    <w:tl2br w:val="nil"/>
                    <w:tr2bl w:val="nil"/>
                  </w:tcBorders>
                  <w:vAlign w:val="center"/>
                </w:tcPr>
                <w:p>
                  <w:pPr>
                    <w:jc w:val="both"/>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相符</w:t>
                  </w:r>
                </w:p>
              </w:tc>
            </w:tr>
          </w:tbl>
          <w:p>
            <w:pPr>
              <w:autoSpaceDE w:val="0"/>
              <w:autoSpaceDN w:val="0"/>
              <w:adjustRightInd w:val="0"/>
              <w:snapToGrid w:val="0"/>
              <w:spacing w:line="360" w:lineRule="auto"/>
              <w:rPr>
                <w:rFonts w:hint="default" w:ascii="Times New Roman" w:hAnsi="Times New Roman" w:cs="Times New Roman"/>
                <w:color w:val="auto"/>
                <w:kern w:val="0"/>
                <w:sz w:val="24"/>
                <w:szCs w:val="24"/>
                <w:u w:val="single"/>
              </w:rPr>
            </w:pPr>
            <w:r>
              <w:rPr>
                <w:rFonts w:hint="eastAsia" w:cs="Times New Roman"/>
                <w:b/>
                <w:bCs/>
                <w:color w:val="auto"/>
                <w:kern w:val="0"/>
                <w:sz w:val="24"/>
                <w:szCs w:val="24"/>
                <w:u w:val="single"/>
                <w:lang w:val="en-US" w:eastAsia="zh-CN"/>
              </w:rPr>
              <w:t>2、</w:t>
            </w:r>
            <w:r>
              <w:rPr>
                <w:rFonts w:hint="default" w:ascii="Times New Roman" w:hAnsi="Times New Roman" w:cs="Times New Roman"/>
                <w:b/>
                <w:bCs/>
                <w:color w:val="auto"/>
                <w:kern w:val="0"/>
                <w:sz w:val="24"/>
                <w:szCs w:val="24"/>
                <w:u w:val="single"/>
              </w:rPr>
              <w:t>与新田工业集中区调区扩区规划环境影响评价报告书相符性分析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single"/>
                <w:shd w:val="clear" w:color="auto" w:fill="FFFFFF"/>
              </w:rPr>
            </w:pPr>
            <w:r>
              <w:rPr>
                <w:rFonts w:hint="default" w:ascii="Times New Roman" w:hAnsi="Times New Roman" w:cs="Times New Roman"/>
                <w:color w:val="auto"/>
                <w:sz w:val="24"/>
                <w:szCs w:val="24"/>
                <w:u w:val="single"/>
                <w:shd w:val="clear" w:color="auto" w:fill="FFFFFF"/>
              </w:rPr>
              <w:t>新田产业开发区（原名新田工业集中区）原核准面积为420.66hm</w:t>
            </w:r>
            <w:r>
              <w:rPr>
                <w:rFonts w:hint="default" w:ascii="Times New Roman" w:hAnsi="Times New Roman" w:cs="Times New Roman"/>
                <w:color w:val="auto"/>
                <w:sz w:val="24"/>
                <w:szCs w:val="24"/>
                <w:u w:val="single"/>
                <w:shd w:val="clear" w:color="auto" w:fill="FFFFFF"/>
                <w:vertAlign w:val="superscript"/>
              </w:rPr>
              <w:t>2</w:t>
            </w:r>
            <w:r>
              <w:rPr>
                <w:rFonts w:hint="default" w:ascii="Times New Roman" w:hAnsi="Times New Roman" w:cs="Times New Roman"/>
                <w:color w:val="auto"/>
                <w:sz w:val="24"/>
                <w:szCs w:val="24"/>
                <w:u w:val="single"/>
                <w:shd w:val="clear" w:color="auto" w:fill="FFFFFF"/>
              </w:rPr>
              <w:t>，四至范围东至东溪路，西至叠翠街，南至城南路，北至彩云路。规划调整后形成</w:t>
            </w:r>
            <w:r>
              <w:rPr>
                <w:rFonts w:hint="eastAsia" w:cs="Times New Roman"/>
                <w:color w:val="auto"/>
                <w:sz w:val="24"/>
                <w:szCs w:val="24"/>
                <w:u w:val="single"/>
                <w:shd w:val="clear" w:color="auto" w:fill="FFFFFF"/>
                <w:lang w:eastAsia="zh-CN"/>
              </w:rPr>
              <w:t>“</w:t>
            </w:r>
            <w:r>
              <w:rPr>
                <w:rFonts w:hint="default" w:ascii="Times New Roman" w:hAnsi="Times New Roman" w:cs="Times New Roman"/>
                <w:color w:val="auto"/>
                <w:sz w:val="24"/>
                <w:szCs w:val="24"/>
                <w:u w:val="single"/>
                <w:shd w:val="clear" w:color="auto" w:fill="FFFFFF"/>
              </w:rPr>
              <w:t>一区两园</w:t>
            </w:r>
            <w:r>
              <w:rPr>
                <w:rFonts w:hint="eastAsia" w:cs="Times New Roman"/>
                <w:color w:val="auto"/>
                <w:sz w:val="24"/>
                <w:szCs w:val="24"/>
                <w:u w:val="single"/>
                <w:shd w:val="clear" w:color="auto" w:fill="FFFFFF"/>
                <w:lang w:eastAsia="zh-CN"/>
              </w:rPr>
              <w:t>”</w:t>
            </w:r>
            <w:r>
              <w:rPr>
                <w:rFonts w:hint="default" w:ascii="Times New Roman" w:hAnsi="Times New Roman" w:cs="Times New Roman"/>
                <w:color w:val="auto"/>
                <w:sz w:val="24"/>
                <w:szCs w:val="24"/>
                <w:u w:val="single"/>
                <w:shd w:val="clear" w:color="auto" w:fill="FFFFFF"/>
              </w:rPr>
              <w:t>，包括主区和北园，原核准范围420.66公顷，调出265.56公顷，保留155.10公顷；调入发展方向区面积379.26公顷；调扩区后总面积534.36公顷。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single"/>
                <w:shd w:val="clear" w:color="auto" w:fill="FFFFFF"/>
              </w:rPr>
            </w:pPr>
            <w:r>
              <w:rPr>
                <w:rFonts w:hint="default" w:ascii="Times New Roman" w:hAnsi="Times New Roman" w:cs="Times New Roman"/>
                <w:color w:val="auto"/>
                <w:sz w:val="24"/>
                <w:szCs w:val="24"/>
                <w:u w:val="single"/>
                <w:shd w:val="clear" w:color="auto" w:fill="FFFFFF"/>
              </w:rPr>
              <w:t>规划产业布局：形成“一主一特多辅”的产业体系。主导产业——林工及家具加工，包括家私生产的主材料、辅助材料的生产和家具的生产制造；特色产业——富硒农产品加工，包含富硒农产品、富硒饲料、富硒保健品、富硒药品；辅助产业——包含智能机械装备制造、电子信息、新材料、现代服务业等产业。</w:t>
            </w:r>
          </w:p>
          <w:p>
            <w:pPr>
              <w:spacing w:line="360" w:lineRule="auto"/>
              <w:ind w:firstLine="480" w:firstLineChars="200"/>
              <w:rPr>
                <w:rFonts w:hint="default" w:ascii="Times New Roman" w:hAnsi="Times New Roman" w:cs="Times New Roman"/>
                <w:color w:val="auto"/>
                <w:kern w:val="0"/>
                <w:szCs w:val="21"/>
                <w:u w:val="none"/>
                <w:lang w:eastAsia="zh-CN"/>
              </w:rPr>
            </w:pPr>
            <w:r>
              <w:rPr>
                <w:rFonts w:hint="eastAsia" w:ascii="Times New Roman" w:hAnsi="Times New Roman" w:cs="Times New Roman"/>
                <w:color w:val="auto"/>
                <w:kern w:val="0"/>
                <w:sz w:val="24"/>
                <w:szCs w:val="24"/>
                <w:u w:val="single"/>
                <w:lang w:eastAsia="zh-CN"/>
              </w:rPr>
              <w:t>本项目为聚氨酯泡绵</w:t>
            </w:r>
            <w:r>
              <w:rPr>
                <w:rFonts w:hint="eastAsia" w:cs="Times New Roman"/>
                <w:color w:val="auto"/>
                <w:kern w:val="0"/>
                <w:sz w:val="24"/>
                <w:szCs w:val="24"/>
                <w:u w:val="single"/>
                <w:lang w:val="en-US" w:eastAsia="zh-CN"/>
              </w:rPr>
              <w:t>生产</w:t>
            </w:r>
            <w:r>
              <w:rPr>
                <w:rFonts w:hint="eastAsia" w:ascii="Times New Roman" w:hAnsi="Times New Roman" w:cs="Times New Roman"/>
                <w:color w:val="auto"/>
                <w:kern w:val="0"/>
                <w:sz w:val="24"/>
                <w:szCs w:val="24"/>
                <w:u w:val="single"/>
                <w:lang w:eastAsia="zh-CN"/>
              </w:rPr>
              <w:t>项目，属于</w:t>
            </w:r>
            <w:r>
              <w:rPr>
                <w:rFonts w:hint="eastAsia" w:cs="Times New Roman"/>
                <w:color w:val="auto"/>
                <w:kern w:val="0"/>
                <w:sz w:val="24"/>
                <w:szCs w:val="24"/>
                <w:u w:val="single"/>
                <w:lang w:val="en-US" w:eastAsia="zh-CN"/>
              </w:rPr>
              <w:t>新材料，项目性质为</w:t>
            </w:r>
            <w:r>
              <w:rPr>
                <w:rFonts w:hint="eastAsia" w:ascii="Times New Roman" w:hAnsi="Times New Roman" w:cs="Times New Roman"/>
                <w:color w:val="auto"/>
                <w:kern w:val="0"/>
                <w:sz w:val="24"/>
                <w:szCs w:val="24"/>
                <w:u w:val="single"/>
                <w:lang w:eastAsia="zh-CN"/>
              </w:rPr>
              <w:t>二类工业，</w:t>
            </w:r>
            <w:r>
              <w:rPr>
                <w:rFonts w:hint="eastAsia" w:ascii="Times New Roman" w:hAnsi="Times New Roman" w:cs="Times New Roman"/>
                <w:color w:val="auto"/>
                <w:kern w:val="0"/>
                <w:sz w:val="24"/>
                <w:szCs w:val="24"/>
                <w:u w:val="single"/>
                <w:lang w:val="en-US" w:eastAsia="zh-CN"/>
              </w:rPr>
              <w:t>因此，本项目建设符合</w:t>
            </w:r>
            <w:r>
              <w:rPr>
                <w:rFonts w:hint="default" w:ascii="Times New Roman" w:hAnsi="Times New Roman" w:cs="Times New Roman"/>
                <w:b w:val="0"/>
                <w:bCs w:val="0"/>
                <w:color w:val="auto"/>
                <w:kern w:val="0"/>
                <w:sz w:val="24"/>
                <w:szCs w:val="24"/>
                <w:u w:val="single"/>
              </w:rPr>
              <w:t>新田工业集中区调区扩区</w:t>
            </w:r>
            <w:r>
              <w:rPr>
                <w:rFonts w:hint="eastAsia" w:ascii="Times New Roman" w:hAnsi="Times New Roman" w:cs="Times New Roman"/>
                <w:color w:val="auto"/>
                <w:kern w:val="0"/>
                <w:sz w:val="24"/>
                <w:szCs w:val="24"/>
                <w:u w:val="single"/>
                <w:lang w:val="en-US" w:eastAsia="zh-CN"/>
              </w:rPr>
              <w:t>主导产业定位</w:t>
            </w:r>
            <w:r>
              <w:rPr>
                <w:rFonts w:hint="eastAsia" w:cs="Times New Roman"/>
                <w:color w:val="auto"/>
                <w:kern w:val="0"/>
                <w:sz w:val="24"/>
                <w:szCs w:val="24"/>
                <w:u w:val="single"/>
                <w:lang w:val="en-US" w:eastAsia="zh-CN"/>
              </w:rPr>
              <w:t>、准入条件</w:t>
            </w:r>
            <w:r>
              <w:rPr>
                <w:rFonts w:hint="eastAsia" w:ascii="Times New Roman" w:hAnsi="Times New Roman" w:cs="Times New Roman"/>
                <w:color w:val="auto"/>
                <w:kern w:val="0"/>
                <w:sz w:val="24"/>
                <w:szCs w:val="24"/>
                <w:u w:val="single"/>
                <w:lang w:val="en-US" w:eastAsia="zh-CN"/>
              </w:rPr>
              <w:t>和布置要求。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658" w:type="dxa"/>
            <w:noWrap w:val="0"/>
            <w:vAlign w:val="center"/>
          </w:tcPr>
          <w:p>
            <w:pPr>
              <w:adjustRightInd w:val="0"/>
              <w:snapToGrid w:val="0"/>
              <w:jc w:val="center"/>
              <w:rPr>
                <w:color w:val="auto"/>
                <w:kern w:val="0"/>
                <w:szCs w:val="21"/>
                <w:u w:val="none"/>
              </w:rPr>
            </w:pPr>
            <w:r>
              <w:rPr>
                <w:color w:val="auto"/>
                <w:kern w:val="0"/>
                <w:sz w:val="24"/>
                <w:szCs w:val="24"/>
                <w:highlight w:val="none"/>
                <w:u w:val="none"/>
              </w:rPr>
              <w:t>其他符合性分析</w:t>
            </w:r>
          </w:p>
        </w:tc>
        <w:tc>
          <w:tcPr>
            <w:tcW w:w="7212" w:type="dxa"/>
            <w:gridSpan w:val="3"/>
            <w:noWrap w:val="0"/>
            <w:vAlign w:val="center"/>
          </w:tcPr>
          <w:p>
            <w:pPr>
              <w:spacing w:line="360" w:lineRule="auto"/>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1、产业政策</w:t>
            </w:r>
            <w:r>
              <w:rPr>
                <w:rFonts w:hint="eastAsia" w:cs="Times New Roman"/>
                <w:b/>
                <w:bCs/>
                <w:color w:val="auto"/>
                <w:sz w:val="24"/>
                <w:u w:val="none"/>
                <w:lang w:val="en-US" w:eastAsia="zh-CN"/>
              </w:rPr>
              <w:t>的</w:t>
            </w:r>
            <w:r>
              <w:rPr>
                <w:rFonts w:hint="default" w:ascii="Times New Roman" w:hAnsi="Times New Roman" w:cs="Times New Roman"/>
                <w:b/>
                <w:bCs/>
                <w:color w:val="auto"/>
                <w:sz w:val="24"/>
                <w:u w:val="none"/>
              </w:rPr>
              <w:t>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lang w:eastAsia="zh-CN"/>
              </w:rPr>
            </w:pPr>
            <w:r>
              <w:rPr>
                <w:rFonts w:hint="default" w:ascii="Times New Roman" w:hAnsi="Times New Roman" w:cs="Times New Roman"/>
                <w:color w:val="auto"/>
                <w:sz w:val="24"/>
                <w:szCs w:val="24"/>
                <w:u w:val="none"/>
                <w:shd w:val="clear" w:color="auto" w:fill="FFFFFF"/>
              </w:rPr>
              <w:t>湖南省森研高分子新材料股份有限公司</w:t>
            </w:r>
            <w:r>
              <w:rPr>
                <w:rFonts w:hint="default" w:ascii="Times New Roman" w:hAnsi="Times New Roman" w:cs="Times New Roman"/>
                <w:color w:val="auto"/>
                <w:sz w:val="24"/>
                <w:szCs w:val="24"/>
                <w:u w:val="none"/>
              </w:rPr>
              <w:t>建设的</w:t>
            </w:r>
            <w:r>
              <w:rPr>
                <w:rFonts w:hint="eastAsia"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shd w:val="clear" w:color="auto" w:fill="FFFFFF"/>
              </w:rPr>
              <w:t>年产340万米聚氨酯泡绵项目</w:t>
            </w:r>
            <w:r>
              <w:rPr>
                <w:rFonts w:hint="eastAsia" w:ascii="Times New Roman" w:hAnsi="Times New Roman" w:cs="Times New Roman"/>
                <w:color w:val="auto"/>
                <w:sz w:val="24"/>
                <w:szCs w:val="24"/>
                <w:u w:val="none"/>
                <w:lang w:eastAsia="zh-CN"/>
              </w:rPr>
              <w:t>”为二类工业项目，行业类别为</w:t>
            </w:r>
            <w:r>
              <w:rPr>
                <w:rFonts w:hint="eastAsia"/>
                <w:color w:val="auto"/>
                <w:sz w:val="24"/>
                <w:szCs w:val="24"/>
                <w:highlight w:val="none"/>
                <w:u w:val="none"/>
              </w:rPr>
              <w:t>C</w:t>
            </w:r>
            <w:r>
              <w:rPr>
                <w:rFonts w:hint="eastAsia"/>
                <w:color w:val="auto"/>
                <w:sz w:val="24"/>
                <w:szCs w:val="24"/>
                <w:highlight w:val="none"/>
                <w:u w:val="none"/>
                <w:lang w:val="en-US" w:eastAsia="zh-CN"/>
              </w:rPr>
              <w:t>2924</w:t>
            </w:r>
            <w:r>
              <w:rPr>
                <w:rFonts w:hint="eastAsia"/>
                <w:color w:val="auto"/>
                <w:sz w:val="24"/>
                <w:szCs w:val="24"/>
                <w:highlight w:val="none"/>
                <w:u w:val="none"/>
                <w:lang w:eastAsia="zh-CN"/>
              </w:rPr>
              <w:t>泡沫塑料制造</w:t>
            </w:r>
            <w:r>
              <w:rPr>
                <w:rFonts w:hint="eastAsia"/>
                <w:color w:val="auto"/>
                <w:szCs w:val="21"/>
                <w:highlight w:val="none"/>
                <w:u w:val="none"/>
                <w:lang w:eastAsia="zh-CN"/>
              </w:rPr>
              <w:t>。</w:t>
            </w:r>
            <w:r>
              <w:rPr>
                <w:rFonts w:hint="eastAsia" w:ascii="Times New Roman" w:hAnsi="Times New Roman" w:cs="Times New Roman"/>
                <w:color w:val="auto"/>
                <w:sz w:val="24"/>
                <w:szCs w:val="24"/>
                <w:u w:val="none"/>
                <w:lang w:eastAsia="zh-CN"/>
              </w:rPr>
              <w:t>对照</w:t>
            </w:r>
            <w:r>
              <w:rPr>
                <w:rFonts w:hint="default" w:ascii="Times New Roman" w:hAnsi="Times New Roman" w:cs="Times New Roman"/>
                <w:color w:val="auto"/>
                <w:sz w:val="24"/>
                <w:szCs w:val="24"/>
                <w:u w:val="none"/>
              </w:rPr>
              <w:t>《产业结构调整指导目录（20</w:t>
            </w:r>
            <w:r>
              <w:rPr>
                <w:rFonts w:hint="eastAsia" w:cs="Times New Roman"/>
                <w:color w:val="auto"/>
                <w:sz w:val="24"/>
                <w:szCs w:val="24"/>
                <w:u w:val="none"/>
                <w:lang w:val="en-US" w:eastAsia="zh-CN"/>
              </w:rPr>
              <w:t>22</w:t>
            </w:r>
            <w:r>
              <w:rPr>
                <w:rFonts w:hint="default" w:ascii="Times New Roman" w:hAnsi="Times New Roman" w:cs="Times New Roman"/>
                <w:color w:val="auto"/>
                <w:sz w:val="24"/>
                <w:szCs w:val="24"/>
                <w:u w:val="none"/>
              </w:rPr>
              <w:t>年</w:t>
            </w:r>
            <w:r>
              <w:rPr>
                <w:rFonts w:hint="eastAsia" w:cs="Times New Roman"/>
                <w:color w:val="auto"/>
                <w:sz w:val="24"/>
                <w:szCs w:val="24"/>
                <w:u w:val="none"/>
                <w:lang w:val="en-US" w:eastAsia="zh-CN"/>
              </w:rPr>
              <w:t>版</w:t>
            </w:r>
            <w:r>
              <w:rPr>
                <w:rFonts w:hint="default" w:ascii="Times New Roman" w:hAnsi="Times New Roman" w:cs="Times New Roman"/>
                <w:color w:val="auto"/>
                <w:sz w:val="24"/>
                <w:szCs w:val="24"/>
                <w:u w:val="none"/>
              </w:rPr>
              <w:t>）》</w:t>
            </w:r>
            <w:r>
              <w:rPr>
                <w:rFonts w:hint="eastAsia" w:ascii="Times New Roman" w:hAnsi="Times New Roman" w:cs="Times New Roman"/>
                <w:color w:val="auto"/>
                <w:sz w:val="24"/>
                <w:szCs w:val="24"/>
                <w:u w:val="none"/>
                <w:lang w:eastAsia="zh-CN"/>
              </w:rPr>
              <w:t>、《高耗能落后机电设备（产品）淘汰目录（第一批、第二批、第三批、第四批）》，项目工艺、设备和产品均不属于国家淘汰和限制类范围内。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因此，</w:t>
            </w:r>
            <w:r>
              <w:rPr>
                <w:rFonts w:hint="eastAsia" w:ascii="Times New Roman" w:hAnsi="Times New Roman" w:cs="Times New Roman"/>
                <w:color w:val="auto"/>
                <w:sz w:val="24"/>
                <w:szCs w:val="24"/>
                <w:u w:val="none"/>
                <w:lang w:eastAsia="zh-CN"/>
              </w:rPr>
              <w:t>项目建设符合国家和地方产业政策</w:t>
            </w:r>
            <w:r>
              <w:rPr>
                <w:rFonts w:hint="default" w:ascii="Times New Roman" w:hAnsi="Times New Roman" w:cs="Times New Roman"/>
                <w:color w:val="auto"/>
                <w:sz w:val="24"/>
                <w:szCs w:val="24"/>
                <w:u w:val="none"/>
              </w:rPr>
              <w:t>。</w:t>
            </w:r>
          </w:p>
          <w:p>
            <w:pPr>
              <w:spacing w:line="360" w:lineRule="auto"/>
              <w:rPr>
                <w:rStyle w:val="17"/>
                <w:rFonts w:hint="default" w:ascii="Times New Roman" w:hAnsi="Times New Roman" w:cs="Times New Roman"/>
                <w:color w:val="auto"/>
                <w:kern w:val="0"/>
                <w:szCs w:val="20"/>
                <w:u w:val="none"/>
              </w:rPr>
            </w:pPr>
            <w:r>
              <w:rPr>
                <w:rFonts w:hint="default" w:ascii="Times New Roman" w:hAnsi="Times New Roman" w:cs="Times New Roman"/>
                <w:b/>
                <w:bCs/>
                <w:color w:val="auto"/>
                <w:sz w:val="24"/>
                <w:u w:val="none"/>
              </w:rPr>
              <w:t>2、选址布局</w:t>
            </w:r>
            <w:r>
              <w:rPr>
                <w:rFonts w:hint="eastAsia" w:cs="Times New Roman"/>
                <w:b/>
                <w:bCs/>
                <w:color w:val="auto"/>
                <w:sz w:val="24"/>
                <w:u w:val="none"/>
                <w:lang w:val="en-US" w:eastAsia="zh-CN"/>
              </w:rPr>
              <w:t>的</w:t>
            </w:r>
            <w:r>
              <w:rPr>
                <w:rFonts w:hint="default" w:ascii="Times New Roman" w:hAnsi="Times New Roman" w:cs="Times New Roman"/>
                <w:b/>
                <w:bCs/>
                <w:color w:val="auto"/>
                <w:sz w:val="24"/>
                <w:u w:val="none"/>
              </w:rPr>
              <w:t>合理性</w:t>
            </w:r>
          </w:p>
          <w:p>
            <w:pPr>
              <w:spacing w:line="360" w:lineRule="auto"/>
              <w:ind w:firstLine="480" w:firstLineChars="200"/>
              <w:rPr>
                <w:rFonts w:hint="eastAsia" w:ascii="Times New Roman" w:hAnsi="Times New Roman" w:eastAsia="宋体" w:cs="Times New Roman"/>
                <w:color w:val="auto"/>
                <w:kern w:val="0"/>
                <w:sz w:val="24"/>
                <w:szCs w:val="24"/>
                <w:highlight w:val="none"/>
                <w:u w:val="none"/>
                <w:lang w:val="en-US" w:eastAsia="zh-CN"/>
              </w:rPr>
            </w:pPr>
            <w:r>
              <w:rPr>
                <w:rFonts w:hint="default" w:ascii="Times New Roman" w:hAnsi="Times New Roman" w:cs="Times New Roman"/>
                <w:color w:val="auto"/>
                <w:sz w:val="24"/>
                <w:u w:val="none"/>
              </w:rPr>
              <w:t>本项目</w:t>
            </w:r>
            <w:r>
              <w:rPr>
                <w:rFonts w:hint="default" w:ascii="Times New Roman" w:hAnsi="Times New Roman" w:cs="Times New Roman"/>
                <w:color w:val="auto"/>
                <w:spacing w:val="-2"/>
                <w:sz w:val="24"/>
                <w:u w:val="none"/>
              </w:rPr>
              <w:t>位于</w:t>
            </w:r>
            <w:r>
              <w:rPr>
                <w:rFonts w:hint="eastAsia" w:cs="Times New Roman"/>
                <w:color w:val="auto"/>
                <w:sz w:val="24"/>
                <w:u w:val="none"/>
                <w:lang w:eastAsia="zh-CN"/>
              </w:rPr>
              <w:t>湖南省永州市新田县电子信息产业园10栋</w:t>
            </w:r>
            <w:r>
              <w:rPr>
                <w:rFonts w:hint="eastAsia" w:cs="Times New Roman"/>
                <w:color w:val="auto"/>
                <w:sz w:val="24"/>
                <w:u w:val="none"/>
                <w:lang w:val="en-US" w:eastAsia="zh-CN"/>
              </w:rPr>
              <w:t>第二层</w:t>
            </w:r>
            <w:r>
              <w:rPr>
                <w:rFonts w:hint="default" w:ascii="Times New Roman" w:hAnsi="Times New Roman" w:cs="Times New Roman"/>
                <w:color w:val="auto"/>
                <w:spacing w:val="-2"/>
                <w:sz w:val="24"/>
                <w:u w:val="none"/>
              </w:rPr>
              <w:t>，</w:t>
            </w:r>
            <w:r>
              <w:rPr>
                <w:rFonts w:hint="eastAsia" w:cs="Times New Roman"/>
                <w:color w:val="auto"/>
                <w:spacing w:val="-2"/>
                <w:sz w:val="24"/>
                <w:u w:val="none"/>
                <w:lang w:val="en-US" w:eastAsia="zh-CN"/>
              </w:rPr>
              <w:t>根据</w:t>
            </w:r>
            <w:r>
              <w:rPr>
                <w:rFonts w:hint="default" w:ascii="Times New Roman" w:hAnsi="Times New Roman" w:cs="Times New Roman"/>
                <w:color w:val="auto"/>
                <w:kern w:val="0"/>
                <w:sz w:val="24"/>
                <w:szCs w:val="24"/>
                <w:u w:val="none"/>
              </w:rPr>
              <w:t>《湖南省永州市新田工业园项目环境影响报告书》</w:t>
            </w:r>
            <w:r>
              <w:rPr>
                <w:rFonts w:hint="eastAsia" w:ascii="Times New Roman" w:hAnsi="Times New Roman" w:cs="Times New Roman"/>
                <w:color w:val="auto"/>
                <w:kern w:val="0"/>
                <w:sz w:val="24"/>
                <w:szCs w:val="24"/>
                <w:u w:val="none"/>
                <w:lang w:eastAsia="zh-CN"/>
              </w:rPr>
              <w:t>，</w:t>
            </w:r>
            <w:r>
              <w:rPr>
                <w:rFonts w:hint="eastAsia" w:ascii="Times New Roman" w:hAnsi="Times New Roman" w:cs="Times New Roman"/>
                <w:color w:val="auto"/>
                <w:kern w:val="0"/>
                <w:sz w:val="24"/>
                <w:szCs w:val="24"/>
                <w:u w:val="none"/>
                <w:lang w:val="en-US" w:eastAsia="zh-CN"/>
              </w:rPr>
              <w:t>园区</w:t>
            </w:r>
            <w:r>
              <w:rPr>
                <w:rFonts w:hint="eastAsia" w:ascii="Times New Roman" w:hAnsi="Times New Roman" w:cs="Times New Roman"/>
                <w:color w:val="auto"/>
                <w:kern w:val="0"/>
                <w:sz w:val="24"/>
                <w:szCs w:val="24"/>
                <w:u w:val="none"/>
                <w:lang w:eastAsia="zh-CN"/>
              </w:rPr>
              <w:t>允许发展一、二类工业，禁止引进和建设三类工业</w:t>
            </w:r>
            <w:r>
              <w:rPr>
                <w:rFonts w:hint="default" w:ascii="Times New Roman" w:hAnsi="Times New Roman" w:cs="Times New Roman"/>
                <w:color w:val="auto"/>
                <w:kern w:val="0"/>
                <w:sz w:val="24"/>
                <w:szCs w:val="24"/>
                <w:u w:val="none"/>
              </w:rPr>
              <w:t>园区</w:t>
            </w:r>
            <w:r>
              <w:rPr>
                <w:rFonts w:hint="eastAsia" w:ascii="Times New Roman" w:hAnsi="Times New Roman" w:cs="Times New Roman"/>
                <w:color w:val="auto"/>
                <w:kern w:val="0"/>
                <w:sz w:val="24"/>
                <w:szCs w:val="24"/>
                <w:u w:val="none"/>
                <w:lang w:eastAsia="zh-CN"/>
              </w:rPr>
              <w:t>，</w:t>
            </w:r>
            <w:r>
              <w:rPr>
                <w:rFonts w:hint="default" w:ascii="Times New Roman" w:hAnsi="Times New Roman" w:cs="Times New Roman"/>
                <w:color w:val="auto"/>
                <w:kern w:val="0"/>
                <w:sz w:val="24"/>
                <w:szCs w:val="24"/>
                <w:u w:val="none"/>
              </w:rPr>
              <w:t>以农产品加工、纺织品来料加工、高科技工业为主导产业</w:t>
            </w:r>
            <w:r>
              <w:rPr>
                <w:rFonts w:hint="eastAsia" w:ascii="Times New Roman" w:hAnsi="Times New Roman" w:cs="Times New Roman"/>
                <w:color w:val="auto"/>
                <w:kern w:val="0"/>
                <w:sz w:val="24"/>
                <w:szCs w:val="24"/>
                <w:u w:val="none"/>
                <w:lang w:eastAsia="zh-CN"/>
              </w:rPr>
              <w:t>，本项目为聚氨酯泡绵</w:t>
            </w:r>
            <w:r>
              <w:rPr>
                <w:rFonts w:hint="eastAsia" w:cs="Times New Roman"/>
                <w:color w:val="auto"/>
                <w:kern w:val="0"/>
                <w:sz w:val="24"/>
                <w:szCs w:val="24"/>
                <w:u w:val="none"/>
                <w:lang w:val="en-US" w:eastAsia="zh-CN"/>
              </w:rPr>
              <w:t>生产</w:t>
            </w:r>
            <w:r>
              <w:rPr>
                <w:rFonts w:hint="eastAsia" w:ascii="Times New Roman" w:hAnsi="Times New Roman" w:cs="Times New Roman"/>
                <w:color w:val="auto"/>
                <w:kern w:val="0"/>
                <w:sz w:val="24"/>
                <w:szCs w:val="24"/>
                <w:u w:val="none"/>
                <w:lang w:eastAsia="zh-CN"/>
              </w:rPr>
              <w:t>项目，属于二类工业，</w:t>
            </w:r>
            <w:r>
              <w:rPr>
                <w:rFonts w:hint="eastAsia" w:ascii="Times New Roman" w:hAnsi="Times New Roman" w:cs="Times New Roman"/>
                <w:color w:val="auto"/>
                <w:kern w:val="0"/>
                <w:sz w:val="24"/>
                <w:szCs w:val="24"/>
                <w:u w:val="none"/>
                <w:lang w:val="en-US" w:eastAsia="zh-CN"/>
              </w:rPr>
              <w:t>因此，本项目建设符合新田工业园主导产业定位和布置要求。</w:t>
            </w:r>
          </w:p>
          <w:p>
            <w:pPr>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highlight w:val="none"/>
                <w:u w:val="none"/>
              </w:rPr>
              <w:t>项目</w:t>
            </w:r>
            <w:r>
              <w:rPr>
                <w:rFonts w:hint="default" w:ascii="Times New Roman" w:hAnsi="Times New Roman" w:cs="Times New Roman"/>
                <w:color w:val="auto"/>
                <w:spacing w:val="-2"/>
                <w:sz w:val="24"/>
                <w:highlight w:val="none"/>
                <w:u w:val="none"/>
              </w:rPr>
              <w:t>交通便利，地理位置优越。电力供</w:t>
            </w:r>
            <w:r>
              <w:rPr>
                <w:rFonts w:hint="default" w:ascii="Times New Roman" w:hAnsi="Times New Roman" w:cs="Times New Roman"/>
                <w:color w:val="auto"/>
                <w:spacing w:val="-2"/>
                <w:sz w:val="24"/>
                <w:u w:val="none"/>
              </w:rPr>
              <w:t>应和水源供应均能保障，项目所在地属于可建设用地中的工业用地，用地不占用基本农田、周边风景旅游区以及水源保护区，项目所在地不属于城市和城镇居民等人口集中地。</w:t>
            </w:r>
          </w:p>
          <w:p>
            <w:pPr>
              <w:spacing w:line="360" w:lineRule="auto"/>
              <w:ind w:firstLine="472" w:firstLineChars="200"/>
              <w:rPr>
                <w:rFonts w:hint="default" w:ascii="Times New Roman" w:hAnsi="Times New Roman" w:cs="Times New Roman"/>
                <w:color w:val="auto"/>
                <w:spacing w:val="-2"/>
                <w:sz w:val="24"/>
                <w:u w:val="none"/>
              </w:rPr>
            </w:pPr>
            <w:r>
              <w:rPr>
                <w:rFonts w:hint="default" w:ascii="Times New Roman" w:hAnsi="Times New Roman" w:cs="Times New Roman"/>
                <w:color w:val="auto"/>
                <w:spacing w:val="-2"/>
                <w:sz w:val="24"/>
                <w:u w:val="none"/>
              </w:rPr>
              <w:t>因此，从环保的角度考虑，项目的选址是合理的。</w:t>
            </w:r>
          </w:p>
          <w:p>
            <w:pPr>
              <w:spacing w:line="360" w:lineRule="auto"/>
              <w:rPr>
                <w:rFonts w:hint="eastAsia"/>
                <w:b/>
                <w:bCs/>
                <w:color w:val="auto"/>
                <w:spacing w:val="-2"/>
                <w:sz w:val="24"/>
                <w:u w:val="none"/>
                <w:lang w:eastAsia="zh-CN"/>
              </w:rPr>
            </w:pPr>
            <w:r>
              <w:rPr>
                <w:rFonts w:hint="eastAsia"/>
                <w:b/>
                <w:bCs/>
                <w:color w:val="auto"/>
                <w:spacing w:val="-2"/>
                <w:sz w:val="24"/>
                <w:u w:val="none"/>
                <w:lang w:val="en-US" w:eastAsia="zh-CN"/>
              </w:rPr>
              <w:t>3、</w:t>
            </w:r>
            <w:r>
              <w:rPr>
                <w:b/>
                <w:bCs/>
                <w:color w:val="auto"/>
                <w:spacing w:val="-2"/>
                <w:sz w:val="24"/>
                <w:u w:val="none"/>
              </w:rPr>
              <w:t>周边环境</w:t>
            </w:r>
            <w:r>
              <w:rPr>
                <w:rFonts w:hint="eastAsia"/>
                <w:b/>
                <w:bCs/>
                <w:color w:val="auto"/>
                <w:spacing w:val="-2"/>
                <w:sz w:val="24"/>
                <w:u w:val="none"/>
                <w:lang w:val="en-US" w:eastAsia="zh-CN"/>
              </w:rPr>
              <w:t>的</w:t>
            </w:r>
            <w:r>
              <w:rPr>
                <w:b/>
                <w:bCs/>
                <w:color w:val="auto"/>
                <w:spacing w:val="-2"/>
                <w:sz w:val="24"/>
                <w:u w:val="none"/>
              </w:rPr>
              <w:t>相容性</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highlight w:val="none"/>
              </w:rPr>
            </w:pPr>
            <w:r>
              <w:rPr>
                <w:rFonts w:hint="eastAsia" w:cs="Times New Roman"/>
                <w:color w:val="auto"/>
                <w:spacing w:val="-2"/>
                <w:sz w:val="24"/>
                <w:highlight w:val="none"/>
                <w:u w:val="none"/>
                <w:lang w:val="en-US" w:eastAsia="zh-CN"/>
              </w:rPr>
              <w:t>根据现场踏勘</w:t>
            </w:r>
            <w:r>
              <w:rPr>
                <w:rFonts w:hint="default" w:ascii="Times New Roman" w:hAnsi="Times New Roman" w:cs="Times New Roman"/>
                <w:color w:val="auto"/>
                <w:spacing w:val="-2"/>
                <w:sz w:val="24"/>
                <w:highlight w:val="none"/>
                <w:u w:val="none"/>
              </w:rPr>
              <w:t>，</w:t>
            </w:r>
            <w:r>
              <w:rPr>
                <w:rFonts w:hint="default" w:ascii="Times New Roman" w:hAnsi="Times New Roman" w:cs="Times New Roman"/>
                <w:bCs/>
                <w:color w:val="auto"/>
                <w:sz w:val="24"/>
                <w:highlight w:val="none"/>
                <w:u w:val="none"/>
              </w:rPr>
              <w:t>距离本项目最近的</w:t>
            </w:r>
            <w:r>
              <w:rPr>
                <w:rFonts w:hint="eastAsia" w:cs="Times New Roman"/>
                <w:bCs/>
                <w:color w:val="auto"/>
                <w:sz w:val="24"/>
                <w:highlight w:val="none"/>
                <w:u w:val="none"/>
                <w:lang w:val="en-US" w:eastAsia="zh-CN"/>
              </w:rPr>
              <w:t>敏感点</w:t>
            </w:r>
            <w:r>
              <w:rPr>
                <w:rFonts w:hint="default" w:ascii="Times New Roman" w:hAnsi="Times New Roman" w:cs="Times New Roman"/>
                <w:bCs/>
                <w:color w:val="auto"/>
                <w:sz w:val="24"/>
                <w:highlight w:val="none"/>
                <w:u w:val="none"/>
              </w:rPr>
              <w:t>为</w:t>
            </w:r>
            <w:r>
              <w:rPr>
                <w:rFonts w:hint="eastAsia" w:cs="Times New Roman"/>
                <w:bCs/>
                <w:color w:val="auto"/>
                <w:sz w:val="24"/>
                <w:highlight w:val="none"/>
                <w:u w:val="none"/>
                <w:lang w:val="en-US" w:eastAsia="zh-CN"/>
              </w:rPr>
              <w:t>东北</w:t>
            </w:r>
            <w:r>
              <w:rPr>
                <w:rFonts w:hint="default" w:ascii="Times New Roman" w:hAnsi="Times New Roman" w:cs="Times New Roman"/>
                <w:bCs/>
                <w:color w:val="auto"/>
                <w:sz w:val="24"/>
                <w:highlight w:val="none"/>
                <w:u w:val="none"/>
              </w:rPr>
              <w:t>面</w:t>
            </w:r>
            <w:r>
              <w:rPr>
                <w:rFonts w:hint="eastAsia" w:cs="Times New Roman"/>
                <w:bCs/>
                <w:color w:val="auto"/>
                <w:sz w:val="24"/>
                <w:highlight w:val="none"/>
                <w:u w:val="none"/>
                <w:lang w:val="en-US" w:eastAsia="zh-CN"/>
              </w:rPr>
              <w:t>250</w:t>
            </w:r>
            <w:r>
              <w:rPr>
                <w:rFonts w:hint="default" w:ascii="Times New Roman" w:hAnsi="Times New Roman" w:cs="Times New Roman"/>
                <w:bCs/>
                <w:color w:val="auto"/>
                <w:sz w:val="24"/>
                <w:highlight w:val="none"/>
                <w:u w:val="none"/>
              </w:rPr>
              <w:t>m处的新田德恒实验学校。</w:t>
            </w:r>
            <w:r>
              <w:rPr>
                <w:rFonts w:hint="default" w:ascii="Times New Roman" w:hAnsi="Times New Roman" w:cs="Times New Roman"/>
                <w:color w:val="auto"/>
                <w:spacing w:val="-2"/>
                <w:sz w:val="24"/>
                <w:u w:val="none"/>
              </w:rPr>
              <w:t>项目在实施本报告提出的环保措</w:t>
            </w:r>
            <w:r>
              <w:rPr>
                <w:rFonts w:hint="default" w:ascii="Times New Roman" w:hAnsi="Times New Roman" w:cs="Times New Roman"/>
                <w:color w:val="auto"/>
                <w:spacing w:val="-2"/>
                <w:sz w:val="24"/>
                <w:highlight w:val="none"/>
                <w:u w:val="none"/>
              </w:rPr>
              <w:t>施的前提下，废水</w:t>
            </w:r>
            <w:r>
              <w:rPr>
                <w:rFonts w:hint="eastAsia" w:cs="Times New Roman"/>
                <w:color w:val="auto"/>
                <w:spacing w:val="-2"/>
                <w:sz w:val="24"/>
                <w:highlight w:val="none"/>
                <w:u w:val="none"/>
                <w:lang w:eastAsia="zh-CN"/>
              </w:rPr>
              <w:t>、</w:t>
            </w:r>
            <w:r>
              <w:rPr>
                <w:rFonts w:hint="default" w:ascii="Times New Roman" w:hAnsi="Times New Roman" w:cs="Times New Roman"/>
                <w:color w:val="auto"/>
                <w:spacing w:val="-2"/>
                <w:sz w:val="24"/>
                <w:highlight w:val="none"/>
                <w:u w:val="none"/>
              </w:rPr>
              <w:t>废气实现达标排放、厂界噪声可达标、生产固废</w:t>
            </w:r>
            <w:r>
              <w:rPr>
                <w:rFonts w:hint="eastAsia" w:cs="Times New Roman"/>
                <w:color w:val="auto"/>
                <w:spacing w:val="-2"/>
                <w:sz w:val="24"/>
                <w:highlight w:val="none"/>
                <w:u w:val="none"/>
                <w:lang w:val="en-US" w:eastAsia="zh-CN"/>
              </w:rPr>
              <w:t>能妥善处理</w:t>
            </w:r>
            <w:r>
              <w:rPr>
                <w:rFonts w:hint="default" w:ascii="Times New Roman" w:hAnsi="Times New Roman" w:cs="Times New Roman"/>
                <w:color w:val="auto"/>
                <w:spacing w:val="-2"/>
                <w:sz w:val="24"/>
                <w:highlight w:val="none"/>
                <w:u w:val="none"/>
              </w:rPr>
              <w:t>，在落实本</w:t>
            </w:r>
            <w:r>
              <w:rPr>
                <w:rFonts w:hint="eastAsia" w:ascii="Times New Roman" w:hAnsi="Times New Roman" w:cs="Times New Roman"/>
                <w:color w:val="auto"/>
                <w:spacing w:val="-2"/>
                <w:sz w:val="24"/>
                <w:highlight w:val="none"/>
                <w:u w:val="none"/>
                <w:lang w:eastAsia="zh-CN"/>
              </w:rPr>
              <w:t>报告</w:t>
            </w:r>
            <w:r>
              <w:rPr>
                <w:rFonts w:hint="default" w:ascii="Times New Roman" w:hAnsi="Times New Roman" w:cs="Times New Roman"/>
                <w:color w:val="auto"/>
                <w:spacing w:val="-2"/>
                <w:sz w:val="24"/>
                <w:highlight w:val="none"/>
                <w:u w:val="none"/>
              </w:rPr>
              <w:t>提出的环境保</w:t>
            </w:r>
            <w:r>
              <w:rPr>
                <w:rFonts w:hint="default" w:ascii="Times New Roman" w:hAnsi="Times New Roman" w:cs="Times New Roman"/>
                <w:color w:val="auto"/>
                <w:spacing w:val="-2"/>
                <w:sz w:val="24"/>
                <w:u w:val="none"/>
              </w:rPr>
              <w:t>护措施的前提下，本项目建设对周边环境影响较小。</w:t>
            </w:r>
            <w:r>
              <w:rPr>
                <w:rFonts w:hint="eastAsia"/>
                <w:color w:val="auto"/>
                <w:sz w:val="24"/>
                <w:szCs w:val="24"/>
                <w:highlight w:val="none"/>
                <w:u w:val="none"/>
                <w:shd w:val="clear" w:color="auto" w:fill="FFFFFF"/>
                <w:lang w:val="en-US" w:eastAsia="zh-CN"/>
              </w:rPr>
              <w:t>因此本工程无明显制约项目建设因素。</w:t>
            </w:r>
          </w:p>
          <w:p>
            <w:pPr>
              <w:spacing w:line="360" w:lineRule="auto"/>
              <w:rPr>
                <w:rFonts w:hint="default" w:ascii="Times New Roman" w:hAnsi="Times New Roman" w:cs="Times New Roman"/>
                <w:b/>
                <w:bCs/>
                <w:color w:val="auto"/>
                <w:sz w:val="24"/>
                <w:u w:val="none"/>
              </w:rPr>
            </w:pPr>
            <w:r>
              <w:rPr>
                <w:rFonts w:hint="eastAsia" w:cs="Times New Roman"/>
                <w:b/>
                <w:bCs/>
                <w:color w:val="auto"/>
                <w:sz w:val="24"/>
                <w:u w:val="none"/>
                <w:lang w:val="en-US" w:eastAsia="zh-CN"/>
              </w:rPr>
              <w:t>4</w:t>
            </w:r>
            <w:r>
              <w:rPr>
                <w:rFonts w:hint="default" w:ascii="Times New Roman" w:hAnsi="Times New Roman" w:cs="Times New Roman"/>
                <w:b/>
                <w:bCs/>
                <w:color w:val="auto"/>
                <w:sz w:val="24"/>
                <w:u w:val="none"/>
              </w:rPr>
              <w:t>、“三线一单”</w:t>
            </w:r>
            <w:r>
              <w:rPr>
                <w:rFonts w:hint="eastAsia" w:cs="Times New Roman"/>
                <w:b/>
                <w:bCs/>
                <w:color w:val="auto"/>
                <w:sz w:val="24"/>
                <w:u w:val="none"/>
                <w:lang w:val="en-US" w:eastAsia="zh-CN"/>
              </w:rPr>
              <w:t>的</w:t>
            </w:r>
            <w:r>
              <w:rPr>
                <w:rFonts w:hint="default" w:ascii="Times New Roman" w:hAnsi="Times New Roman" w:cs="Times New Roman"/>
                <w:b/>
                <w:bCs/>
                <w:color w:val="auto"/>
                <w:sz w:val="24"/>
                <w:u w:val="none"/>
              </w:rPr>
              <w:t>符合性</w:t>
            </w:r>
          </w:p>
          <w:p>
            <w:pPr>
              <w:pStyle w:val="27"/>
              <w:spacing w:line="360" w:lineRule="auto"/>
              <w:ind w:firstLine="480" w:firstLineChars="200"/>
              <w:rPr>
                <w:rFonts w:hint="default" w:ascii="Times New Roman" w:hAnsi="Times New Roman" w:cs="Times New Roman"/>
                <w:color w:val="auto"/>
                <w:u w:val="none"/>
              </w:rPr>
            </w:pPr>
            <w:r>
              <w:rPr>
                <w:rFonts w:hint="default" w:ascii="Times New Roman" w:hAnsi="Times New Roman" w:cs="Times New Roman"/>
                <w:color w:val="auto"/>
                <w:u w:val="none"/>
              </w:rPr>
              <w:t>本项目位于</w:t>
            </w:r>
            <w:r>
              <w:rPr>
                <w:rFonts w:hint="eastAsia" w:cs="Times New Roman"/>
                <w:color w:val="auto"/>
                <w:u w:val="none"/>
                <w:lang w:eastAsia="zh-CN"/>
              </w:rPr>
              <w:t>湖南省永州市新田县电子信息产业园10栋</w:t>
            </w:r>
            <w:r>
              <w:rPr>
                <w:rFonts w:hint="eastAsia" w:cs="Times New Roman"/>
                <w:color w:val="auto"/>
                <w:sz w:val="24"/>
                <w:u w:val="none"/>
                <w:lang w:val="en-US" w:eastAsia="zh-CN"/>
              </w:rPr>
              <w:t>第二层</w:t>
            </w:r>
            <w:r>
              <w:rPr>
                <w:rFonts w:hint="default" w:ascii="Times New Roman" w:hAnsi="Times New Roman" w:cs="Times New Roman"/>
                <w:color w:val="auto"/>
                <w:u w:val="none"/>
              </w:rPr>
              <w:t>，所在园区为省级工业园，根据《湖南省人民政府关于实施“三线一单” 生态环境分区管控的意见》（湘政发〔2020〕12号）等文件可知，本项目属于重点管控单元（环境管控单元编码为：</w:t>
            </w:r>
            <w:r>
              <w:rPr>
                <w:rFonts w:hint="default" w:ascii="Times New Roman" w:hAnsi="Times New Roman" w:eastAsia="仿宋" w:cs="Times New Roman"/>
                <w:color w:val="auto"/>
                <w:u w:val="none"/>
              </w:rPr>
              <w:t>ZH43112820004</w:t>
            </w:r>
            <w:r>
              <w:rPr>
                <w:rFonts w:hint="default" w:ascii="Times New Roman" w:hAnsi="Times New Roman" w:cs="Times New Roman"/>
                <w:color w:val="auto"/>
                <w:u w:val="none"/>
              </w:rPr>
              <w:t>）。</w:t>
            </w:r>
          </w:p>
          <w:p>
            <w:pPr>
              <w:widowControl/>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kern w:val="0"/>
                <w:sz w:val="24"/>
                <w:u w:val="none"/>
                <w:lang w:bidi="ar"/>
              </w:rPr>
              <w:t xml:space="preserve">①生态红线 </w:t>
            </w:r>
          </w:p>
          <w:p>
            <w:pPr>
              <w:widowControl/>
              <w:spacing w:line="360" w:lineRule="auto"/>
              <w:ind w:firstLine="480" w:firstLineChars="200"/>
              <w:jc w:val="left"/>
              <w:rPr>
                <w:rFonts w:hint="default" w:ascii="Times New Roman" w:hAnsi="Times New Roman" w:cs="Times New Roman"/>
                <w:color w:val="auto"/>
                <w:sz w:val="24"/>
                <w:u w:val="none"/>
                <w:lang w:bidi="ar"/>
              </w:rPr>
            </w:pPr>
            <w:r>
              <w:rPr>
                <w:rFonts w:hint="default" w:ascii="Times New Roman" w:hAnsi="Times New Roman" w:cs="Times New Roman"/>
                <w:color w:val="auto"/>
                <w:sz w:val="24"/>
                <w:u w:val="none"/>
              </w:rPr>
              <w:t>根据《湖南省湖南省“三线一单”生态环境总体管控要求暨省级以上产业园区生态环境准入清单》（2020年11月发布）中湖南省“三线一单”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本项目位于</w:t>
            </w:r>
            <w:r>
              <w:rPr>
                <w:rFonts w:hint="eastAsia" w:cs="Times New Roman"/>
                <w:color w:val="auto"/>
                <w:sz w:val="24"/>
                <w:u w:val="none"/>
                <w:lang w:eastAsia="zh-CN"/>
              </w:rPr>
              <w:t>湖南省永州市新田县电子信息产业园10栋</w:t>
            </w:r>
            <w:r>
              <w:rPr>
                <w:rFonts w:hint="eastAsia" w:cs="Times New Roman"/>
                <w:color w:val="auto"/>
                <w:sz w:val="24"/>
                <w:u w:val="none"/>
                <w:lang w:val="en-US" w:eastAsia="zh-CN"/>
              </w:rPr>
              <w:t>第二层</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u w:val="none"/>
              </w:rPr>
              <w:t>根据《湖南省人民政府关于印发&lt;湖南省生态保护红线&gt;的通知》（湘政发〔2018〕20号）</w:t>
            </w:r>
            <w:r>
              <w:rPr>
                <w:rFonts w:hint="default" w:ascii="Times New Roman" w:hAnsi="Times New Roman" w:cs="Times New Roman"/>
                <w:color w:val="auto"/>
                <w:sz w:val="24"/>
                <w:u w:val="none"/>
                <w:lang w:bidi="ar"/>
              </w:rPr>
              <w:t xml:space="preserve">，本项目不在生态保护红线范围内。 </w:t>
            </w:r>
          </w:p>
          <w:p>
            <w:pPr>
              <w:widowControl/>
              <w:spacing w:line="360" w:lineRule="auto"/>
              <w:ind w:firstLine="480" w:firstLineChars="200"/>
              <w:jc w:val="left"/>
              <w:rPr>
                <w:rFonts w:hint="default" w:ascii="Times New Roman" w:hAnsi="Times New Roman" w:cs="Times New Roman"/>
                <w:color w:val="auto"/>
                <w:sz w:val="24"/>
                <w:u w:val="none"/>
                <w:lang w:bidi="ar"/>
              </w:rPr>
            </w:pPr>
            <w:r>
              <w:rPr>
                <w:rFonts w:hint="default" w:ascii="Times New Roman" w:hAnsi="Times New Roman" w:cs="Times New Roman"/>
                <w:color w:val="auto"/>
                <w:sz w:val="24"/>
                <w:u w:val="none"/>
                <w:lang w:bidi="ar"/>
              </w:rPr>
              <w:t xml:space="preserve">②环境质量底线 </w:t>
            </w:r>
          </w:p>
          <w:p>
            <w:pPr>
              <w:widowControl/>
              <w:spacing w:line="360" w:lineRule="auto"/>
              <w:ind w:firstLine="480" w:firstLineChars="200"/>
              <w:rPr>
                <w:rFonts w:hint="default" w:ascii="Times New Roman" w:hAnsi="Times New Roman" w:cs="Times New Roman"/>
                <w:color w:val="auto"/>
                <w:sz w:val="24"/>
                <w:u w:val="none"/>
                <w:lang w:bidi="ar"/>
              </w:rPr>
            </w:pPr>
            <w:r>
              <w:rPr>
                <w:rFonts w:hint="default" w:ascii="Times New Roman" w:hAnsi="Times New Roman" w:cs="Times New Roman"/>
                <w:color w:val="auto"/>
                <w:sz w:val="24"/>
                <w:u w:val="none"/>
                <w:lang w:bidi="ar"/>
              </w:rPr>
              <w:t>本项目所在区域空气质量为《环境空气质量标准》（GB3095-2012）二级，地表水环境质量为《地表水环境质量标准》（GB3838-2002）Ⅲ类，声环境质量为《声环境质量标准》（GB3096-2008）3类。本项目产生的三废均能有效处理，采取相应治理措施后可达标排放。因此本项目建设不会对当地环境质量底线造成冲击。</w:t>
            </w:r>
          </w:p>
          <w:p>
            <w:pPr>
              <w:widowControl/>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lang w:bidi="ar"/>
              </w:rPr>
              <w:t xml:space="preserve">③与资源利用上线的对照分析 </w:t>
            </w:r>
          </w:p>
          <w:p>
            <w:pPr>
              <w:widowControl/>
              <w:spacing w:line="360" w:lineRule="auto"/>
              <w:ind w:firstLine="480" w:firstLineChars="200"/>
              <w:jc w:val="left"/>
              <w:rPr>
                <w:rFonts w:hint="default" w:ascii="Times New Roman" w:hAnsi="Times New Roman" w:cs="Times New Roman"/>
                <w:color w:val="auto"/>
                <w:kern w:val="0"/>
                <w:sz w:val="24"/>
                <w:u w:val="none"/>
              </w:rPr>
            </w:pPr>
            <w:r>
              <w:rPr>
                <w:rFonts w:hint="default" w:ascii="Times New Roman" w:hAnsi="Times New Roman" w:cs="Times New Roman"/>
                <w:color w:val="auto"/>
                <w:sz w:val="24"/>
                <w:u w:val="none"/>
              </w:rPr>
              <w:t>本项目为聚氨</w:t>
            </w:r>
            <w:r>
              <w:rPr>
                <w:rFonts w:hint="default" w:ascii="Times New Roman" w:hAnsi="Times New Roman" w:cs="Times New Roman"/>
                <w:color w:val="auto"/>
                <w:sz w:val="24"/>
                <w:highlight w:val="none"/>
                <w:u w:val="none"/>
              </w:rPr>
              <w:t>酯泡绵</w:t>
            </w:r>
            <w:r>
              <w:rPr>
                <w:rFonts w:hint="eastAsia" w:ascii="Times New Roman" w:hAnsi="Times New Roman" w:cs="Times New Roman"/>
                <w:color w:val="auto"/>
                <w:sz w:val="24"/>
                <w:highlight w:val="none"/>
                <w:u w:val="none"/>
                <w:lang w:eastAsia="zh-CN"/>
              </w:rPr>
              <w:t>生产</w:t>
            </w:r>
            <w:r>
              <w:rPr>
                <w:rFonts w:hint="default" w:ascii="Times New Roman" w:hAnsi="Times New Roman" w:cs="Times New Roman"/>
                <w:color w:val="auto"/>
                <w:sz w:val="24"/>
                <w:highlight w:val="none"/>
                <w:u w:val="none"/>
              </w:rPr>
              <w:t>项目，营运过程中消耗</w:t>
            </w:r>
            <w:r>
              <w:rPr>
                <w:rFonts w:hint="eastAsia" w:ascii="Times New Roman" w:hAnsi="Times New Roman" w:cs="Times New Roman"/>
                <w:color w:val="auto"/>
                <w:sz w:val="24"/>
                <w:highlight w:val="none"/>
                <w:u w:val="none"/>
                <w:lang w:eastAsia="zh-CN"/>
              </w:rPr>
              <w:t>少</w:t>
            </w:r>
            <w:r>
              <w:rPr>
                <w:rFonts w:hint="default" w:ascii="Times New Roman" w:hAnsi="Times New Roman" w:cs="Times New Roman"/>
                <w:color w:val="auto"/>
                <w:sz w:val="24"/>
                <w:highlight w:val="none"/>
                <w:u w:val="none"/>
              </w:rPr>
              <w:t>量的水资源、电资源和</w:t>
            </w:r>
            <w:r>
              <w:rPr>
                <w:rFonts w:hint="eastAsia" w:ascii="Times New Roman" w:hAnsi="Times New Roman" w:cs="Times New Roman"/>
                <w:color w:val="auto"/>
                <w:sz w:val="24"/>
                <w:highlight w:val="none"/>
                <w:u w:val="none"/>
                <w:lang w:eastAsia="zh-CN"/>
              </w:rPr>
              <w:t>天然气</w:t>
            </w:r>
            <w:r>
              <w:rPr>
                <w:rFonts w:hint="default" w:ascii="Times New Roman" w:hAnsi="Times New Roman" w:cs="Times New Roman"/>
                <w:color w:val="auto"/>
                <w:sz w:val="24"/>
                <w:highlight w:val="none"/>
                <w:u w:val="none"/>
              </w:rPr>
              <w:t>，</w:t>
            </w:r>
            <w:r>
              <w:rPr>
                <w:rFonts w:hint="eastAsia" w:cs="Times New Roman"/>
                <w:color w:val="auto"/>
                <w:sz w:val="24"/>
                <w:highlight w:val="none"/>
                <w:u w:val="none"/>
                <w:lang w:val="en-US" w:eastAsia="zh-CN"/>
              </w:rPr>
              <w:t>项目</w:t>
            </w:r>
            <w:r>
              <w:rPr>
                <w:rFonts w:hint="default" w:ascii="Times New Roman" w:hAnsi="Times New Roman" w:cs="Times New Roman"/>
                <w:color w:val="auto"/>
                <w:sz w:val="24"/>
                <w:highlight w:val="none"/>
                <w:u w:val="none"/>
              </w:rPr>
              <w:t>用水均使用城市自来水管网，</w:t>
            </w:r>
            <w:r>
              <w:rPr>
                <w:rFonts w:hint="eastAsia" w:cs="Times New Roman"/>
                <w:color w:val="auto"/>
                <w:sz w:val="24"/>
                <w:highlight w:val="none"/>
                <w:u w:val="none"/>
                <w:lang w:val="en-US" w:eastAsia="zh-CN"/>
              </w:rPr>
              <w:t>用电</w:t>
            </w:r>
            <w:r>
              <w:rPr>
                <w:rFonts w:hint="default" w:ascii="Times New Roman" w:hAnsi="Times New Roman" w:cs="Times New Roman"/>
                <w:color w:val="auto"/>
                <w:sz w:val="24"/>
                <w:highlight w:val="none"/>
                <w:u w:val="none"/>
              </w:rPr>
              <w:t>主要依托国家电网</w:t>
            </w:r>
            <w:r>
              <w:rPr>
                <w:rFonts w:hint="default" w:ascii="Times New Roman" w:hAnsi="Times New Roman" w:cs="Times New Roman"/>
                <w:color w:val="auto"/>
                <w:kern w:val="0"/>
                <w:sz w:val="24"/>
                <w:highlight w:val="none"/>
                <w:u w:val="none"/>
              </w:rPr>
              <w:t>，项目资源消耗相对区域资源利用总量较</w:t>
            </w:r>
            <w:r>
              <w:rPr>
                <w:rFonts w:hint="default" w:ascii="Times New Roman" w:hAnsi="Times New Roman" w:cs="Times New Roman"/>
                <w:color w:val="auto"/>
                <w:kern w:val="0"/>
                <w:sz w:val="24"/>
                <w:u w:val="none"/>
              </w:rPr>
              <w:t>小，符合资源利用上线要求。</w:t>
            </w:r>
          </w:p>
          <w:p>
            <w:pPr>
              <w:widowControl/>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kern w:val="0"/>
                <w:sz w:val="24"/>
                <w:u w:val="none"/>
                <w:lang w:bidi="ar"/>
              </w:rPr>
              <w:t xml:space="preserve">④环境准入负面清单 </w:t>
            </w:r>
          </w:p>
          <w:p>
            <w:pPr>
              <w:widowControl/>
              <w:spacing w:line="360" w:lineRule="auto"/>
              <w:ind w:firstLine="480" w:firstLineChars="200"/>
              <w:jc w:val="both"/>
              <w:rPr>
                <w:rFonts w:hint="default" w:ascii="Times New Roman" w:hAnsi="Times New Roman" w:cs="Times New Roman"/>
                <w:color w:val="auto"/>
                <w:sz w:val="24"/>
                <w:u w:val="none"/>
                <w:lang w:val="zh-CN"/>
              </w:rPr>
            </w:pPr>
            <w:r>
              <w:rPr>
                <w:rFonts w:hint="default" w:ascii="Times New Roman" w:hAnsi="Times New Roman" w:cs="Times New Roman"/>
                <w:color w:val="auto"/>
                <w:sz w:val="24"/>
                <w:u w:val="none"/>
                <w:lang w:val="zh-CN"/>
              </w:rPr>
              <w:t>经检索《市场准入负面清单（2020版）》，本项目不在其禁止准入类和限制准入类中，因此本项目符合《市场准入负面清单（2020版）》要求。</w:t>
            </w:r>
          </w:p>
          <w:p>
            <w:pPr>
              <w:widowControl/>
              <w:spacing w:line="360" w:lineRule="auto"/>
              <w:ind w:firstLine="480" w:firstLineChars="200"/>
              <w:jc w:val="both"/>
              <w:rPr>
                <w:rFonts w:hint="default" w:ascii="Times New Roman" w:hAnsi="Times New Roman" w:eastAsia="宋体" w:cs="Times New Roman"/>
                <w:color w:val="auto"/>
                <w:sz w:val="24"/>
                <w:u w:val="none"/>
                <w:lang w:val="en-US" w:eastAsia="zh-CN"/>
              </w:rPr>
            </w:pPr>
            <w:r>
              <w:rPr>
                <w:rFonts w:hint="default" w:ascii="Times New Roman" w:hAnsi="Times New Roman" w:cs="Times New Roman"/>
                <w:color w:val="auto"/>
                <w:sz w:val="24"/>
                <w:u w:val="none"/>
                <w:lang w:val="zh-CN"/>
              </w:rPr>
              <w:t>省级“三线一单”关于新田工业集中区相关管控要求</w:t>
            </w:r>
            <w:r>
              <w:rPr>
                <w:rFonts w:hint="eastAsia" w:cs="Times New Roman"/>
                <w:color w:val="auto"/>
                <w:sz w:val="24"/>
                <w:u w:val="none"/>
                <w:lang w:val="en-US" w:eastAsia="zh-CN"/>
              </w:rPr>
              <w:t>详见下表。</w:t>
            </w: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表1-2 省级“三线一单”关于新田工业集中区相关管控要求</w:t>
            </w:r>
          </w:p>
          <w:tbl>
            <w:tblPr>
              <w:tblStyle w:val="14"/>
              <w:tblW w:w="6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0"/>
              <w:gridCol w:w="4106"/>
              <w:gridCol w:w="1404"/>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管控维度</w:t>
                  </w:r>
                </w:p>
              </w:tc>
              <w:tc>
                <w:tcPr>
                  <w:tcW w:w="4106" w:type="dxa"/>
                  <w:vAlign w:val="center"/>
                </w:tcPr>
                <w:p>
                  <w:pPr>
                    <w:pStyle w:val="29"/>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清单中管控要求</w:t>
                  </w:r>
                </w:p>
              </w:tc>
              <w:tc>
                <w:tcPr>
                  <w:tcW w:w="1404" w:type="dxa"/>
                  <w:vAlign w:val="center"/>
                </w:tcPr>
                <w:p>
                  <w:pPr>
                    <w:pStyle w:val="29"/>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本项目符合情况</w:t>
                  </w:r>
                </w:p>
              </w:tc>
              <w:tc>
                <w:tcPr>
                  <w:tcW w:w="710" w:type="dxa"/>
                  <w:vAlign w:val="center"/>
                </w:tcPr>
                <w:p>
                  <w:pPr>
                    <w:pStyle w:val="29"/>
                    <w:rPr>
                      <w:rFonts w:hint="default" w:ascii="Times New Roman" w:hAnsi="Times New Roman" w:cs="Times New Roman"/>
                      <w:b/>
                      <w:bCs/>
                      <w:color w:val="auto"/>
                      <w:sz w:val="21"/>
                      <w:szCs w:val="21"/>
                      <w:u w:val="none"/>
                    </w:rPr>
                  </w:pPr>
                  <w:r>
                    <w:rPr>
                      <w:rFonts w:hint="eastAsia"/>
                      <w:b/>
                      <w:bCs/>
                      <w:color w:val="auto"/>
                      <w:spacing w:val="-2"/>
                      <w:sz w:val="21"/>
                      <w:szCs w:val="21"/>
                      <w:highlight w:val="none"/>
                      <w:u w:val="none"/>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主导产业</w:t>
                  </w:r>
                </w:p>
              </w:tc>
              <w:tc>
                <w:tcPr>
                  <w:tcW w:w="4106" w:type="dxa"/>
                  <w:vAlign w:val="center"/>
                </w:tcPr>
                <w:p>
                  <w:pPr>
                    <w:widowControl/>
                    <w:rPr>
                      <w:rFonts w:hint="default" w:ascii="Times New Roman" w:hAnsi="Times New Roman" w:cs="Times New Roman"/>
                      <w:b w:val="0"/>
                      <w:bCs/>
                      <w:color w:val="auto"/>
                      <w:u w:val="none"/>
                    </w:rPr>
                  </w:pPr>
                  <w:r>
                    <w:rPr>
                      <w:rFonts w:hint="default" w:ascii="Times New Roman" w:hAnsi="Times New Roman" w:cs="Times New Roman"/>
                      <w:b w:val="0"/>
                      <w:bCs/>
                      <w:color w:val="auto"/>
                      <w:kern w:val="0"/>
                      <w:u w:val="none"/>
                    </w:rPr>
                    <w:t>湘环评[2008]180号：农产品加工、纺织品来料加工、高科技工业；</w:t>
                  </w:r>
                </w:p>
                <w:p>
                  <w:pPr>
                    <w:rPr>
                      <w:rFonts w:hint="default" w:ascii="Times New Roman" w:hAnsi="Times New Roman" w:cs="Times New Roman"/>
                      <w:b w:val="0"/>
                      <w:bCs/>
                      <w:color w:val="auto"/>
                      <w:u w:val="none"/>
                    </w:rPr>
                  </w:pPr>
                  <w:r>
                    <w:rPr>
                      <w:rFonts w:hint="default" w:ascii="Times New Roman" w:hAnsi="Times New Roman" w:cs="Times New Roman"/>
                      <w:b w:val="0"/>
                      <w:bCs/>
                      <w:color w:val="auto"/>
                      <w:u w:val="none"/>
                    </w:rPr>
                    <w:t>湘发改地区〔2012〕1564号：以农林产品深加工、机械制造、服装鞋帽加工贸易等产业为主；</w:t>
                  </w:r>
                </w:p>
                <w:p>
                  <w:pPr>
                    <w:pStyle w:val="29"/>
                    <w:jc w:val="both"/>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b w:val="0"/>
                      <w:bCs/>
                      <w:color w:val="auto"/>
                      <w:sz w:val="21"/>
                      <w:szCs w:val="21"/>
                      <w:u w:val="none"/>
                    </w:rPr>
                    <w:t>六部委公告2018年第4号：</w:t>
                  </w:r>
                  <w:r>
                    <w:rPr>
                      <w:rFonts w:hint="default" w:ascii="Times New Roman" w:hAnsi="Times New Roman" w:cs="Times New Roman"/>
                      <w:color w:val="auto"/>
                      <w:sz w:val="21"/>
                      <w:szCs w:val="21"/>
                      <w:u w:val="none"/>
                    </w:rPr>
                    <w:t>家具、机械、富硒农产品加工</w:t>
                  </w:r>
                  <w:r>
                    <w:rPr>
                      <w:rFonts w:hint="eastAsia" w:cs="Times New Roman"/>
                      <w:color w:val="auto"/>
                      <w:sz w:val="21"/>
                      <w:szCs w:val="21"/>
                      <w:u w:val="none"/>
                      <w:lang w:eastAsia="zh-CN"/>
                    </w:rPr>
                    <w:t>。</w:t>
                  </w:r>
                </w:p>
              </w:tc>
              <w:tc>
                <w:tcPr>
                  <w:tcW w:w="1404" w:type="dxa"/>
                  <w:vAlign w:val="center"/>
                </w:tcPr>
                <w:p>
                  <w:pPr>
                    <w:pStyle w:val="29"/>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本项目位于新田工业集中区，为为聚氨酯泡绵生产项目，与工业园的主导产业相符</w:t>
                  </w:r>
                </w:p>
              </w:tc>
              <w:tc>
                <w:tcPr>
                  <w:tcW w:w="71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空间布局约束</w:t>
                  </w:r>
                </w:p>
              </w:tc>
              <w:tc>
                <w:tcPr>
                  <w:tcW w:w="4106" w:type="dxa"/>
                  <w:vAlign w:val="center"/>
                </w:tcPr>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（1.1）集中区引入项目应符合 “新田县产业准入负面清单”的有关规定。</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1.2）园区仅允许发展一、二类工业，禁止引进和建设三类工业；禁止引进和建设三类工业，按照园区主导产业定位要求，限制农产品初加工、半导体器件生产（前工序）项目进入；禁止建设印染、印刷电路板、半导体材料制造、电池生产、集成电路芯片（封装）、集成电路芯片（清洗前工序）、玻壳、电真空器件生产项目。</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（1.3）严格限制大气污染物排放量较大的企业，防止对县城空气质量产生不利影响。</w:t>
                  </w:r>
                </w:p>
              </w:tc>
              <w:tc>
                <w:tcPr>
                  <w:tcW w:w="1404" w:type="dxa"/>
                  <w:vAlign w:val="center"/>
                </w:tcPr>
                <w:p>
                  <w:pPr>
                    <w:pStyle w:val="29"/>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1、本项目符合“新田县产业准入负面清单”的有关规定。</w:t>
                  </w:r>
                </w:p>
                <w:p>
                  <w:pPr>
                    <w:pStyle w:val="29"/>
                    <w:jc w:val="both"/>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2、本项目属于二类工业，不属于气型污染大的企业及涉重企业，不涉及大规模喷涂工艺</w:t>
                  </w:r>
                  <w:r>
                    <w:rPr>
                      <w:rFonts w:hint="eastAsia" w:cs="Times New Roman"/>
                      <w:color w:val="auto"/>
                      <w:sz w:val="21"/>
                      <w:szCs w:val="21"/>
                      <w:u w:val="none"/>
                      <w:lang w:eastAsia="zh-CN"/>
                    </w:rPr>
                    <w:t>。</w:t>
                  </w:r>
                </w:p>
              </w:tc>
              <w:tc>
                <w:tcPr>
                  <w:tcW w:w="71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污染物排放管控</w:t>
                  </w:r>
                </w:p>
              </w:tc>
              <w:tc>
                <w:tcPr>
                  <w:tcW w:w="4106" w:type="dxa"/>
                  <w:vAlign w:val="center"/>
                </w:tcPr>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（2.1）废水：园区实行雨污分流，废污水依托新田县污水处理厂处理达标后排入新田河；雨水通过雨水管网排入新田河，初期雨水可能产生环境污染的企业应建设初期雨水池。</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（2.2）废气：全面推进工业VOCs综合治理，按要求完成包装印刷、工业涂装、家具制造等重点行业VOCs 污染治理。建立VOCs排放清单信息库，完善企业一企一档制度。重点推进水泥等行业炉窑深度治理，特护期按要求实施错峰生产。园区内水泥等行业及涉锅炉大气污染物排放应满足《湖南省生态环境厅关于执行污染物特别排放限值（第一批）的公告》中的要求。</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2.3）固废：集中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1404" w:type="dxa"/>
                  <w:vAlign w:val="center"/>
                </w:tcPr>
                <w:p>
                  <w:pPr>
                    <w:pStyle w:val="29"/>
                    <w:jc w:val="both"/>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u w:val="none"/>
                    </w:rPr>
                    <w:t>1、废水</w:t>
                  </w:r>
                  <w:r>
                    <w:rPr>
                      <w:rFonts w:hint="default" w:ascii="Times New Roman" w:hAnsi="Times New Roman" w:cs="Times New Roman"/>
                      <w:color w:val="auto"/>
                      <w:sz w:val="21"/>
                      <w:szCs w:val="21"/>
                      <w:highlight w:val="none"/>
                      <w:u w:val="none"/>
                    </w:rPr>
                    <w:t>：本项目生活污水经化粪池处理后进入</w:t>
                  </w:r>
                  <w:r>
                    <w:rPr>
                      <w:rFonts w:hint="eastAsia"/>
                      <w:color w:val="auto"/>
                      <w:sz w:val="21"/>
                      <w:szCs w:val="21"/>
                      <w:highlight w:val="none"/>
                      <w:u w:val="none"/>
                      <w:lang w:eastAsia="zh-CN"/>
                    </w:rPr>
                    <w:t>工业园污水管网</w:t>
                  </w:r>
                  <w:r>
                    <w:rPr>
                      <w:rFonts w:hint="default" w:ascii="Times New Roman" w:hAnsi="Times New Roman" w:cs="Times New Roman"/>
                      <w:color w:val="auto"/>
                      <w:sz w:val="21"/>
                      <w:szCs w:val="21"/>
                      <w:highlight w:val="none"/>
                      <w:u w:val="none"/>
                    </w:rPr>
                    <w:t>，排入新田县污水处理厂处理达标后，排入新田河。设备冷却水循环使用，不外排。印刷机清洗</w:t>
                  </w:r>
                  <w:r>
                    <w:rPr>
                      <w:rFonts w:hint="eastAsia" w:cs="Times New Roman"/>
                      <w:color w:val="auto"/>
                      <w:sz w:val="21"/>
                      <w:szCs w:val="21"/>
                      <w:highlight w:val="none"/>
                      <w:u w:val="none"/>
                      <w:lang w:val="en-US" w:eastAsia="zh-CN"/>
                    </w:rPr>
                    <w:t>废</w:t>
                  </w:r>
                  <w:r>
                    <w:rPr>
                      <w:rFonts w:hint="default" w:ascii="Times New Roman" w:hAnsi="Times New Roman" w:cs="Times New Roman"/>
                      <w:color w:val="auto"/>
                      <w:sz w:val="21"/>
                      <w:szCs w:val="21"/>
                      <w:highlight w:val="none"/>
                      <w:u w:val="none"/>
                    </w:rPr>
                    <w:t>水采用胶桶收集后交湖南普瑞达内装材料有限公司处理，不外排。</w:t>
                  </w:r>
                </w:p>
                <w:p>
                  <w:pPr>
                    <w:pStyle w:val="29"/>
                    <w:jc w:val="both"/>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2、废气：本项目配置了废气处理设备，厂区废气</w:t>
                  </w:r>
                  <w:r>
                    <w:rPr>
                      <w:rFonts w:hint="eastAsia" w:cs="Times New Roman"/>
                      <w:color w:val="auto"/>
                      <w:sz w:val="21"/>
                      <w:szCs w:val="21"/>
                      <w:highlight w:val="none"/>
                      <w:u w:val="none"/>
                      <w:lang w:val="en-US" w:eastAsia="zh-CN"/>
                    </w:rPr>
                    <w:t>能</w:t>
                  </w:r>
                  <w:r>
                    <w:rPr>
                      <w:rFonts w:hint="default" w:ascii="Times New Roman" w:hAnsi="Times New Roman" w:cs="Times New Roman"/>
                      <w:color w:val="auto"/>
                      <w:sz w:val="21"/>
                      <w:szCs w:val="21"/>
                      <w:highlight w:val="none"/>
                      <w:u w:val="none"/>
                    </w:rPr>
                    <w:t>做到达标排放。</w:t>
                  </w:r>
                </w:p>
                <w:p>
                  <w:pPr>
                    <w:pStyle w:val="29"/>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highlight w:val="none"/>
                      <w:u w:val="none"/>
                    </w:rPr>
                    <w:t>3、固废：本项目固体废物</w:t>
                  </w:r>
                  <w:r>
                    <w:rPr>
                      <w:rFonts w:hint="default" w:ascii="Times New Roman" w:hAnsi="Times New Roman" w:cs="Times New Roman"/>
                      <w:color w:val="auto"/>
                      <w:sz w:val="21"/>
                      <w:szCs w:val="21"/>
                      <w:u w:val="none"/>
                    </w:rPr>
                    <w:t>分类收集，危险固废应按国家有关规定综合利用或妥善处置。</w:t>
                  </w:r>
                </w:p>
              </w:tc>
              <w:tc>
                <w:tcPr>
                  <w:tcW w:w="71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环境风险防控</w:t>
                  </w:r>
                </w:p>
              </w:tc>
              <w:tc>
                <w:tcPr>
                  <w:tcW w:w="4106" w:type="dxa"/>
                  <w:vAlign w:val="center"/>
                </w:tcPr>
                <w:p>
                  <w:pPr>
                    <w:tabs>
                      <w:tab w:val="left" w:pos="1021"/>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3.1）集中区应建立健全环境风险防控体系，组织严格落实《新田工业集中区突发环境事件应急预案》的相关要求，加强环境风险事故防范和应急管理。产生危险废物的企业应设专门的危废存储间，并做好地面防腐防渗防淋等处理，设置警示标志。</w:t>
                  </w:r>
                </w:p>
                <w:p>
                  <w:pPr>
                    <w:tabs>
                      <w:tab w:val="left" w:pos="1021"/>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3.2）园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tc>
              <w:tc>
                <w:tcPr>
                  <w:tcW w:w="1404" w:type="dxa"/>
                  <w:vAlign w:val="center"/>
                </w:tcPr>
                <w:p>
                  <w:pPr>
                    <w:pStyle w:val="29"/>
                    <w:rPr>
                      <w:rFonts w:hint="default" w:ascii="Times New Roman" w:hAnsi="Times New Roman" w:cs="Times New Roman"/>
                      <w:b/>
                      <w:color w:val="auto"/>
                      <w:sz w:val="21"/>
                      <w:szCs w:val="21"/>
                      <w:highlight w:val="none"/>
                      <w:u w:val="none"/>
                    </w:rPr>
                  </w:pPr>
                  <w:r>
                    <w:rPr>
                      <w:rFonts w:hint="default" w:ascii="Times New Roman" w:hAnsi="Times New Roman" w:cs="Times New Roman"/>
                      <w:bCs/>
                      <w:color w:val="auto"/>
                      <w:sz w:val="21"/>
                      <w:szCs w:val="21"/>
                      <w:highlight w:val="none"/>
                      <w:u w:val="none"/>
                    </w:rPr>
                    <w:t>本项目已在环评中落实对土壤环境影响的评价内容，并提出防范土壤污染的具体措施。</w:t>
                  </w:r>
                </w:p>
              </w:tc>
              <w:tc>
                <w:tcPr>
                  <w:tcW w:w="71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Align w:val="center"/>
                </w:tcPr>
                <w:p>
                  <w:pPr>
                    <w:pStyle w:val="29"/>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资源开发效率要求</w:t>
                  </w:r>
                </w:p>
              </w:tc>
              <w:tc>
                <w:tcPr>
                  <w:tcW w:w="4106" w:type="dxa"/>
                  <w:vAlign w:val="center"/>
                </w:tcPr>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4.1）能源：全面淘汰燃煤锅炉，全面推广天然气等清洁能源。2020年，园区综合能源消费量预测当量值为34655.72吨标煤，单位GDP能耗预测值为0.180吨标煤/万元；到2025年，园区单位GDP能耗控制在0.152吨标煤/万元，能源消费总量控制在39866.40吨标煤（当量值）以内。</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4.2）水资源：严格用水强度指标管理，建立重点用水单位监控名录，对纳入取水许可管理的单位和其他用水大户实行计划用水管理；鼓励纺织印染等高耗水企业废水深度处理回用。2020年，新田县水资源开发利用总量控制红线为14562万立方米；万元工业增加值用水量62立方米。</w:t>
                  </w:r>
                </w:p>
                <w:p>
                  <w:pPr>
                    <w:tabs>
                      <w:tab w:val="left" w:pos="1021"/>
                    </w:tabs>
                    <w:rPr>
                      <w:rFonts w:hint="default" w:ascii="Times New Roman" w:hAnsi="Times New Roman" w:cs="Times New Roman"/>
                      <w:color w:val="auto"/>
                      <w:u w:val="none"/>
                    </w:rPr>
                  </w:pPr>
                  <w:r>
                    <w:rPr>
                      <w:rFonts w:hint="default" w:ascii="Times New Roman" w:hAnsi="Times New Roman" w:cs="Times New Roman"/>
                      <w:color w:val="auto"/>
                      <w:u w:val="none"/>
                    </w:rPr>
                    <w:t>（4.3）土地资源：按照严控增量、盘活存量、管住总量、集约高效的原则，着力调整建设用地结构，保障重点建设项目用地，加大存量建设用地盘活力度，提高土地利用效益，切实推进土地利用向集约型利用方式转变。确保园区平均土地投资强度不低于150万元/亩。</w:t>
                  </w:r>
                </w:p>
              </w:tc>
              <w:tc>
                <w:tcPr>
                  <w:tcW w:w="1404" w:type="dxa"/>
                  <w:vAlign w:val="center"/>
                </w:tcPr>
                <w:p>
                  <w:pPr>
                    <w:pStyle w:val="29"/>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本项目</w:t>
                  </w:r>
                  <w:r>
                    <w:rPr>
                      <w:rFonts w:hint="eastAsia" w:cs="Times New Roman"/>
                      <w:color w:val="auto"/>
                      <w:sz w:val="21"/>
                      <w:szCs w:val="21"/>
                      <w:highlight w:val="none"/>
                      <w:u w:val="none"/>
                      <w:lang w:val="en-US" w:eastAsia="zh-CN"/>
                    </w:rPr>
                    <w:t>热风炉</w:t>
                  </w:r>
                  <w:r>
                    <w:rPr>
                      <w:rFonts w:hint="default" w:ascii="Times New Roman" w:hAnsi="Times New Roman" w:cs="Times New Roman"/>
                      <w:color w:val="auto"/>
                      <w:sz w:val="21"/>
                      <w:szCs w:val="21"/>
                      <w:highlight w:val="none"/>
                      <w:u w:val="none"/>
                    </w:rPr>
                    <w:t>使用的燃料为</w:t>
                  </w:r>
                  <w:r>
                    <w:rPr>
                      <w:rFonts w:hint="eastAsia" w:cs="Times New Roman"/>
                      <w:color w:val="auto"/>
                      <w:sz w:val="21"/>
                      <w:szCs w:val="21"/>
                      <w:highlight w:val="none"/>
                      <w:u w:val="none"/>
                      <w:lang w:val="en-US" w:eastAsia="zh-CN"/>
                    </w:rPr>
                    <w:t>天然气</w:t>
                  </w:r>
                  <w:r>
                    <w:rPr>
                      <w:rFonts w:hint="default" w:ascii="Times New Roman" w:hAnsi="Times New Roman" w:cs="Times New Roman"/>
                      <w:color w:val="auto"/>
                      <w:sz w:val="21"/>
                      <w:szCs w:val="21"/>
                      <w:highlight w:val="none"/>
                      <w:u w:val="none"/>
                    </w:rPr>
                    <w:t>；本项目已落实提高水资源重复利用率，且落实了提高土地利用率。</w:t>
                  </w:r>
                </w:p>
              </w:tc>
              <w:tc>
                <w:tcPr>
                  <w:tcW w:w="710" w:type="dxa"/>
                  <w:vAlign w:val="center"/>
                </w:tcPr>
                <w:p>
                  <w:pPr>
                    <w:pStyle w:val="29"/>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pPr>
              <w:spacing w:line="360" w:lineRule="auto"/>
              <w:rPr>
                <w:rFonts w:hint="eastAsia"/>
                <w:b/>
                <w:bCs/>
                <w:color w:val="auto"/>
                <w:spacing w:val="-2"/>
                <w:sz w:val="24"/>
                <w:highlight w:val="none"/>
                <w:u w:val="none"/>
                <w:lang w:eastAsia="zh-CN"/>
              </w:rPr>
            </w:pPr>
            <w:r>
              <w:rPr>
                <w:rFonts w:hint="eastAsia"/>
                <w:b/>
                <w:bCs/>
                <w:color w:val="auto"/>
                <w:spacing w:val="-2"/>
                <w:sz w:val="24"/>
                <w:highlight w:val="none"/>
                <w:u w:val="none"/>
                <w:lang w:val="en-US" w:eastAsia="zh-CN"/>
              </w:rPr>
              <w:t>5、</w:t>
            </w:r>
            <w:r>
              <w:rPr>
                <w:rFonts w:hint="eastAsia"/>
                <w:b/>
                <w:bCs/>
                <w:color w:val="auto"/>
                <w:spacing w:val="-2"/>
                <w:sz w:val="24"/>
                <w:highlight w:val="none"/>
                <w:u w:val="none"/>
              </w:rPr>
              <w:t>与《国家发展改革委 生态环境部关于进一步加强塑料污染治理的意见》（发改环资〔2020〕80号）相符性</w:t>
            </w:r>
          </w:p>
          <w:p>
            <w:pPr>
              <w:autoSpaceDE w:val="0"/>
              <w:autoSpaceDN w:val="0"/>
              <w:spacing w:line="360" w:lineRule="auto"/>
              <w:ind w:firstLine="480" w:firstLineChars="200"/>
              <w:rPr>
                <w:rFonts w:hint="eastAsia"/>
                <w:color w:val="auto"/>
                <w:kern w:val="0"/>
                <w:sz w:val="24"/>
                <w:highlight w:val="none"/>
              </w:rPr>
            </w:pPr>
            <w:r>
              <w:rPr>
                <w:rFonts w:hint="eastAsia"/>
                <w:color w:val="auto"/>
                <w:kern w:val="0"/>
                <w:sz w:val="24"/>
                <w:highlight w:val="none"/>
              </w:rPr>
              <w:t>相符性分析见表1-</w:t>
            </w:r>
            <w:r>
              <w:rPr>
                <w:rFonts w:hint="eastAsia"/>
                <w:color w:val="auto"/>
                <w:kern w:val="0"/>
                <w:sz w:val="24"/>
                <w:highlight w:val="none"/>
                <w:lang w:val="en-US" w:eastAsia="zh-CN"/>
              </w:rPr>
              <w:t>3</w:t>
            </w:r>
            <w:r>
              <w:rPr>
                <w:rFonts w:hint="eastAsia"/>
                <w:color w:val="auto"/>
                <w:kern w:val="0"/>
                <w:sz w:val="24"/>
                <w:highlight w:val="none"/>
              </w:rPr>
              <w:t>。</w:t>
            </w: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表1-</w:t>
            </w:r>
            <w:r>
              <w:rPr>
                <w:rFonts w:hint="eastAsia" w:ascii="Times New Roman" w:hAnsi="Times New Roman" w:cs="Times New Roman"/>
                <w:color w:val="auto"/>
                <w:sz w:val="21"/>
                <w:szCs w:val="21"/>
                <w:highlight w:val="none"/>
                <w:u w:val="none"/>
                <w:lang w:val="en-US" w:eastAsia="zh-CN"/>
              </w:rPr>
              <w:t>3</w:t>
            </w:r>
            <w:r>
              <w:rPr>
                <w:rFonts w:hint="default" w:ascii="Times New Roman" w:hAnsi="Times New Roman" w:cs="Times New Roman"/>
                <w:color w:val="auto"/>
                <w:sz w:val="21"/>
                <w:szCs w:val="21"/>
                <w:highlight w:val="none"/>
                <w:u w:val="none"/>
              </w:rPr>
              <w:t xml:space="preserve"> </w:t>
            </w:r>
            <w:r>
              <w:rPr>
                <w:rFonts w:hint="eastAsia" w:ascii="Times New Roman" w:hAnsi="Times New Roman" w:cs="Times New Roman"/>
                <w:color w:val="auto"/>
                <w:sz w:val="21"/>
                <w:szCs w:val="21"/>
                <w:highlight w:val="none"/>
                <w:u w:val="none"/>
                <w:lang w:val="en-US" w:eastAsia="zh-CN"/>
              </w:rPr>
              <w:t>相符性</w:t>
            </w:r>
            <w:r>
              <w:rPr>
                <w:b/>
                <w:color w:val="auto"/>
                <w:sz w:val="21"/>
                <w:szCs w:val="21"/>
                <w:highlight w:val="none"/>
              </w:rPr>
              <w:t>分析表</w:t>
            </w:r>
          </w:p>
          <w:tbl>
            <w:tblPr>
              <w:tblStyle w:val="15"/>
              <w:tblW w:w="6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319"/>
              <w:gridCol w:w="1678"/>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pacing w:val="-2"/>
                      <w:sz w:val="21"/>
                      <w:szCs w:val="21"/>
                      <w:highlight w:val="none"/>
                      <w:u w:val="none"/>
                      <w:vertAlign w:val="baseline"/>
                      <w:lang w:val="en-US" w:eastAsia="zh-CN"/>
                    </w:rPr>
                  </w:pPr>
                  <w:r>
                    <w:rPr>
                      <w:rFonts w:hint="eastAsia"/>
                      <w:b/>
                      <w:bCs/>
                      <w:color w:val="auto"/>
                      <w:spacing w:val="-2"/>
                      <w:sz w:val="21"/>
                      <w:szCs w:val="21"/>
                      <w:highlight w:val="none"/>
                      <w:u w:val="none"/>
                      <w:vertAlign w:val="baseline"/>
                      <w:lang w:val="en-US" w:eastAsia="zh-CN"/>
                    </w:rPr>
                    <w:t>项目</w:t>
                  </w:r>
                </w:p>
              </w:tc>
              <w:tc>
                <w:tcPr>
                  <w:tcW w:w="331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pacing w:val="-2"/>
                      <w:sz w:val="21"/>
                      <w:szCs w:val="21"/>
                      <w:highlight w:val="none"/>
                      <w:u w:val="none"/>
                      <w:vertAlign w:val="baseline"/>
                      <w:lang w:val="en-US" w:eastAsia="zh-CN"/>
                    </w:rPr>
                  </w:pPr>
                  <w:r>
                    <w:rPr>
                      <w:rFonts w:hint="eastAsia"/>
                      <w:b/>
                      <w:bCs/>
                      <w:color w:val="auto"/>
                      <w:spacing w:val="-2"/>
                      <w:sz w:val="21"/>
                      <w:szCs w:val="21"/>
                      <w:highlight w:val="none"/>
                      <w:u w:val="none"/>
                      <w:vertAlign w:val="baseline"/>
                      <w:lang w:val="en-US" w:eastAsia="zh-CN"/>
                    </w:rPr>
                    <w:t>意见要求</w:t>
                  </w:r>
                </w:p>
              </w:tc>
              <w:tc>
                <w:tcPr>
                  <w:tcW w:w="16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pacing w:val="-2"/>
                      <w:sz w:val="21"/>
                      <w:szCs w:val="21"/>
                      <w:highlight w:val="none"/>
                      <w:u w:val="none"/>
                      <w:vertAlign w:val="baseline"/>
                      <w:lang w:val="en-US" w:eastAsia="zh-CN"/>
                    </w:rPr>
                  </w:pPr>
                  <w:r>
                    <w:rPr>
                      <w:rFonts w:hint="eastAsia"/>
                      <w:b/>
                      <w:bCs/>
                      <w:color w:val="auto"/>
                      <w:spacing w:val="-2"/>
                      <w:sz w:val="21"/>
                      <w:szCs w:val="21"/>
                      <w:highlight w:val="none"/>
                      <w:u w:val="none"/>
                      <w:vertAlign w:val="baseline"/>
                      <w:lang w:val="en-US" w:eastAsia="zh-CN"/>
                    </w:rPr>
                    <w:t>企业状况</w:t>
                  </w:r>
                </w:p>
              </w:tc>
              <w:tc>
                <w:tcPr>
                  <w:tcW w:w="91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bCs/>
                      <w:color w:val="auto"/>
                      <w:spacing w:val="-2"/>
                      <w:sz w:val="21"/>
                      <w:szCs w:val="21"/>
                      <w:highlight w:val="none"/>
                      <w:u w:val="none"/>
                      <w:vertAlign w:val="baseline"/>
                      <w:lang w:val="en-US" w:eastAsia="zh-CN"/>
                    </w:rPr>
                  </w:pPr>
                  <w:r>
                    <w:rPr>
                      <w:rFonts w:hint="eastAsia"/>
                      <w:b/>
                      <w:bCs/>
                      <w:color w:val="auto"/>
                      <w:spacing w:val="-2"/>
                      <w:sz w:val="21"/>
                      <w:szCs w:val="21"/>
                      <w:highlight w:val="none"/>
                      <w:u w:val="none"/>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pacing w:val="-2"/>
                      <w:sz w:val="21"/>
                      <w:szCs w:val="21"/>
                      <w:highlight w:val="none"/>
                      <w:u w:val="none"/>
                      <w:vertAlign w:val="baseline"/>
                      <w:lang w:val="en-US" w:eastAsia="zh-CN"/>
                    </w:rPr>
                  </w:pPr>
                  <w:r>
                    <w:rPr>
                      <w:rFonts w:hint="eastAsia"/>
                      <w:color w:val="auto"/>
                      <w:spacing w:val="-2"/>
                      <w:sz w:val="21"/>
                      <w:szCs w:val="21"/>
                      <w:highlight w:val="none"/>
                      <w:u w:val="none"/>
                      <w:vertAlign w:val="baseline"/>
                      <w:lang w:val="en-US" w:eastAsia="zh-CN"/>
                    </w:rPr>
                    <w:t>禁止生产、销售的塑料制品</w:t>
                  </w:r>
                </w:p>
              </w:tc>
              <w:tc>
                <w:tcPr>
                  <w:tcW w:w="3319" w:type="dxa"/>
                </w:tcPr>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color w:val="auto"/>
                      <w:spacing w:val="-2"/>
                      <w:sz w:val="21"/>
                      <w:szCs w:val="21"/>
                      <w:highlight w:val="none"/>
                      <w:u w:val="none"/>
                      <w:vertAlign w:val="baseline"/>
                      <w:lang w:val="zh-CN" w:eastAsia="zh-CN"/>
                    </w:rPr>
                  </w:pPr>
                  <w:r>
                    <w:rPr>
                      <w:rFonts w:hint="eastAsia"/>
                      <w:color w:val="auto"/>
                      <w:spacing w:val="-2"/>
                      <w:sz w:val="21"/>
                      <w:szCs w:val="21"/>
                      <w:highlight w:val="none"/>
                      <w:u w:val="none"/>
                      <w:vertAlign w:val="baseline"/>
                      <w:lang w:val="zh-CN" w:eastAsia="zh-CN"/>
                    </w:rPr>
                    <w:t>禁止以医疗废物为原料制造塑料制品。全面禁止废塑料进口。到 2020 年底，禁止生产和销售一次性发泡塑料餐具、一次性塑料棉签；禁止生产含塑料微珠的日化产品。到 2022 年底，禁止销售含塑料微珠的日化产品。</w:t>
                  </w:r>
                </w:p>
              </w:tc>
              <w:tc>
                <w:tcPr>
                  <w:tcW w:w="16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pacing w:val="-2"/>
                      <w:sz w:val="21"/>
                      <w:szCs w:val="21"/>
                      <w:highlight w:val="none"/>
                      <w:u w:val="none"/>
                      <w:vertAlign w:val="baseline"/>
                      <w:lang w:val="zh-CN" w:eastAsia="zh-CN"/>
                    </w:rPr>
                  </w:pPr>
                  <w:r>
                    <w:rPr>
                      <w:rFonts w:hint="eastAsia"/>
                      <w:color w:val="auto"/>
                      <w:spacing w:val="-2"/>
                      <w:sz w:val="21"/>
                      <w:szCs w:val="21"/>
                      <w:highlight w:val="none"/>
                      <w:u w:val="none"/>
                      <w:vertAlign w:val="baseline"/>
                      <w:lang w:val="en-US" w:eastAsia="zh-CN"/>
                    </w:rPr>
                    <w:t>本项目</w:t>
                  </w:r>
                  <w:r>
                    <w:rPr>
                      <w:rFonts w:hint="eastAsia"/>
                      <w:color w:val="auto"/>
                      <w:spacing w:val="-2"/>
                      <w:sz w:val="21"/>
                      <w:szCs w:val="21"/>
                      <w:highlight w:val="none"/>
                      <w:u w:val="none"/>
                      <w:vertAlign w:val="baseline"/>
                      <w:lang w:val="zh-CN" w:eastAsia="zh-CN"/>
                    </w:rPr>
                    <w:t>不采用医疗废物、进口废塑料。生产的聚氨酯</w:t>
                  </w:r>
                  <w:r>
                    <w:rPr>
                      <w:rFonts w:hint="eastAsia"/>
                      <w:color w:val="auto"/>
                      <w:spacing w:val="-2"/>
                      <w:sz w:val="21"/>
                      <w:szCs w:val="21"/>
                      <w:highlight w:val="none"/>
                      <w:u w:val="none"/>
                      <w:vertAlign w:val="baseline"/>
                      <w:lang w:val="en-US" w:eastAsia="zh-CN"/>
                    </w:rPr>
                    <w:t>泡绵</w:t>
                  </w:r>
                  <w:r>
                    <w:rPr>
                      <w:rFonts w:hint="eastAsia"/>
                      <w:color w:val="auto"/>
                      <w:spacing w:val="-2"/>
                      <w:sz w:val="21"/>
                      <w:szCs w:val="21"/>
                      <w:highlight w:val="none"/>
                      <w:u w:val="none"/>
                      <w:vertAlign w:val="baseline"/>
                      <w:lang w:val="zh-CN" w:eastAsia="zh-CN"/>
                    </w:rPr>
                    <w:t>用于电子行业和汽车行业等。</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pacing w:val="-2"/>
                      <w:sz w:val="21"/>
                      <w:szCs w:val="21"/>
                      <w:highlight w:val="none"/>
                      <w:u w:val="none"/>
                      <w:vertAlign w:val="baseline"/>
                      <w:lang w:val="zh-CN" w:eastAsia="zh-CN"/>
                    </w:rPr>
                  </w:pPr>
                  <w:r>
                    <w:rPr>
                      <w:rFonts w:hint="default" w:ascii="Times New Roman" w:hAnsi="Times New Roman"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olor w:val="auto"/>
                      <w:spacing w:val="-2"/>
                      <w:sz w:val="21"/>
                      <w:szCs w:val="21"/>
                      <w:highlight w:val="none"/>
                      <w:u w:val="none"/>
                      <w:vertAlign w:val="baseline"/>
                      <w:lang w:val="en-US" w:eastAsia="zh-CN"/>
                    </w:rPr>
                  </w:pPr>
                  <w:r>
                    <w:rPr>
                      <w:rFonts w:hint="eastAsia"/>
                      <w:color w:val="auto"/>
                      <w:spacing w:val="-2"/>
                      <w:sz w:val="21"/>
                      <w:szCs w:val="21"/>
                      <w:highlight w:val="none"/>
                      <w:u w:val="none"/>
                      <w:vertAlign w:val="baseline"/>
                      <w:lang w:val="en-US" w:eastAsia="zh-CN"/>
                    </w:rPr>
                    <w:t>禁止、限制使用的塑料制品</w:t>
                  </w:r>
                </w:p>
              </w:tc>
              <w:tc>
                <w:tcPr>
                  <w:tcW w:w="33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pacing w:val="-2"/>
                      <w:sz w:val="21"/>
                      <w:szCs w:val="21"/>
                      <w:highlight w:val="none"/>
                      <w:u w:val="none"/>
                      <w:vertAlign w:val="baseline"/>
                      <w:lang w:val="zh-CN" w:eastAsia="zh-CN"/>
                    </w:rPr>
                  </w:pPr>
                  <w:r>
                    <w:rPr>
                      <w:rFonts w:hint="eastAsia"/>
                      <w:color w:val="auto"/>
                      <w:spacing w:val="-2"/>
                      <w:sz w:val="21"/>
                      <w:szCs w:val="21"/>
                      <w:highlight w:val="none"/>
                      <w:u w:val="none"/>
                      <w:vertAlign w:val="baseline"/>
                      <w:lang w:val="zh-CN" w:eastAsia="zh-CN"/>
                    </w:rPr>
                    <w:t>1.不可降解塑料袋；2.一次性塑料餐具；3.宾馆、酒店一次性塑料用品；4.快递塑料包装。</w:t>
                  </w:r>
                </w:p>
              </w:tc>
              <w:tc>
                <w:tcPr>
                  <w:tcW w:w="16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color w:val="auto"/>
                      <w:spacing w:val="-2"/>
                      <w:sz w:val="21"/>
                      <w:szCs w:val="21"/>
                      <w:highlight w:val="none"/>
                      <w:u w:val="none"/>
                      <w:vertAlign w:val="baseline"/>
                      <w:lang w:val="zh-CN" w:eastAsia="zh-CN"/>
                    </w:rPr>
                  </w:pPr>
                  <w:r>
                    <w:rPr>
                      <w:rFonts w:hint="eastAsia"/>
                      <w:color w:val="auto"/>
                      <w:spacing w:val="-2"/>
                      <w:sz w:val="21"/>
                      <w:szCs w:val="21"/>
                      <w:highlight w:val="none"/>
                      <w:u w:val="none"/>
                      <w:vertAlign w:val="baseline"/>
                      <w:lang w:val="zh-CN" w:eastAsia="zh-CN"/>
                    </w:rPr>
                    <w:t>本项目生产聚氨酯</w:t>
                  </w:r>
                  <w:r>
                    <w:rPr>
                      <w:rFonts w:hint="eastAsia"/>
                      <w:color w:val="auto"/>
                      <w:spacing w:val="-2"/>
                      <w:sz w:val="21"/>
                      <w:szCs w:val="21"/>
                      <w:highlight w:val="none"/>
                      <w:u w:val="none"/>
                      <w:vertAlign w:val="baseline"/>
                      <w:lang w:val="en-US" w:eastAsia="zh-CN"/>
                    </w:rPr>
                    <w:t>泡绵</w:t>
                  </w:r>
                  <w:r>
                    <w:rPr>
                      <w:rFonts w:hint="eastAsia"/>
                      <w:color w:val="auto"/>
                      <w:spacing w:val="-2"/>
                      <w:sz w:val="21"/>
                      <w:szCs w:val="21"/>
                      <w:highlight w:val="none"/>
                      <w:u w:val="none"/>
                      <w:vertAlign w:val="baseline"/>
                      <w:lang w:val="zh-CN" w:eastAsia="zh-CN"/>
                    </w:rPr>
                    <w:t>，用于电子行业和汽车行业等，不属于禁止、限制使用的塑料制品</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pacing w:val="-2"/>
                      <w:sz w:val="21"/>
                      <w:szCs w:val="21"/>
                      <w:highlight w:val="none"/>
                      <w:u w:val="none"/>
                      <w:vertAlign w:val="baseline"/>
                      <w:lang w:val="zh-CN" w:eastAsia="zh-CN"/>
                    </w:rPr>
                  </w:pPr>
                  <w:r>
                    <w:rPr>
                      <w:rFonts w:hint="default" w:ascii="Times New Roman" w:hAnsi="Times New Roman" w:cs="Times New Roman"/>
                      <w:color w:val="auto"/>
                      <w:sz w:val="21"/>
                      <w:szCs w:val="21"/>
                      <w:u w:val="none"/>
                    </w:rPr>
                    <w:t>符合</w:t>
                  </w:r>
                </w:p>
              </w:tc>
            </w:tr>
          </w:tbl>
          <w:p>
            <w:pPr>
              <w:autoSpaceDE w:val="0"/>
              <w:autoSpaceDN w:val="0"/>
              <w:spacing w:line="360" w:lineRule="auto"/>
              <w:rPr>
                <w:rFonts w:hint="eastAsia"/>
                <w:b/>
                <w:bCs/>
                <w:color w:val="auto"/>
                <w:kern w:val="0"/>
                <w:sz w:val="24"/>
                <w:highlight w:val="none"/>
              </w:rPr>
            </w:pPr>
            <w:r>
              <w:rPr>
                <w:rFonts w:hint="eastAsia"/>
                <w:b/>
                <w:bCs/>
                <w:color w:val="auto"/>
                <w:kern w:val="0"/>
                <w:sz w:val="24"/>
                <w:lang w:val="en-US" w:eastAsia="zh-CN"/>
              </w:rPr>
              <w:t>6</w:t>
            </w:r>
            <w:r>
              <w:rPr>
                <w:rFonts w:hint="eastAsia"/>
                <w:b/>
                <w:bCs/>
                <w:color w:val="auto"/>
                <w:kern w:val="0"/>
                <w:sz w:val="24"/>
                <w:highlight w:val="none"/>
              </w:rPr>
              <w:t>、与《2020年挥发性有机物治理攻坚方案》（环大气[2020]33号）相符性分析</w:t>
            </w:r>
          </w:p>
          <w:p>
            <w:pPr>
              <w:autoSpaceDE w:val="0"/>
              <w:autoSpaceDN w:val="0"/>
              <w:spacing w:line="360" w:lineRule="auto"/>
              <w:ind w:firstLine="480" w:firstLineChars="200"/>
              <w:rPr>
                <w:rFonts w:hint="eastAsia"/>
                <w:color w:val="auto"/>
                <w:kern w:val="0"/>
                <w:sz w:val="24"/>
                <w:highlight w:val="none"/>
              </w:rPr>
            </w:pPr>
            <w:r>
              <w:rPr>
                <w:rFonts w:hint="eastAsia"/>
                <w:color w:val="auto"/>
                <w:kern w:val="0"/>
                <w:sz w:val="24"/>
                <w:highlight w:val="none"/>
              </w:rPr>
              <w:t>相符性分析见表1-</w:t>
            </w:r>
            <w:r>
              <w:rPr>
                <w:rFonts w:hint="eastAsia"/>
                <w:color w:val="auto"/>
                <w:kern w:val="0"/>
                <w:sz w:val="24"/>
                <w:highlight w:val="none"/>
                <w:lang w:val="en-US" w:eastAsia="zh-CN"/>
              </w:rPr>
              <w:t>4</w:t>
            </w:r>
            <w:r>
              <w:rPr>
                <w:rFonts w:hint="eastAsia"/>
                <w:color w:val="auto"/>
                <w:kern w:val="0"/>
                <w:sz w:val="24"/>
                <w:highlight w:val="none"/>
              </w:rPr>
              <w:t>。</w:t>
            </w: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sz w:val="21"/>
                <w:szCs w:val="21"/>
                <w:highlight w:val="none"/>
              </w:rPr>
            </w:pPr>
            <w:r>
              <w:rPr>
                <w:b/>
                <w:color w:val="auto"/>
                <w:sz w:val="21"/>
                <w:szCs w:val="21"/>
              </w:rPr>
              <w:t>表1-</w:t>
            </w:r>
            <w:r>
              <w:rPr>
                <w:rFonts w:hint="eastAsia"/>
                <w:b/>
                <w:color w:val="auto"/>
                <w:sz w:val="21"/>
                <w:szCs w:val="21"/>
                <w:lang w:val="en-US" w:eastAsia="zh-CN"/>
              </w:rPr>
              <w:t>4</w:t>
            </w:r>
            <w:r>
              <w:rPr>
                <w:b/>
                <w:color w:val="auto"/>
                <w:sz w:val="21"/>
                <w:szCs w:val="21"/>
              </w:rPr>
              <w:t xml:space="preserve"> 相符性分析表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4265"/>
              <w:gridCol w:w="1189"/>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pPr>
                    <w:jc w:val="center"/>
                    <w:rPr>
                      <w:rFonts w:hint="eastAsia"/>
                      <w:b/>
                      <w:color w:val="auto"/>
                      <w:szCs w:val="21"/>
                      <w:highlight w:val="none"/>
                    </w:rPr>
                  </w:pPr>
                  <w:r>
                    <w:rPr>
                      <w:rFonts w:hint="eastAsia"/>
                      <w:b/>
                      <w:color w:val="auto"/>
                      <w:szCs w:val="21"/>
                      <w:highlight w:val="none"/>
                    </w:rPr>
                    <w:t>序号</w:t>
                  </w:r>
                </w:p>
              </w:tc>
              <w:tc>
                <w:tcPr>
                  <w:tcW w:w="3054" w:type="pct"/>
                  <w:noWrap w:val="0"/>
                  <w:vAlign w:val="center"/>
                </w:tcPr>
                <w:p>
                  <w:pPr>
                    <w:jc w:val="center"/>
                    <w:rPr>
                      <w:b/>
                      <w:color w:val="auto"/>
                      <w:szCs w:val="21"/>
                      <w:highlight w:val="none"/>
                    </w:rPr>
                  </w:pPr>
                  <w:r>
                    <w:rPr>
                      <w:rFonts w:hint="eastAsia"/>
                      <w:b/>
                      <w:color w:val="auto"/>
                      <w:szCs w:val="21"/>
                      <w:highlight w:val="none"/>
                    </w:rPr>
                    <w:t>指南</w:t>
                  </w:r>
                  <w:r>
                    <w:rPr>
                      <w:b/>
                      <w:color w:val="auto"/>
                      <w:szCs w:val="21"/>
                      <w:highlight w:val="none"/>
                    </w:rPr>
                    <w:t>要求</w:t>
                  </w:r>
                </w:p>
              </w:tc>
              <w:tc>
                <w:tcPr>
                  <w:tcW w:w="851" w:type="pct"/>
                  <w:noWrap w:val="0"/>
                  <w:vAlign w:val="center"/>
                </w:tcPr>
                <w:p>
                  <w:pPr>
                    <w:jc w:val="center"/>
                    <w:rPr>
                      <w:b/>
                      <w:color w:val="auto"/>
                      <w:szCs w:val="21"/>
                      <w:highlight w:val="none"/>
                    </w:rPr>
                  </w:pPr>
                  <w:r>
                    <w:rPr>
                      <w:rFonts w:hint="eastAsia"/>
                      <w:b/>
                      <w:color w:val="auto"/>
                      <w:szCs w:val="21"/>
                      <w:highlight w:val="none"/>
                    </w:rPr>
                    <w:t>项目情况</w:t>
                  </w:r>
                </w:p>
              </w:tc>
              <w:tc>
                <w:tcPr>
                  <w:tcW w:w="615" w:type="pct"/>
                  <w:noWrap w:val="0"/>
                  <w:vAlign w:val="center"/>
                </w:tcPr>
                <w:p>
                  <w:pPr>
                    <w:jc w:val="center"/>
                    <w:rPr>
                      <w:b/>
                      <w:color w:val="auto"/>
                      <w:szCs w:val="21"/>
                      <w:highlight w:val="none"/>
                    </w:rPr>
                  </w:pPr>
                  <w:r>
                    <w:rPr>
                      <w:rFonts w:hint="eastAsia"/>
                      <w:b/>
                      <w:color w:val="auto"/>
                      <w:szCs w:val="21"/>
                      <w:highlight w:val="none"/>
                    </w:rPr>
                    <w:t>相符</w:t>
                  </w:r>
                  <w:r>
                    <w:rPr>
                      <w:b/>
                      <w:color w:val="auto"/>
                      <w:szCs w:val="21"/>
                      <w:highlight w:val="none"/>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pPr>
                    <w:jc w:val="center"/>
                    <w:rPr>
                      <w:color w:val="auto"/>
                      <w:szCs w:val="21"/>
                    </w:rPr>
                  </w:pPr>
                  <w:r>
                    <w:rPr>
                      <w:rFonts w:hint="eastAsia"/>
                      <w:color w:val="auto"/>
                      <w:szCs w:val="21"/>
                    </w:rPr>
                    <w:t>1</w:t>
                  </w:r>
                </w:p>
              </w:tc>
              <w:tc>
                <w:tcPr>
                  <w:tcW w:w="3054" w:type="pct"/>
                  <w:noWrap w:val="0"/>
                  <w:vAlign w:val="center"/>
                </w:tcPr>
                <w:p>
                  <w:pPr>
                    <w:widowControl/>
                    <w:rPr>
                      <w:color w:val="auto"/>
                      <w:szCs w:val="21"/>
                      <w:highlight w:val="none"/>
                    </w:rPr>
                  </w:pPr>
                  <w:r>
                    <w:rPr>
                      <w:color w:val="auto"/>
                      <w:szCs w:val="21"/>
                      <w:highlight w:val="none"/>
                    </w:rPr>
                    <w:t>一、大力推进源头替代，有效减少 VOCs 产生：</w:t>
                  </w:r>
                </w:p>
                <w:p>
                  <w:pPr>
                    <w:widowControl/>
                    <w:rPr>
                      <w:color w:val="auto"/>
                      <w:szCs w:val="21"/>
                      <w:highlight w:val="none"/>
                    </w:rPr>
                  </w:pPr>
                  <w:r>
                    <w:rPr>
                      <w:color w:val="auto"/>
                      <w:szCs w:val="21"/>
                      <w:highlight w:val="none"/>
                    </w:rPr>
                    <w:t>严格落实国家和地方产品 VOCs 含量限值标准。2020 年 7 月 1 日起，船舶涂料和地坪涂料生产、销售和使用应满足新颁布实施的国家产品有害物质限量标准要求。督促生产企业提前做好油墨、胶粘剂、清洗剂及木器、车辆、建筑用外墙、工业防护涂料等有害物质限量标准实施准备工作，在标准正式生效前有序完成切换，有条件的地区根据环境空气质量改善需要提前实施。将全面使用符合国家要求的低VOCs 含量原辅材料的企业纳入正面清单和政府绿色采购清单。生产设施防腐防水防锈涂装应避开夏季或采用低 VOCs 含量涂料。使用的原辅材料 VOCs 含量（质量比）均低于 10%的工序，可不要求采取无组织排放收集和处理措施。推进政府绿色采购，要求家具、印刷等政府定点招标采购企业优先使用低挥发性原辅材料，鼓励汽车维修等政府定点招标采购企业使用低挥发性原辅材料；将低 VOCs 含量产品纳入政府采购名录，并在政府投资项目中优先使用；引导将使用低 VOCs 含量涂料、胶粘剂等纳入政府采购装修合同环保条款。</w:t>
                  </w:r>
                </w:p>
              </w:tc>
              <w:tc>
                <w:tcPr>
                  <w:tcW w:w="851" w:type="pct"/>
                  <w:noWrap w:val="0"/>
                  <w:vAlign w:val="center"/>
                </w:tcPr>
                <w:p>
                  <w:pPr>
                    <w:widowControl/>
                    <w:rPr>
                      <w:rFonts w:hint="eastAsia"/>
                      <w:color w:val="auto"/>
                      <w:szCs w:val="21"/>
                      <w:highlight w:val="none"/>
                    </w:rPr>
                  </w:pPr>
                  <w:r>
                    <w:rPr>
                      <w:rFonts w:hint="eastAsia"/>
                      <w:color w:val="auto"/>
                      <w:szCs w:val="21"/>
                      <w:highlight w:val="none"/>
                    </w:rPr>
                    <w:t>建设单位严格把关原材料的采购，本项目使用的原料为低VOCs含量的</w:t>
                  </w:r>
                  <w:r>
                    <w:rPr>
                      <w:rFonts w:hint="eastAsia"/>
                      <w:color w:val="auto"/>
                      <w:szCs w:val="21"/>
                      <w:highlight w:val="none"/>
                      <w:lang w:eastAsia="zh-CN"/>
                    </w:rPr>
                    <w:t>水性</w:t>
                  </w:r>
                  <w:r>
                    <w:rPr>
                      <w:rFonts w:hint="eastAsia"/>
                      <w:color w:val="auto"/>
                      <w:szCs w:val="21"/>
                      <w:highlight w:val="none"/>
                      <w:lang w:val="en-US" w:eastAsia="zh-CN"/>
                    </w:rPr>
                    <w:t>原料</w:t>
                  </w:r>
                  <w:r>
                    <w:rPr>
                      <w:rFonts w:hint="eastAsia"/>
                      <w:color w:val="auto"/>
                      <w:szCs w:val="21"/>
                      <w:highlight w:val="none"/>
                    </w:rPr>
                    <w:t>。</w:t>
                  </w:r>
                </w:p>
              </w:tc>
              <w:tc>
                <w:tcPr>
                  <w:tcW w:w="615" w:type="pct"/>
                  <w:noWrap w:val="0"/>
                  <w:vAlign w:val="center"/>
                </w:tcPr>
                <w:p>
                  <w:pPr>
                    <w:jc w:val="center"/>
                    <w:rPr>
                      <w:rFonts w:hint="eastAsia"/>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pPr>
                    <w:jc w:val="center"/>
                    <w:rPr>
                      <w:color w:val="auto"/>
                      <w:szCs w:val="21"/>
                    </w:rPr>
                  </w:pPr>
                  <w:r>
                    <w:rPr>
                      <w:rFonts w:hint="eastAsia"/>
                      <w:color w:val="auto"/>
                      <w:szCs w:val="21"/>
                    </w:rPr>
                    <w:t>2</w:t>
                  </w:r>
                </w:p>
              </w:tc>
              <w:tc>
                <w:tcPr>
                  <w:tcW w:w="3054" w:type="pct"/>
                  <w:noWrap w:val="0"/>
                  <w:vAlign w:val="center"/>
                </w:tcPr>
                <w:p>
                  <w:pPr>
                    <w:widowControl/>
                    <w:rPr>
                      <w:color w:val="auto"/>
                      <w:szCs w:val="21"/>
                    </w:rPr>
                  </w:pPr>
                  <w:r>
                    <w:rPr>
                      <w:color w:val="auto"/>
                      <w:szCs w:val="21"/>
                    </w:rPr>
                    <w:t>二、全面落实标准要求，强化无组织排放控制：</w:t>
                  </w:r>
                </w:p>
                <w:p>
                  <w:pPr>
                    <w:widowControl/>
                    <w:rPr>
                      <w:color w:val="auto"/>
                      <w:szCs w:val="21"/>
                    </w:rPr>
                  </w:pPr>
                  <w:r>
                    <w:rPr>
                      <w:color w:val="auto"/>
                      <w:szCs w:val="21"/>
                    </w:rPr>
                    <w:t>2020年7月1日起全面执行《挥发性有机物无组织排放控制标准》，落实无组织排放特别控制要求。各地要加大标准生效时间、涉及行业及控制要求等宣贯力度，通过现场指导、组织培训、新媒体信息推送等多种方式，督促指导企业对照标准要求开展含 VOCs 物料（包括含VOCs原辅材料、含 VOCs 产品、含 VOCs 废料以及有机聚合物材料等）储存、转移和输送、设备与管线组件泄漏、敞开液面逸散以及工艺过程等无组织排放环节排查整治，对达不到要求的加快整改。指导企业制定 VOCs 无组织排放控制规程，细化到具体工序和生产环节，以及启停机、检维修作业等，落实到具体责任人； 健全内部考核制度，严格按照操作规程生产。企业在无组织排放排查整治过程中，在保证安全的前提下，加强含 VOCs 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处置环节应将盛装过 VOCs 物料的废包装容器加盖密闭，按要求妥善处置，不得随意丢弃；高 VOCs 含量废水的集输、储存和处理环节，应加盖密闭。</w:t>
                  </w:r>
                </w:p>
              </w:tc>
              <w:tc>
                <w:tcPr>
                  <w:tcW w:w="851" w:type="pct"/>
                  <w:noWrap w:val="0"/>
                  <w:vAlign w:val="center"/>
                </w:tcPr>
                <w:p>
                  <w:pPr>
                    <w:widowControl/>
                    <w:rPr>
                      <w:color w:val="auto"/>
                      <w:szCs w:val="21"/>
                      <w:highlight w:val="yellow"/>
                    </w:rPr>
                  </w:pPr>
                  <w:r>
                    <w:rPr>
                      <w:rFonts w:hint="eastAsia"/>
                      <w:color w:val="auto"/>
                      <w:szCs w:val="21"/>
                      <w:highlight w:val="none"/>
                      <w:lang w:val="en-US" w:eastAsia="zh-CN"/>
                    </w:rPr>
                    <w:t>项目原料均</w:t>
                  </w:r>
                  <w:r>
                    <w:rPr>
                      <w:rFonts w:hint="eastAsia"/>
                      <w:color w:val="auto"/>
                      <w:szCs w:val="21"/>
                      <w:highlight w:val="none"/>
                    </w:rPr>
                    <w:t>在密闭的容器内储存，不使用时保持密闭</w:t>
                  </w:r>
                  <w:r>
                    <w:rPr>
                      <w:rFonts w:hint="eastAsia"/>
                      <w:color w:val="auto"/>
                      <w:szCs w:val="21"/>
                      <w:highlight w:val="none"/>
                      <w:lang w:eastAsia="zh-CN"/>
                    </w:rPr>
                    <w:t>，</w:t>
                  </w:r>
                  <w:r>
                    <w:rPr>
                      <w:rFonts w:hint="eastAsia"/>
                      <w:color w:val="auto"/>
                      <w:szCs w:val="21"/>
                      <w:highlight w:val="none"/>
                    </w:rPr>
                    <w:t>未开封的存放于原材料仓。生产过程中产生的有机废气量经“UV光解+活性炭吸附”处理后能达标排放。</w:t>
                  </w:r>
                </w:p>
              </w:tc>
              <w:tc>
                <w:tcPr>
                  <w:tcW w:w="615" w:type="pct"/>
                  <w:noWrap w:val="0"/>
                  <w:vAlign w:val="center"/>
                </w:tcPr>
                <w:p>
                  <w:pPr>
                    <w:jc w:val="center"/>
                    <w:rPr>
                      <w:color w:val="auto"/>
                      <w:szCs w:val="21"/>
                    </w:rPr>
                  </w:pPr>
                  <w:r>
                    <w:rPr>
                      <w:rFonts w:hint="eastAsia"/>
                      <w:color w:val="auto"/>
                      <w:szCs w:val="21"/>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Cs w:val="21"/>
                <w:u w:val="none"/>
                <w:lang w:eastAsia="zh-CN"/>
              </w:rPr>
            </w:pPr>
          </w:p>
        </w:tc>
      </w:tr>
    </w:tbl>
    <w:p>
      <w:pPr>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1"/>
        <w:jc w:val="center"/>
        <w:outlineLvl w:val="0"/>
        <w:rPr>
          <w:rFonts w:ascii="黑体" w:hAnsi="黑体" w:eastAsia="黑体"/>
          <w:snapToGrid w:val="0"/>
          <w:color w:val="auto"/>
          <w:sz w:val="30"/>
          <w:szCs w:val="30"/>
          <w:highlight w:val="none"/>
        </w:rPr>
      </w:pPr>
      <w:bookmarkStart w:id="5" w:name="_Toc200"/>
      <w:bookmarkStart w:id="6" w:name="_Toc9336"/>
      <w:bookmarkStart w:id="7" w:name="_Toc13888"/>
      <w:r>
        <w:rPr>
          <w:rFonts w:hint="eastAsia" w:ascii="黑体" w:hAnsi="黑体" w:eastAsia="黑体"/>
          <w:snapToGrid w:val="0"/>
          <w:color w:val="auto"/>
          <w:sz w:val="30"/>
          <w:szCs w:val="30"/>
          <w:highlight w:val="none"/>
        </w:rPr>
        <w:t>二、建设项目工程分析</w:t>
      </w:r>
      <w:bookmarkEnd w:id="5"/>
      <w:bookmarkEnd w:id="6"/>
      <w:bookmarkEnd w:id="7"/>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7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911" w:type="dxa"/>
            <w:noWrap w:val="0"/>
            <w:vAlign w:val="center"/>
          </w:tcPr>
          <w:p>
            <w:pPr>
              <w:pStyle w:val="11"/>
              <w:adjustRightInd w:val="0"/>
              <w:snapToGrid w:val="0"/>
              <w:spacing w:before="0" w:beforeAutospacing="0" w:after="0" w:afterAutospacing="0"/>
              <w:jc w:val="center"/>
              <w:rPr>
                <w:rFonts w:cs="宋体"/>
                <w:color w:val="auto"/>
                <w:sz w:val="21"/>
                <w:szCs w:val="21"/>
                <w:u w:val="none"/>
              </w:rPr>
            </w:pPr>
            <w:r>
              <w:rPr>
                <w:rFonts w:hint="eastAsia" w:cs="宋体"/>
                <w:color w:val="auto"/>
                <w:sz w:val="24"/>
                <w:szCs w:val="24"/>
                <w:u w:val="none"/>
              </w:rPr>
              <w:t>建设内容</w:t>
            </w:r>
          </w:p>
        </w:tc>
        <w:tc>
          <w:tcPr>
            <w:tcW w:w="7611" w:type="dxa"/>
            <w:noWrap w:val="0"/>
            <w:vAlign w:val="top"/>
          </w:tcPr>
          <w:p>
            <w:pPr>
              <w:wordWrap w:val="0"/>
              <w:spacing w:line="360" w:lineRule="auto"/>
              <w:jc w:val="left"/>
              <w:rPr>
                <w:rFonts w:hint="eastAsia"/>
                <w:b/>
                <w:color w:val="auto"/>
                <w:sz w:val="24"/>
                <w:u w:val="none"/>
              </w:rPr>
            </w:pPr>
            <w:r>
              <w:rPr>
                <w:rFonts w:hint="eastAsia"/>
                <w:b/>
                <w:color w:val="auto"/>
                <w:sz w:val="24"/>
                <w:u w:val="none"/>
              </w:rPr>
              <w:t>1、项目概况</w:t>
            </w:r>
          </w:p>
          <w:p>
            <w:pPr>
              <w:wordWrap w:val="0"/>
              <w:spacing w:line="360" w:lineRule="auto"/>
              <w:ind w:firstLine="480" w:firstLineChars="200"/>
              <w:jc w:val="both"/>
              <w:rPr>
                <w:rFonts w:hint="default" w:ascii="Times New Roman" w:hAnsi="Times New Roman" w:cs="Times New Roman"/>
                <w:color w:val="auto"/>
                <w:sz w:val="24"/>
                <w:u w:val="none"/>
                <w:lang w:eastAsia="zh-CN"/>
              </w:rPr>
            </w:pPr>
            <w:r>
              <w:rPr>
                <w:rFonts w:hint="default" w:ascii="Times New Roman" w:hAnsi="Times New Roman" w:cs="Times New Roman"/>
                <w:color w:val="auto"/>
                <w:sz w:val="24"/>
                <w:u w:val="none"/>
              </w:rPr>
              <w:t>本项目位于</w:t>
            </w:r>
            <w:r>
              <w:rPr>
                <w:rFonts w:hint="eastAsia" w:cs="Times New Roman"/>
                <w:color w:val="auto"/>
                <w:sz w:val="24"/>
                <w:u w:val="none"/>
                <w:lang w:eastAsia="zh-CN"/>
              </w:rPr>
              <w:t>湖南省永州市新田县电子信息产业园10栋</w:t>
            </w:r>
            <w:r>
              <w:rPr>
                <w:rFonts w:hint="eastAsia" w:cs="Times New Roman"/>
                <w:color w:val="auto"/>
                <w:sz w:val="24"/>
                <w:u w:val="none"/>
                <w:lang w:val="en-US" w:eastAsia="zh-CN"/>
              </w:rPr>
              <w:t>第二层</w:t>
            </w:r>
            <w:r>
              <w:rPr>
                <w:rFonts w:hint="eastAsia" w:cs="Times New Roman"/>
                <w:color w:val="auto"/>
                <w:sz w:val="24"/>
                <w:u w:val="none"/>
                <w:lang w:eastAsia="zh-CN"/>
              </w:rPr>
              <w:t>。</w:t>
            </w:r>
            <w:r>
              <w:rPr>
                <w:rFonts w:hint="eastAsia" w:cs="Times New Roman"/>
                <w:color w:val="auto"/>
                <w:sz w:val="24"/>
                <w:u w:val="single"/>
                <w:lang w:eastAsia="zh-CN"/>
              </w:rPr>
              <w:t>项目总投资</w:t>
            </w:r>
            <w:r>
              <w:rPr>
                <w:rFonts w:hint="eastAsia" w:cs="Times New Roman"/>
                <w:color w:val="auto"/>
                <w:sz w:val="24"/>
                <w:u w:val="single"/>
                <w:lang w:val="en-US" w:eastAsia="zh-CN"/>
              </w:rPr>
              <w:t>6000万元</w:t>
            </w:r>
            <w:r>
              <w:rPr>
                <w:rFonts w:hint="eastAsia" w:cs="Times New Roman"/>
                <w:color w:val="auto"/>
                <w:sz w:val="24"/>
                <w:u w:val="single"/>
                <w:lang w:eastAsia="zh-CN"/>
              </w:rPr>
              <w:t>。</w:t>
            </w:r>
            <w:r>
              <w:rPr>
                <w:rFonts w:hint="default" w:ascii="Times New Roman" w:hAnsi="Times New Roman" w:cs="Times New Roman"/>
                <w:color w:val="auto"/>
                <w:sz w:val="24"/>
                <w:u w:val="single"/>
              </w:rPr>
              <w:t>公司主要产品为聚氨酯泡绵</w:t>
            </w:r>
            <w:r>
              <w:rPr>
                <w:rFonts w:hint="eastAsia" w:cs="Times New Roman"/>
                <w:color w:val="auto"/>
                <w:sz w:val="24"/>
                <w:u w:val="single"/>
                <w:lang w:eastAsia="zh-CN"/>
              </w:rPr>
              <w:t>，设计规模为：</w:t>
            </w:r>
            <w:r>
              <w:rPr>
                <w:rFonts w:hint="eastAsia"/>
                <w:color w:val="auto"/>
                <w:sz w:val="24"/>
                <w:szCs w:val="24"/>
                <w:u w:val="single"/>
              </w:rPr>
              <w:t>年产340万米聚氨酯泡绵</w:t>
            </w:r>
            <w:r>
              <w:rPr>
                <w:rFonts w:hint="eastAsia"/>
                <w:color w:val="auto"/>
                <w:sz w:val="24"/>
                <w:szCs w:val="24"/>
                <w:u w:val="single"/>
                <w:lang w:eastAsia="zh-CN"/>
              </w:rPr>
              <w:t>。</w:t>
            </w:r>
            <w:r>
              <w:rPr>
                <w:rFonts w:hint="eastAsia" w:ascii="Times New Roman" w:hAnsi="Times New Roman" w:cs="Times New Roman"/>
                <w:color w:val="auto"/>
                <w:sz w:val="24"/>
                <w:u w:val="none"/>
                <w:lang w:val="en-US" w:eastAsia="zh-CN"/>
              </w:rPr>
              <w:t>本项</w:t>
            </w:r>
            <w:r>
              <w:rPr>
                <w:rFonts w:hint="eastAsia" w:ascii="Times New Roman" w:hAnsi="Times New Roman" w:cs="Times New Roman"/>
                <w:color w:val="auto"/>
                <w:sz w:val="24"/>
                <w:highlight w:val="none"/>
                <w:u w:val="none"/>
                <w:lang w:val="en-US" w:eastAsia="zh-CN"/>
              </w:rPr>
              <w:t>目生产的产品</w:t>
            </w:r>
            <w:r>
              <w:rPr>
                <w:rFonts w:hint="eastAsia" w:cs="Times New Roman"/>
                <w:color w:val="auto"/>
                <w:sz w:val="24"/>
                <w:highlight w:val="none"/>
                <w:u w:val="none"/>
                <w:lang w:val="en-US" w:eastAsia="zh-CN"/>
              </w:rPr>
              <w:t>目前普遍应</w:t>
            </w:r>
            <w:r>
              <w:rPr>
                <w:rFonts w:hint="default" w:ascii="Times New Roman" w:hAnsi="Times New Roman" w:cs="Times New Roman"/>
                <w:color w:val="auto"/>
                <w:sz w:val="24"/>
                <w:highlight w:val="none"/>
                <w:u w:val="none"/>
                <w:lang w:eastAsia="zh-CN"/>
              </w:rPr>
              <w:t>用于</w:t>
            </w:r>
            <w:r>
              <w:rPr>
                <w:rFonts w:hint="eastAsia" w:cs="Times New Roman"/>
                <w:color w:val="auto"/>
                <w:sz w:val="24"/>
                <w:highlight w:val="none"/>
                <w:u w:val="none"/>
                <w:lang w:val="en-US" w:eastAsia="zh-CN"/>
              </w:rPr>
              <w:t>电子行业和汽车行业等，主要作用为隔音，减震</w:t>
            </w:r>
            <w:r>
              <w:rPr>
                <w:rFonts w:hint="default" w:ascii="Times New Roman" w:hAnsi="Times New Roman" w:cs="Times New Roman"/>
                <w:color w:val="auto"/>
                <w:sz w:val="24"/>
                <w:highlight w:val="none"/>
                <w:u w:val="none"/>
                <w:lang w:eastAsia="zh-CN"/>
              </w:rPr>
              <w:t>。根据《国民经济行业分</w:t>
            </w:r>
            <w:r>
              <w:rPr>
                <w:rFonts w:hint="default" w:ascii="Times New Roman" w:hAnsi="Times New Roman" w:cs="Times New Roman"/>
                <w:color w:val="auto"/>
                <w:sz w:val="24"/>
                <w:u w:val="none"/>
                <w:lang w:eastAsia="zh-CN"/>
              </w:rPr>
              <w:t>类》（GB/T4754-2017），本项目属于</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lang w:eastAsia="zh-CN"/>
              </w:rPr>
              <w:t>C2924泡沫塑料制造</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u w:val="none"/>
                <w:lang w:eastAsia="zh-CN"/>
              </w:rPr>
              <w:t>。</w:t>
            </w:r>
          </w:p>
          <w:p>
            <w:pPr>
              <w:wordWrap w:val="0"/>
              <w:spacing w:line="360" w:lineRule="auto"/>
              <w:ind w:firstLine="480" w:firstLineChars="200"/>
              <w:jc w:val="both"/>
              <w:rPr>
                <w:rFonts w:hint="default" w:ascii="Times New Roman" w:hAnsi="Times New Roman" w:cs="Times New Roman"/>
                <w:b/>
                <w:bCs/>
                <w:color w:val="auto"/>
                <w:szCs w:val="21"/>
                <w:u w:val="none"/>
              </w:rPr>
            </w:pPr>
            <w:r>
              <w:rPr>
                <w:rFonts w:hint="eastAsia" w:ascii="Times New Roman" w:hAnsi="Times New Roman" w:cs="Times New Roman"/>
                <w:color w:val="auto"/>
                <w:sz w:val="24"/>
                <w:u w:val="none"/>
                <w:lang w:val="en-US" w:eastAsia="zh-CN"/>
              </w:rPr>
              <w:t>项目</w:t>
            </w:r>
            <w:r>
              <w:rPr>
                <w:rFonts w:hint="default" w:ascii="Times New Roman" w:hAnsi="Times New Roman" w:cs="Times New Roman"/>
                <w:color w:val="auto"/>
                <w:sz w:val="24"/>
                <w:u w:val="none"/>
              </w:rPr>
              <w:t>详细工程内容见下表。</w:t>
            </w:r>
          </w:p>
          <w:p>
            <w:pPr>
              <w:wordWrap w:val="0"/>
              <w:spacing w:line="360" w:lineRule="auto"/>
              <w:jc w:val="center"/>
              <w:rPr>
                <w:b/>
                <w:bCs/>
                <w:color w:val="auto"/>
                <w:szCs w:val="21"/>
                <w:u w:val="none"/>
              </w:rPr>
            </w:pPr>
            <w:r>
              <w:rPr>
                <w:b/>
                <w:bCs/>
                <w:color w:val="auto"/>
                <w:szCs w:val="21"/>
                <w:u w:val="none"/>
              </w:rPr>
              <w:t>表</w:t>
            </w:r>
            <w:r>
              <w:rPr>
                <w:rFonts w:hint="eastAsia"/>
                <w:b/>
                <w:bCs/>
                <w:color w:val="auto"/>
                <w:szCs w:val="21"/>
                <w:u w:val="none"/>
              </w:rPr>
              <w:t>2</w:t>
            </w:r>
            <w:r>
              <w:rPr>
                <w:b/>
                <w:bCs/>
                <w:color w:val="auto"/>
                <w:szCs w:val="21"/>
                <w:u w:val="none"/>
              </w:rPr>
              <w:t>-1  项目工程内容一览表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2"/>
              <w:gridCol w:w="1137"/>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noWrap w:val="0"/>
                  <w:vAlign w:val="center"/>
                </w:tcPr>
                <w:p>
                  <w:pPr>
                    <w:pStyle w:val="30"/>
                    <w:jc w:val="center"/>
                    <w:rPr>
                      <w:b/>
                      <w:bCs/>
                      <w:color w:val="auto"/>
                      <w:sz w:val="21"/>
                      <w:szCs w:val="21"/>
                      <w:u w:val="none"/>
                    </w:rPr>
                  </w:pPr>
                  <w:r>
                    <w:rPr>
                      <w:b/>
                      <w:bCs/>
                      <w:color w:val="auto"/>
                      <w:sz w:val="21"/>
                      <w:szCs w:val="21"/>
                      <w:u w:val="none"/>
                    </w:rPr>
                    <w:t>工程</w:t>
                  </w:r>
                </w:p>
              </w:tc>
              <w:tc>
                <w:tcPr>
                  <w:tcW w:w="770" w:type="pct"/>
                  <w:noWrap w:val="0"/>
                  <w:vAlign w:val="center"/>
                </w:tcPr>
                <w:p>
                  <w:pPr>
                    <w:pStyle w:val="30"/>
                    <w:jc w:val="center"/>
                    <w:rPr>
                      <w:b/>
                      <w:bCs/>
                      <w:color w:val="auto"/>
                      <w:sz w:val="21"/>
                      <w:szCs w:val="21"/>
                      <w:u w:val="none"/>
                    </w:rPr>
                  </w:pPr>
                  <w:r>
                    <w:rPr>
                      <w:b/>
                      <w:bCs/>
                      <w:color w:val="auto"/>
                      <w:sz w:val="21"/>
                      <w:szCs w:val="21"/>
                      <w:u w:val="none"/>
                    </w:rPr>
                    <w:t>项目名称</w:t>
                  </w:r>
                </w:p>
              </w:tc>
              <w:tc>
                <w:tcPr>
                  <w:tcW w:w="3855" w:type="pct"/>
                  <w:noWrap w:val="0"/>
                  <w:vAlign w:val="center"/>
                </w:tcPr>
                <w:p>
                  <w:pPr>
                    <w:pStyle w:val="30"/>
                    <w:jc w:val="center"/>
                    <w:rPr>
                      <w:b/>
                      <w:bCs/>
                      <w:color w:val="auto"/>
                      <w:sz w:val="21"/>
                      <w:szCs w:val="21"/>
                      <w:u w:val="none"/>
                    </w:rPr>
                  </w:pPr>
                  <w:r>
                    <w:rPr>
                      <w:b/>
                      <w:bCs/>
                      <w:color w:val="auto"/>
                      <w:sz w:val="21"/>
                      <w:szCs w:val="21"/>
                      <w:u w:val="none"/>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noWrap w:val="0"/>
                  <w:vAlign w:val="center"/>
                </w:tcPr>
                <w:p>
                  <w:pPr>
                    <w:pStyle w:val="30"/>
                    <w:jc w:val="center"/>
                    <w:rPr>
                      <w:color w:val="auto"/>
                      <w:sz w:val="21"/>
                      <w:szCs w:val="21"/>
                      <w:highlight w:val="none"/>
                      <w:u w:val="none"/>
                    </w:rPr>
                  </w:pPr>
                  <w:r>
                    <w:rPr>
                      <w:color w:val="auto"/>
                      <w:sz w:val="21"/>
                      <w:szCs w:val="21"/>
                      <w:highlight w:val="none"/>
                      <w:u w:val="none"/>
                    </w:rPr>
                    <w:t>主体工程</w:t>
                  </w:r>
                </w:p>
              </w:tc>
              <w:tc>
                <w:tcPr>
                  <w:tcW w:w="770" w:type="pct"/>
                  <w:noWrap w:val="0"/>
                  <w:vAlign w:val="center"/>
                </w:tcPr>
                <w:p>
                  <w:pPr>
                    <w:pStyle w:val="3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生产车间</w:t>
                  </w:r>
                </w:p>
              </w:tc>
              <w:tc>
                <w:tcPr>
                  <w:tcW w:w="3855" w:type="pct"/>
                  <w:noWrap w:val="0"/>
                  <w:vAlign w:val="center"/>
                </w:tcPr>
                <w:p>
                  <w:pPr>
                    <w:pStyle w:val="30"/>
                    <w:jc w:val="center"/>
                    <w:rPr>
                      <w:rFonts w:hint="default"/>
                      <w:color w:val="auto"/>
                      <w:sz w:val="21"/>
                      <w:szCs w:val="21"/>
                      <w:highlight w:val="none"/>
                      <w:u w:val="none"/>
                      <w:lang w:val="en-US"/>
                    </w:rPr>
                  </w:pPr>
                  <w:r>
                    <w:rPr>
                      <w:rFonts w:hint="eastAsia"/>
                      <w:color w:val="auto"/>
                      <w:sz w:val="21"/>
                      <w:szCs w:val="21"/>
                      <w:highlight w:val="none"/>
                      <w:u w:val="none"/>
                      <w:lang w:val="en-US" w:eastAsia="zh-CN"/>
                    </w:rPr>
                    <w:t>一条涂布线，进料检验、发泡、搅拌、涂布、熟化、印刷、分切、检验、入库包装，</w:t>
                  </w: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350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restart"/>
                  <w:noWrap w:val="0"/>
                  <w:vAlign w:val="center"/>
                </w:tcPr>
                <w:p>
                  <w:pPr>
                    <w:pStyle w:val="30"/>
                    <w:jc w:val="center"/>
                    <w:rPr>
                      <w:color w:val="auto"/>
                      <w:sz w:val="21"/>
                      <w:szCs w:val="21"/>
                      <w:highlight w:val="none"/>
                      <w:u w:val="none"/>
                    </w:rPr>
                  </w:pPr>
                  <w:r>
                    <w:rPr>
                      <w:rFonts w:hint="eastAsia"/>
                      <w:color w:val="auto"/>
                      <w:sz w:val="21"/>
                      <w:szCs w:val="21"/>
                      <w:highlight w:val="none"/>
                      <w:u w:val="none"/>
                    </w:rPr>
                    <w:t>辅助工程</w:t>
                  </w:r>
                </w:p>
              </w:tc>
              <w:tc>
                <w:tcPr>
                  <w:tcW w:w="770" w:type="pct"/>
                  <w:noWrap w:val="0"/>
                  <w:vAlign w:val="center"/>
                </w:tcPr>
                <w:p>
                  <w:pPr>
                    <w:pStyle w:val="3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原料仓</w:t>
                  </w:r>
                </w:p>
              </w:tc>
              <w:tc>
                <w:tcPr>
                  <w:tcW w:w="3855" w:type="pct"/>
                  <w:noWrap w:val="0"/>
                  <w:vAlign w:val="center"/>
                </w:tcPr>
                <w:p>
                  <w:pPr>
                    <w:pStyle w:val="30"/>
                    <w:jc w:val="center"/>
                    <w:rPr>
                      <w:rFonts w:hint="default" w:eastAsia="宋体"/>
                      <w:color w:val="auto"/>
                      <w:sz w:val="21"/>
                      <w:szCs w:val="21"/>
                      <w:highlight w:val="none"/>
                      <w:u w:val="none"/>
                      <w:lang w:val="en-US" w:eastAsia="zh-CN"/>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162</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配料室</w:t>
                  </w:r>
                </w:p>
              </w:tc>
              <w:tc>
                <w:tcPr>
                  <w:tcW w:w="3855" w:type="pct"/>
                  <w:noWrap w:val="0"/>
                  <w:vAlign w:val="center"/>
                </w:tcPr>
                <w:p>
                  <w:pPr>
                    <w:pStyle w:val="30"/>
                    <w:jc w:val="center"/>
                    <w:rPr>
                      <w:rFonts w:hint="eastAsia"/>
                      <w:color w:val="auto"/>
                      <w:sz w:val="21"/>
                      <w:szCs w:val="21"/>
                      <w:highlight w:val="yellow"/>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65</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工具室</w:t>
                  </w:r>
                </w:p>
              </w:tc>
              <w:tc>
                <w:tcPr>
                  <w:tcW w:w="3855" w:type="pct"/>
                  <w:noWrap w:val="0"/>
                  <w:vAlign w:val="center"/>
                </w:tcPr>
                <w:p>
                  <w:pPr>
                    <w:pStyle w:val="30"/>
                    <w:jc w:val="center"/>
                    <w:rPr>
                      <w:rFonts w:hint="eastAsia"/>
                      <w:color w:val="auto"/>
                      <w:sz w:val="21"/>
                      <w:szCs w:val="21"/>
                      <w:highlight w:val="yellow"/>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4</w:t>
                  </w:r>
                  <w:r>
                    <w:rPr>
                      <w:rFonts w:hint="eastAsia"/>
                      <w:color w:val="auto"/>
                      <w:sz w:val="21"/>
                      <w:szCs w:val="21"/>
                      <w:highlight w:val="none"/>
                      <w:u w:val="none"/>
                    </w:rPr>
                    <w:t>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eastAsia"/>
                      <w:color w:val="auto"/>
                      <w:sz w:val="21"/>
                      <w:szCs w:val="21"/>
                      <w:highlight w:val="none"/>
                      <w:u w:val="none"/>
                    </w:rPr>
                  </w:pPr>
                  <w:r>
                    <w:rPr>
                      <w:rFonts w:hint="eastAsia"/>
                      <w:color w:val="auto"/>
                      <w:sz w:val="21"/>
                      <w:szCs w:val="21"/>
                      <w:highlight w:val="none"/>
                      <w:u w:val="none"/>
                      <w:lang w:val="en-US" w:eastAsia="zh-CN"/>
                    </w:rPr>
                    <w:t>机房</w:t>
                  </w:r>
                </w:p>
              </w:tc>
              <w:tc>
                <w:tcPr>
                  <w:tcW w:w="3855" w:type="pct"/>
                  <w:noWrap w:val="0"/>
                  <w:vAlign w:val="center"/>
                </w:tcPr>
                <w:p>
                  <w:pPr>
                    <w:pStyle w:val="30"/>
                    <w:jc w:val="center"/>
                    <w:rPr>
                      <w:color w:val="auto"/>
                      <w:sz w:val="21"/>
                      <w:szCs w:val="21"/>
                      <w:highlight w:val="yellow"/>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7</w:t>
                  </w:r>
                  <w:r>
                    <w:rPr>
                      <w:rFonts w:hint="eastAsia"/>
                      <w:color w:val="auto"/>
                      <w:sz w:val="21"/>
                      <w:szCs w:val="21"/>
                      <w:highlight w:val="none"/>
                      <w:u w:val="none"/>
                    </w:rPr>
                    <w:t>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杂物房</w:t>
                  </w:r>
                </w:p>
              </w:tc>
              <w:tc>
                <w:tcPr>
                  <w:tcW w:w="3855" w:type="pct"/>
                  <w:noWrap w:val="0"/>
                  <w:vAlign w:val="center"/>
                </w:tcPr>
                <w:p>
                  <w:pPr>
                    <w:pStyle w:val="30"/>
                    <w:jc w:val="center"/>
                    <w:rPr>
                      <w:rFonts w:hint="eastAsia"/>
                      <w:color w:val="auto"/>
                      <w:sz w:val="21"/>
                      <w:szCs w:val="21"/>
                      <w:highlight w:val="yellow"/>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7</w:t>
                  </w:r>
                  <w:r>
                    <w:rPr>
                      <w:rFonts w:hint="eastAsia"/>
                      <w:color w:val="auto"/>
                      <w:sz w:val="21"/>
                      <w:szCs w:val="21"/>
                      <w:highlight w:val="none"/>
                      <w:u w:val="none"/>
                    </w:rPr>
                    <w:t>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成品仓</w:t>
                  </w:r>
                </w:p>
              </w:tc>
              <w:tc>
                <w:tcPr>
                  <w:tcW w:w="3855" w:type="pct"/>
                  <w:noWrap w:val="0"/>
                  <w:vAlign w:val="center"/>
                </w:tcPr>
                <w:p>
                  <w:pPr>
                    <w:pStyle w:val="30"/>
                    <w:jc w:val="center"/>
                    <w:rPr>
                      <w:rFonts w:hint="eastAsia"/>
                      <w:color w:val="auto"/>
                      <w:sz w:val="21"/>
                      <w:szCs w:val="21"/>
                      <w:highlight w:val="yellow"/>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310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color w:val="auto"/>
                      <w:sz w:val="21"/>
                      <w:szCs w:val="21"/>
                      <w:highlight w:val="none"/>
                      <w:u w:val="none"/>
                    </w:rPr>
                  </w:pPr>
                </w:p>
              </w:tc>
              <w:tc>
                <w:tcPr>
                  <w:tcW w:w="770" w:type="pct"/>
                  <w:noWrap w:val="0"/>
                  <w:vAlign w:val="center"/>
                </w:tcPr>
                <w:p>
                  <w:pPr>
                    <w:pStyle w:val="30"/>
                    <w:jc w:val="center"/>
                    <w:rPr>
                      <w:rFonts w:hint="eastAsia" w:eastAsia="宋体"/>
                      <w:color w:val="auto"/>
                      <w:kern w:val="0"/>
                      <w:sz w:val="21"/>
                      <w:szCs w:val="21"/>
                      <w:highlight w:val="none"/>
                      <w:u w:val="none"/>
                      <w:lang w:val="en-US" w:eastAsia="zh-CN" w:bidi="ar-SA"/>
                    </w:rPr>
                  </w:pPr>
                  <w:r>
                    <w:rPr>
                      <w:rFonts w:hint="eastAsia"/>
                      <w:color w:val="auto"/>
                      <w:sz w:val="21"/>
                      <w:szCs w:val="21"/>
                      <w:highlight w:val="none"/>
                      <w:u w:val="none"/>
                      <w:lang w:val="en-US" w:eastAsia="zh-CN"/>
                    </w:rPr>
                    <w:t>办公室</w:t>
                  </w:r>
                </w:p>
              </w:tc>
              <w:tc>
                <w:tcPr>
                  <w:tcW w:w="3855" w:type="pct"/>
                  <w:noWrap w:val="0"/>
                  <w:vAlign w:val="center"/>
                </w:tcPr>
                <w:p>
                  <w:pPr>
                    <w:pStyle w:val="30"/>
                    <w:jc w:val="center"/>
                    <w:rPr>
                      <w:rFonts w:hint="eastAsia"/>
                      <w:color w:val="auto"/>
                      <w:kern w:val="0"/>
                      <w:sz w:val="21"/>
                      <w:szCs w:val="21"/>
                      <w:highlight w:val="none"/>
                      <w:u w:val="none"/>
                      <w:lang w:val="en-US" w:eastAsia="zh-CN" w:bidi="ar-SA"/>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10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rFonts w:hint="eastAsia"/>
                      <w:color w:val="auto"/>
                      <w:sz w:val="21"/>
                      <w:szCs w:val="21"/>
                      <w:highlight w:val="none"/>
                      <w:u w:val="none"/>
                    </w:rPr>
                  </w:pPr>
                </w:p>
              </w:tc>
              <w:tc>
                <w:tcPr>
                  <w:tcW w:w="770" w:type="pct"/>
                  <w:noWrap w:val="0"/>
                  <w:vAlign w:val="center"/>
                </w:tcPr>
                <w:p>
                  <w:pPr>
                    <w:pStyle w:val="3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会议室</w:t>
                  </w:r>
                </w:p>
              </w:tc>
              <w:tc>
                <w:tcPr>
                  <w:tcW w:w="3855" w:type="pct"/>
                  <w:noWrap w:val="0"/>
                  <w:vAlign w:val="center"/>
                </w:tcPr>
                <w:p>
                  <w:pPr>
                    <w:pStyle w:val="30"/>
                    <w:jc w:val="center"/>
                    <w:rPr>
                      <w:rFonts w:hint="eastAsia"/>
                      <w:color w:val="auto"/>
                      <w:sz w:val="21"/>
                      <w:szCs w:val="21"/>
                      <w:highlight w:val="none"/>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10</w:t>
                  </w:r>
                  <w:r>
                    <w:rPr>
                      <w:rFonts w:hint="eastAsia"/>
                      <w:color w:val="auto"/>
                      <w:sz w:val="21"/>
                      <w:szCs w:val="21"/>
                      <w:highlight w:val="none"/>
                      <w:u w:val="none"/>
                    </w:rPr>
                    <w:t>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rFonts w:hint="eastAsia"/>
                      <w:color w:val="auto"/>
                      <w:sz w:val="21"/>
                      <w:szCs w:val="21"/>
                      <w:highlight w:val="none"/>
                      <w:u w:val="none"/>
                    </w:rPr>
                  </w:pPr>
                </w:p>
              </w:tc>
              <w:tc>
                <w:tcPr>
                  <w:tcW w:w="770" w:type="pct"/>
                  <w:noWrap w:val="0"/>
                  <w:vAlign w:val="center"/>
                </w:tcPr>
                <w:p>
                  <w:pPr>
                    <w:pStyle w:val="3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食堂</w:t>
                  </w:r>
                </w:p>
              </w:tc>
              <w:tc>
                <w:tcPr>
                  <w:tcW w:w="3855" w:type="pct"/>
                  <w:noWrap w:val="0"/>
                  <w:vAlign w:val="center"/>
                </w:tcPr>
                <w:p>
                  <w:pPr>
                    <w:pStyle w:val="30"/>
                    <w:jc w:val="center"/>
                    <w:rPr>
                      <w:rFonts w:hint="eastAsia"/>
                      <w:color w:val="auto"/>
                      <w:sz w:val="21"/>
                      <w:szCs w:val="21"/>
                      <w:highlight w:val="none"/>
                      <w:u w:val="none"/>
                    </w:rPr>
                  </w:pPr>
                  <w:r>
                    <w:rPr>
                      <w:rFonts w:hint="eastAsia"/>
                      <w:color w:val="auto"/>
                      <w:sz w:val="21"/>
                      <w:szCs w:val="21"/>
                      <w:highlight w:val="none"/>
                      <w:u w:val="none"/>
                    </w:rPr>
                    <w:t>占地面</w:t>
                  </w:r>
                  <w:r>
                    <w:rPr>
                      <w:color w:val="auto"/>
                      <w:sz w:val="21"/>
                      <w:szCs w:val="21"/>
                      <w:highlight w:val="none"/>
                      <w:u w:val="none"/>
                    </w:rPr>
                    <w:t>积：</w:t>
                  </w:r>
                  <w:r>
                    <w:rPr>
                      <w:rFonts w:hint="eastAsia"/>
                      <w:color w:val="auto"/>
                      <w:sz w:val="21"/>
                      <w:szCs w:val="21"/>
                      <w:highlight w:val="none"/>
                      <w:u w:val="none"/>
                      <w:lang w:val="en-US" w:eastAsia="zh-CN"/>
                    </w:rPr>
                    <w:t>8</w:t>
                  </w:r>
                  <w:r>
                    <w:rPr>
                      <w:rFonts w:hint="eastAsia"/>
                      <w:color w:val="auto"/>
                      <w:sz w:val="21"/>
                      <w:szCs w:val="21"/>
                      <w:highlight w:val="none"/>
                      <w:u w:val="none"/>
                    </w:rPr>
                    <w:t>0</w:t>
                  </w:r>
                  <w:r>
                    <w:rPr>
                      <w:color w:val="auto"/>
                      <w:sz w:val="21"/>
                      <w:szCs w:val="21"/>
                      <w:highlight w:val="none"/>
                      <w:u w:val="none"/>
                    </w:rPr>
                    <w:t>m</w:t>
                  </w:r>
                  <w:r>
                    <w:rPr>
                      <w:rFonts w:hint="eastAsia"/>
                      <w:color w:val="auto"/>
                      <w:sz w:val="21"/>
                      <w:szCs w:val="21"/>
                      <w:highlight w:val="none"/>
                      <w:u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4" w:type="pct"/>
                  <w:vMerge w:val="continue"/>
                  <w:noWrap w:val="0"/>
                  <w:vAlign w:val="center"/>
                </w:tcPr>
                <w:p>
                  <w:pPr>
                    <w:pStyle w:val="30"/>
                    <w:jc w:val="center"/>
                    <w:rPr>
                      <w:rFonts w:hint="eastAsia"/>
                      <w:color w:val="auto"/>
                      <w:sz w:val="21"/>
                      <w:szCs w:val="21"/>
                      <w:highlight w:val="none"/>
                      <w:u w:val="none"/>
                    </w:rPr>
                  </w:pPr>
                </w:p>
              </w:tc>
              <w:tc>
                <w:tcPr>
                  <w:tcW w:w="770" w:type="pct"/>
                  <w:noWrap w:val="0"/>
                  <w:vAlign w:val="center"/>
                </w:tcPr>
                <w:p>
                  <w:pPr>
                    <w:pStyle w:val="30"/>
                    <w:jc w:val="center"/>
                    <w:rPr>
                      <w:rFonts w:hint="eastAsia" w:ascii="Times New Roman" w:hAnsi="Times New Roman" w:eastAsia="宋体" w:cs="Times New Roman"/>
                      <w:color w:val="auto"/>
                      <w:kern w:val="0"/>
                      <w:sz w:val="21"/>
                      <w:szCs w:val="21"/>
                      <w:highlight w:val="none"/>
                      <w:u w:val="single"/>
                      <w:lang w:val="en-US" w:eastAsia="zh-CN" w:bidi="ar-SA"/>
                    </w:rPr>
                  </w:pPr>
                  <w:r>
                    <w:rPr>
                      <w:rFonts w:hint="eastAsia"/>
                      <w:color w:val="auto"/>
                      <w:sz w:val="21"/>
                      <w:szCs w:val="21"/>
                      <w:highlight w:val="none"/>
                      <w:u w:val="single"/>
                    </w:rPr>
                    <w:t>危废暂存间</w:t>
                  </w:r>
                </w:p>
              </w:tc>
              <w:tc>
                <w:tcPr>
                  <w:tcW w:w="3855" w:type="pct"/>
                  <w:noWrap w:val="0"/>
                  <w:vAlign w:val="center"/>
                </w:tcPr>
                <w:p>
                  <w:pPr>
                    <w:pStyle w:val="30"/>
                    <w:jc w:val="center"/>
                    <w:rPr>
                      <w:rFonts w:hint="eastAsia" w:ascii="Times New Roman" w:hAnsi="Times New Roman" w:eastAsia="宋体" w:cs="Times New Roman"/>
                      <w:color w:val="auto"/>
                      <w:kern w:val="0"/>
                      <w:sz w:val="21"/>
                      <w:szCs w:val="21"/>
                      <w:highlight w:val="none"/>
                      <w:u w:val="single"/>
                      <w:lang w:val="en-US" w:eastAsia="zh-CN" w:bidi="ar-SA"/>
                    </w:rPr>
                  </w:pPr>
                  <w:r>
                    <w:rPr>
                      <w:rFonts w:hint="eastAsia"/>
                      <w:color w:val="auto"/>
                      <w:sz w:val="21"/>
                      <w:szCs w:val="21"/>
                      <w:highlight w:val="none"/>
                      <w:u w:val="single"/>
                    </w:rPr>
                    <w:t>占地面</w:t>
                  </w:r>
                  <w:r>
                    <w:rPr>
                      <w:color w:val="auto"/>
                      <w:sz w:val="21"/>
                      <w:szCs w:val="21"/>
                      <w:highlight w:val="none"/>
                      <w:u w:val="single"/>
                    </w:rPr>
                    <w:t>积：</w:t>
                  </w:r>
                  <w:r>
                    <w:rPr>
                      <w:rFonts w:hint="eastAsia"/>
                      <w:color w:val="auto"/>
                      <w:sz w:val="21"/>
                      <w:szCs w:val="21"/>
                      <w:highlight w:val="none"/>
                      <w:u w:val="single"/>
                      <w:lang w:val="en-US" w:eastAsia="zh-CN"/>
                    </w:rPr>
                    <w:t>1</w:t>
                  </w:r>
                  <w:r>
                    <w:rPr>
                      <w:rFonts w:hint="eastAsia"/>
                      <w:color w:val="auto"/>
                      <w:sz w:val="21"/>
                      <w:szCs w:val="21"/>
                      <w:highlight w:val="none"/>
                      <w:u w:val="single"/>
                    </w:rPr>
                    <w:t>0</w:t>
                  </w:r>
                  <w:r>
                    <w:rPr>
                      <w:color w:val="auto"/>
                      <w:sz w:val="21"/>
                      <w:szCs w:val="21"/>
                      <w:highlight w:val="none"/>
                      <w:u w:val="single"/>
                    </w:rPr>
                    <w:t>m</w:t>
                  </w:r>
                  <w:r>
                    <w:rPr>
                      <w:rFonts w:hint="eastAsia"/>
                      <w:color w:val="auto"/>
                      <w:sz w:val="21"/>
                      <w:szCs w:val="21"/>
                      <w:highlight w:val="none"/>
                      <w:u w:val="singl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4" w:type="pct"/>
                  <w:vMerge w:val="restart"/>
                  <w:noWrap w:val="0"/>
                  <w:vAlign w:val="center"/>
                </w:tcPr>
                <w:p>
                  <w:pPr>
                    <w:pStyle w:val="30"/>
                    <w:jc w:val="center"/>
                    <w:rPr>
                      <w:color w:val="auto"/>
                      <w:sz w:val="21"/>
                      <w:szCs w:val="21"/>
                      <w:u w:val="none"/>
                    </w:rPr>
                  </w:pPr>
                  <w:r>
                    <w:rPr>
                      <w:color w:val="auto"/>
                      <w:sz w:val="21"/>
                      <w:szCs w:val="21"/>
                      <w:u w:val="none"/>
                    </w:rPr>
                    <w:t>公用工程</w:t>
                  </w:r>
                </w:p>
              </w:tc>
              <w:tc>
                <w:tcPr>
                  <w:tcW w:w="770" w:type="pct"/>
                  <w:noWrap w:val="0"/>
                  <w:vAlign w:val="center"/>
                </w:tcPr>
                <w:p>
                  <w:pPr>
                    <w:pStyle w:val="30"/>
                    <w:jc w:val="center"/>
                    <w:rPr>
                      <w:color w:val="auto"/>
                      <w:sz w:val="21"/>
                      <w:szCs w:val="21"/>
                      <w:u w:val="none"/>
                    </w:rPr>
                  </w:pPr>
                  <w:r>
                    <w:rPr>
                      <w:color w:val="auto"/>
                      <w:sz w:val="21"/>
                      <w:szCs w:val="21"/>
                      <w:u w:val="none"/>
                    </w:rPr>
                    <w:t>供电</w:t>
                  </w:r>
                </w:p>
              </w:tc>
              <w:tc>
                <w:tcPr>
                  <w:tcW w:w="3855" w:type="pct"/>
                  <w:noWrap w:val="0"/>
                  <w:vAlign w:val="center"/>
                </w:tcPr>
                <w:p>
                  <w:pPr>
                    <w:pStyle w:val="30"/>
                    <w:jc w:val="center"/>
                    <w:rPr>
                      <w:rFonts w:hint="eastAsia"/>
                      <w:color w:val="auto"/>
                      <w:sz w:val="21"/>
                      <w:szCs w:val="21"/>
                      <w:u w:val="none"/>
                    </w:rPr>
                  </w:pPr>
                  <w:r>
                    <w:rPr>
                      <w:rFonts w:hint="eastAsia"/>
                      <w:color w:val="auto"/>
                      <w:sz w:val="21"/>
                      <w:szCs w:val="21"/>
                    </w:rPr>
                    <w:t>市政</w:t>
                  </w:r>
                  <w:r>
                    <w:rPr>
                      <w:color w:val="auto"/>
                      <w:sz w:val="21"/>
                      <w:szCs w:val="21"/>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color w:val="auto"/>
                      <w:sz w:val="21"/>
                      <w:szCs w:val="21"/>
                      <w:u w:val="none"/>
                    </w:rPr>
                  </w:pPr>
                  <w:r>
                    <w:rPr>
                      <w:color w:val="auto"/>
                      <w:sz w:val="21"/>
                      <w:szCs w:val="21"/>
                      <w:u w:val="none"/>
                    </w:rPr>
                    <w:t>供水</w:t>
                  </w:r>
                </w:p>
              </w:tc>
              <w:tc>
                <w:tcPr>
                  <w:tcW w:w="3855" w:type="pct"/>
                  <w:noWrap w:val="0"/>
                  <w:vAlign w:val="center"/>
                </w:tcPr>
                <w:p>
                  <w:pPr>
                    <w:pStyle w:val="30"/>
                    <w:jc w:val="center"/>
                    <w:rPr>
                      <w:color w:val="auto"/>
                      <w:sz w:val="21"/>
                      <w:szCs w:val="21"/>
                      <w:u w:val="none"/>
                    </w:rPr>
                  </w:pPr>
                  <w:r>
                    <w:rPr>
                      <w:rFonts w:hint="eastAsia"/>
                      <w:color w:val="auto"/>
                      <w:sz w:val="21"/>
                      <w:szCs w:val="21"/>
                    </w:rPr>
                    <w:t>市政</w:t>
                  </w:r>
                  <w:r>
                    <w:rPr>
                      <w:color w:val="auto"/>
                      <w:sz w:val="21"/>
                      <w:szCs w:val="21"/>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color w:val="auto"/>
                      <w:sz w:val="21"/>
                      <w:szCs w:val="21"/>
                      <w:highlight w:val="none"/>
                      <w:u w:val="none"/>
                    </w:rPr>
                  </w:pPr>
                  <w:r>
                    <w:rPr>
                      <w:color w:val="auto"/>
                      <w:sz w:val="21"/>
                      <w:szCs w:val="21"/>
                      <w:highlight w:val="none"/>
                      <w:u w:val="none"/>
                    </w:rPr>
                    <w:t>排水</w:t>
                  </w:r>
                </w:p>
              </w:tc>
              <w:tc>
                <w:tcPr>
                  <w:tcW w:w="3855" w:type="pct"/>
                  <w:noWrap w:val="0"/>
                  <w:vAlign w:val="center"/>
                </w:tcPr>
                <w:p>
                  <w:pPr>
                    <w:pStyle w:val="30"/>
                    <w:jc w:val="both"/>
                    <w:rPr>
                      <w:rFonts w:hint="eastAsia" w:eastAsia="宋体"/>
                      <w:color w:val="auto"/>
                      <w:sz w:val="21"/>
                      <w:szCs w:val="21"/>
                      <w:highlight w:val="none"/>
                      <w:u w:val="none"/>
                      <w:lang w:eastAsia="zh-CN"/>
                    </w:rPr>
                  </w:pPr>
                  <w:r>
                    <w:rPr>
                      <w:rFonts w:hint="eastAsia"/>
                      <w:color w:val="auto"/>
                      <w:sz w:val="21"/>
                      <w:szCs w:val="21"/>
                      <w:highlight w:val="none"/>
                      <w:u w:val="none"/>
                    </w:rPr>
                    <w:t>本项目生活污水经化粪池处理后进入</w:t>
                  </w:r>
                  <w:r>
                    <w:rPr>
                      <w:rFonts w:hint="eastAsia"/>
                      <w:color w:val="auto"/>
                      <w:sz w:val="21"/>
                      <w:szCs w:val="21"/>
                      <w:highlight w:val="none"/>
                      <w:u w:val="none"/>
                      <w:lang w:eastAsia="zh-CN"/>
                    </w:rPr>
                    <w:t>工业园污水管网</w:t>
                  </w:r>
                  <w:r>
                    <w:rPr>
                      <w:rFonts w:hint="eastAsia"/>
                      <w:color w:val="auto"/>
                      <w:sz w:val="21"/>
                      <w:szCs w:val="21"/>
                      <w:highlight w:val="none"/>
                      <w:u w:val="none"/>
                    </w:rPr>
                    <w:t>，排入新田县污水处理厂处理达标后，排入新田河。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374" w:type="pct"/>
                  <w:vMerge w:val="restart"/>
                  <w:noWrap w:val="0"/>
                  <w:vAlign w:val="center"/>
                </w:tcPr>
                <w:p>
                  <w:pPr>
                    <w:pStyle w:val="30"/>
                    <w:jc w:val="center"/>
                    <w:rPr>
                      <w:color w:val="auto"/>
                      <w:sz w:val="21"/>
                      <w:szCs w:val="21"/>
                      <w:u w:val="none"/>
                    </w:rPr>
                  </w:pPr>
                  <w:r>
                    <w:rPr>
                      <w:color w:val="auto"/>
                      <w:sz w:val="21"/>
                      <w:szCs w:val="21"/>
                      <w:u w:val="none"/>
                    </w:rPr>
                    <w:t>环保工程</w:t>
                  </w:r>
                </w:p>
              </w:tc>
              <w:tc>
                <w:tcPr>
                  <w:tcW w:w="770" w:type="pct"/>
                  <w:noWrap w:val="0"/>
                  <w:vAlign w:val="center"/>
                </w:tcPr>
                <w:p>
                  <w:pPr>
                    <w:pStyle w:val="30"/>
                    <w:jc w:val="center"/>
                    <w:rPr>
                      <w:color w:val="auto"/>
                      <w:sz w:val="21"/>
                      <w:szCs w:val="21"/>
                      <w:u w:val="none"/>
                    </w:rPr>
                  </w:pPr>
                  <w:r>
                    <w:rPr>
                      <w:color w:val="auto"/>
                      <w:sz w:val="21"/>
                      <w:szCs w:val="21"/>
                      <w:u w:val="none"/>
                    </w:rPr>
                    <w:t>污水处理</w:t>
                  </w:r>
                </w:p>
              </w:tc>
              <w:tc>
                <w:tcPr>
                  <w:tcW w:w="3855" w:type="pct"/>
                  <w:noWrap w:val="0"/>
                  <w:vAlign w:val="center"/>
                </w:tcPr>
                <w:p>
                  <w:pPr>
                    <w:pStyle w:val="30"/>
                    <w:jc w:val="both"/>
                    <w:rPr>
                      <w:rFonts w:hint="eastAsia" w:eastAsia="宋体"/>
                      <w:color w:val="auto"/>
                      <w:sz w:val="21"/>
                      <w:szCs w:val="21"/>
                      <w:highlight w:val="yellow"/>
                      <w:u w:val="none"/>
                      <w:lang w:eastAsia="zh-CN"/>
                    </w:rPr>
                  </w:pPr>
                  <w:r>
                    <w:rPr>
                      <w:rFonts w:hint="eastAsia"/>
                      <w:color w:val="auto"/>
                      <w:sz w:val="21"/>
                      <w:szCs w:val="21"/>
                      <w:highlight w:val="none"/>
                      <w:u w:val="single"/>
                    </w:rPr>
                    <w:t>生活污水经化粪池处理后进入</w:t>
                  </w:r>
                  <w:r>
                    <w:rPr>
                      <w:rFonts w:hint="eastAsia"/>
                      <w:color w:val="auto"/>
                      <w:sz w:val="21"/>
                      <w:szCs w:val="21"/>
                      <w:highlight w:val="none"/>
                      <w:u w:val="single"/>
                      <w:lang w:eastAsia="zh-CN"/>
                    </w:rPr>
                    <w:t>工业园污水管网</w:t>
                  </w:r>
                  <w:r>
                    <w:rPr>
                      <w:rFonts w:hint="eastAsia"/>
                      <w:color w:val="auto"/>
                      <w:sz w:val="21"/>
                      <w:szCs w:val="21"/>
                      <w:highlight w:val="none"/>
                      <w:u w:val="single"/>
                    </w:rPr>
                    <w:t>，排入新田县污水处理厂</w:t>
                  </w:r>
                  <w:r>
                    <w:rPr>
                      <w:rFonts w:hint="eastAsia"/>
                      <w:color w:val="auto"/>
                      <w:sz w:val="21"/>
                      <w:szCs w:val="21"/>
                      <w:highlight w:val="none"/>
                      <w:u w:val="single"/>
                      <w:lang w:eastAsia="zh-CN"/>
                    </w:rPr>
                    <w:t>。</w:t>
                  </w:r>
                  <w:r>
                    <w:rPr>
                      <w:rFonts w:hint="eastAsia"/>
                      <w:color w:val="auto"/>
                      <w:sz w:val="21"/>
                      <w:szCs w:val="21"/>
                      <w:highlight w:val="none"/>
                      <w:u w:val="none"/>
                    </w:rPr>
                    <w:t>设备冷却水循环使用，不外排。印刷机清洗</w:t>
                  </w:r>
                  <w:r>
                    <w:rPr>
                      <w:rFonts w:hint="eastAsia"/>
                      <w:color w:val="auto"/>
                      <w:sz w:val="21"/>
                      <w:szCs w:val="21"/>
                      <w:highlight w:val="none"/>
                      <w:u w:val="none"/>
                      <w:lang w:val="en-US" w:eastAsia="zh-CN"/>
                    </w:rPr>
                    <w:t>废</w:t>
                  </w:r>
                  <w:r>
                    <w:rPr>
                      <w:rFonts w:hint="eastAsia"/>
                      <w:color w:val="auto"/>
                      <w:sz w:val="21"/>
                      <w:szCs w:val="21"/>
                      <w:highlight w:val="none"/>
                      <w:u w:val="none"/>
                    </w:rPr>
                    <w:t>水采用胶桶收集后交湖南普瑞达内装材料有限公司处理，不外排。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color w:val="auto"/>
                      <w:sz w:val="21"/>
                      <w:szCs w:val="21"/>
                      <w:u w:val="none"/>
                    </w:rPr>
                  </w:pPr>
                  <w:r>
                    <w:rPr>
                      <w:color w:val="auto"/>
                      <w:sz w:val="21"/>
                      <w:szCs w:val="21"/>
                      <w:u w:val="none"/>
                    </w:rPr>
                    <w:t>废气处理</w:t>
                  </w:r>
                </w:p>
              </w:tc>
              <w:tc>
                <w:tcPr>
                  <w:tcW w:w="3855" w:type="pct"/>
                  <w:noWrap w:val="0"/>
                  <w:vAlign w:val="center"/>
                </w:tcPr>
                <w:p>
                  <w:pPr>
                    <w:pStyle w:val="30"/>
                    <w:jc w:val="center"/>
                    <w:rPr>
                      <w:rFonts w:hint="eastAsia" w:eastAsia="宋体"/>
                      <w:color w:val="auto"/>
                      <w:sz w:val="21"/>
                      <w:szCs w:val="21"/>
                      <w:highlight w:val="none"/>
                      <w:u w:val="none"/>
                      <w:lang w:eastAsia="zh-CN"/>
                    </w:rPr>
                  </w:pPr>
                  <w:r>
                    <w:rPr>
                      <w:rFonts w:hint="eastAsia"/>
                      <w:color w:val="auto"/>
                      <w:sz w:val="21"/>
                      <w:szCs w:val="21"/>
                      <w:highlight w:val="none"/>
                      <w:u w:val="none"/>
                    </w:rPr>
                    <w:t>发泡、</w:t>
                  </w:r>
                  <w:r>
                    <w:rPr>
                      <w:rFonts w:hint="eastAsia"/>
                      <w:color w:val="auto"/>
                      <w:sz w:val="21"/>
                      <w:szCs w:val="21"/>
                      <w:highlight w:val="none"/>
                      <w:u w:val="none"/>
                      <w:lang w:eastAsia="zh-CN"/>
                    </w:rPr>
                    <w:t>搅拌工序、</w:t>
                  </w:r>
                  <w:r>
                    <w:rPr>
                      <w:rFonts w:hint="eastAsia"/>
                      <w:color w:val="auto"/>
                      <w:sz w:val="21"/>
                      <w:szCs w:val="21"/>
                      <w:highlight w:val="none"/>
                      <w:u w:val="none"/>
                    </w:rPr>
                    <w:t>熟化工序</w:t>
                  </w:r>
                  <w:r>
                    <w:rPr>
                      <w:rFonts w:hint="eastAsia"/>
                      <w:color w:val="auto"/>
                      <w:sz w:val="21"/>
                      <w:szCs w:val="21"/>
                      <w:highlight w:val="none"/>
                      <w:u w:val="none"/>
                      <w:lang w:eastAsia="zh-CN"/>
                    </w:rPr>
                    <w:t>、印刷</w:t>
                  </w:r>
                  <w:r>
                    <w:rPr>
                      <w:rFonts w:hint="eastAsia"/>
                      <w:color w:val="auto"/>
                      <w:sz w:val="21"/>
                      <w:szCs w:val="21"/>
                      <w:highlight w:val="none"/>
                      <w:u w:val="none"/>
                    </w:rPr>
                    <w:t>工序设置“</w:t>
                  </w:r>
                  <w:r>
                    <w:rPr>
                      <w:rFonts w:hint="eastAsia"/>
                      <w:color w:val="auto"/>
                      <w:sz w:val="21"/>
                      <w:szCs w:val="21"/>
                      <w:highlight w:val="none"/>
                      <w:u w:val="none"/>
                      <w:lang w:eastAsia="zh-CN"/>
                    </w:rPr>
                    <w:t>UV光解+活性炭吸附</w:t>
                  </w:r>
                  <w:r>
                    <w:rPr>
                      <w:rFonts w:hint="eastAsia"/>
                      <w:color w:val="auto"/>
                      <w:sz w:val="21"/>
                      <w:szCs w:val="21"/>
                      <w:highlight w:val="none"/>
                      <w:u w:val="none"/>
                    </w:rPr>
                    <w:t>”+15m高排气筒排放。食堂设置“静电油烟处理器”+15m高排气筒</w:t>
                  </w:r>
                  <w:r>
                    <w:rPr>
                      <w:rFonts w:hint="eastAsia"/>
                      <w:color w:val="auto"/>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color w:val="auto"/>
                      <w:sz w:val="21"/>
                      <w:szCs w:val="21"/>
                      <w:highlight w:val="none"/>
                      <w:u w:val="none"/>
                    </w:rPr>
                  </w:pPr>
                  <w:r>
                    <w:rPr>
                      <w:color w:val="auto"/>
                      <w:sz w:val="21"/>
                      <w:szCs w:val="21"/>
                      <w:highlight w:val="none"/>
                      <w:u w:val="none"/>
                    </w:rPr>
                    <w:t>噪声处理</w:t>
                  </w:r>
                </w:p>
              </w:tc>
              <w:tc>
                <w:tcPr>
                  <w:tcW w:w="3855" w:type="pct"/>
                  <w:noWrap w:val="0"/>
                  <w:vAlign w:val="center"/>
                </w:tcPr>
                <w:p>
                  <w:pPr>
                    <w:pStyle w:val="30"/>
                    <w:jc w:val="center"/>
                    <w:rPr>
                      <w:color w:val="auto"/>
                      <w:sz w:val="21"/>
                      <w:szCs w:val="21"/>
                      <w:highlight w:val="none"/>
                      <w:u w:val="none"/>
                    </w:rPr>
                  </w:pPr>
                  <w:r>
                    <w:rPr>
                      <w:color w:val="auto"/>
                      <w:sz w:val="21"/>
                      <w:szCs w:val="21"/>
                      <w:highlight w:val="none"/>
                      <w:u w:val="none"/>
                    </w:rPr>
                    <w:t>隔声减震、安装消声器等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color w:val="auto"/>
                      <w:sz w:val="21"/>
                      <w:szCs w:val="21"/>
                      <w:highlight w:val="none"/>
                      <w:u w:val="single"/>
                    </w:rPr>
                  </w:pPr>
                  <w:r>
                    <w:rPr>
                      <w:color w:val="auto"/>
                      <w:sz w:val="21"/>
                      <w:szCs w:val="21"/>
                      <w:highlight w:val="none"/>
                      <w:u w:val="none"/>
                    </w:rPr>
                    <w:t>固废处理</w:t>
                  </w:r>
                </w:p>
              </w:tc>
              <w:tc>
                <w:tcPr>
                  <w:tcW w:w="3855" w:type="pct"/>
                  <w:noWrap w:val="0"/>
                  <w:vAlign w:val="center"/>
                </w:tcPr>
                <w:p>
                  <w:pPr>
                    <w:pStyle w:val="30"/>
                    <w:jc w:val="center"/>
                    <w:rPr>
                      <w:rFonts w:hint="eastAsia" w:eastAsia="宋体"/>
                      <w:color w:val="auto"/>
                      <w:sz w:val="21"/>
                      <w:szCs w:val="21"/>
                      <w:highlight w:val="none"/>
                      <w:u w:val="single"/>
                      <w:lang w:eastAsia="zh-CN"/>
                    </w:rPr>
                  </w:pPr>
                  <w:r>
                    <w:rPr>
                      <w:rFonts w:hint="eastAsia"/>
                      <w:color w:val="auto"/>
                      <w:sz w:val="21"/>
                      <w:szCs w:val="21"/>
                      <w:highlight w:val="none"/>
                      <w:u w:val="none"/>
                    </w:rPr>
                    <w:t>设置危废暂存间及</w:t>
                  </w:r>
                  <w:r>
                    <w:rPr>
                      <w:color w:val="auto"/>
                      <w:sz w:val="21"/>
                      <w:szCs w:val="21"/>
                      <w:highlight w:val="none"/>
                      <w:u w:val="none"/>
                    </w:rPr>
                    <w:t>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4" w:type="pct"/>
                  <w:vMerge w:val="continue"/>
                  <w:noWrap w:val="0"/>
                  <w:vAlign w:val="center"/>
                </w:tcPr>
                <w:p>
                  <w:pPr>
                    <w:jc w:val="center"/>
                    <w:rPr>
                      <w:color w:val="auto"/>
                      <w:szCs w:val="21"/>
                      <w:u w:val="none"/>
                    </w:rPr>
                  </w:pPr>
                </w:p>
              </w:tc>
              <w:tc>
                <w:tcPr>
                  <w:tcW w:w="770" w:type="pct"/>
                  <w:noWrap w:val="0"/>
                  <w:vAlign w:val="center"/>
                </w:tcPr>
                <w:p>
                  <w:pPr>
                    <w:pStyle w:val="3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风险防范</w:t>
                  </w:r>
                </w:p>
              </w:tc>
              <w:tc>
                <w:tcPr>
                  <w:tcW w:w="3855" w:type="pct"/>
                  <w:noWrap w:val="0"/>
                  <w:vAlign w:val="center"/>
                </w:tcPr>
                <w:p>
                  <w:pPr>
                    <w:pStyle w:val="30"/>
                    <w:jc w:val="center"/>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建议企业在原材料仓</w:t>
                  </w:r>
                  <w:r>
                    <w:rPr>
                      <w:rFonts w:hint="eastAsia" w:cs="Times New Roman"/>
                      <w:color w:val="auto"/>
                      <w:sz w:val="21"/>
                      <w:szCs w:val="21"/>
                      <w:highlight w:val="none"/>
                      <w:u w:val="single"/>
                      <w:lang w:val="en-US" w:eastAsia="zh-CN"/>
                    </w:rPr>
                    <w:t>对原辅材料</w:t>
                  </w:r>
                  <w:r>
                    <w:rPr>
                      <w:rFonts w:hint="eastAsia" w:ascii="Times New Roman" w:hAnsi="Times New Roman" w:eastAsia="宋体" w:cs="Times New Roman"/>
                      <w:color w:val="auto"/>
                      <w:sz w:val="21"/>
                      <w:szCs w:val="21"/>
                      <w:highlight w:val="none"/>
                      <w:u w:val="single"/>
                      <w:lang w:val="en-US" w:eastAsia="zh-CN"/>
                    </w:rPr>
                    <w:t>设置托盘或者</w:t>
                  </w:r>
                  <w:r>
                    <w:rPr>
                      <w:rFonts w:hint="eastAsia" w:cs="Times New Roman"/>
                      <w:color w:val="auto"/>
                      <w:sz w:val="21"/>
                      <w:szCs w:val="21"/>
                      <w:highlight w:val="none"/>
                      <w:u w:val="single"/>
                      <w:lang w:val="en-US" w:eastAsia="zh-CN"/>
                    </w:rPr>
                    <w:t>在车间设置</w:t>
                  </w:r>
                  <w:r>
                    <w:rPr>
                      <w:rFonts w:hint="eastAsia" w:ascii="Times New Roman" w:hAnsi="Times New Roman" w:eastAsia="宋体" w:cs="Times New Roman"/>
                      <w:color w:val="auto"/>
                      <w:sz w:val="21"/>
                      <w:szCs w:val="21"/>
                      <w:highlight w:val="none"/>
                      <w:u w:val="single"/>
                      <w:lang w:val="en-US" w:eastAsia="zh-CN"/>
                    </w:rPr>
                    <w:t>围堰，防止物料流出车间</w:t>
                  </w:r>
                </w:p>
              </w:tc>
            </w:tr>
          </w:tbl>
          <w:p>
            <w:pPr>
              <w:spacing w:line="360" w:lineRule="auto"/>
              <w:rPr>
                <w:rFonts w:hint="eastAsia"/>
                <w:b/>
                <w:color w:val="auto"/>
                <w:sz w:val="24"/>
                <w:u w:val="none"/>
              </w:rPr>
            </w:pPr>
            <w:r>
              <w:rPr>
                <w:rFonts w:hint="eastAsia"/>
                <w:b/>
                <w:color w:val="auto"/>
                <w:sz w:val="24"/>
                <w:u w:val="none"/>
              </w:rPr>
              <w:t>2、主要产品及产能</w:t>
            </w:r>
          </w:p>
          <w:p>
            <w:pPr>
              <w:spacing w:line="360" w:lineRule="auto"/>
              <w:ind w:firstLine="480" w:firstLineChars="200"/>
              <w:jc w:val="left"/>
              <w:rPr>
                <w:rFonts w:hint="eastAsia"/>
                <w:color w:val="auto"/>
                <w:sz w:val="24"/>
                <w:u w:val="none"/>
              </w:rPr>
            </w:pPr>
            <w:r>
              <w:rPr>
                <w:rFonts w:hint="eastAsia"/>
                <w:color w:val="auto"/>
                <w:sz w:val="24"/>
                <w:u w:val="none"/>
              </w:rPr>
              <w:t>本项目主要产品及产能详见下表。</w:t>
            </w:r>
          </w:p>
          <w:p>
            <w:pPr>
              <w:spacing w:line="360" w:lineRule="auto"/>
              <w:jc w:val="center"/>
              <w:rPr>
                <w:rFonts w:hint="eastAsia"/>
                <w:b/>
                <w:bCs/>
                <w:color w:val="auto"/>
                <w:u w:val="none"/>
              </w:rPr>
            </w:pPr>
            <w:r>
              <w:rPr>
                <w:rFonts w:hint="eastAsia"/>
                <w:b/>
                <w:bCs/>
                <w:color w:val="auto"/>
                <w:u w:val="none"/>
              </w:rPr>
              <w:t>表2-2 项目主要产品及产能一览表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812"/>
              <w:gridCol w:w="2029"/>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pct"/>
                  <w:noWrap w:val="0"/>
                  <w:vAlign w:val="center"/>
                </w:tcPr>
                <w:p>
                  <w:pPr>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产品名称</w:t>
                  </w:r>
                </w:p>
              </w:tc>
              <w:tc>
                <w:tcPr>
                  <w:tcW w:w="1227" w:type="pct"/>
                  <w:noWrap w:val="0"/>
                  <w:vAlign w:val="center"/>
                </w:tcPr>
                <w:p>
                  <w:pPr>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产品名称（</w:t>
                  </w:r>
                  <w:r>
                    <w:rPr>
                      <w:rFonts w:hint="default" w:ascii="Times New Roman" w:hAnsi="Times New Roman" w:eastAsia="宋体" w:cs="Times New Roman"/>
                      <w:b/>
                      <w:bCs/>
                      <w:sz w:val="21"/>
                      <w:szCs w:val="21"/>
                      <w:u w:val="none"/>
                      <w:vertAlign w:val="baseline"/>
                      <w:lang w:val="en-US" w:eastAsia="zh-CN"/>
                    </w:rPr>
                    <w:t>万米</w:t>
                  </w:r>
                  <w:r>
                    <w:rPr>
                      <w:rFonts w:hint="default" w:ascii="Times New Roman" w:hAnsi="Times New Roman" w:eastAsia="宋体" w:cs="Times New Roman"/>
                      <w:b/>
                      <w:bCs/>
                      <w:color w:val="auto"/>
                      <w:sz w:val="21"/>
                      <w:szCs w:val="21"/>
                      <w:u w:val="none"/>
                    </w:rPr>
                    <w:t>）</w:t>
                  </w:r>
                </w:p>
              </w:tc>
              <w:tc>
                <w:tcPr>
                  <w:tcW w:w="1374" w:type="pct"/>
                  <w:noWrap w:val="0"/>
                  <w:vAlign w:val="center"/>
                </w:tcPr>
                <w:p>
                  <w:pPr>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产品规格</w:t>
                  </w:r>
                </w:p>
              </w:tc>
              <w:tc>
                <w:tcPr>
                  <w:tcW w:w="1058" w:type="pct"/>
                  <w:noWrap w:val="0"/>
                  <w:vAlign w:val="center"/>
                </w:tcPr>
                <w:p>
                  <w:pPr>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油性聚氨酯泡绵</w:t>
                  </w:r>
                </w:p>
              </w:tc>
              <w:tc>
                <w:tcPr>
                  <w:tcW w:w="1227"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240</w:t>
                  </w:r>
                </w:p>
              </w:tc>
              <w:tc>
                <w:tcPr>
                  <w:tcW w:w="1374" w:type="pct"/>
                  <w:vMerge w:val="restart"/>
                  <w:noWrap w:val="0"/>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根据客户要求定制</w:t>
                  </w:r>
                </w:p>
              </w:tc>
              <w:tc>
                <w:tcPr>
                  <w:tcW w:w="1058" w:type="pct"/>
                  <w:noWrap w:val="0"/>
                  <w:vAlign w:val="center"/>
                </w:tcPr>
                <w:p>
                  <w:pPr>
                    <w:jc w:val="center"/>
                    <w:rPr>
                      <w:rFonts w:hint="default" w:ascii="Times New Roman" w:hAnsi="Times New Roman" w:eastAsia="宋体" w:cs="Times New Roman"/>
                      <w:color w:val="auto"/>
                      <w:sz w:val="21"/>
                      <w:szCs w:val="21"/>
                      <w:highlight w:val="none"/>
                      <w:u w:val="none"/>
                    </w:rPr>
                  </w:pPr>
                  <w:r>
                    <w:rPr>
                      <w:rFonts w:hint="eastAsia"/>
                      <w:b w:val="0"/>
                      <w:bCs w:val="0"/>
                      <w:sz w:val="21"/>
                      <w:szCs w:val="21"/>
                      <w:highlight w:val="none"/>
                      <w:u w:val="none"/>
                      <w:vertAlign w:val="baseline"/>
                      <w:lang w:val="en-US" w:eastAsia="zh-CN"/>
                    </w:rPr>
                    <w:t>悬空纸箱包装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水性聚氨酯泡绵</w:t>
                  </w:r>
                </w:p>
              </w:tc>
              <w:tc>
                <w:tcPr>
                  <w:tcW w:w="1227"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100</w:t>
                  </w:r>
                </w:p>
              </w:tc>
              <w:tc>
                <w:tcPr>
                  <w:tcW w:w="1374" w:type="pct"/>
                  <w:vMerge w:val="continue"/>
                  <w:noWrap w:val="0"/>
                  <w:vAlign w:val="center"/>
                </w:tcPr>
                <w:p>
                  <w:pPr>
                    <w:jc w:val="center"/>
                    <w:rPr>
                      <w:rFonts w:hint="default" w:ascii="Times New Roman" w:hAnsi="Times New Roman" w:eastAsia="宋体" w:cs="Times New Roman"/>
                      <w:color w:val="auto"/>
                      <w:sz w:val="21"/>
                      <w:szCs w:val="21"/>
                      <w:u w:val="none"/>
                    </w:rPr>
                  </w:pPr>
                </w:p>
              </w:tc>
              <w:tc>
                <w:tcPr>
                  <w:tcW w:w="1058" w:type="pct"/>
                  <w:noWrap w:val="0"/>
                  <w:vAlign w:val="center"/>
                </w:tcPr>
                <w:p>
                  <w:pPr>
                    <w:jc w:val="center"/>
                    <w:rPr>
                      <w:rFonts w:hint="default" w:ascii="Times New Roman" w:hAnsi="Times New Roman" w:eastAsia="宋体" w:cs="Times New Roman"/>
                      <w:color w:val="auto"/>
                      <w:sz w:val="21"/>
                      <w:szCs w:val="21"/>
                      <w:u w:val="none"/>
                    </w:rPr>
                  </w:pPr>
                  <w:r>
                    <w:rPr>
                      <w:rFonts w:hint="eastAsia"/>
                      <w:b w:val="0"/>
                      <w:bCs w:val="0"/>
                      <w:sz w:val="21"/>
                      <w:szCs w:val="21"/>
                      <w:u w:val="none"/>
                      <w:vertAlign w:val="baseline"/>
                      <w:lang w:val="en-US" w:eastAsia="zh-CN"/>
                    </w:rPr>
                    <w:t>悬空纸箱包装</w:t>
                  </w:r>
                </w:p>
              </w:tc>
            </w:tr>
          </w:tbl>
          <w:p>
            <w:pPr>
              <w:spacing w:line="360" w:lineRule="auto"/>
              <w:rPr>
                <w:rFonts w:hint="default" w:eastAsia="宋体"/>
                <w:b w:val="0"/>
                <w:bCs/>
                <w:color w:val="auto"/>
                <w:sz w:val="21"/>
                <w:szCs w:val="21"/>
                <w:u w:val="single"/>
                <w:lang w:val="en-US" w:eastAsia="zh-CN"/>
              </w:rPr>
            </w:pPr>
            <w:r>
              <w:rPr>
                <w:rFonts w:hint="eastAsia"/>
                <w:b w:val="0"/>
                <w:bCs/>
                <w:color w:val="auto"/>
                <w:sz w:val="21"/>
                <w:szCs w:val="21"/>
                <w:u w:val="single"/>
                <w:lang w:eastAsia="zh-CN"/>
              </w:rPr>
              <w:t>注</w:t>
            </w:r>
            <w:r>
              <w:rPr>
                <w:rFonts w:hint="default" w:ascii="Times New Roman" w:hAnsi="Times New Roman" w:cs="Times New Roman"/>
                <w:b w:val="0"/>
                <w:bCs/>
                <w:color w:val="auto"/>
                <w:sz w:val="21"/>
                <w:szCs w:val="21"/>
                <w:u w:val="single"/>
                <w:lang w:eastAsia="zh-CN"/>
              </w:rPr>
              <w:t>：</w:t>
            </w:r>
            <w:r>
              <w:rPr>
                <w:rFonts w:hint="default" w:ascii="Times New Roman" w:hAnsi="Times New Roman" w:cs="Times New Roman"/>
                <w:b w:val="0"/>
                <w:bCs/>
                <w:color w:val="auto"/>
                <w:sz w:val="21"/>
                <w:szCs w:val="21"/>
                <w:u w:val="single"/>
                <w:lang w:val="en-US" w:eastAsia="zh-CN"/>
              </w:rPr>
              <w:t>1m</w:t>
            </w:r>
            <w:r>
              <w:rPr>
                <w:rFonts w:hint="default" w:ascii="Times New Roman" w:hAnsi="Times New Roman" w:eastAsia="宋体" w:cs="Times New Roman"/>
                <w:b w:val="0"/>
                <w:bCs/>
                <w:sz w:val="21"/>
                <w:szCs w:val="21"/>
                <w:u w:val="single"/>
                <w:vertAlign w:val="baseline"/>
                <w:lang w:val="en-US" w:eastAsia="zh-CN"/>
              </w:rPr>
              <w:t>聚氨酯泡绵</w:t>
            </w:r>
            <w:r>
              <w:rPr>
                <w:rFonts w:hint="default" w:ascii="Times New Roman" w:hAnsi="Times New Roman" w:cs="Times New Roman"/>
                <w:b w:val="0"/>
                <w:bCs/>
                <w:color w:val="auto"/>
                <w:sz w:val="21"/>
                <w:szCs w:val="21"/>
                <w:u w:val="single"/>
                <w:lang w:val="en-US" w:eastAsia="zh-CN"/>
              </w:rPr>
              <w:t>约</w:t>
            </w:r>
            <w:r>
              <w:rPr>
                <w:rFonts w:hint="eastAsia" w:cs="Times New Roman"/>
                <w:b w:val="0"/>
                <w:bCs/>
                <w:color w:val="auto"/>
                <w:sz w:val="21"/>
                <w:szCs w:val="21"/>
                <w:u w:val="single"/>
                <w:lang w:val="en-US" w:eastAsia="zh-CN"/>
              </w:rPr>
              <w:t>1</w:t>
            </w:r>
            <w:r>
              <w:rPr>
                <w:rFonts w:hint="default" w:ascii="Times New Roman" w:hAnsi="Times New Roman" w:cs="Times New Roman"/>
                <w:b w:val="0"/>
                <w:bCs/>
                <w:color w:val="auto"/>
                <w:sz w:val="21"/>
                <w:szCs w:val="21"/>
                <w:u w:val="single"/>
                <w:lang w:val="en-US" w:eastAsia="zh-CN"/>
              </w:rPr>
              <w:t>kg</w:t>
            </w:r>
            <w:r>
              <w:rPr>
                <w:rFonts w:hint="eastAsia"/>
                <w:b w:val="0"/>
                <w:bCs/>
                <w:color w:val="auto"/>
                <w:sz w:val="21"/>
                <w:szCs w:val="21"/>
                <w:u w:val="single"/>
                <w:lang w:val="en-US" w:eastAsia="zh-CN"/>
              </w:rPr>
              <w:t>，故合计年产</w:t>
            </w:r>
            <w:r>
              <w:rPr>
                <w:rFonts w:hint="default" w:ascii="Times New Roman" w:hAnsi="Times New Roman" w:eastAsia="宋体" w:cs="Times New Roman"/>
                <w:b w:val="0"/>
                <w:bCs/>
                <w:sz w:val="21"/>
                <w:szCs w:val="21"/>
                <w:u w:val="single"/>
                <w:vertAlign w:val="baseline"/>
                <w:lang w:val="en-US" w:eastAsia="zh-CN"/>
              </w:rPr>
              <w:t>聚氨酯泡绵</w:t>
            </w:r>
            <w:r>
              <w:rPr>
                <w:rFonts w:hint="eastAsia" w:cs="Times New Roman"/>
                <w:b w:val="0"/>
                <w:bCs/>
                <w:sz w:val="21"/>
                <w:szCs w:val="21"/>
                <w:u w:val="single"/>
                <w:vertAlign w:val="baseline"/>
                <w:lang w:val="en-US" w:eastAsia="zh-CN"/>
              </w:rPr>
              <w:t>3400</w:t>
            </w:r>
            <w:r>
              <w:rPr>
                <w:rFonts w:hint="eastAsia" w:ascii="Times New Roman" w:hAnsi="Times New Roman" w:eastAsia="宋体" w:cs="Times New Roman"/>
                <w:b w:val="0"/>
                <w:bCs/>
                <w:sz w:val="21"/>
                <w:szCs w:val="21"/>
                <w:u w:val="single"/>
                <w:vertAlign w:val="baseline"/>
                <w:lang w:val="en-US" w:eastAsia="zh-CN"/>
              </w:rPr>
              <w:t>t/a。</w:t>
            </w:r>
          </w:p>
          <w:p>
            <w:pPr>
              <w:spacing w:line="360" w:lineRule="auto"/>
              <w:rPr>
                <w:rFonts w:hint="eastAsia"/>
                <w:b/>
                <w:color w:val="auto"/>
                <w:sz w:val="24"/>
                <w:u w:val="none"/>
              </w:rPr>
            </w:pPr>
            <w:r>
              <w:rPr>
                <w:rFonts w:hint="eastAsia"/>
                <w:b/>
                <w:color w:val="auto"/>
                <w:sz w:val="24"/>
                <w:u w:val="none"/>
              </w:rPr>
              <w:t>3、主要生产设备</w:t>
            </w:r>
          </w:p>
          <w:p>
            <w:pPr>
              <w:wordWrap w:val="0"/>
              <w:spacing w:line="360" w:lineRule="auto"/>
              <w:ind w:firstLine="480" w:firstLineChars="200"/>
              <w:jc w:val="left"/>
              <w:rPr>
                <w:rFonts w:hint="eastAsia"/>
                <w:color w:val="auto"/>
                <w:sz w:val="24"/>
                <w:u w:val="none"/>
              </w:rPr>
            </w:pPr>
            <w:r>
              <w:rPr>
                <w:rFonts w:hint="eastAsia"/>
                <w:color w:val="auto"/>
                <w:sz w:val="24"/>
                <w:u w:val="none"/>
              </w:rPr>
              <w:t>根据建设单位提供资料，本项目主要生产设备及数量见下表。</w:t>
            </w:r>
          </w:p>
          <w:p>
            <w:pPr>
              <w:wordWrap w:val="0"/>
              <w:spacing w:line="360" w:lineRule="auto"/>
              <w:jc w:val="center"/>
              <w:rPr>
                <w:b/>
                <w:bCs/>
                <w:color w:val="auto"/>
                <w:szCs w:val="21"/>
                <w:u w:val="none"/>
              </w:rPr>
            </w:pPr>
            <w:r>
              <w:rPr>
                <w:b/>
                <w:bCs/>
                <w:color w:val="auto"/>
                <w:szCs w:val="21"/>
                <w:u w:val="none"/>
              </w:rPr>
              <w:t>表</w:t>
            </w:r>
            <w:r>
              <w:rPr>
                <w:rFonts w:hint="eastAsia"/>
                <w:b/>
                <w:bCs/>
                <w:color w:val="auto"/>
                <w:szCs w:val="21"/>
                <w:u w:val="none"/>
              </w:rPr>
              <w:t>2</w:t>
            </w:r>
            <w:r>
              <w:rPr>
                <w:b/>
                <w:bCs/>
                <w:color w:val="auto"/>
                <w:szCs w:val="21"/>
                <w:u w:val="none"/>
              </w:rPr>
              <w:t>-3  本项目主要设备一览表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539"/>
              <w:gridCol w:w="2562"/>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28" w:type="pct"/>
                  <w:noWrap w:val="0"/>
                  <w:vAlign w:val="center"/>
                </w:tcPr>
                <w:p>
                  <w:pPr>
                    <w:jc w:val="center"/>
                    <w:rPr>
                      <w:b/>
                      <w:bCs/>
                      <w:color w:val="auto"/>
                      <w:szCs w:val="21"/>
                      <w:u w:val="none"/>
                    </w:rPr>
                  </w:pPr>
                  <w:r>
                    <w:rPr>
                      <w:b/>
                      <w:bCs/>
                      <w:color w:val="auto"/>
                      <w:szCs w:val="21"/>
                      <w:u w:val="none"/>
                    </w:rPr>
                    <w:t>序号</w:t>
                  </w:r>
                </w:p>
              </w:tc>
              <w:tc>
                <w:tcPr>
                  <w:tcW w:w="1719" w:type="pct"/>
                  <w:noWrap w:val="0"/>
                  <w:vAlign w:val="center"/>
                </w:tcPr>
                <w:p>
                  <w:pPr>
                    <w:jc w:val="center"/>
                    <w:rPr>
                      <w:b/>
                      <w:bCs/>
                      <w:color w:val="auto"/>
                      <w:szCs w:val="21"/>
                      <w:highlight w:val="none"/>
                      <w:u w:val="none"/>
                    </w:rPr>
                  </w:pPr>
                  <w:r>
                    <w:rPr>
                      <w:b/>
                      <w:bCs/>
                      <w:color w:val="auto"/>
                      <w:szCs w:val="21"/>
                      <w:highlight w:val="none"/>
                      <w:u w:val="none"/>
                    </w:rPr>
                    <w:t>设备名称</w:t>
                  </w:r>
                </w:p>
              </w:tc>
              <w:tc>
                <w:tcPr>
                  <w:tcW w:w="1735" w:type="pct"/>
                  <w:noWrap w:val="0"/>
                  <w:vAlign w:val="center"/>
                </w:tcPr>
                <w:p>
                  <w:pPr>
                    <w:jc w:val="center"/>
                    <w:rPr>
                      <w:b/>
                      <w:bCs/>
                      <w:color w:val="auto"/>
                      <w:szCs w:val="21"/>
                      <w:highlight w:val="none"/>
                      <w:u w:val="none"/>
                    </w:rPr>
                  </w:pPr>
                  <w:r>
                    <w:rPr>
                      <w:b/>
                      <w:bCs/>
                      <w:color w:val="auto"/>
                      <w:szCs w:val="21"/>
                      <w:highlight w:val="none"/>
                      <w:u w:val="none"/>
                    </w:rPr>
                    <w:t>规格/型号/参数</w:t>
                  </w:r>
                </w:p>
              </w:tc>
              <w:tc>
                <w:tcPr>
                  <w:tcW w:w="916" w:type="pct"/>
                  <w:noWrap w:val="0"/>
                  <w:vAlign w:val="center"/>
                </w:tcPr>
                <w:p>
                  <w:pPr>
                    <w:jc w:val="center"/>
                    <w:rPr>
                      <w:b/>
                      <w:bCs/>
                      <w:color w:val="auto"/>
                      <w:szCs w:val="21"/>
                      <w:highlight w:val="none"/>
                      <w:u w:val="none"/>
                    </w:rPr>
                  </w:pPr>
                  <w:r>
                    <w:rPr>
                      <w:b/>
                      <w:bCs/>
                      <w:color w:val="auto"/>
                      <w:szCs w:val="21"/>
                      <w:highlight w:val="none"/>
                      <w:u w:val="none"/>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热固化涂布线</w:t>
                  </w:r>
                </w:p>
              </w:tc>
              <w:tc>
                <w:tcPr>
                  <w:tcW w:w="1735"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FJ1400</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2</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分条机</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b w:val="0"/>
                      <w:bCs w:val="0"/>
                      <w:sz w:val="21"/>
                      <w:szCs w:val="21"/>
                      <w:u w:val="none"/>
                      <w:vertAlign w:val="baseline"/>
                      <w:lang w:val="en-US" w:eastAsia="zh-CN"/>
                    </w:rPr>
                    <w:t>HT1400</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3</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燃气热风炉</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b w:val="0"/>
                      <w:bCs w:val="0"/>
                      <w:sz w:val="21"/>
                      <w:szCs w:val="21"/>
                      <w:u w:val="none"/>
                      <w:vertAlign w:val="baseline"/>
                      <w:lang w:val="en-US" w:eastAsia="zh-CN"/>
                    </w:rPr>
                    <w:t>2t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4</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挤出发泡头</w:t>
                  </w:r>
                </w:p>
              </w:tc>
              <w:tc>
                <w:tcPr>
                  <w:tcW w:w="1735" w:type="pct"/>
                  <w:noWrap w:val="0"/>
                  <w:vAlign w:val="top"/>
                </w:tcPr>
                <w:p>
                  <w:pPr>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狭缝式</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5</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聚氨酯低压罐</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6</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红外测厚仪</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7</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发泡机</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8</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印刷机</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b w:val="0"/>
                      <w:bCs w:val="0"/>
                      <w:sz w:val="21"/>
                      <w:szCs w:val="21"/>
                      <w:u w:val="none"/>
                      <w:vertAlign w:val="baseline"/>
                      <w:lang w:val="en-US" w:eastAsia="zh-CN"/>
                    </w:rPr>
                    <w:t>凹版</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9</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UV光固化机</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10</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自动蓄布架</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11</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搅拌分散机</w:t>
                  </w:r>
                </w:p>
              </w:tc>
              <w:tc>
                <w:tcPr>
                  <w:tcW w:w="1735" w:type="pct"/>
                  <w:noWrap w:val="0"/>
                  <w:vAlign w:val="top"/>
                </w:tcPr>
                <w:p>
                  <w:pPr>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b w:val="0"/>
                      <w:bCs w:val="0"/>
                      <w:sz w:val="21"/>
                      <w:szCs w:val="21"/>
                      <w:u w:val="none"/>
                      <w:vertAlign w:val="baseline"/>
                      <w:lang w:val="en-US" w:eastAsia="zh-CN"/>
                    </w:rPr>
                    <w:t>FS型</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12</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冰水机</w:t>
                  </w:r>
                </w:p>
              </w:tc>
              <w:tc>
                <w:tcPr>
                  <w:tcW w:w="1735" w:type="pct"/>
                  <w:noWrap w:val="0"/>
                  <w:vAlign w:val="top"/>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13</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网纹辊清洗机</w:t>
                  </w:r>
                </w:p>
              </w:tc>
              <w:tc>
                <w:tcPr>
                  <w:tcW w:w="1735" w:type="pct"/>
                  <w:noWrap w:val="0"/>
                  <w:vAlign w:val="top"/>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14</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电子鼓风干燥箱</w:t>
                  </w:r>
                </w:p>
              </w:tc>
              <w:tc>
                <w:tcPr>
                  <w:tcW w:w="1735" w:type="pct"/>
                  <w:noWrap w:val="0"/>
                  <w:vAlign w:val="top"/>
                </w:tcPr>
                <w:p>
                  <w:pPr>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15</w:t>
                  </w:r>
                </w:p>
              </w:tc>
              <w:tc>
                <w:tcPr>
                  <w:tcW w:w="1719"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海绵压缩试验机</w:t>
                  </w:r>
                </w:p>
              </w:tc>
              <w:tc>
                <w:tcPr>
                  <w:tcW w:w="1735"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PT-305C</w:t>
                  </w:r>
                </w:p>
              </w:tc>
              <w:tc>
                <w:tcPr>
                  <w:tcW w:w="916" w:type="pct"/>
                  <w:noWrap w:val="0"/>
                  <w:vAlign w:val="top"/>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u w:val="single"/>
              </w:rPr>
            </w:pPr>
            <w:r>
              <w:rPr>
                <w:rFonts w:hint="eastAsia"/>
                <w:b w:val="0"/>
                <w:bCs/>
                <w:color w:val="auto"/>
                <w:sz w:val="24"/>
                <w:u w:val="single"/>
              </w:rPr>
              <w:t>经与《产业结构调整指导目录（202</w:t>
            </w:r>
            <w:r>
              <w:rPr>
                <w:rFonts w:hint="eastAsia"/>
                <w:b w:val="0"/>
                <w:bCs/>
                <w:color w:val="auto"/>
                <w:sz w:val="24"/>
                <w:u w:val="single"/>
                <w:lang w:val="en-US" w:eastAsia="zh-CN"/>
              </w:rPr>
              <w:t>2</w:t>
            </w:r>
            <w:r>
              <w:rPr>
                <w:rFonts w:hint="eastAsia"/>
                <w:b w:val="0"/>
                <w:bCs/>
                <w:color w:val="auto"/>
                <w:sz w:val="24"/>
                <w:u w:val="single"/>
              </w:rPr>
              <w:t>年版）》</w:t>
            </w:r>
            <w:r>
              <w:rPr>
                <w:rFonts w:hint="eastAsia"/>
                <w:b w:val="0"/>
                <w:bCs/>
                <w:color w:val="auto"/>
                <w:sz w:val="24"/>
                <w:u w:val="single"/>
                <w:lang w:val="en-US" w:eastAsia="zh-CN"/>
              </w:rPr>
              <w:t>和</w:t>
            </w:r>
            <w:r>
              <w:rPr>
                <w:rFonts w:hint="eastAsia"/>
                <w:b w:val="0"/>
                <w:bCs/>
                <w:color w:val="auto"/>
                <w:sz w:val="24"/>
                <w:u w:val="single"/>
              </w:rPr>
              <w:t>高耗能落后机电设备（产品）淘汰目录（第一、二、三、四批）》对照，以上设备全部为符合国家产业政策的设备。</w:t>
            </w:r>
          </w:p>
          <w:p>
            <w:pPr>
              <w:spacing w:line="360" w:lineRule="auto"/>
              <w:rPr>
                <w:rFonts w:hint="eastAsia"/>
                <w:b/>
                <w:color w:val="auto"/>
                <w:sz w:val="24"/>
                <w:u w:val="none"/>
              </w:rPr>
            </w:pPr>
            <w:r>
              <w:rPr>
                <w:rFonts w:hint="eastAsia"/>
                <w:b/>
                <w:color w:val="auto"/>
                <w:sz w:val="24"/>
                <w:u w:val="none"/>
              </w:rPr>
              <w:t>4、主要原辅材料的种类和用量</w:t>
            </w:r>
          </w:p>
          <w:p>
            <w:pPr>
              <w:wordWrap w:val="0"/>
              <w:spacing w:line="360" w:lineRule="auto"/>
              <w:ind w:firstLine="480" w:firstLineChars="200"/>
              <w:jc w:val="left"/>
              <w:rPr>
                <w:rFonts w:hint="eastAsia"/>
                <w:color w:val="auto"/>
                <w:sz w:val="24"/>
                <w:u w:val="none"/>
              </w:rPr>
            </w:pPr>
            <w:r>
              <w:rPr>
                <w:rFonts w:hint="eastAsia"/>
                <w:color w:val="auto"/>
                <w:sz w:val="24"/>
                <w:u w:val="none"/>
              </w:rPr>
              <w:t>项目主要原辅材料见下表。</w:t>
            </w:r>
          </w:p>
          <w:p>
            <w:pPr>
              <w:wordWrap w:val="0"/>
              <w:spacing w:line="360" w:lineRule="auto"/>
              <w:jc w:val="center"/>
              <w:rPr>
                <w:b/>
                <w:bCs/>
                <w:color w:val="auto"/>
                <w:kern w:val="0"/>
                <w:szCs w:val="21"/>
                <w:u w:val="none"/>
              </w:rPr>
            </w:pPr>
            <w:r>
              <w:rPr>
                <w:b/>
                <w:bCs/>
                <w:color w:val="auto"/>
                <w:kern w:val="0"/>
                <w:szCs w:val="21"/>
                <w:u w:val="none"/>
              </w:rPr>
              <w:t>表</w:t>
            </w:r>
            <w:r>
              <w:rPr>
                <w:rFonts w:hint="eastAsia"/>
                <w:b/>
                <w:bCs/>
                <w:color w:val="auto"/>
                <w:kern w:val="0"/>
                <w:szCs w:val="21"/>
                <w:u w:val="none"/>
              </w:rPr>
              <w:t>2</w:t>
            </w:r>
            <w:r>
              <w:rPr>
                <w:b/>
                <w:bCs/>
                <w:color w:val="auto"/>
                <w:kern w:val="0"/>
                <w:szCs w:val="21"/>
                <w:u w:val="none"/>
              </w:rPr>
              <w:t>-4 项目主要原辅材料</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40"/>
              <w:gridCol w:w="2312"/>
              <w:gridCol w:w="796"/>
              <w:gridCol w:w="1305"/>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491" w:type="pct"/>
                  <w:noWrap w:val="0"/>
                  <w:vAlign w:val="center"/>
                </w:tcPr>
                <w:p>
                  <w:pPr>
                    <w:pStyle w:val="13"/>
                    <w:spacing w:after="0"/>
                    <w:ind w:left="0" w:firstLine="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序号</w:t>
                  </w:r>
                </w:p>
              </w:tc>
              <w:tc>
                <w:tcPr>
                  <w:tcW w:w="879" w:type="pct"/>
                  <w:noWrap w:val="0"/>
                  <w:vAlign w:val="center"/>
                </w:tcPr>
                <w:p>
                  <w:pPr>
                    <w:pStyle w:val="13"/>
                    <w:spacing w:after="0"/>
                    <w:ind w:left="0" w:firstLine="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名称</w:t>
                  </w:r>
                </w:p>
              </w:tc>
              <w:tc>
                <w:tcPr>
                  <w:tcW w:w="1611" w:type="pct"/>
                  <w:noWrap w:val="0"/>
                  <w:vAlign w:val="center"/>
                </w:tcPr>
                <w:p>
                  <w:pPr>
                    <w:pStyle w:val="13"/>
                    <w:spacing w:after="0"/>
                    <w:ind w:left="0" w:firstLine="0"/>
                    <w:jc w:val="center"/>
                    <w:rPr>
                      <w:rFonts w:hint="default" w:ascii="Times New Roman" w:hAnsi="Times New Roman" w:eastAsia="宋体" w:cs="Times New Roman"/>
                      <w:b/>
                      <w:bCs/>
                      <w:color w:val="auto"/>
                      <w:kern w:val="0"/>
                      <w:sz w:val="21"/>
                      <w:szCs w:val="21"/>
                      <w:u w:val="none"/>
                    </w:rPr>
                  </w:pPr>
                  <w:r>
                    <w:rPr>
                      <w:rFonts w:hint="default" w:ascii="Times New Roman" w:hAnsi="Times New Roman" w:eastAsia="宋体" w:cs="Times New Roman"/>
                      <w:b/>
                      <w:bCs/>
                      <w:color w:val="auto"/>
                      <w:kern w:val="0"/>
                      <w:sz w:val="21"/>
                      <w:szCs w:val="21"/>
                      <w:u w:val="none"/>
                    </w:rPr>
                    <w:t>成分</w:t>
                  </w:r>
                </w:p>
              </w:tc>
              <w:tc>
                <w:tcPr>
                  <w:tcW w:w="585" w:type="pct"/>
                  <w:noWrap w:val="0"/>
                  <w:vAlign w:val="center"/>
                </w:tcPr>
                <w:p>
                  <w:pPr>
                    <w:pStyle w:val="13"/>
                    <w:spacing w:after="0"/>
                    <w:ind w:left="0" w:firstLine="0"/>
                    <w:jc w:val="center"/>
                    <w:rPr>
                      <w:rFonts w:hint="eastAsia" w:ascii="Times New Roman" w:hAnsi="Times New Roman" w:eastAsia="宋体" w:cs="Times New Roman"/>
                      <w:b/>
                      <w:bCs/>
                      <w:color w:val="auto"/>
                      <w:kern w:val="0"/>
                      <w:sz w:val="21"/>
                      <w:szCs w:val="21"/>
                      <w:highlight w:val="none"/>
                      <w:u w:val="none"/>
                      <w:lang w:eastAsia="zh-CN"/>
                    </w:rPr>
                  </w:pPr>
                  <w:r>
                    <w:rPr>
                      <w:rFonts w:hint="default" w:ascii="Times New Roman" w:hAnsi="Times New Roman" w:eastAsia="宋体" w:cs="Times New Roman"/>
                      <w:b/>
                      <w:bCs/>
                      <w:color w:val="auto"/>
                      <w:kern w:val="0"/>
                      <w:sz w:val="21"/>
                      <w:szCs w:val="21"/>
                      <w:highlight w:val="none"/>
                      <w:u w:val="none"/>
                    </w:rPr>
                    <w:t>年用量</w:t>
                  </w:r>
                  <w:r>
                    <w:rPr>
                      <w:rFonts w:hint="eastAsia" w:cs="Times New Roman"/>
                      <w:b/>
                      <w:bCs/>
                      <w:color w:val="auto"/>
                      <w:kern w:val="0"/>
                      <w:sz w:val="21"/>
                      <w:szCs w:val="21"/>
                      <w:highlight w:val="none"/>
                      <w:u w:val="none"/>
                      <w:lang w:eastAsia="zh-CN"/>
                    </w:rPr>
                    <w:t>（</w:t>
                  </w:r>
                  <w:r>
                    <w:rPr>
                      <w:rFonts w:hint="eastAsia" w:cs="Times New Roman"/>
                      <w:b w:val="0"/>
                      <w:bCs w:val="0"/>
                      <w:sz w:val="21"/>
                      <w:szCs w:val="21"/>
                      <w:u w:val="none"/>
                      <w:vertAlign w:val="baseline"/>
                      <w:lang w:val="en-US" w:eastAsia="zh-CN"/>
                    </w:rPr>
                    <w:t>t</w:t>
                  </w:r>
                  <w:r>
                    <w:rPr>
                      <w:rFonts w:hint="eastAsia" w:cs="Times New Roman"/>
                      <w:b/>
                      <w:bCs/>
                      <w:color w:val="auto"/>
                      <w:kern w:val="0"/>
                      <w:sz w:val="21"/>
                      <w:szCs w:val="21"/>
                      <w:highlight w:val="none"/>
                      <w:u w:val="none"/>
                      <w:lang w:eastAsia="zh-CN"/>
                    </w:rPr>
                    <w:t>）</w:t>
                  </w:r>
                </w:p>
              </w:tc>
              <w:tc>
                <w:tcPr>
                  <w:tcW w:w="929" w:type="pct"/>
                  <w:noWrap w:val="0"/>
                  <w:vAlign w:val="center"/>
                </w:tcPr>
                <w:p>
                  <w:pPr>
                    <w:pStyle w:val="13"/>
                    <w:spacing w:after="0"/>
                    <w:ind w:left="0" w:firstLine="0"/>
                    <w:jc w:val="center"/>
                    <w:rPr>
                      <w:rFonts w:hint="default" w:ascii="Times New Roman" w:hAnsi="Times New Roman" w:eastAsia="宋体" w:cs="Times New Roman"/>
                      <w:b/>
                      <w:bCs/>
                      <w:color w:val="auto"/>
                      <w:kern w:val="0"/>
                      <w:sz w:val="21"/>
                      <w:szCs w:val="21"/>
                      <w:highlight w:val="none"/>
                      <w:u w:val="none"/>
                    </w:rPr>
                  </w:pPr>
                  <w:r>
                    <w:rPr>
                      <w:rFonts w:hint="default" w:ascii="Times New Roman" w:hAnsi="Times New Roman" w:eastAsia="宋体" w:cs="Times New Roman"/>
                      <w:b/>
                      <w:bCs/>
                      <w:color w:val="auto"/>
                      <w:sz w:val="21"/>
                      <w:szCs w:val="21"/>
                      <w:highlight w:val="none"/>
                      <w:u w:val="none"/>
                    </w:rPr>
                    <w:t>最大储存量</w:t>
                  </w:r>
                  <w:r>
                    <w:rPr>
                      <w:rFonts w:hint="eastAsia" w:cs="Times New Roman"/>
                      <w:b/>
                      <w:bCs/>
                      <w:color w:val="auto"/>
                      <w:kern w:val="0"/>
                      <w:sz w:val="21"/>
                      <w:szCs w:val="21"/>
                      <w:highlight w:val="none"/>
                      <w:u w:val="none"/>
                      <w:lang w:eastAsia="zh-CN"/>
                    </w:rPr>
                    <w:t>（</w:t>
                  </w:r>
                  <w:r>
                    <w:rPr>
                      <w:rFonts w:hint="eastAsia" w:cs="Times New Roman"/>
                      <w:b w:val="0"/>
                      <w:bCs w:val="0"/>
                      <w:sz w:val="21"/>
                      <w:szCs w:val="21"/>
                      <w:u w:val="none"/>
                      <w:vertAlign w:val="baseline"/>
                      <w:lang w:val="en-US" w:eastAsia="zh-CN"/>
                    </w:rPr>
                    <w:t>t</w:t>
                  </w:r>
                  <w:r>
                    <w:rPr>
                      <w:rFonts w:hint="eastAsia" w:cs="Times New Roman"/>
                      <w:b/>
                      <w:bCs/>
                      <w:color w:val="auto"/>
                      <w:kern w:val="0"/>
                      <w:sz w:val="21"/>
                      <w:szCs w:val="21"/>
                      <w:highlight w:val="none"/>
                      <w:u w:val="none"/>
                      <w:lang w:eastAsia="zh-CN"/>
                    </w:rPr>
                    <w:t>）</w:t>
                  </w:r>
                </w:p>
              </w:tc>
              <w:tc>
                <w:tcPr>
                  <w:tcW w:w="501" w:type="pct"/>
                  <w:noWrap w:val="0"/>
                  <w:vAlign w:val="center"/>
                </w:tcPr>
                <w:p>
                  <w:pPr>
                    <w:jc w:val="center"/>
                    <w:rPr>
                      <w:rFonts w:hint="default" w:ascii="Times New Roman" w:hAnsi="Times New Roman" w:eastAsia="宋体" w:cs="Times New Roman"/>
                      <w:b/>
                      <w:bCs/>
                      <w:color w:val="auto"/>
                      <w:kern w:val="2"/>
                      <w:sz w:val="21"/>
                      <w:szCs w:val="21"/>
                      <w:u w:val="none"/>
                      <w:vertAlign w:val="baseline"/>
                      <w:lang w:val="en-US" w:eastAsia="zh-CN" w:bidi="ar-SA"/>
                    </w:rPr>
                  </w:pPr>
                  <w:r>
                    <w:rPr>
                      <w:rFonts w:hint="default" w:ascii="Times New Roman" w:hAnsi="Times New Roman" w:cs="Times New Roman"/>
                      <w:b/>
                      <w:bCs/>
                      <w:color w:val="auto"/>
                      <w:kern w:val="2"/>
                      <w:sz w:val="21"/>
                      <w:szCs w:val="21"/>
                      <w:u w:val="none"/>
                      <w:vertAlign w:val="baseline"/>
                      <w:lang w:val="en-US" w:eastAsia="zh-CN" w:bidi="ar-SA"/>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1</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color w:val="000000"/>
                      <w:kern w:val="0"/>
                      <w:sz w:val="21"/>
                      <w:szCs w:val="21"/>
                      <w:u w:val="none"/>
                      <w:lang w:val="en-US" w:eastAsia="zh-CN" w:bidi="ar"/>
                    </w:rPr>
                    <w:t>8618</w:t>
                  </w:r>
                  <w:r>
                    <w:rPr>
                      <w:rFonts w:hint="eastAsia" w:cs="Times New Roman"/>
                      <w:color w:val="000000"/>
                      <w:kern w:val="0"/>
                      <w:sz w:val="21"/>
                      <w:szCs w:val="21"/>
                      <w:u w:val="none"/>
                      <w:lang w:val="en-US" w:eastAsia="zh-CN" w:bidi="ar"/>
                    </w:rPr>
                    <w:t>改性</w:t>
                  </w:r>
                  <w:r>
                    <w:rPr>
                      <w:rFonts w:hint="default" w:ascii="Times New Roman" w:hAnsi="Times New Roman" w:eastAsia="宋体" w:cs="Times New Roman"/>
                      <w:b w:val="0"/>
                      <w:bCs w:val="0"/>
                      <w:sz w:val="21"/>
                      <w:szCs w:val="21"/>
                      <w:u w:val="none"/>
                      <w:vertAlign w:val="baseline"/>
                      <w:lang w:val="en-US" w:eastAsia="zh-CN"/>
                    </w:rPr>
                    <w:t>异氰酸酯</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二苯基甲烷二异氰酸酯组分：50-62%，氨基甲酸酯改性异氰酸酯组分：38-50%。</w:t>
                  </w:r>
                </w:p>
              </w:tc>
              <w:tc>
                <w:tcPr>
                  <w:tcW w:w="585" w:type="pct"/>
                  <w:noWrap w:val="0"/>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200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0.6</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2</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碳化二亚胺改性MDI（</w:t>
                  </w:r>
                  <w:r>
                    <w:rPr>
                      <w:rFonts w:hint="default" w:ascii="Times New Roman" w:hAnsi="Times New Roman" w:eastAsia="宋体" w:cs="Times New Roman"/>
                      <w:color w:val="000000"/>
                      <w:kern w:val="0"/>
                      <w:sz w:val="21"/>
                      <w:szCs w:val="21"/>
                      <w:u w:val="none"/>
                      <w:lang w:val="en-US" w:eastAsia="zh-CN" w:bidi="ar"/>
                    </w:rPr>
                    <w:t>CDMDI-100L</w:t>
                  </w:r>
                  <w:r>
                    <w:rPr>
                      <w:rFonts w:hint="default" w:ascii="Times New Roman" w:hAnsi="Times New Roman" w:eastAsia="宋体" w:cs="Times New Roman"/>
                      <w:b w:val="0"/>
                      <w:bCs w:val="0"/>
                      <w:sz w:val="21"/>
                      <w:szCs w:val="21"/>
                      <w:u w:val="none"/>
                      <w:vertAlign w:val="baseline"/>
                      <w:lang w:val="en-US" w:eastAsia="zh-CN"/>
                    </w:rPr>
                    <w:t>异氰酸酯</w:t>
                  </w:r>
                  <w:r>
                    <w:rPr>
                      <w:rFonts w:hint="eastAsia" w:ascii="Times New Roman" w:hAnsi="Times New Roman" w:eastAsia="宋体" w:cs="Times New Roman"/>
                      <w:b w:val="0"/>
                      <w:bCs w:val="0"/>
                      <w:sz w:val="21"/>
                      <w:szCs w:val="21"/>
                      <w:u w:val="none"/>
                      <w:vertAlign w:val="baseline"/>
                      <w:lang w:val="en-US" w:eastAsia="zh-CN"/>
                    </w:rPr>
                    <w:t>）</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二苯基甲烷-4，4-二异氰酸酯组分：60-80%，MDI均聚物组分20-40%。</w:t>
                  </w:r>
                </w:p>
              </w:tc>
              <w:tc>
                <w:tcPr>
                  <w:tcW w:w="585" w:type="pct"/>
                  <w:noWrap w:val="0"/>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30</w:t>
                  </w:r>
                </w:p>
              </w:tc>
              <w:tc>
                <w:tcPr>
                  <w:tcW w:w="929"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3</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eastAsia" w:ascii="Times New Roman" w:hAnsi="Times New Roman" w:eastAsia="宋体" w:cs="Times New Roman"/>
                      <w:b w:val="0"/>
                      <w:bCs w:val="0"/>
                      <w:sz w:val="21"/>
                      <w:szCs w:val="21"/>
                      <w:u w:val="none"/>
                      <w:vertAlign w:val="baseline"/>
                      <w:lang w:val="en-US" w:eastAsia="zh-CN"/>
                    </w:rPr>
                    <w:t>多亚甲基多苯基异氰酸酯（</w:t>
                  </w:r>
                  <w:r>
                    <w:rPr>
                      <w:rFonts w:hint="default" w:ascii="Times New Roman" w:hAnsi="Times New Roman" w:eastAsia="宋体" w:cs="Times New Roman"/>
                      <w:color w:val="000000"/>
                      <w:kern w:val="0"/>
                      <w:sz w:val="21"/>
                      <w:szCs w:val="21"/>
                      <w:u w:val="none"/>
                      <w:lang w:val="en-US" w:eastAsia="zh-CN" w:bidi="ar"/>
                    </w:rPr>
                    <w:t>PM-200</w:t>
                  </w:r>
                  <w:r>
                    <w:rPr>
                      <w:rFonts w:hint="default" w:ascii="Times New Roman" w:hAnsi="Times New Roman" w:eastAsia="宋体" w:cs="Times New Roman"/>
                      <w:b w:val="0"/>
                      <w:bCs w:val="0"/>
                      <w:sz w:val="21"/>
                      <w:szCs w:val="21"/>
                      <w:u w:val="none"/>
                      <w:vertAlign w:val="baseline"/>
                      <w:lang w:val="en-US" w:eastAsia="zh-CN"/>
                    </w:rPr>
                    <w:t>异氰酸酯</w:t>
                  </w:r>
                  <w:r>
                    <w:rPr>
                      <w:rFonts w:hint="eastAsia" w:ascii="Times New Roman" w:hAnsi="Times New Roman" w:eastAsia="宋体" w:cs="Times New Roman"/>
                      <w:b w:val="0"/>
                      <w:bCs w:val="0"/>
                      <w:sz w:val="21"/>
                      <w:szCs w:val="21"/>
                      <w:u w:val="none"/>
                      <w:vertAlign w:val="baseline"/>
                      <w:lang w:val="en-US" w:eastAsia="zh-CN"/>
                    </w:rPr>
                    <w:t>）</w:t>
                  </w:r>
                </w:p>
              </w:tc>
              <w:tc>
                <w:tcPr>
                  <w:tcW w:w="1611"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二苯基甲烷-4，4-二异氰酸酯组分：30-50%，MDI均聚物组分50-70%。</w:t>
                  </w:r>
                </w:p>
              </w:tc>
              <w:tc>
                <w:tcPr>
                  <w:tcW w:w="585" w:type="pct"/>
                  <w:noWrap w:val="0"/>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35</w:t>
                  </w:r>
                </w:p>
              </w:tc>
              <w:tc>
                <w:tcPr>
                  <w:tcW w:w="929"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4</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color w:val="000000"/>
                      <w:kern w:val="0"/>
                      <w:sz w:val="21"/>
                      <w:szCs w:val="21"/>
                      <w:u w:val="none"/>
                      <w:lang w:val="en-US" w:eastAsia="zh-CN" w:bidi="ar"/>
                    </w:rPr>
                    <w:t>CHP-H30</w:t>
                  </w:r>
                  <w:r>
                    <w:rPr>
                      <w:rFonts w:hint="eastAsia" w:cs="Times New Roman"/>
                      <w:color w:val="000000"/>
                      <w:kern w:val="0"/>
                      <w:sz w:val="21"/>
                      <w:szCs w:val="21"/>
                      <w:u w:val="none"/>
                      <w:lang w:val="en-US" w:eastAsia="zh-CN" w:bidi="ar"/>
                    </w:rPr>
                    <w:t>聚合物多元醇（</w:t>
                  </w:r>
                  <w:r>
                    <w:rPr>
                      <w:rFonts w:hint="default" w:ascii="Times New Roman" w:hAnsi="Times New Roman" w:eastAsia="宋体" w:cs="Times New Roman"/>
                      <w:b w:val="0"/>
                      <w:bCs w:val="0"/>
                      <w:sz w:val="21"/>
                      <w:szCs w:val="21"/>
                      <w:u w:val="none"/>
                      <w:vertAlign w:val="baseline"/>
                      <w:lang w:val="en-US" w:eastAsia="zh-CN"/>
                    </w:rPr>
                    <w:t>聚醚多元醇</w:t>
                  </w:r>
                  <w:r>
                    <w:rPr>
                      <w:rFonts w:hint="eastAsia" w:cs="Times New Roman"/>
                      <w:color w:val="000000"/>
                      <w:kern w:val="0"/>
                      <w:sz w:val="21"/>
                      <w:szCs w:val="21"/>
                      <w:u w:val="none"/>
                      <w:lang w:val="en-US" w:eastAsia="zh-CN" w:bidi="ar"/>
                    </w:rPr>
                    <w:t>）</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聚醚多元醇、聚醚与乙烯基单体接枝聚合物、苯乙烯、丙烯晴聚合物</w:t>
                  </w:r>
                </w:p>
              </w:tc>
              <w:tc>
                <w:tcPr>
                  <w:tcW w:w="585" w:type="pct"/>
                  <w:noWrap w:val="0"/>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kern w:val="2"/>
                      <w:sz w:val="21"/>
                      <w:szCs w:val="21"/>
                      <w:u w:val="none"/>
                      <w:vertAlign w:val="baseline"/>
                      <w:lang w:val="en-US" w:eastAsia="zh-CN" w:bidi="ar-SA"/>
                    </w:rPr>
                    <w:t>80</w:t>
                  </w:r>
                </w:p>
              </w:tc>
              <w:tc>
                <w:tcPr>
                  <w:tcW w:w="929"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0.4</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5</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CHE-306</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聚醚多元醇</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185</w:t>
                  </w:r>
                </w:p>
              </w:tc>
              <w:tc>
                <w:tcPr>
                  <w:tcW w:w="929"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1</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6</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CHE-330N</w:t>
                  </w:r>
                </w:p>
              </w:tc>
              <w:tc>
                <w:tcPr>
                  <w:tcW w:w="1611" w:type="pct"/>
                  <w:noWrap w:val="0"/>
                  <w:vAlign w:val="center"/>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sz w:val="21"/>
                      <w:szCs w:val="21"/>
                      <w:u w:val="none"/>
                      <w:vertAlign w:val="baseline"/>
                      <w:lang w:val="en-US" w:eastAsia="zh-CN"/>
                    </w:rPr>
                    <w:t>聚醚多元醇</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30</w:t>
                  </w:r>
                </w:p>
              </w:tc>
              <w:tc>
                <w:tcPr>
                  <w:tcW w:w="929" w:type="pct"/>
                  <w:noWrap w:val="0"/>
                  <w:vAlign w:val="center"/>
                </w:tcPr>
                <w:p>
                  <w:pPr>
                    <w:jc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7</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CHE-220</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聚醚多元醇</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10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8</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CHE-204</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聚醚多元醇</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10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9</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PET</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聚酯薄膜</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60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0.4</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10</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催化剂</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稀有金属</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0.1</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0.05</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11</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色膏</w:t>
                  </w:r>
                </w:p>
              </w:tc>
              <w:tc>
                <w:tcPr>
                  <w:tcW w:w="1611"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sz w:val="21"/>
                      <w:szCs w:val="21"/>
                      <w:u w:val="none"/>
                      <w:vertAlign w:val="baseline"/>
                      <w:lang w:val="en-US" w:eastAsia="zh-CN"/>
                    </w:rPr>
                    <w:t>炭黑</w:t>
                  </w:r>
                </w:p>
              </w:tc>
              <w:tc>
                <w:tcPr>
                  <w:tcW w:w="585"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b w:val="0"/>
                      <w:bCs w:val="0"/>
                      <w:kern w:val="2"/>
                      <w:sz w:val="21"/>
                      <w:szCs w:val="21"/>
                      <w:u w:val="none"/>
                      <w:vertAlign w:val="baseline"/>
                      <w:lang w:val="en-US" w:eastAsia="zh-CN" w:bidi="ar-SA"/>
                    </w:rPr>
                    <w:t>10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501" w:type="pct"/>
                  <w:noWrap w:val="0"/>
                  <w:vAlign w:val="center"/>
                </w:tcPr>
                <w:p>
                  <w:pPr>
                    <w:jc w:val="center"/>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w:t>
                  </w:r>
                  <w:r>
                    <w:rPr>
                      <w:rFonts w:hint="default" w:ascii="Times New Roman" w:hAnsi="Times New Roman" w:cs="Times New Roman"/>
                      <w:b w:val="0"/>
                      <w:bCs w:val="0"/>
                      <w:color w:val="auto"/>
                      <w:sz w:val="21"/>
                      <w:szCs w:val="21"/>
                      <w:u w:val="none"/>
                      <w:vertAlign w:val="baseline"/>
                      <w:lang w:val="en-US" w:eastAsia="zh-CN"/>
                    </w:rPr>
                    <w:t>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color w:val="auto"/>
                      <w:kern w:val="2"/>
                      <w:sz w:val="21"/>
                      <w:szCs w:val="21"/>
                      <w:highlight w:val="none"/>
                      <w:u w:val="none"/>
                      <w:shd w:val="clear" w:color="auto" w:fill="auto"/>
                      <w:vertAlign w:val="baseline"/>
                      <w:lang w:val="en-US" w:eastAsia="zh-CN" w:bidi="ar-SA"/>
                    </w:rPr>
                  </w:pPr>
                  <w:r>
                    <w:rPr>
                      <w:rFonts w:hint="default" w:ascii="Times New Roman" w:hAnsi="Times New Roman" w:eastAsia="宋体" w:cs="Times New Roman"/>
                      <w:b w:val="0"/>
                      <w:bCs w:val="0"/>
                      <w:color w:val="auto"/>
                      <w:sz w:val="21"/>
                      <w:szCs w:val="21"/>
                      <w:highlight w:val="none"/>
                      <w:u w:val="none"/>
                      <w:shd w:val="clear" w:color="auto" w:fill="auto"/>
                      <w:vertAlign w:val="baseline"/>
                      <w:lang w:val="en-US" w:eastAsia="zh-CN"/>
                    </w:rPr>
                    <w:t>12</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u w:val="none"/>
                      <w:shd w:val="clear" w:color="auto" w:fill="auto"/>
                      <w:lang w:val="en-US" w:eastAsia="zh-CN" w:bidi="ar"/>
                    </w:rPr>
                    <w:t>氮气</w:t>
                  </w:r>
                </w:p>
              </w:tc>
              <w:tc>
                <w:tcPr>
                  <w:tcW w:w="1611" w:type="pct"/>
                  <w:noWrap w:val="0"/>
                  <w:vAlign w:val="center"/>
                </w:tcPr>
                <w:p>
                  <w:pPr>
                    <w:jc w:val="center"/>
                    <w:rPr>
                      <w:rFonts w:hint="default" w:ascii="Times New Roman" w:hAnsi="Times New Roman" w:eastAsia="宋体" w:cs="Times New Roman"/>
                      <w:color w:val="auto"/>
                      <w:sz w:val="21"/>
                      <w:szCs w:val="21"/>
                      <w:highlight w:val="none"/>
                      <w:u w:val="none"/>
                      <w:shd w:val="clear" w:color="auto" w:fill="auto"/>
                      <w:lang w:val="en-US" w:eastAsia="zh-CN"/>
                    </w:rPr>
                  </w:pPr>
                  <w:r>
                    <w:rPr>
                      <w:rFonts w:hint="default" w:ascii="Times New Roman" w:hAnsi="Times New Roman" w:eastAsia="宋体" w:cs="Times New Roman"/>
                      <w:b w:val="0"/>
                      <w:bCs w:val="0"/>
                      <w:color w:val="auto"/>
                      <w:sz w:val="21"/>
                      <w:szCs w:val="21"/>
                      <w:highlight w:val="none"/>
                      <w:u w:val="none"/>
                      <w:shd w:val="clear" w:color="auto" w:fill="auto"/>
                      <w:vertAlign w:val="baseline"/>
                      <w:lang w:val="en-US" w:eastAsia="zh-CN"/>
                    </w:rPr>
                    <w:t>氮气</w:t>
                  </w:r>
                </w:p>
              </w:tc>
              <w:tc>
                <w:tcPr>
                  <w:tcW w:w="585" w:type="pct"/>
                  <w:noWrap w:val="0"/>
                  <w:vAlign w:val="center"/>
                </w:tcPr>
                <w:p>
                  <w:pPr>
                    <w:jc w:val="center"/>
                    <w:rPr>
                      <w:rFonts w:hint="default" w:ascii="Times New Roman" w:hAnsi="Times New Roman" w:eastAsia="宋体" w:cs="Times New Roman"/>
                      <w:color w:val="auto"/>
                      <w:sz w:val="21"/>
                      <w:szCs w:val="21"/>
                      <w:highlight w:val="none"/>
                      <w:u w:val="none"/>
                      <w:shd w:val="clear" w:color="auto" w:fill="auto"/>
                      <w:lang w:val="en-US" w:eastAsia="zh-CN"/>
                    </w:rPr>
                  </w:pPr>
                  <w:r>
                    <w:rPr>
                      <w:rFonts w:hint="default" w:ascii="Times New Roman" w:hAnsi="Times New Roman" w:eastAsia="宋体" w:cs="Times New Roman"/>
                      <w:b w:val="0"/>
                      <w:bCs w:val="0"/>
                      <w:color w:val="auto"/>
                      <w:kern w:val="2"/>
                      <w:sz w:val="21"/>
                      <w:szCs w:val="21"/>
                      <w:highlight w:val="none"/>
                      <w:u w:val="none"/>
                      <w:shd w:val="clear" w:color="auto" w:fill="auto"/>
                      <w:vertAlign w:val="baseline"/>
                      <w:lang w:val="en-US" w:eastAsia="zh-CN" w:bidi="ar-SA"/>
                    </w:rPr>
                    <w:t>50</w:t>
                  </w:r>
                  <w:r>
                    <w:rPr>
                      <w:rFonts w:hint="eastAsia" w:cs="Times New Roman"/>
                      <w:b w:val="0"/>
                      <w:bCs w:val="0"/>
                      <w:color w:val="auto"/>
                      <w:kern w:val="2"/>
                      <w:sz w:val="21"/>
                      <w:szCs w:val="21"/>
                      <w:highlight w:val="none"/>
                      <w:u w:val="none"/>
                      <w:shd w:val="clear" w:color="auto" w:fill="auto"/>
                      <w:vertAlign w:val="baseline"/>
                      <w:lang w:val="en-US" w:eastAsia="zh-CN" w:bidi="ar-SA"/>
                    </w:rPr>
                    <w:t>m</w:t>
                  </w:r>
                  <w:r>
                    <w:rPr>
                      <w:rFonts w:hint="eastAsia" w:cs="Times New Roman"/>
                      <w:b w:val="0"/>
                      <w:bCs w:val="0"/>
                      <w:color w:val="auto"/>
                      <w:kern w:val="2"/>
                      <w:sz w:val="21"/>
                      <w:szCs w:val="21"/>
                      <w:highlight w:val="none"/>
                      <w:u w:val="none"/>
                      <w:shd w:val="clear" w:color="auto" w:fill="auto"/>
                      <w:vertAlign w:val="superscript"/>
                      <w:lang w:val="en-US" w:eastAsia="zh-CN" w:bidi="ar-SA"/>
                    </w:rPr>
                    <w:t>3</w:t>
                  </w:r>
                </w:p>
              </w:tc>
              <w:tc>
                <w:tcPr>
                  <w:tcW w:w="929" w:type="pct"/>
                  <w:noWrap w:val="0"/>
                  <w:vAlign w:val="center"/>
                </w:tcPr>
                <w:p>
                  <w:pPr>
                    <w:jc w:val="center"/>
                    <w:rPr>
                      <w:rFonts w:hint="default" w:ascii="Times New Roman" w:hAnsi="Times New Roman" w:eastAsia="宋体" w:cs="Times New Roman"/>
                      <w:color w:val="auto"/>
                      <w:sz w:val="21"/>
                      <w:szCs w:val="21"/>
                      <w:highlight w:val="none"/>
                      <w:u w:val="none"/>
                      <w:shd w:val="clear" w:color="auto" w:fill="auto"/>
                      <w:lang w:val="en-US" w:eastAsia="zh-CN"/>
                    </w:rPr>
                  </w:pPr>
                  <w:r>
                    <w:rPr>
                      <w:rFonts w:hint="eastAsia" w:cs="Times New Roman"/>
                      <w:color w:val="auto"/>
                      <w:sz w:val="21"/>
                      <w:szCs w:val="21"/>
                      <w:highlight w:val="none"/>
                      <w:u w:val="none"/>
                      <w:shd w:val="clear" w:color="auto" w:fill="auto"/>
                      <w:lang w:val="en-US" w:eastAsia="zh-CN"/>
                    </w:rPr>
                    <w:t>10</w:t>
                  </w:r>
                  <w:r>
                    <w:rPr>
                      <w:rFonts w:hint="eastAsia" w:cs="Times New Roman"/>
                      <w:b w:val="0"/>
                      <w:bCs w:val="0"/>
                      <w:color w:val="auto"/>
                      <w:kern w:val="2"/>
                      <w:sz w:val="21"/>
                      <w:szCs w:val="21"/>
                      <w:highlight w:val="none"/>
                      <w:u w:val="none"/>
                      <w:shd w:val="clear" w:color="auto" w:fill="auto"/>
                      <w:vertAlign w:val="baseline"/>
                      <w:lang w:val="en-US" w:eastAsia="zh-CN" w:bidi="ar-SA"/>
                    </w:rPr>
                    <w:t>m</w:t>
                  </w:r>
                  <w:r>
                    <w:rPr>
                      <w:rFonts w:hint="eastAsia" w:cs="Times New Roman"/>
                      <w:b w:val="0"/>
                      <w:bCs w:val="0"/>
                      <w:color w:val="auto"/>
                      <w:kern w:val="2"/>
                      <w:sz w:val="21"/>
                      <w:szCs w:val="21"/>
                      <w:highlight w:val="none"/>
                      <w:u w:val="none"/>
                      <w:shd w:val="clear" w:color="auto" w:fill="auto"/>
                      <w:vertAlign w:val="superscript"/>
                      <w:lang w:val="en-US" w:eastAsia="zh-CN" w:bidi="ar-SA"/>
                    </w:rPr>
                    <w:t>3</w:t>
                  </w:r>
                </w:p>
              </w:tc>
              <w:tc>
                <w:tcPr>
                  <w:tcW w:w="501" w:type="pct"/>
                  <w:noWrap w:val="0"/>
                  <w:vAlign w:val="center"/>
                </w:tcPr>
                <w:p>
                  <w:pPr>
                    <w:jc w:val="center"/>
                    <w:rPr>
                      <w:rFonts w:hint="default" w:ascii="Times New Roman" w:hAnsi="Times New Roman" w:eastAsia="宋体" w:cs="Times New Roman"/>
                      <w:b w:val="0"/>
                      <w:bCs w:val="0"/>
                      <w:color w:val="auto"/>
                      <w:kern w:val="2"/>
                      <w:sz w:val="21"/>
                      <w:szCs w:val="21"/>
                      <w:highlight w:val="none"/>
                      <w:u w:val="none"/>
                      <w:shd w:val="clear" w:color="auto" w:fill="auto"/>
                      <w:vertAlign w:val="baseline"/>
                      <w:lang w:val="en-US" w:eastAsia="zh-CN" w:bidi="ar-SA"/>
                    </w:rPr>
                  </w:pPr>
                  <w:r>
                    <w:rPr>
                      <w:rFonts w:hint="default" w:ascii="Times New Roman" w:hAnsi="Times New Roman" w:cs="Times New Roman"/>
                      <w:b w:val="0"/>
                      <w:bCs w:val="0"/>
                      <w:color w:val="auto"/>
                      <w:sz w:val="21"/>
                      <w:szCs w:val="21"/>
                      <w:highlight w:val="none"/>
                      <w:u w:val="none"/>
                      <w:shd w:val="clear" w:color="auto" w:fill="auto"/>
                      <w:vertAlign w:val="baseline"/>
                      <w:lang w:val="en-US" w:eastAsia="zh-CN"/>
                    </w:rPr>
                    <w:t>气态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sz w:val="21"/>
                      <w:szCs w:val="21"/>
                      <w:u w:val="none"/>
                      <w:vertAlign w:val="baseline"/>
                      <w:lang w:val="en-US" w:eastAsia="zh-CN"/>
                    </w:rPr>
                    <w:t>13</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KT650</w:t>
                  </w:r>
                  <w:r>
                    <w:rPr>
                      <w:rFonts w:hint="eastAsia" w:ascii="Times New Roman" w:hAnsi="Times New Roman" w:cs="Times New Roman"/>
                      <w:b w:val="0"/>
                      <w:bCs w:val="0"/>
                      <w:color w:val="auto"/>
                      <w:sz w:val="21"/>
                      <w:szCs w:val="21"/>
                      <w:u w:val="none"/>
                      <w:vertAlign w:val="baseline"/>
                      <w:lang w:val="en-US" w:eastAsia="zh-CN"/>
                    </w:rPr>
                    <w:t>聚氨酯树脂</w:t>
                  </w:r>
                </w:p>
              </w:tc>
              <w:tc>
                <w:tcPr>
                  <w:tcW w:w="161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聚氨酯占比：50%，水占比：50%</w:t>
                  </w:r>
                </w:p>
              </w:tc>
              <w:tc>
                <w:tcPr>
                  <w:tcW w:w="585" w:type="pct"/>
                  <w:noWrap w:val="0"/>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20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50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14</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KT703E</w:t>
                  </w:r>
                  <w:r>
                    <w:rPr>
                      <w:rFonts w:hint="eastAsia" w:ascii="Times New Roman" w:hAnsi="Times New Roman" w:cs="Times New Roman"/>
                      <w:b w:val="0"/>
                      <w:bCs w:val="0"/>
                      <w:color w:val="auto"/>
                      <w:sz w:val="21"/>
                      <w:szCs w:val="21"/>
                      <w:u w:val="none"/>
                      <w:vertAlign w:val="baseline"/>
                      <w:lang w:val="en-US" w:eastAsia="zh-CN"/>
                    </w:rPr>
                    <w:t>聚氨酯树脂</w:t>
                  </w:r>
                </w:p>
              </w:tc>
              <w:tc>
                <w:tcPr>
                  <w:tcW w:w="161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聚氨酯占比：35%，水占比：65%</w:t>
                  </w:r>
                </w:p>
              </w:tc>
              <w:tc>
                <w:tcPr>
                  <w:tcW w:w="585" w:type="pct"/>
                  <w:noWrap w:val="0"/>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20</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c>
                <w:tcPr>
                  <w:tcW w:w="50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15</w:t>
                  </w:r>
                </w:p>
              </w:tc>
              <w:tc>
                <w:tcPr>
                  <w:tcW w:w="879"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ZZ48</w:t>
                  </w:r>
                  <w:r>
                    <w:rPr>
                      <w:rFonts w:hint="eastAsia" w:ascii="Times New Roman" w:hAnsi="Times New Roman" w:cs="Times New Roman"/>
                      <w:b w:val="0"/>
                      <w:bCs w:val="0"/>
                      <w:color w:val="auto"/>
                      <w:sz w:val="21"/>
                      <w:szCs w:val="21"/>
                      <w:u w:val="none"/>
                      <w:vertAlign w:val="baseline"/>
                      <w:lang w:val="en-US" w:eastAsia="zh-CN"/>
                    </w:rPr>
                    <w:t>增稠剂</w:t>
                  </w:r>
                </w:p>
              </w:tc>
              <w:tc>
                <w:tcPr>
                  <w:tcW w:w="161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属于混合物，分散体是基于： 聚丙烯酸酯和聚氨酯型水溶性聚合物</w:t>
                  </w:r>
                </w:p>
              </w:tc>
              <w:tc>
                <w:tcPr>
                  <w:tcW w:w="585" w:type="pct"/>
                  <w:noWrap w:val="0"/>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0.1</w:t>
                  </w:r>
                </w:p>
              </w:tc>
              <w:tc>
                <w:tcPr>
                  <w:tcW w:w="929" w:type="pct"/>
                  <w:noWrap w:val="0"/>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0.05</w:t>
                  </w:r>
                </w:p>
              </w:tc>
              <w:tc>
                <w:tcPr>
                  <w:tcW w:w="501" w:type="pct"/>
                  <w:noWrap w:val="0"/>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16</w:t>
                  </w:r>
                </w:p>
              </w:tc>
              <w:tc>
                <w:tcPr>
                  <w:tcW w:w="879"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ZF36</w:t>
                  </w:r>
                  <w:r>
                    <w:rPr>
                      <w:rFonts w:hint="eastAsia" w:ascii="Times New Roman" w:hAnsi="Times New Roman" w:cs="Times New Roman"/>
                      <w:b w:val="0"/>
                      <w:bCs w:val="0"/>
                      <w:color w:val="auto"/>
                      <w:sz w:val="21"/>
                      <w:szCs w:val="21"/>
                      <w:u w:val="none"/>
                      <w:vertAlign w:val="baseline"/>
                      <w:lang w:val="en-US" w:eastAsia="zh-CN"/>
                    </w:rPr>
                    <w:t>有机改性磷酸酯</w:t>
                  </w:r>
                </w:p>
              </w:tc>
              <w:tc>
                <w:tcPr>
                  <w:tcW w:w="161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有机改性磷酸酯占比：80%，水占比：20%</w:t>
                  </w:r>
                </w:p>
              </w:tc>
              <w:tc>
                <w:tcPr>
                  <w:tcW w:w="585" w:type="pct"/>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0.1</w:t>
                  </w:r>
                </w:p>
              </w:tc>
              <w:tc>
                <w:tcPr>
                  <w:tcW w:w="929" w:type="pct"/>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0.05</w:t>
                  </w:r>
                </w:p>
              </w:tc>
              <w:tc>
                <w:tcPr>
                  <w:tcW w:w="50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17</w:t>
                  </w:r>
                </w:p>
              </w:tc>
              <w:tc>
                <w:tcPr>
                  <w:tcW w:w="879"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R11</w:t>
                  </w:r>
                  <w:r>
                    <w:rPr>
                      <w:rFonts w:hint="eastAsia" w:ascii="Times New Roman" w:hAnsi="Times New Roman" w:cs="Times New Roman"/>
                      <w:b w:val="0"/>
                      <w:bCs w:val="0"/>
                      <w:color w:val="auto"/>
                      <w:sz w:val="21"/>
                      <w:szCs w:val="21"/>
                      <w:u w:val="none"/>
                      <w:vertAlign w:val="baseline"/>
                      <w:lang w:val="en-US" w:eastAsia="zh-CN"/>
                    </w:rPr>
                    <w:t>丙二醇</w:t>
                  </w:r>
                </w:p>
              </w:tc>
              <w:tc>
                <w:tcPr>
                  <w:tcW w:w="161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醇</w:t>
                  </w:r>
                  <w:r>
                    <w:rPr>
                      <w:rFonts w:hint="eastAsia" w:cs="Times New Roman"/>
                      <w:color w:val="auto"/>
                      <w:sz w:val="21"/>
                      <w:szCs w:val="21"/>
                      <w:u w:val="none"/>
                      <w:lang w:val="en-US" w:eastAsia="zh-CN"/>
                    </w:rPr>
                    <w:t>组分：99.5%</w:t>
                  </w:r>
                </w:p>
              </w:tc>
              <w:tc>
                <w:tcPr>
                  <w:tcW w:w="585" w:type="pct"/>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0.1</w:t>
                  </w:r>
                </w:p>
              </w:tc>
              <w:tc>
                <w:tcPr>
                  <w:tcW w:w="929" w:type="pct"/>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0.05</w:t>
                  </w:r>
                </w:p>
              </w:tc>
              <w:tc>
                <w:tcPr>
                  <w:tcW w:w="50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9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18</w:t>
                  </w:r>
                </w:p>
              </w:tc>
              <w:tc>
                <w:tcPr>
                  <w:tcW w:w="879"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cs="Times New Roman"/>
                      <w:color w:val="auto"/>
                      <w:kern w:val="0"/>
                      <w:sz w:val="21"/>
                      <w:szCs w:val="21"/>
                      <w:u w:val="none"/>
                      <w:lang w:val="en-US" w:eastAsia="zh-CN" w:bidi="ar"/>
                    </w:rPr>
                    <w:t>WF-74-004</w:t>
                  </w:r>
                  <w:r>
                    <w:rPr>
                      <w:rFonts w:hint="eastAsia" w:ascii="Times New Roman" w:hAnsi="Times New Roman" w:cs="Times New Roman"/>
                      <w:b w:val="0"/>
                      <w:bCs w:val="0"/>
                      <w:color w:val="auto"/>
                      <w:sz w:val="21"/>
                      <w:szCs w:val="21"/>
                      <w:u w:val="none"/>
                      <w:vertAlign w:val="baseline"/>
                      <w:lang w:val="en-US" w:eastAsia="zh-CN"/>
                    </w:rPr>
                    <w:t>油墨</w:t>
                  </w:r>
                </w:p>
              </w:tc>
              <w:tc>
                <w:tcPr>
                  <w:tcW w:w="1611" w:type="pct"/>
                  <w:vAlign w:val="center"/>
                </w:tcPr>
                <w:p>
                  <w:pPr>
                    <w:jc w:val="both"/>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cs="Times New Roman"/>
                      <w:b w:val="0"/>
                      <w:bCs w:val="0"/>
                      <w:color w:val="auto"/>
                      <w:kern w:val="2"/>
                      <w:sz w:val="21"/>
                      <w:szCs w:val="21"/>
                      <w:u w:val="none"/>
                      <w:vertAlign w:val="baseline"/>
                      <w:lang w:val="en-US" w:eastAsia="zh-CN" w:bidi="ar-SA"/>
                    </w:rPr>
                    <w:t>属于水性树脂，主要成分：5-氯-2-甲基-3(2H)异噻唑酮、2-甲基 3(2H)异噻唑酮混合物</w:t>
                  </w:r>
                </w:p>
              </w:tc>
              <w:tc>
                <w:tcPr>
                  <w:tcW w:w="585" w:type="pct"/>
                  <w:vAlign w:val="center"/>
                </w:tcPr>
                <w:p>
                  <w:pPr>
                    <w:jc w:val="center"/>
                    <w:rPr>
                      <w:rFonts w:hint="default" w:ascii="Times New Roman" w:hAnsi="Times New Roman" w:eastAsia="宋体" w:cs="Times New Roman"/>
                      <w:b w:val="0"/>
                      <w:bCs w:val="0"/>
                      <w:kern w:val="2"/>
                      <w:sz w:val="21"/>
                      <w:szCs w:val="21"/>
                      <w:highlight w:val="yellow"/>
                      <w:u w:val="none"/>
                      <w:vertAlign w:val="baseline"/>
                      <w:lang w:val="en-US" w:eastAsia="zh-CN" w:bidi="ar-SA"/>
                    </w:rPr>
                  </w:pPr>
                  <w:r>
                    <w:rPr>
                      <w:rFonts w:hint="eastAsia" w:ascii="Times New Roman" w:hAnsi="Times New Roman" w:cs="Times New Roman"/>
                      <w:b w:val="0"/>
                      <w:bCs w:val="0"/>
                      <w:color w:val="auto"/>
                      <w:kern w:val="2"/>
                      <w:sz w:val="21"/>
                      <w:szCs w:val="21"/>
                      <w:u w:val="none"/>
                      <w:vertAlign w:val="baseline"/>
                      <w:lang w:val="en-US" w:eastAsia="zh-CN" w:bidi="ar-SA"/>
                    </w:rPr>
                    <w:t>10</w:t>
                  </w:r>
                </w:p>
              </w:tc>
              <w:tc>
                <w:tcPr>
                  <w:tcW w:w="929" w:type="pct"/>
                  <w:vAlign w:val="center"/>
                </w:tcPr>
                <w:p>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p>
              </w:tc>
              <w:tc>
                <w:tcPr>
                  <w:tcW w:w="501"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液态</w:t>
                  </w:r>
                </w:p>
              </w:tc>
            </w:tr>
          </w:tbl>
          <w:p>
            <w:pPr>
              <w:wordWrap w:val="0"/>
              <w:spacing w:line="360" w:lineRule="auto"/>
              <w:ind w:firstLine="480" w:firstLineChars="200"/>
              <w:rPr>
                <w:rFonts w:hint="eastAsia" w:ascii="Times New Roman" w:hAnsi="Times New Roman" w:eastAsia="宋体" w:cs="Times New Roman"/>
                <w:color w:val="auto"/>
                <w:sz w:val="24"/>
                <w:highlight w:val="none"/>
                <w:u w:val="none"/>
              </w:rPr>
            </w:pPr>
            <w:r>
              <w:rPr>
                <w:rFonts w:hint="eastAsia" w:cs="Times New Roman"/>
                <w:color w:val="auto"/>
                <w:sz w:val="24"/>
                <w:highlight w:val="none"/>
                <w:u w:val="none"/>
                <w:lang w:val="en-US" w:eastAsia="zh-CN"/>
              </w:rPr>
              <w:t>主要原辅料理化性质如下</w:t>
            </w:r>
            <w:r>
              <w:rPr>
                <w:rFonts w:hint="eastAsia" w:ascii="Times New Roman" w:hAnsi="Times New Roman" w:eastAsia="宋体" w:cs="Times New Roman"/>
                <w:color w:val="auto"/>
                <w:sz w:val="24"/>
                <w:highlight w:val="none"/>
                <w:u w:val="none"/>
              </w:rPr>
              <w:t>。</w:t>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b/>
                <w:bCs/>
                <w:color w:val="auto"/>
                <w:kern w:val="0"/>
                <w:szCs w:val="21"/>
                <w:highlight w:val="none"/>
                <w:u w:val="none"/>
              </w:rPr>
            </w:pPr>
            <w:r>
              <w:rPr>
                <w:b/>
                <w:bCs/>
                <w:color w:val="auto"/>
                <w:kern w:val="0"/>
                <w:szCs w:val="21"/>
                <w:highlight w:val="none"/>
                <w:u w:val="none"/>
              </w:rPr>
              <w:t>表</w:t>
            </w:r>
            <w:r>
              <w:rPr>
                <w:rFonts w:hint="eastAsia"/>
                <w:b/>
                <w:bCs/>
                <w:color w:val="auto"/>
                <w:kern w:val="0"/>
                <w:szCs w:val="21"/>
                <w:highlight w:val="none"/>
                <w:u w:val="none"/>
              </w:rPr>
              <w:t>2</w:t>
            </w:r>
            <w:r>
              <w:rPr>
                <w:b/>
                <w:bCs/>
                <w:color w:val="auto"/>
                <w:kern w:val="0"/>
                <w:szCs w:val="21"/>
                <w:highlight w:val="none"/>
                <w:u w:val="none"/>
              </w:rPr>
              <w:t>-</w:t>
            </w:r>
            <w:r>
              <w:rPr>
                <w:rFonts w:hint="eastAsia"/>
                <w:b/>
                <w:bCs/>
                <w:color w:val="auto"/>
                <w:kern w:val="0"/>
                <w:szCs w:val="21"/>
                <w:highlight w:val="none"/>
                <w:u w:val="none"/>
                <w:lang w:val="en-US" w:eastAsia="zh-CN"/>
              </w:rPr>
              <w:t>5</w:t>
            </w:r>
            <w:r>
              <w:rPr>
                <w:b/>
                <w:bCs/>
                <w:color w:val="auto"/>
                <w:kern w:val="0"/>
                <w:szCs w:val="21"/>
                <w:highlight w:val="none"/>
                <w:u w:val="none"/>
              </w:rPr>
              <w:t xml:space="preserve"> </w:t>
            </w:r>
            <w:r>
              <w:rPr>
                <w:rFonts w:hint="eastAsia"/>
                <w:b/>
                <w:bCs/>
                <w:color w:val="auto"/>
                <w:kern w:val="0"/>
                <w:szCs w:val="21"/>
                <w:highlight w:val="none"/>
                <w:u w:val="none"/>
              </w:rPr>
              <w:t>主要原辅材料理化性质表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3038"/>
              <w:gridCol w:w="1321"/>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color w:val="auto"/>
                      <w:sz w:val="21"/>
                      <w:szCs w:val="21"/>
                      <w:u w:val="none"/>
                      <w:vertAlign w:val="baseline"/>
                      <w:lang w:val="en-US" w:eastAsia="zh-CN"/>
                    </w:rPr>
                  </w:pPr>
                  <w:r>
                    <w:rPr>
                      <w:rFonts w:hint="eastAsia"/>
                      <w:b/>
                      <w:color w:val="auto"/>
                      <w:sz w:val="21"/>
                      <w:szCs w:val="21"/>
                      <w:u w:val="none"/>
                      <w:vertAlign w:val="baseline"/>
                      <w:lang w:val="en-US" w:eastAsia="zh-CN"/>
                    </w:rPr>
                    <w:t>名称</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color w:val="auto"/>
                      <w:sz w:val="21"/>
                      <w:szCs w:val="21"/>
                      <w:u w:val="none"/>
                      <w:vertAlign w:val="baseline"/>
                      <w:lang w:val="en-US" w:eastAsia="zh-CN"/>
                    </w:rPr>
                  </w:pPr>
                  <w:r>
                    <w:rPr>
                      <w:rFonts w:hint="eastAsia"/>
                      <w:b/>
                      <w:color w:val="auto"/>
                      <w:sz w:val="21"/>
                      <w:szCs w:val="21"/>
                      <w:u w:val="none"/>
                      <w:vertAlign w:val="baseline"/>
                      <w:lang w:val="en-US" w:eastAsia="zh-CN"/>
                    </w:rPr>
                    <w:t>理化性质</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u w:val="none"/>
                      <w:vertAlign w:val="baseline"/>
                      <w:lang w:val="en-US" w:eastAsia="zh-CN"/>
                    </w:rPr>
                  </w:pPr>
                  <w:r>
                    <w:rPr>
                      <w:rFonts w:hint="eastAsia"/>
                      <w:b/>
                      <w:color w:val="auto"/>
                      <w:sz w:val="21"/>
                      <w:szCs w:val="21"/>
                      <w:u w:val="none"/>
                      <w:vertAlign w:val="baseline"/>
                      <w:lang w:val="en-US" w:eastAsia="zh-CN"/>
                    </w:rPr>
                    <w:t>燃烧爆炸性</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color w:val="auto"/>
                      <w:sz w:val="21"/>
                      <w:szCs w:val="21"/>
                      <w:u w:val="none"/>
                      <w:vertAlign w:val="baseline"/>
                      <w:lang w:val="en-US" w:eastAsia="zh-CN"/>
                    </w:rPr>
                  </w:pPr>
                  <w:r>
                    <w:rPr>
                      <w:rFonts w:hint="eastAsia"/>
                      <w:b/>
                      <w:color w:val="auto"/>
                      <w:sz w:val="21"/>
                      <w:szCs w:val="21"/>
                      <w:u w:val="none"/>
                      <w:vertAlign w:val="baseline"/>
                      <w:lang w:val="en-US" w:eastAsia="zh-CN"/>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color w:val="000000"/>
                      <w:kern w:val="0"/>
                      <w:sz w:val="21"/>
                      <w:szCs w:val="21"/>
                      <w:u w:val="none"/>
                      <w:lang w:val="en-US" w:eastAsia="zh-CN" w:bidi="ar"/>
                    </w:rPr>
                    <w:t>8618</w:t>
                  </w:r>
                  <w:r>
                    <w:rPr>
                      <w:rFonts w:hint="eastAsia" w:cs="Times New Roman"/>
                      <w:color w:val="000000"/>
                      <w:kern w:val="0"/>
                      <w:sz w:val="21"/>
                      <w:szCs w:val="21"/>
                      <w:u w:val="none"/>
                      <w:lang w:val="en-US" w:eastAsia="zh-CN" w:bidi="ar"/>
                    </w:rPr>
                    <w:t>改性</w:t>
                  </w:r>
                  <w:r>
                    <w:rPr>
                      <w:rFonts w:hint="default" w:ascii="Times New Roman" w:hAnsi="Times New Roman" w:eastAsia="宋体" w:cs="Times New Roman"/>
                      <w:b w:val="0"/>
                      <w:bCs w:val="0"/>
                      <w:sz w:val="21"/>
                      <w:szCs w:val="21"/>
                      <w:u w:val="none"/>
                      <w:vertAlign w:val="baseline"/>
                      <w:lang w:val="en-US" w:eastAsia="zh-CN"/>
                    </w:rPr>
                    <w:t>异氰酸酯</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sz w:val="21"/>
                      <w:szCs w:val="21"/>
                      <w:highlight w:val="yellow"/>
                      <w:u w:val="none"/>
                      <w:vertAlign w:val="baseline"/>
                    </w:rPr>
                  </w:pPr>
                  <w:r>
                    <w:rPr>
                      <w:rFonts w:hint="default" w:ascii="Times New Roman" w:hAnsi="Times New Roman" w:eastAsia="宋体" w:cs="Times New Roman"/>
                      <w:b w:val="0"/>
                      <w:bCs/>
                      <w:color w:val="auto"/>
                      <w:sz w:val="21"/>
                      <w:szCs w:val="21"/>
                      <w:highlight w:val="none"/>
                      <w:u w:val="none"/>
                      <w:vertAlign w:val="baseline"/>
                    </w:rPr>
                    <w:t>淡黄色液体</w:t>
                  </w:r>
                  <w:r>
                    <w:rPr>
                      <w:rFonts w:hint="eastAsia" w:ascii="Times New Roman" w:hAnsi="Times New Roman" w:eastAsia="宋体" w:cs="Times New Roman"/>
                      <w:b w:val="0"/>
                      <w:bCs/>
                      <w:color w:val="auto"/>
                      <w:sz w:val="21"/>
                      <w:szCs w:val="21"/>
                      <w:highlight w:val="none"/>
                      <w:u w:val="none"/>
                      <w:vertAlign w:val="baseline"/>
                      <w:lang w:eastAsia="zh-CN"/>
                    </w:rPr>
                    <w:t>，</w:t>
                  </w:r>
                  <w:r>
                    <w:rPr>
                      <w:rFonts w:hint="default" w:ascii="Times New Roman" w:hAnsi="Times New Roman" w:eastAsia="宋体" w:cs="Times New Roman"/>
                      <w:b w:val="0"/>
                      <w:bCs/>
                      <w:color w:val="auto"/>
                      <w:sz w:val="21"/>
                      <w:szCs w:val="21"/>
                      <w:highlight w:val="none"/>
                      <w:u w:val="none"/>
                      <w:vertAlign w:val="baseline"/>
                    </w:rPr>
                    <w:t>沸点：</w:t>
                  </w:r>
                  <w:r>
                    <w:rPr>
                      <w:rFonts w:hint="default" w:ascii="Times New Roman" w:hAnsi="Times New Roman" w:eastAsia="宋体" w:cs="Times New Roman"/>
                      <w:b w:val="0"/>
                      <w:bCs/>
                      <w:color w:val="auto"/>
                      <w:sz w:val="21"/>
                      <w:szCs w:val="21"/>
                      <w:highlight w:val="none"/>
                      <w:u w:val="none"/>
                      <w:vertAlign w:val="baseline"/>
                      <w:lang w:val="en-US" w:eastAsia="zh-CN"/>
                    </w:rPr>
                    <w:t>＞300</w:t>
                  </w:r>
                  <w:r>
                    <w:rPr>
                      <w:rFonts w:hint="default" w:ascii="Times New Roman" w:hAnsi="Times New Roman" w:eastAsia="宋体" w:cs="Times New Roman"/>
                      <w:b w:val="0"/>
                      <w:bCs/>
                      <w:color w:val="auto"/>
                      <w:sz w:val="21"/>
                      <w:szCs w:val="21"/>
                      <w:highlight w:val="none"/>
                      <w:u w:val="none"/>
                      <w:vertAlign w:val="baseline"/>
                    </w:rPr>
                    <w:t>℃</w:t>
                  </w:r>
                  <w:r>
                    <w:rPr>
                      <w:rFonts w:hint="eastAsia" w:ascii="Times New Roman" w:hAnsi="Times New Roman" w:eastAsia="宋体" w:cs="Times New Roman"/>
                      <w:b w:val="0"/>
                      <w:bCs/>
                      <w:color w:val="auto"/>
                      <w:sz w:val="21"/>
                      <w:szCs w:val="21"/>
                      <w:highlight w:val="none"/>
                      <w:u w:val="none"/>
                      <w:vertAlign w:val="baseline"/>
                      <w:lang w:eastAsia="zh-CN"/>
                    </w:rPr>
                    <w:t>，</w:t>
                  </w:r>
                  <w:r>
                    <w:rPr>
                      <w:rFonts w:hint="default" w:ascii="Times New Roman" w:hAnsi="Times New Roman" w:eastAsia="宋体" w:cs="Times New Roman"/>
                      <w:b w:val="0"/>
                      <w:bCs/>
                      <w:color w:val="auto"/>
                      <w:sz w:val="21"/>
                      <w:szCs w:val="21"/>
                      <w:highlight w:val="none"/>
                      <w:u w:val="none"/>
                      <w:vertAlign w:val="baseline"/>
                    </w:rPr>
                    <w:t>相对密度：</w:t>
                  </w:r>
                  <w:r>
                    <w:rPr>
                      <w:rFonts w:hint="default" w:ascii="Times New Roman" w:hAnsi="Times New Roman" w:eastAsia="宋体" w:cs="Times New Roman"/>
                      <w:b w:val="0"/>
                      <w:bCs/>
                      <w:color w:val="auto"/>
                      <w:sz w:val="21"/>
                      <w:szCs w:val="21"/>
                      <w:highlight w:val="none"/>
                      <w:u w:val="none"/>
                      <w:vertAlign w:val="baseline"/>
                      <w:lang w:val="en-US" w:eastAsia="zh-CN"/>
                    </w:rPr>
                    <w:t>1.15-</w:t>
                  </w:r>
                  <w:r>
                    <w:rPr>
                      <w:rFonts w:hint="default" w:ascii="Times New Roman" w:hAnsi="Times New Roman" w:eastAsia="宋体" w:cs="Times New Roman"/>
                      <w:b w:val="0"/>
                      <w:bCs/>
                      <w:color w:val="auto"/>
                      <w:sz w:val="21"/>
                      <w:szCs w:val="21"/>
                      <w:highlight w:val="none"/>
                      <w:u w:val="none"/>
                      <w:vertAlign w:val="baseline"/>
                    </w:rPr>
                    <w:t>1.22</w:t>
                  </w:r>
                  <w:r>
                    <w:rPr>
                      <w:rFonts w:hint="eastAsia" w:ascii="Times New Roman" w:hAnsi="Times New Roman" w:eastAsia="宋体" w:cs="Times New Roman"/>
                      <w:b w:val="0"/>
                      <w:bCs/>
                      <w:color w:val="auto"/>
                      <w:sz w:val="21"/>
                      <w:szCs w:val="21"/>
                      <w:highlight w:val="none"/>
                      <w:u w:val="none"/>
                      <w:vertAlign w:val="baseline"/>
                      <w:lang w:eastAsia="zh-CN"/>
                    </w:rPr>
                    <w:t>，</w:t>
                  </w:r>
                  <w:r>
                    <w:rPr>
                      <w:rFonts w:hint="default" w:ascii="Times New Roman" w:hAnsi="Times New Roman" w:eastAsia="宋体" w:cs="Times New Roman"/>
                      <w:b w:val="0"/>
                      <w:bCs/>
                      <w:color w:val="auto"/>
                      <w:sz w:val="21"/>
                      <w:szCs w:val="21"/>
                      <w:highlight w:val="none"/>
                      <w:u w:val="none"/>
                      <w:vertAlign w:val="baseline"/>
                      <w:lang w:val="en-US" w:eastAsia="zh-CN"/>
                    </w:rPr>
                    <w:t>粘性：250-450（25</w:t>
                  </w:r>
                  <w:r>
                    <w:rPr>
                      <w:rFonts w:hint="default" w:ascii="Times New Roman" w:hAnsi="Times New Roman" w:eastAsia="宋体" w:cs="Times New Roman"/>
                      <w:b w:val="0"/>
                      <w:bCs/>
                      <w:color w:val="auto"/>
                      <w:sz w:val="21"/>
                      <w:szCs w:val="21"/>
                      <w:highlight w:val="none"/>
                      <w:u w:val="none"/>
                      <w:vertAlign w:val="baseline"/>
                    </w:rPr>
                    <w:t>℃</w:t>
                  </w:r>
                  <w:r>
                    <w:rPr>
                      <w:rFonts w:hint="default" w:ascii="Times New Roman" w:hAnsi="Times New Roman" w:eastAsia="宋体" w:cs="Times New Roman"/>
                      <w:b w:val="0"/>
                      <w:bCs/>
                      <w:color w:val="auto"/>
                      <w:sz w:val="21"/>
                      <w:szCs w:val="21"/>
                      <w:highlight w:val="none"/>
                      <w:u w:val="none"/>
                      <w:vertAlign w:val="baseline"/>
                      <w:lang w:val="en-US" w:eastAsia="zh-CN"/>
                    </w:rPr>
                    <w:t>）mPa·s</w:t>
                  </w:r>
                  <w:r>
                    <w:rPr>
                      <w:rFonts w:hint="eastAsia" w:ascii="Times New Roman" w:hAnsi="Times New Roman" w:eastAsia="宋体" w:cs="Times New Roman"/>
                      <w:b w:val="0"/>
                      <w:bCs/>
                      <w:color w:val="auto"/>
                      <w:sz w:val="21"/>
                      <w:szCs w:val="21"/>
                      <w:highlight w:val="none"/>
                      <w:u w:val="none"/>
                      <w:vertAlign w:val="baseline"/>
                      <w:lang w:val="en-US" w:eastAsia="zh-CN"/>
                    </w:rPr>
                    <w:t>，</w:t>
                  </w:r>
                  <w:r>
                    <w:rPr>
                      <w:rFonts w:hint="default" w:ascii="Times New Roman" w:hAnsi="Times New Roman" w:eastAsia="宋体" w:cs="Times New Roman"/>
                      <w:b w:val="0"/>
                      <w:bCs/>
                      <w:color w:val="auto"/>
                      <w:sz w:val="21"/>
                      <w:szCs w:val="21"/>
                      <w:highlight w:val="none"/>
                      <w:u w:val="none"/>
                      <w:vertAlign w:val="baseline"/>
                      <w:lang w:val="en-US" w:eastAsia="zh-CN"/>
                    </w:rPr>
                    <w:t>气味</w:t>
                  </w:r>
                  <w:r>
                    <w:rPr>
                      <w:rFonts w:hint="default" w:ascii="Times New Roman" w:hAnsi="Times New Roman" w:eastAsia="宋体" w:cs="Times New Roman"/>
                      <w:b w:val="0"/>
                      <w:bCs/>
                      <w:color w:val="auto"/>
                      <w:sz w:val="21"/>
                      <w:szCs w:val="21"/>
                      <w:highlight w:val="none"/>
                      <w:u w:val="none"/>
                      <w:vertAlign w:val="baseline"/>
                    </w:rPr>
                    <w:t>阈值</w:t>
                  </w:r>
                  <w:r>
                    <w:rPr>
                      <w:rFonts w:hint="default" w:ascii="Times New Roman" w:hAnsi="Times New Roman" w:eastAsia="宋体" w:cs="Times New Roman"/>
                      <w:b w:val="0"/>
                      <w:bCs/>
                      <w:color w:val="auto"/>
                      <w:sz w:val="21"/>
                      <w:szCs w:val="21"/>
                      <w:highlight w:val="none"/>
                      <w:u w:val="none"/>
                      <w:vertAlign w:val="baseline"/>
                      <w:lang w:val="en-US" w:eastAsia="zh-CN"/>
                    </w:rPr>
                    <w:t>4mg/m</w:t>
                  </w:r>
                  <w:r>
                    <w:rPr>
                      <w:rFonts w:hint="default" w:ascii="Times New Roman" w:hAnsi="Times New Roman" w:eastAsia="宋体" w:cs="Times New Roman"/>
                      <w:b w:val="0"/>
                      <w:bCs/>
                      <w:color w:val="auto"/>
                      <w:sz w:val="21"/>
                      <w:szCs w:val="21"/>
                      <w:highlight w:val="none"/>
                      <w:u w:val="none"/>
                      <w:vertAlign w:val="superscript"/>
                      <w:lang w:val="en-US" w:eastAsia="zh-CN"/>
                    </w:rPr>
                    <w:t>3</w:t>
                  </w:r>
                  <w:r>
                    <w:rPr>
                      <w:rFonts w:hint="eastAsia" w:ascii="Times New Roman" w:hAnsi="Times New Roman" w:eastAsia="宋体" w:cs="Times New Roman"/>
                      <w:b w:val="0"/>
                      <w:bCs/>
                      <w:color w:val="auto"/>
                      <w:sz w:val="21"/>
                      <w:szCs w:val="21"/>
                      <w:highlight w:val="none"/>
                      <w:u w:val="none"/>
                      <w:vertAlign w:val="baseline"/>
                      <w:lang w:val="en-US" w:eastAsia="zh-CN"/>
                    </w:rPr>
                    <w:t>（二苯基甲烷二异氰酸酯）</w:t>
                  </w:r>
                  <w:r>
                    <w:rPr>
                      <w:rFonts w:hint="default" w:ascii="Times New Roman" w:hAnsi="Times New Roman" w:eastAsia="宋体" w:cs="Times New Roman"/>
                      <w:b w:val="0"/>
                      <w:bCs/>
                      <w:color w:val="auto"/>
                      <w:sz w:val="21"/>
                      <w:szCs w:val="21"/>
                      <w:highlight w:val="none"/>
                      <w:u w:val="none"/>
                      <w:vertAlign w:val="baseline"/>
                      <w:lang w:val="en-US" w:eastAsia="zh-CN"/>
                    </w:rPr>
                    <w:t>~400ppb</w:t>
                  </w:r>
                  <w:r>
                    <w:rPr>
                      <w:rFonts w:hint="default" w:ascii="Times New Roman" w:hAnsi="Times New Roman" w:eastAsia="宋体" w:cs="Times New Roman"/>
                      <w:b w:val="0"/>
                      <w:bCs/>
                      <w:color w:val="auto"/>
                      <w:sz w:val="21"/>
                      <w:szCs w:val="21"/>
                      <w:highlight w:val="none"/>
                      <w:u w:val="none"/>
                      <w:vertAlign w:val="baseline"/>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sz w:val="21"/>
                      <w:szCs w:val="21"/>
                      <w:highlight w:val="none"/>
                      <w:u w:val="none"/>
                      <w:vertAlign w:val="baseline"/>
                      <w:lang w:val="en-US"/>
                    </w:rPr>
                  </w:pPr>
                  <w:r>
                    <w:rPr>
                      <w:rFonts w:hint="eastAsia" w:ascii="Times New Roman" w:hAnsi="Times New Roman" w:eastAsia="宋体" w:cs="Times New Roman"/>
                      <w:b w:val="0"/>
                      <w:bCs/>
                      <w:color w:val="auto"/>
                      <w:sz w:val="21"/>
                      <w:szCs w:val="21"/>
                      <w:highlight w:val="none"/>
                      <w:u w:val="none"/>
                      <w:vertAlign w:val="baseline"/>
                      <w:lang w:val="en-US" w:eastAsia="zh-CN"/>
                    </w:rPr>
                    <w:t>经口鼠LD50：＞6200mg/kg。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碳化二亚胺改性MDI（</w:t>
                  </w:r>
                  <w:r>
                    <w:rPr>
                      <w:rFonts w:hint="default" w:ascii="Times New Roman" w:hAnsi="Times New Roman" w:eastAsia="宋体" w:cs="Times New Roman"/>
                      <w:color w:val="000000"/>
                      <w:kern w:val="0"/>
                      <w:sz w:val="21"/>
                      <w:szCs w:val="21"/>
                      <w:u w:val="none"/>
                      <w:lang w:val="en-US" w:eastAsia="zh-CN" w:bidi="ar"/>
                    </w:rPr>
                    <w:t>CDMDI-100L</w:t>
                  </w:r>
                  <w:r>
                    <w:rPr>
                      <w:rFonts w:hint="default" w:ascii="Times New Roman" w:hAnsi="Times New Roman" w:eastAsia="宋体" w:cs="Times New Roman"/>
                      <w:b w:val="0"/>
                      <w:bCs w:val="0"/>
                      <w:sz w:val="21"/>
                      <w:szCs w:val="21"/>
                      <w:u w:val="none"/>
                      <w:vertAlign w:val="baseline"/>
                      <w:lang w:val="en-US" w:eastAsia="zh-CN"/>
                    </w:rPr>
                    <w:t>异氰酸酯</w:t>
                  </w:r>
                  <w:r>
                    <w:rPr>
                      <w:rFonts w:hint="eastAsia" w:ascii="Times New Roman" w:hAnsi="Times New Roman" w:eastAsia="宋体" w:cs="Times New Roman"/>
                      <w:b w:val="0"/>
                      <w:bCs w:val="0"/>
                      <w:sz w:val="21"/>
                      <w:szCs w:val="21"/>
                      <w:u w:val="none"/>
                      <w:vertAlign w:val="baseline"/>
                      <w:lang w:val="en-US" w:eastAsia="zh-CN"/>
                    </w:rPr>
                    <w:t>）</w:t>
                  </w:r>
                </w:p>
              </w:tc>
              <w:tc>
                <w:tcPr>
                  <w:tcW w:w="2255" w:type="pct"/>
                  <w:vAlign w:val="center"/>
                </w:tcPr>
                <w:p>
                  <w:pPr>
                    <w:jc w:val="center"/>
                    <w:rPr>
                      <w:rFonts w:hint="default" w:ascii="Times New Roman" w:hAnsi="Times New Roman" w:eastAsia="宋体" w:cs="Times New Roman"/>
                      <w:b w:val="0"/>
                      <w:bCs/>
                      <w:color w:val="auto"/>
                      <w:sz w:val="21"/>
                      <w:szCs w:val="21"/>
                      <w:highlight w:val="yellow"/>
                      <w:u w:val="none"/>
                      <w:vertAlign w:val="baseline"/>
                      <w:lang w:val="en-US" w:eastAsia="zh-CN"/>
                    </w:rPr>
                  </w:pPr>
                  <w:r>
                    <w:rPr>
                      <w:rFonts w:hint="default" w:ascii="Times New Roman" w:hAnsi="Times New Roman" w:eastAsia="宋体" w:cs="Times New Roman"/>
                      <w:b w:val="0"/>
                      <w:bCs/>
                      <w:color w:val="auto"/>
                      <w:sz w:val="21"/>
                      <w:szCs w:val="21"/>
                      <w:highlight w:val="none"/>
                      <w:u w:val="none"/>
                      <w:vertAlign w:val="baseline"/>
                    </w:rPr>
                    <w:t>淡黄色液体</w:t>
                  </w:r>
                  <w:r>
                    <w:rPr>
                      <w:rFonts w:hint="eastAsia" w:ascii="Times New Roman" w:hAnsi="Times New Roman" w:eastAsia="宋体" w:cs="Times New Roman"/>
                      <w:b w:val="0"/>
                      <w:bCs/>
                      <w:color w:val="auto"/>
                      <w:sz w:val="21"/>
                      <w:szCs w:val="21"/>
                      <w:highlight w:val="none"/>
                      <w:u w:val="none"/>
                      <w:vertAlign w:val="baseline"/>
                      <w:lang w:eastAsia="zh-CN"/>
                    </w:rPr>
                    <w:t>，</w:t>
                  </w:r>
                  <w:r>
                    <w:rPr>
                      <w:rFonts w:hint="eastAsia" w:ascii="Times New Roman" w:hAnsi="Times New Roman" w:eastAsia="宋体" w:cs="Times New Roman"/>
                      <w:b w:val="0"/>
                      <w:bCs/>
                      <w:color w:val="auto"/>
                      <w:sz w:val="21"/>
                      <w:szCs w:val="21"/>
                      <w:highlight w:val="none"/>
                      <w:u w:val="none"/>
                      <w:vertAlign w:val="baseline"/>
                      <w:lang w:val="en-US" w:eastAsia="zh-CN"/>
                    </w:rPr>
                    <w:t>相对蒸汽密度：3.24，相对密度：1.19，溶解性：易溶于苯、甲苯等有机溶剂，微溶于水，并缓慢发生反应。</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闪电：213</w:t>
                  </w:r>
                  <w:r>
                    <w:rPr>
                      <w:rFonts w:hint="default" w:ascii="Times New Roman" w:hAnsi="Times New Roman" w:eastAsia="宋体" w:cs="Times New Roman"/>
                      <w:b w:val="0"/>
                      <w:bCs/>
                      <w:color w:val="auto"/>
                      <w:sz w:val="21"/>
                      <w:szCs w:val="21"/>
                      <w:highlight w:val="none"/>
                      <w:u w:val="none"/>
                      <w:vertAlign w:val="baseline"/>
                    </w:rPr>
                    <w:t>℃</w:t>
                  </w:r>
                  <w:r>
                    <w:rPr>
                      <w:rFonts w:hint="eastAsia" w:ascii="Times New Roman" w:hAnsi="Times New Roman" w:eastAsia="宋体" w:cs="Times New Roman"/>
                      <w:b w:val="0"/>
                      <w:bCs/>
                      <w:color w:val="auto"/>
                      <w:sz w:val="21"/>
                      <w:szCs w:val="21"/>
                      <w:highlight w:val="none"/>
                      <w:u w:val="none"/>
                      <w:vertAlign w:val="baseline"/>
                      <w:lang w:val="en-US" w:eastAsia="zh-CN"/>
                    </w:rPr>
                    <w:t>，引燃温度：≥220</w:t>
                  </w:r>
                  <w:r>
                    <w:rPr>
                      <w:rFonts w:hint="default" w:ascii="Times New Roman" w:hAnsi="Times New Roman" w:eastAsia="宋体" w:cs="Times New Roman"/>
                      <w:b w:val="0"/>
                      <w:bCs/>
                      <w:color w:val="auto"/>
                      <w:sz w:val="21"/>
                      <w:szCs w:val="21"/>
                      <w:highlight w:val="none"/>
                      <w:u w:val="none"/>
                      <w:vertAlign w:val="baseline"/>
                    </w:rPr>
                    <w:t>℃</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rPr>
                  </w:pPr>
                  <w:r>
                    <w:rPr>
                      <w:rFonts w:hint="eastAsia" w:ascii="Times New Roman" w:hAnsi="Times New Roman" w:eastAsia="宋体" w:cs="Times New Roman"/>
                      <w:b w:val="0"/>
                      <w:bCs/>
                      <w:color w:val="auto"/>
                      <w:sz w:val="21"/>
                      <w:szCs w:val="21"/>
                      <w:highlight w:val="none"/>
                      <w:u w:val="none"/>
                      <w:vertAlign w:val="baseline"/>
                      <w:lang w:val="en-US" w:eastAsia="zh-CN"/>
                    </w:rPr>
                    <w:t>经口小鼠LD50：＞2200mg/kg。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u w:val="none"/>
                      <w:lang w:val="en-US" w:eastAsia="zh-CN" w:bidi="ar"/>
                    </w:rPr>
                  </w:pPr>
                  <w:r>
                    <w:rPr>
                      <w:rFonts w:hint="eastAsia" w:ascii="Times New Roman" w:hAnsi="Times New Roman" w:eastAsia="宋体" w:cs="Times New Roman"/>
                      <w:b w:val="0"/>
                      <w:bCs w:val="0"/>
                      <w:sz w:val="21"/>
                      <w:szCs w:val="21"/>
                      <w:u w:val="none"/>
                      <w:vertAlign w:val="baseline"/>
                      <w:lang w:val="en-US" w:eastAsia="zh-CN"/>
                    </w:rPr>
                    <w:t>多亚甲基多苯基异氰酸酯（</w:t>
                  </w:r>
                  <w:r>
                    <w:rPr>
                      <w:rFonts w:hint="default" w:ascii="Times New Roman" w:hAnsi="Times New Roman" w:eastAsia="宋体" w:cs="Times New Roman"/>
                      <w:color w:val="000000"/>
                      <w:kern w:val="0"/>
                      <w:sz w:val="21"/>
                      <w:szCs w:val="21"/>
                      <w:u w:val="none"/>
                      <w:lang w:val="en-US" w:eastAsia="zh-CN" w:bidi="ar"/>
                    </w:rPr>
                    <w:t>PM-200</w:t>
                  </w:r>
                  <w:r>
                    <w:rPr>
                      <w:rFonts w:hint="default" w:ascii="Times New Roman" w:hAnsi="Times New Roman" w:eastAsia="宋体" w:cs="Times New Roman"/>
                      <w:b w:val="0"/>
                      <w:bCs w:val="0"/>
                      <w:sz w:val="21"/>
                      <w:szCs w:val="21"/>
                      <w:u w:val="none"/>
                      <w:vertAlign w:val="baseline"/>
                      <w:lang w:val="en-US" w:eastAsia="zh-CN"/>
                    </w:rPr>
                    <w:t>异氰酸酯</w:t>
                  </w:r>
                  <w:r>
                    <w:rPr>
                      <w:rFonts w:hint="eastAsia" w:ascii="Times New Roman" w:hAnsi="Times New Roman" w:eastAsia="宋体" w:cs="Times New Roman"/>
                      <w:b w:val="0"/>
                      <w:bCs w:val="0"/>
                      <w:sz w:val="21"/>
                      <w:szCs w:val="21"/>
                      <w:u w:val="none"/>
                      <w:vertAlign w:val="baseline"/>
                      <w:lang w:val="en-US" w:eastAsia="zh-CN"/>
                    </w:rPr>
                    <w:t>）</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yellow"/>
                      <w:u w:val="none"/>
                      <w:vertAlign w:val="baseline"/>
                    </w:rPr>
                  </w:pPr>
                  <w:r>
                    <w:rPr>
                      <w:rFonts w:hint="eastAsia" w:ascii="Times New Roman" w:hAnsi="Times New Roman" w:eastAsia="宋体" w:cs="Times New Roman"/>
                      <w:b w:val="0"/>
                      <w:bCs/>
                      <w:color w:val="auto"/>
                      <w:sz w:val="21"/>
                      <w:szCs w:val="21"/>
                      <w:highlight w:val="none"/>
                      <w:u w:val="none"/>
                      <w:vertAlign w:val="baseline"/>
                      <w:lang w:val="en-US" w:eastAsia="zh-CN"/>
                    </w:rPr>
                    <w:t>棕</w:t>
                  </w:r>
                  <w:r>
                    <w:rPr>
                      <w:rFonts w:hint="default" w:ascii="Times New Roman" w:hAnsi="Times New Roman" w:eastAsia="宋体" w:cs="Times New Roman"/>
                      <w:b w:val="0"/>
                      <w:bCs/>
                      <w:color w:val="auto"/>
                      <w:sz w:val="21"/>
                      <w:szCs w:val="21"/>
                      <w:highlight w:val="none"/>
                      <w:u w:val="none"/>
                      <w:vertAlign w:val="baseline"/>
                    </w:rPr>
                    <w:t>色液体</w:t>
                  </w:r>
                  <w:r>
                    <w:rPr>
                      <w:rFonts w:hint="eastAsia" w:ascii="Times New Roman" w:hAnsi="Times New Roman" w:eastAsia="宋体" w:cs="Times New Roman"/>
                      <w:b w:val="0"/>
                      <w:bCs/>
                      <w:color w:val="auto"/>
                      <w:sz w:val="21"/>
                      <w:szCs w:val="21"/>
                      <w:highlight w:val="none"/>
                      <w:u w:val="none"/>
                      <w:vertAlign w:val="baseline"/>
                      <w:lang w:eastAsia="zh-CN"/>
                    </w:rPr>
                    <w:t>，</w:t>
                  </w:r>
                  <w:r>
                    <w:rPr>
                      <w:rFonts w:hint="eastAsia" w:ascii="Times New Roman" w:hAnsi="Times New Roman" w:eastAsia="宋体" w:cs="Times New Roman"/>
                      <w:b w:val="0"/>
                      <w:bCs/>
                      <w:color w:val="auto"/>
                      <w:sz w:val="21"/>
                      <w:szCs w:val="21"/>
                      <w:highlight w:val="none"/>
                      <w:u w:val="none"/>
                      <w:vertAlign w:val="baseline"/>
                      <w:lang w:val="en-US" w:eastAsia="zh-CN"/>
                    </w:rPr>
                    <w:t>相对蒸汽密度：3.24，相对密度：1.22-1.25，沸点：＞204</w:t>
                  </w:r>
                  <w:r>
                    <w:rPr>
                      <w:rFonts w:hint="default" w:ascii="Times New Roman" w:hAnsi="Times New Roman" w:eastAsia="宋体" w:cs="Times New Roman"/>
                      <w:b w:val="0"/>
                      <w:bCs/>
                      <w:color w:val="auto"/>
                      <w:sz w:val="21"/>
                      <w:szCs w:val="21"/>
                      <w:highlight w:val="none"/>
                      <w:u w:val="none"/>
                      <w:vertAlign w:val="baseline"/>
                    </w:rPr>
                    <w:t>℃</w:t>
                  </w:r>
                  <w:r>
                    <w:rPr>
                      <w:rFonts w:hint="eastAsia" w:ascii="Times New Roman" w:hAnsi="Times New Roman" w:eastAsia="宋体" w:cs="Times New Roman"/>
                      <w:b w:val="0"/>
                      <w:bCs/>
                      <w:color w:val="auto"/>
                      <w:sz w:val="21"/>
                      <w:szCs w:val="21"/>
                      <w:highlight w:val="none"/>
                      <w:u w:val="none"/>
                      <w:vertAlign w:val="baseline"/>
                      <w:lang w:val="en-US" w:eastAsia="zh-CN"/>
                    </w:rPr>
                    <w:t>，溶解性：易溶于苯、甲苯等有机溶剂，微溶于水，并缓慢发生反应。</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rPr>
                  </w:pPr>
                  <w:r>
                    <w:rPr>
                      <w:rFonts w:hint="eastAsia" w:ascii="Times New Roman" w:hAnsi="Times New Roman" w:eastAsia="宋体" w:cs="Times New Roman"/>
                      <w:b w:val="0"/>
                      <w:bCs/>
                      <w:color w:val="auto"/>
                      <w:sz w:val="21"/>
                      <w:szCs w:val="21"/>
                      <w:highlight w:val="none"/>
                      <w:u w:val="none"/>
                      <w:vertAlign w:val="baseline"/>
                      <w:lang w:val="en-US" w:eastAsia="zh-CN"/>
                    </w:rPr>
                    <w:t>闪电：230</w:t>
                  </w:r>
                  <w:r>
                    <w:rPr>
                      <w:rFonts w:hint="default" w:ascii="Times New Roman" w:hAnsi="Times New Roman" w:eastAsia="宋体" w:cs="Times New Roman"/>
                      <w:b w:val="0"/>
                      <w:bCs/>
                      <w:color w:val="auto"/>
                      <w:sz w:val="21"/>
                      <w:szCs w:val="21"/>
                      <w:highlight w:val="none"/>
                      <w:u w:val="none"/>
                      <w:vertAlign w:val="baseline"/>
                    </w:rPr>
                    <w:t>℃</w:t>
                  </w:r>
                  <w:r>
                    <w:rPr>
                      <w:rFonts w:hint="eastAsia" w:ascii="Times New Roman" w:hAnsi="Times New Roman" w:eastAsia="宋体" w:cs="Times New Roman"/>
                      <w:b w:val="0"/>
                      <w:bCs/>
                      <w:color w:val="auto"/>
                      <w:sz w:val="21"/>
                      <w:szCs w:val="21"/>
                      <w:highlight w:val="none"/>
                      <w:u w:val="none"/>
                      <w:vertAlign w:val="baseline"/>
                      <w:lang w:val="en-US" w:eastAsia="zh-CN"/>
                    </w:rPr>
                    <w:t>，引燃温度：≥220</w:t>
                  </w:r>
                  <w:r>
                    <w:rPr>
                      <w:rFonts w:hint="default" w:ascii="Times New Roman" w:hAnsi="Times New Roman" w:eastAsia="宋体" w:cs="Times New Roman"/>
                      <w:b w:val="0"/>
                      <w:bCs/>
                      <w:color w:val="auto"/>
                      <w:sz w:val="21"/>
                      <w:szCs w:val="21"/>
                      <w:highlight w:val="none"/>
                      <w:u w:val="none"/>
                      <w:vertAlign w:val="baseline"/>
                    </w:rPr>
                    <w:t>℃</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rPr>
                  </w:pPr>
                  <w:r>
                    <w:rPr>
                      <w:rFonts w:hint="eastAsia" w:ascii="Times New Roman" w:hAnsi="Times New Roman" w:eastAsia="宋体" w:cs="Times New Roman"/>
                      <w:b w:val="0"/>
                      <w:bCs/>
                      <w:color w:val="auto"/>
                      <w:sz w:val="21"/>
                      <w:szCs w:val="21"/>
                      <w:highlight w:val="none"/>
                      <w:u w:val="none"/>
                      <w:vertAlign w:val="baseline"/>
                      <w:lang w:val="en-US" w:eastAsia="zh-CN"/>
                    </w:rPr>
                    <w:t>经口小鼠LD50：＞2000mg/kg。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color w:val="000000"/>
                      <w:kern w:val="0"/>
                      <w:sz w:val="21"/>
                      <w:szCs w:val="21"/>
                      <w:u w:val="none"/>
                      <w:lang w:val="en-US" w:eastAsia="zh-CN" w:bidi="ar"/>
                    </w:rPr>
                    <w:t>CHP-H30</w:t>
                  </w:r>
                  <w:r>
                    <w:rPr>
                      <w:rFonts w:hint="default" w:ascii="Times New Roman" w:hAnsi="Times New Roman" w:eastAsia="宋体" w:cs="Times New Roman"/>
                      <w:b w:val="0"/>
                      <w:bCs w:val="0"/>
                      <w:sz w:val="21"/>
                      <w:szCs w:val="21"/>
                      <w:u w:val="none"/>
                      <w:vertAlign w:val="baseline"/>
                      <w:lang w:val="en-US" w:eastAsia="zh-CN"/>
                    </w:rPr>
                    <w:t>聚醚多元醇</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乳白色黏</w:t>
                  </w:r>
                  <w:r>
                    <w:rPr>
                      <w:rFonts w:hint="default" w:ascii="Times New Roman" w:hAnsi="Times New Roman" w:eastAsia="宋体" w:cs="Times New Roman"/>
                      <w:b w:val="0"/>
                      <w:bCs/>
                      <w:color w:val="auto"/>
                      <w:sz w:val="21"/>
                      <w:szCs w:val="21"/>
                      <w:highlight w:val="none"/>
                      <w:u w:val="none"/>
                      <w:vertAlign w:val="baseline"/>
                      <w:lang w:val="en-US" w:eastAsia="zh-CN"/>
                    </w:rPr>
                    <w:t>稠液体，</w:t>
                  </w:r>
                  <w:r>
                    <w:rPr>
                      <w:rFonts w:hint="eastAsia" w:cs="Times New Roman"/>
                      <w:b w:val="0"/>
                      <w:bCs/>
                      <w:color w:val="auto"/>
                      <w:sz w:val="21"/>
                      <w:szCs w:val="21"/>
                      <w:highlight w:val="none"/>
                      <w:u w:val="none"/>
                      <w:vertAlign w:val="baseline"/>
                      <w:lang w:val="en-US" w:eastAsia="zh-CN"/>
                    </w:rPr>
                    <w:t>羟值</w:t>
                  </w:r>
                  <w:r>
                    <w:rPr>
                      <w:rFonts w:hint="eastAsia" w:ascii="Times New Roman" w:hAnsi="Times New Roman" w:eastAsia="宋体" w:cs="Times New Roman"/>
                      <w:b w:val="0"/>
                      <w:bCs/>
                      <w:color w:val="auto"/>
                      <w:sz w:val="21"/>
                      <w:szCs w:val="21"/>
                      <w:highlight w:val="none"/>
                      <w:u w:val="none"/>
                      <w:vertAlign w:val="baseline"/>
                      <w:lang w:val="en-US" w:eastAsia="zh-CN"/>
                    </w:rPr>
                    <w:t>24.33mgKOH/g</w:t>
                  </w:r>
                  <w:r>
                    <w:rPr>
                      <w:rFonts w:hint="default" w:ascii="Times New Roman" w:hAnsi="Times New Roman" w:eastAsia="宋体" w:cs="Times New Roman"/>
                      <w:b w:val="0"/>
                      <w:bCs/>
                      <w:color w:val="auto"/>
                      <w:sz w:val="21"/>
                      <w:szCs w:val="21"/>
                      <w:highlight w:val="none"/>
                      <w:u w:val="none"/>
                      <w:vertAlign w:val="baseline"/>
                      <w:lang w:val="en-US" w:eastAsia="zh-CN"/>
                    </w:rPr>
                    <w:t>，</w:t>
                  </w:r>
                  <w:r>
                    <w:rPr>
                      <w:rFonts w:hint="eastAsia" w:ascii="Times New Roman" w:hAnsi="Times New Roman" w:eastAsia="宋体" w:cs="Times New Roman"/>
                      <w:b w:val="0"/>
                      <w:bCs/>
                      <w:color w:val="auto"/>
                      <w:sz w:val="21"/>
                      <w:szCs w:val="21"/>
                      <w:highlight w:val="none"/>
                      <w:u w:val="none"/>
                      <w:vertAlign w:val="baseline"/>
                      <w:lang w:val="en-US" w:eastAsia="zh-CN"/>
                    </w:rPr>
                    <w:t>密度：1.0383g/cm</w:t>
                  </w:r>
                  <w:r>
                    <w:rPr>
                      <w:rFonts w:hint="eastAsia" w:ascii="Times New Roman" w:hAnsi="Times New Roman" w:eastAsia="宋体" w:cs="Times New Roman"/>
                      <w:b w:val="0"/>
                      <w:bCs/>
                      <w:color w:val="auto"/>
                      <w:sz w:val="21"/>
                      <w:szCs w:val="21"/>
                      <w:highlight w:val="none"/>
                      <w:u w:val="none"/>
                      <w:vertAlign w:val="superscript"/>
                      <w:lang w:val="en-US" w:eastAsia="zh-CN"/>
                    </w:rPr>
                    <w:t>3</w:t>
                  </w:r>
                  <w:r>
                    <w:rPr>
                      <w:rFonts w:hint="default" w:ascii="Times New Roman" w:hAnsi="Times New Roman" w:eastAsia="宋体" w:cs="Times New Roman"/>
                      <w:b w:val="0"/>
                      <w:bCs/>
                      <w:color w:val="auto"/>
                      <w:sz w:val="21"/>
                      <w:szCs w:val="21"/>
                      <w:highlight w:val="none"/>
                      <w:u w:val="none"/>
                      <w:vertAlign w:val="baseline"/>
                      <w:lang w:val="en-US" w:eastAsia="zh-CN"/>
                    </w:rPr>
                    <w:t>，</w:t>
                  </w:r>
                  <w:r>
                    <w:rPr>
                      <w:rFonts w:hint="eastAsia" w:ascii="Times New Roman" w:hAnsi="Times New Roman" w:eastAsia="宋体" w:cs="Times New Roman"/>
                      <w:b w:val="0"/>
                      <w:bCs/>
                      <w:color w:val="auto"/>
                      <w:sz w:val="21"/>
                      <w:szCs w:val="21"/>
                      <w:highlight w:val="none"/>
                      <w:u w:val="none"/>
                      <w:vertAlign w:val="baseline"/>
                      <w:lang w:val="en-US" w:eastAsia="zh-CN"/>
                    </w:rPr>
                    <w:t>黏度：2496</w:t>
                  </w:r>
                  <w:r>
                    <w:rPr>
                      <w:rFonts w:hint="default" w:ascii="Times New Roman" w:hAnsi="Times New Roman" w:eastAsia="宋体" w:cs="Times New Roman"/>
                      <w:b w:val="0"/>
                      <w:bCs/>
                      <w:color w:val="auto"/>
                      <w:sz w:val="21"/>
                      <w:szCs w:val="21"/>
                      <w:highlight w:val="none"/>
                      <w:u w:val="none"/>
                      <w:vertAlign w:val="baseline"/>
                      <w:lang w:val="en-US" w:eastAsia="zh-CN"/>
                    </w:rPr>
                    <w:t>（25℃）mPa·s。</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CHE-306</w:t>
                  </w:r>
                  <w:r>
                    <w:rPr>
                      <w:rFonts w:hint="default" w:ascii="Times New Roman" w:hAnsi="Times New Roman" w:eastAsia="宋体" w:cs="Times New Roman"/>
                      <w:b w:val="0"/>
                      <w:bCs w:val="0"/>
                      <w:sz w:val="21"/>
                      <w:szCs w:val="21"/>
                      <w:u w:val="none"/>
                      <w:vertAlign w:val="baseline"/>
                      <w:lang w:val="en-US" w:eastAsia="zh-CN"/>
                    </w:rPr>
                    <w:t>聚醚多元醇</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highlight w:val="none"/>
                      <w:u w:val="none"/>
                      <w:vertAlign w:val="baseline"/>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无色至淡黄色透明黏</w:t>
                  </w:r>
                  <w:r>
                    <w:rPr>
                      <w:rFonts w:hint="default" w:ascii="Times New Roman" w:hAnsi="Times New Roman" w:eastAsia="宋体" w:cs="Times New Roman"/>
                      <w:b w:val="0"/>
                      <w:bCs/>
                      <w:color w:val="auto"/>
                      <w:sz w:val="21"/>
                      <w:szCs w:val="21"/>
                      <w:highlight w:val="none"/>
                      <w:u w:val="none"/>
                      <w:vertAlign w:val="baseline"/>
                      <w:lang w:val="en-US" w:eastAsia="zh-CN"/>
                    </w:rPr>
                    <w:t>稠液体，</w:t>
                  </w:r>
                  <w:r>
                    <w:rPr>
                      <w:rFonts w:hint="eastAsia" w:cs="Times New Roman"/>
                      <w:b w:val="0"/>
                      <w:bCs/>
                      <w:color w:val="auto"/>
                      <w:sz w:val="21"/>
                      <w:szCs w:val="21"/>
                      <w:highlight w:val="none"/>
                      <w:u w:val="none"/>
                      <w:vertAlign w:val="baseline"/>
                      <w:lang w:val="en-US" w:eastAsia="zh-CN"/>
                    </w:rPr>
                    <w:t>羟值</w:t>
                  </w:r>
                  <w:r>
                    <w:rPr>
                      <w:rFonts w:hint="eastAsia" w:ascii="Times New Roman" w:hAnsi="Times New Roman" w:eastAsia="宋体" w:cs="Times New Roman"/>
                      <w:b w:val="0"/>
                      <w:bCs/>
                      <w:color w:val="auto"/>
                      <w:sz w:val="21"/>
                      <w:szCs w:val="21"/>
                      <w:highlight w:val="none"/>
                      <w:u w:val="none"/>
                      <w:vertAlign w:val="baseline"/>
                      <w:lang w:val="en-US" w:eastAsia="zh-CN"/>
                    </w:rPr>
                    <w:t>305.68mgKOH/g</w:t>
                  </w:r>
                  <w:r>
                    <w:rPr>
                      <w:rFonts w:hint="default" w:ascii="Times New Roman" w:hAnsi="Times New Roman" w:eastAsia="宋体" w:cs="Times New Roman"/>
                      <w:b w:val="0"/>
                      <w:bCs/>
                      <w:color w:val="auto"/>
                      <w:sz w:val="21"/>
                      <w:szCs w:val="21"/>
                      <w:highlight w:val="none"/>
                      <w:u w:val="none"/>
                      <w:vertAlign w:val="baseline"/>
                      <w:lang w:val="en-US" w:eastAsia="zh-CN"/>
                    </w:rPr>
                    <w:t>，</w:t>
                  </w:r>
                  <w:r>
                    <w:rPr>
                      <w:rFonts w:hint="eastAsia" w:ascii="Times New Roman" w:hAnsi="Times New Roman" w:eastAsia="宋体" w:cs="Times New Roman"/>
                      <w:b w:val="0"/>
                      <w:bCs/>
                      <w:color w:val="auto"/>
                      <w:sz w:val="21"/>
                      <w:szCs w:val="21"/>
                      <w:highlight w:val="none"/>
                      <w:u w:val="none"/>
                      <w:vertAlign w:val="baseline"/>
                      <w:lang w:val="en-US" w:eastAsia="zh-CN"/>
                    </w:rPr>
                    <w:t>密度：1.0435g/cm</w:t>
                  </w:r>
                  <w:r>
                    <w:rPr>
                      <w:rFonts w:hint="eastAsia" w:ascii="Times New Roman" w:hAnsi="Times New Roman" w:eastAsia="宋体" w:cs="Times New Roman"/>
                      <w:b w:val="0"/>
                      <w:bCs/>
                      <w:color w:val="auto"/>
                      <w:sz w:val="21"/>
                      <w:szCs w:val="21"/>
                      <w:highlight w:val="none"/>
                      <w:u w:val="none"/>
                      <w:vertAlign w:val="superscript"/>
                      <w:lang w:val="en-US" w:eastAsia="zh-CN"/>
                    </w:rPr>
                    <w:t>3</w:t>
                  </w:r>
                  <w:r>
                    <w:rPr>
                      <w:rFonts w:hint="default" w:ascii="Times New Roman" w:hAnsi="Times New Roman" w:eastAsia="宋体" w:cs="Times New Roman"/>
                      <w:b w:val="0"/>
                      <w:bCs/>
                      <w:color w:val="auto"/>
                      <w:sz w:val="21"/>
                      <w:szCs w:val="21"/>
                      <w:highlight w:val="none"/>
                      <w:u w:val="none"/>
                      <w:vertAlign w:val="baseline"/>
                      <w:lang w:val="en-US"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21"/>
                      <w:szCs w:val="21"/>
                      <w:u w:val="none"/>
                      <w:vertAlign w:val="baseline"/>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CHE-330N</w:t>
                  </w:r>
                  <w:r>
                    <w:rPr>
                      <w:rFonts w:hint="default" w:ascii="Times New Roman" w:hAnsi="Times New Roman" w:eastAsia="宋体" w:cs="Times New Roman"/>
                      <w:b w:val="0"/>
                      <w:bCs w:val="0"/>
                      <w:sz w:val="21"/>
                      <w:szCs w:val="21"/>
                      <w:u w:val="none"/>
                      <w:vertAlign w:val="baseline"/>
                      <w:lang w:val="en-US" w:eastAsia="zh-CN"/>
                    </w:rPr>
                    <w:t>聚醚多元醇</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无色至淡黄色透明黏</w:t>
                  </w:r>
                  <w:r>
                    <w:rPr>
                      <w:rFonts w:hint="default" w:cs="Times New Roman"/>
                      <w:b w:val="0"/>
                      <w:bCs/>
                      <w:color w:val="auto"/>
                      <w:sz w:val="21"/>
                      <w:szCs w:val="21"/>
                      <w:highlight w:val="none"/>
                      <w:u w:val="none"/>
                      <w:vertAlign w:val="baseline"/>
                      <w:lang w:val="en-US" w:eastAsia="zh-CN"/>
                    </w:rPr>
                    <w:t>稠液体，</w:t>
                  </w:r>
                  <w:r>
                    <w:rPr>
                      <w:rFonts w:hint="eastAsia" w:cs="Times New Roman"/>
                      <w:b w:val="0"/>
                      <w:bCs/>
                      <w:color w:val="auto"/>
                      <w:sz w:val="21"/>
                      <w:szCs w:val="21"/>
                      <w:highlight w:val="none"/>
                      <w:u w:val="none"/>
                      <w:vertAlign w:val="baseline"/>
                      <w:lang w:val="en-US" w:eastAsia="zh-CN"/>
                    </w:rPr>
                    <w:t>羟值34.01mgKOH/g</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密度：1.024g/cm</w:t>
                  </w:r>
                  <w:r>
                    <w:rPr>
                      <w:rFonts w:hint="eastAsia" w:cs="Times New Roman"/>
                      <w:b w:val="0"/>
                      <w:bCs/>
                      <w:color w:val="auto"/>
                      <w:sz w:val="21"/>
                      <w:szCs w:val="21"/>
                      <w:highlight w:val="none"/>
                      <w:u w:val="none"/>
                      <w:vertAlign w:val="superscript"/>
                      <w:lang w:val="en-US" w:eastAsia="zh-CN"/>
                    </w:rPr>
                    <w:t>3</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黏度：857</w:t>
                  </w:r>
                  <w:r>
                    <w:rPr>
                      <w:rFonts w:hint="default" w:cs="Times New Roman"/>
                      <w:b w:val="0"/>
                      <w:bCs/>
                      <w:color w:val="auto"/>
                      <w:sz w:val="21"/>
                      <w:szCs w:val="21"/>
                      <w:highlight w:val="none"/>
                      <w:u w:val="none"/>
                      <w:vertAlign w:val="baseline"/>
                      <w:lang w:val="en-US" w:eastAsia="zh-CN"/>
                    </w:rPr>
                    <w:t>（25℃）mPa·s。</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CHE-220</w:t>
                  </w:r>
                  <w:r>
                    <w:rPr>
                      <w:rFonts w:hint="default" w:ascii="Times New Roman" w:hAnsi="Times New Roman" w:eastAsia="宋体" w:cs="Times New Roman"/>
                      <w:b w:val="0"/>
                      <w:bCs w:val="0"/>
                      <w:sz w:val="21"/>
                      <w:szCs w:val="21"/>
                      <w:u w:val="none"/>
                      <w:vertAlign w:val="baseline"/>
                      <w:lang w:val="en-US" w:eastAsia="zh-CN"/>
                    </w:rPr>
                    <w:t>聚醚多元醇</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无色至淡黄色透明黏</w:t>
                  </w:r>
                  <w:r>
                    <w:rPr>
                      <w:rFonts w:hint="default" w:cs="Times New Roman"/>
                      <w:b w:val="0"/>
                      <w:bCs/>
                      <w:color w:val="auto"/>
                      <w:sz w:val="21"/>
                      <w:szCs w:val="21"/>
                      <w:highlight w:val="none"/>
                      <w:u w:val="none"/>
                      <w:vertAlign w:val="baseline"/>
                      <w:lang w:val="en-US" w:eastAsia="zh-CN"/>
                    </w:rPr>
                    <w:t>稠液体，</w:t>
                  </w:r>
                  <w:r>
                    <w:rPr>
                      <w:rFonts w:hint="eastAsia" w:cs="Times New Roman"/>
                      <w:b w:val="0"/>
                      <w:bCs/>
                      <w:color w:val="auto"/>
                      <w:sz w:val="21"/>
                      <w:szCs w:val="21"/>
                      <w:highlight w:val="none"/>
                      <w:u w:val="none"/>
                      <w:vertAlign w:val="baseline"/>
                      <w:lang w:val="en-US" w:eastAsia="zh-CN"/>
                    </w:rPr>
                    <w:t>羟值56.08mgKOH/g</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密度：1.0012g/cm</w:t>
                  </w:r>
                  <w:r>
                    <w:rPr>
                      <w:rFonts w:hint="eastAsia" w:cs="Times New Roman"/>
                      <w:b w:val="0"/>
                      <w:bCs/>
                      <w:color w:val="auto"/>
                      <w:sz w:val="21"/>
                      <w:szCs w:val="21"/>
                      <w:highlight w:val="none"/>
                      <w:u w:val="none"/>
                      <w:vertAlign w:val="superscript"/>
                      <w:lang w:val="en-US" w:eastAsia="zh-CN"/>
                    </w:rPr>
                    <w:t>3</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黏度：351</w:t>
                  </w:r>
                  <w:r>
                    <w:rPr>
                      <w:rFonts w:hint="default" w:cs="Times New Roman"/>
                      <w:b w:val="0"/>
                      <w:bCs/>
                      <w:color w:val="auto"/>
                      <w:sz w:val="21"/>
                      <w:szCs w:val="21"/>
                      <w:highlight w:val="none"/>
                      <w:u w:val="none"/>
                      <w:vertAlign w:val="baseline"/>
                      <w:lang w:val="en-US" w:eastAsia="zh-CN"/>
                    </w:rPr>
                    <w:t>（25℃）mPa·s。</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000000"/>
                      <w:kern w:val="0"/>
                      <w:sz w:val="21"/>
                      <w:szCs w:val="21"/>
                      <w:u w:val="none"/>
                      <w:lang w:val="en-US" w:eastAsia="zh-CN" w:bidi="ar"/>
                    </w:rPr>
                    <w:t>CHE-204</w:t>
                  </w:r>
                  <w:r>
                    <w:rPr>
                      <w:rFonts w:hint="default" w:ascii="Times New Roman" w:hAnsi="Times New Roman" w:eastAsia="宋体" w:cs="Times New Roman"/>
                      <w:b w:val="0"/>
                      <w:bCs w:val="0"/>
                      <w:sz w:val="21"/>
                      <w:szCs w:val="21"/>
                      <w:u w:val="none"/>
                      <w:vertAlign w:val="baseline"/>
                      <w:lang w:val="en-US" w:eastAsia="zh-CN"/>
                    </w:rPr>
                    <w:t>聚醚多元醇</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无色至淡黄色透明黏</w:t>
                  </w:r>
                  <w:r>
                    <w:rPr>
                      <w:rFonts w:hint="default" w:cs="Times New Roman"/>
                      <w:b w:val="0"/>
                      <w:bCs/>
                      <w:color w:val="auto"/>
                      <w:sz w:val="21"/>
                      <w:szCs w:val="21"/>
                      <w:highlight w:val="none"/>
                      <w:u w:val="none"/>
                      <w:vertAlign w:val="baseline"/>
                      <w:lang w:val="en-US" w:eastAsia="zh-CN"/>
                    </w:rPr>
                    <w:t>稠液体，</w:t>
                  </w:r>
                  <w:r>
                    <w:rPr>
                      <w:rFonts w:hint="eastAsia" w:cs="Times New Roman"/>
                      <w:b w:val="0"/>
                      <w:bCs/>
                      <w:color w:val="auto"/>
                      <w:sz w:val="21"/>
                      <w:szCs w:val="21"/>
                      <w:highlight w:val="none"/>
                      <w:u w:val="none"/>
                      <w:vertAlign w:val="baseline"/>
                      <w:lang w:val="en-US" w:eastAsia="zh-CN"/>
                    </w:rPr>
                    <w:t>羟值280.33mgKOH/g</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密度：1.0069g/cm</w:t>
                  </w:r>
                  <w:r>
                    <w:rPr>
                      <w:rFonts w:hint="eastAsia" w:cs="Times New Roman"/>
                      <w:b w:val="0"/>
                      <w:bCs/>
                      <w:color w:val="auto"/>
                      <w:sz w:val="21"/>
                      <w:szCs w:val="21"/>
                      <w:highlight w:val="none"/>
                      <w:u w:val="none"/>
                      <w:vertAlign w:val="superscript"/>
                      <w:lang w:val="en-US" w:eastAsia="zh-CN"/>
                    </w:rPr>
                    <w:t>3</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黏度：65</w:t>
                  </w:r>
                  <w:r>
                    <w:rPr>
                      <w:rFonts w:hint="default" w:cs="Times New Roman"/>
                      <w:b w:val="0"/>
                      <w:bCs/>
                      <w:color w:val="auto"/>
                      <w:sz w:val="21"/>
                      <w:szCs w:val="21"/>
                      <w:highlight w:val="none"/>
                      <w:u w:val="none"/>
                      <w:vertAlign w:val="baseline"/>
                      <w:lang w:val="en-US" w:eastAsia="zh-CN"/>
                    </w:rPr>
                    <w:t>（25℃）mPa·s。</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color w:val="auto"/>
                      <w:kern w:val="0"/>
                      <w:sz w:val="21"/>
                      <w:szCs w:val="21"/>
                      <w:u w:val="none"/>
                      <w:lang w:val="en-US" w:eastAsia="zh-CN" w:bidi="ar"/>
                    </w:rPr>
                    <w:t>KT650</w:t>
                  </w:r>
                  <w:r>
                    <w:rPr>
                      <w:rFonts w:hint="eastAsia" w:ascii="Times New Roman" w:hAnsi="Times New Roman" w:cs="Times New Roman"/>
                      <w:b w:val="0"/>
                      <w:bCs w:val="0"/>
                      <w:color w:val="auto"/>
                      <w:sz w:val="21"/>
                      <w:szCs w:val="21"/>
                      <w:u w:val="none"/>
                      <w:vertAlign w:val="baseline"/>
                      <w:lang w:val="en-US" w:eastAsia="zh-CN"/>
                    </w:rPr>
                    <w:t>聚氨酯树脂</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乳白色液体，pH：6-8，密度：1.05g/ml。</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color w:val="auto"/>
                      <w:kern w:val="0"/>
                      <w:sz w:val="21"/>
                      <w:szCs w:val="21"/>
                      <w:u w:val="none"/>
                      <w:lang w:val="en-US" w:eastAsia="zh-CN" w:bidi="ar"/>
                    </w:rPr>
                    <w:t>KT703E</w:t>
                  </w:r>
                  <w:r>
                    <w:rPr>
                      <w:rFonts w:hint="eastAsia" w:ascii="Times New Roman" w:hAnsi="Times New Roman" w:cs="Times New Roman"/>
                      <w:b w:val="0"/>
                      <w:bCs w:val="0"/>
                      <w:color w:val="auto"/>
                      <w:sz w:val="21"/>
                      <w:szCs w:val="21"/>
                      <w:u w:val="none"/>
                      <w:vertAlign w:val="baseline"/>
                      <w:lang w:val="en-US" w:eastAsia="zh-CN"/>
                    </w:rPr>
                    <w:t>聚氨酯树脂</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乳白至半透明液体，pH：6-8。</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增稠剂</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乳白色液体，密度：1.05g/cm</w:t>
                  </w:r>
                  <w:r>
                    <w:rPr>
                      <w:rFonts w:hint="eastAsia" w:cs="Times New Roman"/>
                      <w:b w:val="0"/>
                      <w:bCs/>
                      <w:color w:val="auto"/>
                      <w:sz w:val="21"/>
                      <w:szCs w:val="21"/>
                      <w:highlight w:val="none"/>
                      <w:u w:val="none"/>
                      <w:vertAlign w:val="superscript"/>
                      <w:lang w:val="en-US" w:eastAsia="zh-CN"/>
                    </w:rPr>
                    <w:t>3</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可溶于水，沸点：约100</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有机改性磷酸酯</w:t>
                  </w:r>
                </w:p>
              </w:tc>
              <w:tc>
                <w:tcPr>
                  <w:tcW w:w="22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微黄色透明液体，略有气味，pH：6-8，密度：1.01-1.08g/ml，可溶解于水，粘度：1000mPa·s</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jc w:val="center"/>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丙二醇</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无色粘稠，熔点：-60</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，相对密度1.0381，沸点：187.3</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kern w:val="2"/>
                      <w:sz w:val="21"/>
                      <w:szCs w:val="21"/>
                      <w:highlight w:val="none"/>
                      <w:u w:val="none"/>
                      <w:vertAlign w:val="baseline"/>
                      <w:lang w:val="en-US" w:eastAsia="zh-CN" w:bidi="ar-SA"/>
                    </w:rPr>
                  </w:pPr>
                  <w:r>
                    <w:rPr>
                      <w:rFonts w:hint="eastAsia" w:cs="Times New Roman"/>
                      <w:b w:val="0"/>
                      <w:bCs/>
                      <w:color w:val="auto"/>
                      <w:sz w:val="21"/>
                      <w:szCs w:val="21"/>
                      <w:highlight w:val="none"/>
                      <w:u w:val="none"/>
                      <w:vertAlign w:val="baseline"/>
                      <w:lang w:val="en-US" w:eastAsia="zh-CN"/>
                    </w:rPr>
                    <w:t>闪电：98.9</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，爆炸上限（V/V）12.5%，爆炸下限（V/V）2.6%</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jc w:val="cente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cs="Times New Roman"/>
                      <w:b w:val="0"/>
                      <w:bCs w:val="0"/>
                      <w:color w:val="auto"/>
                      <w:sz w:val="21"/>
                      <w:szCs w:val="21"/>
                      <w:highlight w:val="none"/>
                      <w:u w:val="none"/>
                      <w:vertAlign w:val="baseline"/>
                      <w:lang w:val="en-US" w:eastAsia="zh-CN"/>
                    </w:rPr>
                    <w:t>油墨</w:t>
                  </w:r>
                </w:p>
              </w:tc>
              <w:tc>
                <w:tcPr>
                  <w:tcW w:w="22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白色液体，pH值：7.5-9.5，沸点：100</w:t>
                  </w:r>
                  <w:r>
                    <w:rPr>
                      <w:rFonts w:hint="default" w:cs="Times New Roman"/>
                      <w:b w:val="0"/>
                      <w:bCs/>
                      <w:color w:val="auto"/>
                      <w:sz w:val="21"/>
                      <w:szCs w:val="21"/>
                      <w:highlight w:val="none"/>
                      <w:u w:val="none"/>
                      <w:vertAlign w:val="baseline"/>
                      <w:lang w:val="en-US" w:eastAsia="zh-CN"/>
                    </w:rPr>
                    <w:t>℃</w:t>
                  </w:r>
                  <w:r>
                    <w:rPr>
                      <w:rFonts w:hint="eastAsia" w:cs="Times New Roman"/>
                      <w:b w:val="0"/>
                      <w:bCs/>
                      <w:color w:val="auto"/>
                      <w:sz w:val="21"/>
                      <w:szCs w:val="21"/>
                      <w:highlight w:val="none"/>
                      <w:u w:val="none"/>
                      <w:vertAlign w:val="baseline"/>
                      <w:lang w:val="en-US" w:eastAsia="zh-CN"/>
                    </w:rPr>
                    <w:t>，相对密度：1-1.1。</w:t>
                  </w:r>
                </w:p>
              </w:tc>
              <w:tc>
                <w:tcPr>
                  <w:tcW w:w="10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none"/>
                      <w:vertAlign w:val="baseline"/>
                      <w:lang w:val="en-US" w:eastAsia="zh-CN"/>
                    </w:rPr>
                  </w:pPr>
                  <w:r>
                    <w:rPr>
                      <w:rFonts w:hint="eastAsia" w:cs="Times New Roman"/>
                      <w:b w:val="0"/>
                      <w:bCs/>
                      <w:color w:val="auto"/>
                      <w:sz w:val="21"/>
                      <w:szCs w:val="21"/>
                      <w:highlight w:val="none"/>
                      <w:u w:val="none"/>
                      <w:vertAlign w:val="baseline"/>
                      <w:lang w:val="en-US" w:eastAsia="zh-CN"/>
                    </w:rPr>
                    <w:t>不燃</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val="0"/>
                      <w:bCs/>
                      <w:color w:val="auto"/>
                      <w:sz w:val="21"/>
                      <w:szCs w:val="21"/>
                      <w:highlight w:val="none"/>
                      <w:u w:val="none"/>
                      <w:vertAlign w:val="baseline"/>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经口</w:t>
                  </w:r>
                  <w:r>
                    <w:rPr>
                      <w:rFonts w:hint="eastAsia" w:cs="Times New Roman"/>
                      <w:b w:val="0"/>
                      <w:bCs/>
                      <w:color w:val="auto"/>
                      <w:sz w:val="21"/>
                      <w:szCs w:val="21"/>
                      <w:highlight w:val="none"/>
                      <w:u w:val="none"/>
                      <w:vertAlign w:val="baseline"/>
                      <w:lang w:val="en-US" w:eastAsia="zh-CN"/>
                    </w:rPr>
                    <w:t>大</w:t>
                  </w:r>
                  <w:r>
                    <w:rPr>
                      <w:rFonts w:hint="eastAsia" w:ascii="Times New Roman" w:hAnsi="Times New Roman" w:eastAsia="宋体" w:cs="Times New Roman"/>
                      <w:b w:val="0"/>
                      <w:bCs/>
                      <w:color w:val="auto"/>
                      <w:sz w:val="21"/>
                      <w:szCs w:val="21"/>
                      <w:highlight w:val="none"/>
                      <w:u w:val="none"/>
                      <w:vertAlign w:val="baseline"/>
                      <w:lang w:val="en-US" w:eastAsia="zh-CN"/>
                    </w:rPr>
                    <w:t>鼠LD50：＞</w:t>
                  </w:r>
                  <w:r>
                    <w:rPr>
                      <w:rFonts w:hint="eastAsia" w:cs="Times New Roman"/>
                      <w:b w:val="0"/>
                      <w:bCs/>
                      <w:color w:val="auto"/>
                      <w:sz w:val="21"/>
                      <w:szCs w:val="21"/>
                      <w:highlight w:val="none"/>
                      <w:u w:val="none"/>
                      <w:vertAlign w:val="baseline"/>
                      <w:lang w:val="en-US" w:eastAsia="zh-CN"/>
                    </w:rPr>
                    <w:t>53</w:t>
                  </w:r>
                  <w:r>
                    <w:rPr>
                      <w:rFonts w:hint="eastAsia" w:ascii="Times New Roman" w:hAnsi="Times New Roman" w:eastAsia="宋体" w:cs="Times New Roman"/>
                      <w:b w:val="0"/>
                      <w:bCs/>
                      <w:color w:val="auto"/>
                      <w:sz w:val="21"/>
                      <w:szCs w:val="21"/>
                      <w:highlight w:val="none"/>
                      <w:u w:val="none"/>
                      <w:vertAlign w:val="baseline"/>
                      <w:lang w:val="en-US" w:eastAsia="zh-CN"/>
                    </w:rPr>
                    <w:t>mg/kg。</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b w:val="0"/>
                <w:bCs/>
                <w:color w:val="auto"/>
                <w:sz w:val="21"/>
                <w:szCs w:val="21"/>
                <w:u w:val="single"/>
                <w:lang w:val="en-US" w:eastAsia="zh-CN"/>
              </w:rPr>
            </w:pPr>
            <w:r>
              <w:rPr>
                <w:rFonts w:hint="eastAsia"/>
                <w:b w:val="0"/>
                <w:bCs/>
                <w:color w:val="auto"/>
                <w:sz w:val="21"/>
                <w:szCs w:val="21"/>
                <w:u w:val="single"/>
                <w:lang w:val="en-US" w:eastAsia="zh-CN"/>
              </w:rPr>
              <w:t>注：本项目原辅材料主要由合肥科天水性科技有限责任公司、长华化学科技股份有限公司和万华化学集团股份有限公司提供，详见附件4化学品安全技术说明书。</w:t>
            </w:r>
          </w:p>
          <w:p>
            <w:pPr>
              <w:spacing w:line="360" w:lineRule="auto"/>
              <w:rPr>
                <w:rFonts w:hint="eastAsia"/>
                <w:b/>
                <w:color w:val="auto"/>
                <w:sz w:val="24"/>
                <w:u w:val="none"/>
              </w:rPr>
            </w:pPr>
            <w:r>
              <w:rPr>
                <w:rFonts w:hint="eastAsia"/>
                <w:b/>
                <w:color w:val="auto"/>
                <w:sz w:val="24"/>
                <w:u w:val="none"/>
              </w:rPr>
              <w:t>5、公用工程</w:t>
            </w:r>
          </w:p>
          <w:p>
            <w:pPr>
              <w:wordWrap w:val="0"/>
              <w:spacing w:line="360" w:lineRule="auto"/>
              <w:ind w:firstLine="480" w:firstLineChars="200"/>
              <w:rPr>
                <w:color w:val="auto"/>
                <w:sz w:val="24"/>
                <w:u w:val="none"/>
              </w:rPr>
            </w:pPr>
            <w:r>
              <w:rPr>
                <w:rFonts w:hint="eastAsia"/>
                <w:color w:val="auto"/>
                <w:sz w:val="24"/>
                <w:u w:val="none"/>
              </w:rPr>
              <w:t>（1）给水</w:t>
            </w:r>
          </w:p>
          <w:p>
            <w:pPr>
              <w:wordWrap w:val="0"/>
              <w:spacing w:line="360" w:lineRule="auto"/>
              <w:ind w:firstLine="480" w:firstLineChars="200"/>
              <w:rPr>
                <w:rFonts w:hint="eastAsia"/>
                <w:color w:val="auto"/>
                <w:sz w:val="24"/>
                <w:highlight w:val="none"/>
                <w:u w:val="none"/>
              </w:rPr>
            </w:pPr>
            <w:r>
              <w:rPr>
                <w:rFonts w:hint="eastAsia"/>
                <w:color w:val="auto"/>
                <w:sz w:val="24"/>
                <w:u w:val="none"/>
              </w:rPr>
              <w:t>本项目市政供</w:t>
            </w:r>
            <w:r>
              <w:rPr>
                <w:rFonts w:hint="eastAsia"/>
                <w:color w:val="auto"/>
                <w:sz w:val="24"/>
                <w:highlight w:val="none"/>
                <w:u w:val="none"/>
              </w:rPr>
              <w:t>水。生产产品的原料中不需要用水</w:t>
            </w:r>
            <w:r>
              <w:rPr>
                <w:rFonts w:hint="eastAsia"/>
                <w:color w:val="auto"/>
                <w:sz w:val="24"/>
                <w:highlight w:val="none"/>
                <w:u w:val="none"/>
                <w:lang w:eastAsia="zh-CN"/>
              </w:rPr>
              <w:t>。</w:t>
            </w:r>
            <w:r>
              <w:rPr>
                <w:rFonts w:hint="eastAsia"/>
                <w:color w:val="auto"/>
                <w:sz w:val="24"/>
                <w:highlight w:val="none"/>
                <w:u w:val="none"/>
              </w:rPr>
              <w:t>项目</w:t>
            </w:r>
            <w:r>
              <w:rPr>
                <w:rFonts w:hint="eastAsia"/>
                <w:color w:val="auto"/>
                <w:sz w:val="24"/>
                <w:szCs w:val="24"/>
                <w:highlight w:val="none"/>
                <w:u w:val="none"/>
              </w:rPr>
              <w:t>用水环节包括</w:t>
            </w:r>
            <w:r>
              <w:rPr>
                <w:rFonts w:hint="eastAsia"/>
                <w:color w:val="auto"/>
                <w:sz w:val="24"/>
                <w:szCs w:val="24"/>
                <w:highlight w:val="none"/>
                <w:u w:val="none"/>
                <w:lang w:val="en-US" w:eastAsia="zh-CN"/>
              </w:rPr>
              <w:t>设备冷却水</w:t>
            </w:r>
            <w:r>
              <w:rPr>
                <w:rFonts w:hint="eastAsia"/>
                <w:color w:val="auto"/>
                <w:sz w:val="24"/>
                <w:szCs w:val="24"/>
                <w:highlight w:val="none"/>
                <w:u w:val="none"/>
              </w:rPr>
              <w:t>、</w:t>
            </w:r>
            <w:r>
              <w:rPr>
                <w:rFonts w:hint="eastAsia"/>
                <w:color w:val="auto"/>
                <w:sz w:val="24"/>
                <w:szCs w:val="24"/>
                <w:highlight w:val="none"/>
                <w:u w:val="none"/>
                <w:lang w:val="en-US" w:eastAsia="zh-CN"/>
              </w:rPr>
              <w:t>印刷机清洗水</w:t>
            </w:r>
            <w:r>
              <w:rPr>
                <w:rFonts w:hint="eastAsia"/>
                <w:color w:val="auto"/>
                <w:sz w:val="24"/>
                <w:szCs w:val="24"/>
                <w:highlight w:val="none"/>
                <w:u w:val="none"/>
              </w:rPr>
              <w:t>和生</w:t>
            </w:r>
            <w:r>
              <w:rPr>
                <w:rFonts w:hint="eastAsia"/>
                <w:color w:val="auto"/>
                <w:sz w:val="24"/>
                <w:highlight w:val="none"/>
                <w:u w:val="none"/>
              </w:rPr>
              <w:t>活用水等。</w:t>
            </w:r>
          </w:p>
          <w:p>
            <w:pPr>
              <w:pStyle w:val="31"/>
              <w:ind w:firstLine="480"/>
              <w:rPr>
                <w:rFonts w:hint="eastAsia"/>
                <w:color w:val="auto"/>
                <w:highlight w:val="none"/>
                <w:u w:val="none"/>
              </w:rPr>
            </w:pPr>
            <w:r>
              <w:rPr>
                <w:rFonts w:hint="eastAsia"/>
                <w:color w:val="auto"/>
                <w:highlight w:val="none"/>
                <w:u w:val="none"/>
              </w:rPr>
              <w:t>（2）排水</w:t>
            </w:r>
          </w:p>
          <w:p>
            <w:pPr>
              <w:pStyle w:val="31"/>
              <w:ind w:firstLine="480"/>
              <w:rPr>
                <w:rFonts w:hint="eastAsia"/>
                <w:color w:val="auto"/>
                <w:szCs w:val="24"/>
                <w:highlight w:val="none"/>
                <w:u w:val="none"/>
              </w:rPr>
            </w:pPr>
            <w:r>
              <w:rPr>
                <w:rFonts w:hint="eastAsia"/>
                <w:color w:val="auto"/>
                <w:highlight w:val="none"/>
                <w:u w:val="none"/>
              </w:rPr>
              <w:t>生活污水经化粪池处理后进入工业园污水管网，排入新田县污水处理厂。设备冷却水循环使用，不外排。印刷机清洗废水采用胶桶收集后交湖南普瑞达内装材料有限公司处理，不外排。</w:t>
            </w:r>
          </w:p>
          <w:p>
            <w:pPr>
              <w:pStyle w:val="31"/>
              <w:ind w:firstLine="480"/>
              <w:rPr>
                <w:rFonts w:hint="eastAsia"/>
                <w:color w:val="auto"/>
                <w:szCs w:val="24"/>
                <w:u w:val="none"/>
              </w:rPr>
            </w:pPr>
            <w:r>
              <w:rPr>
                <w:rFonts w:hint="eastAsia"/>
                <w:color w:val="auto"/>
                <w:szCs w:val="24"/>
                <w:u w:val="none"/>
              </w:rPr>
              <w:t>（3）供电工程</w:t>
            </w:r>
          </w:p>
          <w:p>
            <w:pPr>
              <w:pStyle w:val="31"/>
              <w:ind w:firstLine="480"/>
              <w:rPr>
                <w:rFonts w:hint="eastAsia"/>
                <w:color w:val="auto"/>
                <w:szCs w:val="24"/>
                <w:u w:val="none"/>
              </w:rPr>
            </w:pPr>
            <w:r>
              <w:rPr>
                <w:rFonts w:hint="eastAsia"/>
                <w:color w:val="auto"/>
                <w:szCs w:val="24"/>
                <w:u w:val="none"/>
              </w:rPr>
              <w:t>本项目由市政供电。</w:t>
            </w:r>
          </w:p>
          <w:p>
            <w:pPr>
              <w:spacing w:line="360" w:lineRule="auto"/>
              <w:rPr>
                <w:rFonts w:hint="eastAsia"/>
                <w:b/>
                <w:bCs/>
                <w:color w:val="auto"/>
                <w:sz w:val="24"/>
                <w:u w:val="none"/>
              </w:rPr>
            </w:pPr>
            <w:r>
              <w:rPr>
                <w:rFonts w:hint="eastAsia"/>
                <w:b/>
                <w:bCs/>
                <w:color w:val="auto"/>
                <w:sz w:val="24"/>
                <w:u w:val="none"/>
              </w:rPr>
              <w:t>6、劳动定员及工作制度</w:t>
            </w:r>
          </w:p>
          <w:p>
            <w:pPr>
              <w:pStyle w:val="31"/>
              <w:ind w:firstLine="480"/>
              <w:rPr>
                <w:rFonts w:hint="eastAsia"/>
                <w:color w:val="auto"/>
                <w:highlight w:val="none"/>
                <w:u w:val="none"/>
              </w:rPr>
            </w:pPr>
            <w:r>
              <w:rPr>
                <w:rFonts w:hint="eastAsia"/>
                <w:color w:val="auto"/>
                <w:u w:val="none"/>
              </w:rPr>
              <w:t>本项目</w:t>
            </w:r>
            <w:r>
              <w:rPr>
                <w:rFonts w:hint="eastAsia"/>
                <w:color w:val="auto"/>
                <w:highlight w:val="none"/>
                <w:u w:val="none"/>
              </w:rPr>
              <w:t>劳动定员3</w:t>
            </w:r>
            <w:r>
              <w:rPr>
                <w:rFonts w:hint="eastAsia"/>
                <w:color w:val="auto"/>
                <w:highlight w:val="none"/>
                <w:u w:val="none"/>
                <w:lang w:val="en-US" w:eastAsia="zh-CN"/>
              </w:rPr>
              <w:t>0</w:t>
            </w:r>
            <w:r>
              <w:rPr>
                <w:rFonts w:hint="eastAsia"/>
                <w:color w:val="auto"/>
                <w:highlight w:val="none"/>
                <w:u w:val="none"/>
              </w:rPr>
              <w:t>人，设食堂，一班制，每天工作8小时，年工作</w:t>
            </w:r>
            <w:r>
              <w:rPr>
                <w:rFonts w:hint="eastAsia"/>
                <w:color w:val="auto"/>
                <w:highlight w:val="none"/>
                <w:u w:val="none"/>
                <w:lang w:val="en-US" w:eastAsia="zh-CN"/>
              </w:rPr>
              <w:t>300</w:t>
            </w:r>
            <w:r>
              <w:rPr>
                <w:rFonts w:hint="eastAsia"/>
                <w:color w:val="auto"/>
                <w:highlight w:val="none"/>
                <w:u w:val="none"/>
              </w:rPr>
              <w:t>天。</w:t>
            </w:r>
          </w:p>
          <w:p>
            <w:pPr>
              <w:spacing w:line="360" w:lineRule="auto"/>
              <w:rPr>
                <w:rFonts w:hint="eastAsia"/>
                <w:b/>
                <w:bCs/>
                <w:color w:val="auto"/>
                <w:sz w:val="24"/>
                <w:u w:val="none"/>
              </w:rPr>
            </w:pPr>
            <w:r>
              <w:rPr>
                <w:rFonts w:hint="eastAsia"/>
                <w:b/>
                <w:bCs/>
                <w:color w:val="auto"/>
                <w:sz w:val="24"/>
                <w:u w:val="none"/>
              </w:rPr>
              <w:t>7、厂区平面布局</w:t>
            </w:r>
          </w:p>
          <w:p>
            <w:pPr>
              <w:spacing w:line="360" w:lineRule="auto"/>
              <w:ind w:firstLine="480" w:firstLineChars="200"/>
              <w:rPr>
                <w:rFonts w:hint="eastAsia"/>
                <w:color w:val="auto"/>
                <w:sz w:val="24"/>
                <w:highlight w:val="none"/>
                <w:u w:val="none"/>
              </w:rPr>
            </w:pPr>
            <w:r>
              <w:rPr>
                <w:rFonts w:hint="eastAsia"/>
                <w:color w:val="auto"/>
                <w:sz w:val="24"/>
                <w:highlight w:val="none"/>
                <w:u w:val="none"/>
              </w:rPr>
              <w:t>本项目厂区</w:t>
            </w:r>
            <w:r>
              <w:rPr>
                <w:rFonts w:hint="eastAsia"/>
                <w:color w:val="auto"/>
                <w:sz w:val="24"/>
                <w:highlight w:val="none"/>
                <w:u w:val="none"/>
                <w:lang w:val="en-US" w:eastAsia="zh-CN"/>
              </w:rPr>
              <w:t>南</w:t>
            </w:r>
            <w:r>
              <w:rPr>
                <w:rFonts w:hint="eastAsia"/>
                <w:color w:val="auto"/>
                <w:sz w:val="24"/>
                <w:highlight w:val="none"/>
                <w:u w:val="none"/>
              </w:rPr>
              <w:t>侧从</w:t>
            </w:r>
            <w:r>
              <w:rPr>
                <w:rFonts w:hint="eastAsia"/>
                <w:color w:val="auto"/>
                <w:sz w:val="24"/>
                <w:highlight w:val="none"/>
                <w:u w:val="none"/>
                <w:lang w:val="en-US" w:eastAsia="zh-CN"/>
              </w:rPr>
              <w:t>西</w:t>
            </w:r>
            <w:r>
              <w:rPr>
                <w:rFonts w:hint="eastAsia"/>
                <w:color w:val="auto"/>
                <w:sz w:val="24"/>
                <w:highlight w:val="none"/>
                <w:u w:val="none"/>
              </w:rPr>
              <w:t>至</w:t>
            </w:r>
            <w:r>
              <w:rPr>
                <w:rFonts w:hint="eastAsia"/>
                <w:color w:val="auto"/>
                <w:sz w:val="24"/>
                <w:highlight w:val="none"/>
                <w:u w:val="none"/>
                <w:lang w:val="en-US" w:eastAsia="zh-CN"/>
              </w:rPr>
              <w:t>东</w:t>
            </w:r>
            <w:r>
              <w:rPr>
                <w:rFonts w:hint="eastAsia"/>
                <w:color w:val="auto"/>
                <w:sz w:val="24"/>
                <w:highlight w:val="none"/>
                <w:u w:val="none"/>
              </w:rPr>
              <w:t>依次为</w:t>
            </w:r>
            <w:r>
              <w:rPr>
                <w:rFonts w:hint="eastAsia"/>
                <w:color w:val="auto"/>
                <w:sz w:val="24"/>
                <w:highlight w:val="none"/>
                <w:u w:val="none"/>
                <w:lang w:val="en-US" w:eastAsia="zh-CN"/>
              </w:rPr>
              <w:t>办公室</w:t>
            </w:r>
            <w:r>
              <w:rPr>
                <w:rFonts w:hint="eastAsia"/>
                <w:color w:val="auto"/>
                <w:sz w:val="24"/>
                <w:highlight w:val="none"/>
                <w:u w:val="none"/>
              </w:rPr>
              <w:t>、</w:t>
            </w:r>
            <w:r>
              <w:rPr>
                <w:rFonts w:hint="eastAsia"/>
                <w:color w:val="auto"/>
                <w:sz w:val="24"/>
                <w:highlight w:val="none"/>
                <w:u w:val="none"/>
                <w:lang w:val="en-US" w:eastAsia="zh-CN"/>
              </w:rPr>
              <w:t>杂物房</w:t>
            </w:r>
            <w:r>
              <w:rPr>
                <w:rFonts w:hint="eastAsia"/>
                <w:color w:val="auto"/>
                <w:sz w:val="24"/>
                <w:highlight w:val="none"/>
                <w:u w:val="none"/>
              </w:rPr>
              <w:t>、</w:t>
            </w:r>
            <w:r>
              <w:rPr>
                <w:rFonts w:hint="eastAsia"/>
                <w:color w:val="auto"/>
                <w:sz w:val="24"/>
                <w:highlight w:val="none"/>
                <w:u w:val="none"/>
                <w:lang w:val="en-US" w:eastAsia="zh-CN"/>
              </w:rPr>
              <w:t>工具室</w:t>
            </w:r>
            <w:r>
              <w:rPr>
                <w:rFonts w:hint="eastAsia"/>
                <w:color w:val="auto"/>
                <w:sz w:val="24"/>
                <w:highlight w:val="none"/>
                <w:u w:val="none"/>
              </w:rPr>
              <w:t>、</w:t>
            </w:r>
            <w:r>
              <w:rPr>
                <w:rFonts w:hint="eastAsia"/>
                <w:color w:val="auto"/>
                <w:sz w:val="24"/>
                <w:highlight w:val="none"/>
                <w:u w:val="none"/>
                <w:lang w:val="en-US" w:eastAsia="zh-CN"/>
              </w:rPr>
              <w:t>配料室</w:t>
            </w:r>
            <w:r>
              <w:rPr>
                <w:rFonts w:hint="eastAsia"/>
                <w:color w:val="auto"/>
                <w:sz w:val="24"/>
                <w:highlight w:val="none"/>
                <w:u w:val="none"/>
              </w:rPr>
              <w:t>、</w:t>
            </w:r>
            <w:r>
              <w:rPr>
                <w:rFonts w:hint="eastAsia"/>
                <w:color w:val="auto"/>
                <w:sz w:val="24"/>
                <w:highlight w:val="none"/>
                <w:u w:val="none"/>
                <w:lang w:val="en-US" w:eastAsia="zh-CN"/>
              </w:rPr>
              <w:t>原材料仓</w:t>
            </w:r>
            <w:r>
              <w:rPr>
                <w:rFonts w:hint="eastAsia"/>
                <w:color w:val="auto"/>
                <w:sz w:val="24"/>
                <w:highlight w:val="none"/>
                <w:u w:val="none"/>
              </w:rPr>
              <w:t>、</w:t>
            </w:r>
            <w:r>
              <w:rPr>
                <w:rFonts w:hint="eastAsia"/>
                <w:color w:val="auto"/>
                <w:sz w:val="24"/>
                <w:highlight w:val="none"/>
                <w:u w:val="none"/>
                <w:lang w:val="en-US" w:eastAsia="zh-CN"/>
              </w:rPr>
              <w:t>食堂</w:t>
            </w:r>
            <w:r>
              <w:rPr>
                <w:rFonts w:hint="eastAsia"/>
                <w:color w:val="auto"/>
                <w:sz w:val="24"/>
                <w:highlight w:val="none"/>
                <w:u w:val="none"/>
              </w:rPr>
              <w:t>。生产区位于厂区整体的中间部位，</w:t>
            </w:r>
            <w:r>
              <w:rPr>
                <w:rFonts w:hint="eastAsia"/>
                <w:color w:val="auto"/>
                <w:sz w:val="24"/>
                <w:highlight w:val="none"/>
                <w:u w:val="none"/>
                <w:lang w:val="en-US" w:eastAsia="zh-CN"/>
              </w:rPr>
              <w:t>包含：</w:t>
            </w:r>
            <w:r>
              <w:rPr>
                <w:rFonts w:hint="eastAsia"/>
                <w:color w:val="auto"/>
                <w:sz w:val="24"/>
                <w:highlight w:val="none"/>
                <w:u w:val="none"/>
              </w:rPr>
              <w:t>发泡、搅拌、涂布、熟化、印刷、分切，生产区北侧</w:t>
            </w:r>
            <w:r>
              <w:rPr>
                <w:rFonts w:hint="eastAsia"/>
                <w:color w:val="auto"/>
                <w:sz w:val="24"/>
                <w:highlight w:val="none"/>
                <w:u w:val="none"/>
                <w:lang w:val="en-US" w:eastAsia="zh-CN"/>
              </w:rPr>
              <w:t>从西至东</w:t>
            </w:r>
            <w:r>
              <w:rPr>
                <w:rFonts w:hint="eastAsia"/>
                <w:color w:val="auto"/>
                <w:sz w:val="24"/>
                <w:highlight w:val="none"/>
                <w:u w:val="none"/>
              </w:rPr>
              <w:t>为</w:t>
            </w:r>
            <w:r>
              <w:rPr>
                <w:rFonts w:hint="eastAsia"/>
                <w:color w:val="auto"/>
                <w:sz w:val="24"/>
                <w:highlight w:val="none"/>
                <w:u w:val="none"/>
                <w:lang w:val="en-US" w:eastAsia="zh-CN"/>
              </w:rPr>
              <w:t>会议室、成品仓</w:t>
            </w:r>
            <w:r>
              <w:rPr>
                <w:rFonts w:hint="eastAsia"/>
                <w:color w:val="auto"/>
                <w:sz w:val="24"/>
                <w:highlight w:val="none"/>
                <w:u w:val="none"/>
              </w:rPr>
              <w:t>。</w:t>
            </w:r>
          </w:p>
          <w:p>
            <w:pPr>
              <w:spacing w:line="360" w:lineRule="auto"/>
              <w:rPr>
                <w:rFonts w:hint="eastAsia"/>
                <w:b/>
                <w:bCs/>
                <w:color w:val="auto"/>
                <w:sz w:val="24"/>
                <w:highlight w:val="none"/>
                <w:u w:val="none"/>
              </w:rPr>
            </w:pPr>
            <w:r>
              <w:rPr>
                <w:rFonts w:hint="eastAsia"/>
                <w:b/>
                <w:bCs/>
                <w:color w:val="auto"/>
                <w:sz w:val="24"/>
                <w:highlight w:val="none"/>
                <w:u w:val="none"/>
              </w:rPr>
              <w:t>8、水平衡</w:t>
            </w:r>
          </w:p>
          <w:p>
            <w:pPr>
              <w:pStyle w:val="2"/>
              <w:spacing w:before="0" w:after="0" w:line="260" w:lineRule="auto"/>
              <w:ind w:right="0" w:firstLine="480" w:firstLineChars="200"/>
              <w:jc w:val="left"/>
              <w:rPr>
                <w:rFonts w:hint="eastAsia"/>
                <w:bCs/>
                <w:color w:val="auto"/>
                <w:sz w:val="24"/>
                <w:szCs w:val="24"/>
                <w:highlight w:val="none"/>
                <w:u w:val="none"/>
              </w:rPr>
            </w:pPr>
            <w:r>
              <w:rPr>
                <w:rFonts w:hint="eastAsia"/>
                <w:bCs/>
                <w:color w:val="auto"/>
                <w:sz w:val="24"/>
                <w:szCs w:val="24"/>
                <w:highlight w:val="none"/>
                <w:u w:val="none"/>
              </w:rPr>
              <w:t>本项目水平衡图见下。具体水量分析详见第四章节。</w:t>
            </w:r>
          </w:p>
          <w:p>
            <w:pPr>
              <w:pStyle w:val="2"/>
              <w:spacing w:before="0" w:after="0" w:line="260" w:lineRule="auto"/>
              <w:ind w:right="0" w:firstLine="422" w:firstLineChars="200"/>
              <w:jc w:val="center"/>
              <w:rPr>
                <w:rFonts w:hint="eastAsia" w:eastAsia="宋体"/>
                <w:b/>
                <w:bCs/>
                <w:color w:val="auto"/>
                <w:sz w:val="21"/>
                <w:szCs w:val="21"/>
                <w:highlight w:val="none"/>
                <w:u w:val="none"/>
                <w:lang w:eastAsia="zh-CN"/>
              </w:rPr>
            </w:pPr>
            <w:r>
              <w:rPr>
                <w:rFonts w:hint="eastAsia" w:eastAsia="宋体"/>
                <w:b/>
                <w:bCs/>
                <w:color w:val="auto"/>
                <w:sz w:val="21"/>
                <w:szCs w:val="21"/>
                <w:highlight w:val="none"/>
                <w:u w:val="none"/>
                <w:lang w:eastAsia="zh-CN"/>
              </w:rPr>
              <w:drawing>
                <wp:inline distT="0" distB="0" distL="114300" distR="114300">
                  <wp:extent cx="4261485" cy="1619885"/>
                  <wp:effectExtent l="0" t="0" r="0" b="18415"/>
                  <wp:docPr id="14" name="图片 14"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文件(1)"/>
                          <pic:cNvPicPr>
                            <a:picLocks noChangeAspect="1"/>
                          </pic:cNvPicPr>
                        </pic:nvPicPr>
                        <pic:blipFill>
                          <a:blip r:embed="rId10"/>
                          <a:srcRect t="8240" b="7082"/>
                          <a:stretch>
                            <a:fillRect/>
                          </a:stretch>
                        </pic:blipFill>
                        <pic:spPr>
                          <a:xfrm>
                            <a:off x="0" y="0"/>
                            <a:ext cx="4261485" cy="1619885"/>
                          </a:xfrm>
                          <a:prstGeom prst="rect">
                            <a:avLst/>
                          </a:prstGeom>
                        </pic:spPr>
                      </pic:pic>
                    </a:graphicData>
                  </a:graphic>
                </wp:inline>
              </w:drawing>
            </w:r>
          </w:p>
          <w:p>
            <w:pPr>
              <w:spacing w:line="360" w:lineRule="auto"/>
              <w:jc w:val="center"/>
              <w:rPr>
                <w:rFonts w:hint="eastAsia"/>
                <w:b/>
                <w:bCs/>
                <w:color w:val="auto"/>
                <w:sz w:val="21"/>
                <w:szCs w:val="21"/>
                <w:highlight w:val="none"/>
                <w:u w:val="none"/>
              </w:rPr>
            </w:pPr>
            <w:r>
              <w:rPr>
                <w:rFonts w:hint="eastAsia"/>
                <w:b/>
                <w:bCs/>
                <w:color w:val="auto"/>
                <w:sz w:val="21"/>
                <w:szCs w:val="21"/>
                <w:highlight w:val="none"/>
                <w:u w:val="none"/>
              </w:rPr>
              <w:t>图2-1 水平衡图（t/a）</w:t>
            </w:r>
          </w:p>
          <w:p>
            <w:pPr>
              <w:spacing w:line="360" w:lineRule="auto"/>
              <w:rPr>
                <w:rFonts w:hint="eastAsia"/>
                <w:b/>
                <w:bCs/>
                <w:color w:val="auto"/>
                <w:sz w:val="24"/>
                <w:highlight w:val="none"/>
                <w:u w:val="single"/>
              </w:rPr>
            </w:pPr>
            <w:r>
              <w:rPr>
                <w:rFonts w:hint="eastAsia"/>
                <w:b/>
                <w:bCs/>
                <w:color w:val="auto"/>
                <w:sz w:val="24"/>
                <w:highlight w:val="none"/>
                <w:u w:val="single"/>
                <w:lang w:val="en-US" w:eastAsia="zh-CN"/>
              </w:rPr>
              <w:t>9</w:t>
            </w:r>
            <w:r>
              <w:rPr>
                <w:rFonts w:hint="eastAsia"/>
                <w:b/>
                <w:bCs/>
                <w:color w:val="auto"/>
                <w:sz w:val="24"/>
                <w:highlight w:val="none"/>
                <w:u w:val="single"/>
              </w:rPr>
              <w:t>、</w:t>
            </w:r>
            <w:r>
              <w:rPr>
                <w:rFonts w:hint="eastAsia"/>
                <w:b/>
                <w:bCs/>
                <w:color w:val="auto"/>
                <w:sz w:val="24"/>
                <w:highlight w:val="none"/>
                <w:u w:val="single"/>
                <w:lang w:val="en-US" w:eastAsia="zh-CN"/>
              </w:rPr>
              <w:t>物料</w:t>
            </w:r>
            <w:r>
              <w:rPr>
                <w:rFonts w:hint="eastAsia"/>
                <w:b/>
                <w:bCs/>
                <w:color w:val="auto"/>
                <w:sz w:val="24"/>
                <w:highlight w:val="none"/>
                <w:u w:val="single"/>
              </w:rPr>
              <w:t>平衡</w:t>
            </w:r>
          </w:p>
          <w:p>
            <w:pPr>
              <w:keepNext w:val="0"/>
              <w:keepLines w:val="0"/>
              <w:pageBreakBefore w:val="0"/>
              <w:widowControl w:val="0"/>
              <w:kinsoku/>
              <w:wordWrap/>
              <w:topLinePunct w:val="0"/>
              <w:bidi w:val="0"/>
              <w:spacing w:line="360" w:lineRule="auto"/>
              <w:ind w:firstLine="480" w:firstLineChars="200"/>
              <w:rPr>
                <w:rFonts w:hint="default"/>
                <w:color w:val="auto"/>
                <w:sz w:val="24"/>
                <w:highlight w:val="none"/>
                <w:u w:val="single"/>
                <w:lang w:val="en-US" w:eastAsia="zh-CN"/>
              </w:rPr>
            </w:pPr>
            <w:r>
              <w:rPr>
                <w:rFonts w:hint="eastAsia"/>
                <w:color w:val="auto"/>
                <w:sz w:val="24"/>
                <w:highlight w:val="none"/>
                <w:u w:val="single"/>
                <w:lang w:val="en-US" w:eastAsia="zh-CN"/>
              </w:rPr>
              <w:t>根据企业提供的资料，本项目生产一批次产品的物料平衡图详见下图。</w:t>
            </w:r>
          </w:p>
          <w:p>
            <w:pPr>
              <w:spacing w:line="360" w:lineRule="auto"/>
              <w:jc w:val="center"/>
              <w:rPr>
                <w:rFonts w:hint="eastAsia" w:eastAsia="宋体"/>
                <w:b/>
                <w:bCs/>
                <w:color w:val="auto"/>
                <w:sz w:val="21"/>
                <w:szCs w:val="21"/>
                <w:highlight w:val="none"/>
                <w:u w:val="none"/>
                <w:lang w:eastAsia="zh-CN"/>
              </w:rPr>
            </w:pPr>
            <w:r>
              <w:rPr>
                <w:rFonts w:hint="eastAsia" w:eastAsia="宋体"/>
                <w:b/>
                <w:bCs/>
                <w:color w:val="auto"/>
                <w:sz w:val="21"/>
                <w:szCs w:val="21"/>
                <w:highlight w:val="none"/>
                <w:u w:val="none"/>
                <w:lang w:eastAsia="zh-CN"/>
              </w:rPr>
              <w:drawing>
                <wp:inline distT="0" distB="0" distL="114300" distR="114300">
                  <wp:extent cx="3201670" cy="3492500"/>
                  <wp:effectExtent l="0" t="0" r="8255" b="3175"/>
                  <wp:docPr id="24" name="图片 24"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未命名文件"/>
                          <pic:cNvPicPr>
                            <a:picLocks noChangeAspect="1"/>
                          </pic:cNvPicPr>
                        </pic:nvPicPr>
                        <pic:blipFill>
                          <a:blip r:embed="rId11"/>
                          <a:srcRect l="5981" t="3603" r="3491" b="3493"/>
                          <a:stretch>
                            <a:fillRect/>
                          </a:stretch>
                        </pic:blipFill>
                        <pic:spPr>
                          <a:xfrm>
                            <a:off x="0" y="0"/>
                            <a:ext cx="3201670" cy="3492500"/>
                          </a:xfrm>
                          <a:prstGeom prst="rect">
                            <a:avLst/>
                          </a:prstGeom>
                        </pic:spPr>
                      </pic:pic>
                    </a:graphicData>
                  </a:graphic>
                </wp:inline>
              </w:drawing>
            </w:r>
          </w:p>
          <w:p>
            <w:pPr>
              <w:spacing w:line="360" w:lineRule="auto"/>
              <w:jc w:val="center"/>
              <w:rPr>
                <w:rFonts w:hint="eastAsia"/>
                <w:b/>
                <w:bCs/>
                <w:color w:val="auto"/>
                <w:sz w:val="21"/>
                <w:szCs w:val="21"/>
                <w:highlight w:val="none"/>
                <w:u w:val="single"/>
              </w:rPr>
            </w:pPr>
            <w:r>
              <w:rPr>
                <w:rFonts w:hint="eastAsia"/>
                <w:b/>
                <w:bCs/>
                <w:color w:val="auto"/>
                <w:sz w:val="21"/>
                <w:szCs w:val="21"/>
                <w:highlight w:val="none"/>
                <w:u w:val="single"/>
              </w:rPr>
              <w:t>图2-</w:t>
            </w:r>
            <w:r>
              <w:rPr>
                <w:rFonts w:hint="eastAsia"/>
                <w:b/>
                <w:bCs/>
                <w:color w:val="auto"/>
                <w:sz w:val="21"/>
                <w:szCs w:val="21"/>
                <w:highlight w:val="none"/>
                <w:u w:val="single"/>
                <w:lang w:val="en-US" w:eastAsia="zh-CN"/>
              </w:rPr>
              <w:t>2</w:t>
            </w:r>
            <w:r>
              <w:rPr>
                <w:rFonts w:hint="eastAsia"/>
                <w:b/>
                <w:bCs/>
                <w:color w:val="auto"/>
                <w:sz w:val="21"/>
                <w:szCs w:val="21"/>
                <w:highlight w:val="none"/>
                <w:u w:val="single"/>
              </w:rPr>
              <w:t xml:space="preserve"> </w:t>
            </w:r>
            <w:r>
              <w:rPr>
                <w:rFonts w:hint="eastAsia"/>
                <w:b/>
                <w:bCs/>
                <w:color w:val="auto"/>
                <w:sz w:val="21"/>
                <w:szCs w:val="21"/>
                <w:highlight w:val="none"/>
                <w:u w:val="single"/>
                <w:lang w:val="en-US" w:eastAsia="zh-CN"/>
              </w:rPr>
              <w:t>生产</w:t>
            </w:r>
            <w:r>
              <w:rPr>
                <w:rFonts w:hint="eastAsia"/>
                <w:b/>
                <w:bCs/>
                <w:color w:val="auto"/>
                <w:sz w:val="21"/>
                <w:szCs w:val="21"/>
                <w:highlight w:val="none"/>
                <w:u w:val="single"/>
              </w:rPr>
              <w:t>油性聚氨酯泡绵</w:t>
            </w:r>
            <w:r>
              <w:rPr>
                <w:rFonts w:hint="eastAsia"/>
                <w:b/>
                <w:bCs/>
                <w:color w:val="auto"/>
                <w:sz w:val="21"/>
                <w:szCs w:val="21"/>
                <w:highlight w:val="none"/>
                <w:u w:val="single"/>
                <w:lang w:val="en-US" w:eastAsia="zh-CN"/>
              </w:rPr>
              <w:t>物料</w:t>
            </w:r>
            <w:r>
              <w:rPr>
                <w:rFonts w:hint="eastAsia"/>
                <w:b/>
                <w:bCs/>
                <w:color w:val="auto"/>
                <w:sz w:val="21"/>
                <w:szCs w:val="21"/>
                <w:highlight w:val="none"/>
                <w:u w:val="single"/>
              </w:rPr>
              <w:t>平衡图（</w:t>
            </w:r>
            <w:r>
              <w:rPr>
                <w:rFonts w:hint="eastAsia"/>
                <w:b/>
                <w:bCs/>
                <w:color w:val="auto"/>
                <w:sz w:val="21"/>
                <w:szCs w:val="21"/>
                <w:highlight w:val="none"/>
                <w:u w:val="single"/>
                <w:lang w:val="en-US" w:eastAsia="zh-CN"/>
              </w:rPr>
              <w:t>单位：kg</w:t>
            </w:r>
            <w:r>
              <w:rPr>
                <w:rFonts w:hint="eastAsia"/>
                <w:b/>
                <w:bCs/>
                <w:color w:val="auto"/>
                <w:sz w:val="21"/>
                <w:szCs w:val="21"/>
                <w:highlight w:val="none"/>
                <w:u w:val="single"/>
              </w:rPr>
              <w:t>）</w:t>
            </w:r>
          </w:p>
          <w:p>
            <w:pPr>
              <w:spacing w:line="360" w:lineRule="auto"/>
              <w:jc w:val="center"/>
              <w:rPr>
                <w:rFonts w:hint="eastAsia" w:eastAsia="宋体"/>
                <w:b/>
                <w:bCs/>
                <w:color w:val="auto"/>
                <w:sz w:val="21"/>
                <w:szCs w:val="21"/>
                <w:highlight w:val="none"/>
                <w:u w:val="none"/>
                <w:lang w:eastAsia="zh-CN"/>
              </w:rPr>
            </w:pPr>
            <w:r>
              <w:rPr>
                <w:rFonts w:hint="eastAsia" w:eastAsia="宋体"/>
                <w:b/>
                <w:bCs/>
                <w:color w:val="auto"/>
                <w:sz w:val="21"/>
                <w:szCs w:val="21"/>
                <w:highlight w:val="none"/>
                <w:u w:val="none"/>
                <w:lang w:eastAsia="zh-CN"/>
              </w:rPr>
              <w:drawing>
                <wp:inline distT="0" distB="0" distL="114300" distR="114300">
                  <wp:extent cx="3373120" cy="3290570"/>
                  <wp:effectExtent l="0" t="0" r="8255" b="5080"/>
                  <wp:docPr id="23" name="图片 23"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命名文件(2)"/>
                          <pic:cNvPicPr>
                            <a:picLocks noChangeAspect="1"/>
                          </pic:cNvPicPr>
                        </pic:nvPicPr>
                        <pic:blipFill>
                          <a:blip r:embed="rId12"/>
                          <a:srcRect l="4758" t="3181" r="3497" b="3899"/>
                          <a:stretch>
                            <a:fillRect/>
                          </a:stretch>
                        </pic:blipFill>
                        <pic:spPr>
                          <a:xfrm>
                            <a:off x="0" y="0"/>
                            <a:ext cx="3373120" cy="3290570"/>
                          </a:xfrm>
                          <a:prstGeom prst="rect">
                            <a:avLst/>
                          </a:prstGeom>
                        </pic:spPr>
                      </pic:pic>
                    </a:graphicData>
                  </a:graphic>
                </wp:inline>
              </w:drawing>
            </w:r>
          </w:p>
          <w:p>
            <w:pPr>
              <w:spacing w:line="360" w:lineRule="auto"/>
              <w:jc w:val="center"/>
              <w:rPr>
                <w:b/>
                <w:color w:val="auto"/>
                <w:sz w:val="24"/>
                <w:szCs w:val="24"/>
                <w:u w:val="none"/>
              </w:rPr>
            </w:pPr>
            <w:r>
              <w:rPr>
                <w:rFonts w:hint="eastAsia"/>
                <w:b/>
                <w:bCs/>
                <w:color w:val="auto"/>
                <w:sz w:val="21"/>
                <w:szCs w:val="21"/>
                <w:highlight w:val="none"/>
                <w:u w:val="single"/>
              </w:rPr>
              <w:t>图2-</w:t>
            </w:r>
            <w:r>
              <w:rPr>
                <w:rFonts w:hint="eastAsia"/>
                <w:b/>
                <w:bCs/>
                <w:color w:val="auto"/>
                <w:sz w:val="21"/>
                <w:szCs w:val="21"/>
                <w:highlight w:val="none"/>
                <w:u w:val="single"/>
                <w:lang w:val="en-US" w:eastAsia="zh-CN"/>
              </w:rPr>
              <w:t>3</w:t>
            </w:r>
            <w:r>
              <w:rPr>
                <w:rFonts w:hint="eastAsia"/>
                <w:b/>
                <w:bCs/>
                <w:color w:val="auto"/>
                <w:sz w:val="21"/>
                <w:szCs w:val="21"/>
                <w:highlight w:val="none"/>
                <w:u w:val="single"/>
              </w:rPr>
              <w:t xml:space="preserve"> </w:t>
            </w:r>
            <w:r>
              <w:rPr>
                <w:rFonts w:hint="eastAsia"/>
                <w:b/>
                <w:bCs/>
                <w:color w:val="auto"/>
                <w:sz w:val="21"/>
                <w:szCs w:val="21"/>
                <w:highlight w:val="none"/>
                <w:u w:val="single"/>
                <w:lang w:val="en-US" w:eastAsia="zh-CN"/>
              </w:rPr>
              <w:t>生产</w:t>
            </w:r>
            <w:r>
              <w:rPr>
                <w:rFonts w:hint="eastAsia"/>
                <w:b/>
                <w:bCs/>
                <w:color w:val="auto"/>
                <w:sz w:val="21"/>
                <w:szCs w:val="21"/>
                <w:highlight w:val="none"/>
                <w:u w:val="single"/>
              </w:rPr>
              <w:t>水性聚氨酯泡绵</w:t>
            </w:r>
            <w:r>
              <w:rPr>
                <w:rFonts w:hint="eastAsia"/>
                <w:b/>
                <w:bCs/>
                <w:color w:val="auto"/>
                <w:sz w:val="21"/>
                <w:szCs w:val="21"/>
                <w:highlight w:val="none"/>
                <w:u w:val="single"/>
                <w:lang w:val="en-US" w:eastAsia="zh-CN"/>
              </w:rPr>
              <w:t>物料</w:t>
            </w:r>
            <w:r>
              <w:rPr>
                <w:rFonts w:hint="eastAsia"/>
                <w:b/>
                <w:bCs/>
                <w:color w:val="auto"/>
                <w:sz w:val="21"/>
                <w:szCs w:val="21"/>
                <w:highlight w:val="none"/>
                <w:u w:val="single"/>
              </w:rPr>
              <w:t>平衡图（</w:t>
            </w:r>
            <w:r>
              <w:rPr>
                <w:rFonts w:hint="eastAsia"/>
                <w:b/>
                <w:bCs/>
                <w:color w:val="auto"/>
                <w:sz w:val="21"/>
                <w:szCs w:val="21"/>
                <w:highlight w:val="none"/>
                <w:u w:val="single"/>
                <w:lang w:val="en-US" w:eastAsia="zh-CN"/>
              </w:rPr>
              <w:t>单位：kg</w:t>
            </w:r>
            <w:r>
              <w:rPr>
                <w:rFonts w:hint="eastAsia"/>
                <w:b/>
                <w:bCs/>
                <w:color w:val="auto"/>
                <w:sz w:val="21"/>
                <w:szCs w:val="21"/>
                <w:highlight w:val="none"/>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11" w:type="dxa"/>
            <w:noWrap w:val="0"/>
            <w:vAlign w:val="center"/>
          </w:tcPr>
          <w:p>
            <w:pPr>
              <w:pStyle w:val="11"/>
              <w:adjustRightInd w:val="0"/>
              <w:snapToGrid w:val="0"/>
              <w:spacing w:before="0" w:beforeAutospacing="0" w:after="0" w:afterAutospacing="0"/>
              <w:jc w:val="center"/>
              <w:rPr>
                <w:rFonts w:hint="eastAsia" w:ascii="宋体" w:hAnsi="宋体" w:eastAsia="宋体" w:cs="宋体"/>
                <w:color w:val="auto"/>
                <w:kern w:val="0"/>
                <w:sz w:val="21"/>
                <w:szCs w:val="21"/>
                <w:u w:val="none"/>
                <w:lang w:val="en-US" w:eastAsia="zh-CN" w:bidi="ar-SA"/>
              </w:rPr>
            </w:pPr>
            <w:r>
              <w:rPr>
                <w:rFonts w:hint="eastAsia" w:cs="宋体"/>
                <w:color w:val="auto"/>
                <w:sz w:val="24"/>
                <w:szCs w:val="24"/>
                <w:u w:val="none"/>
              </w:rPr>
              <w:t>工艺流程和产排污环节</w:t>
            </w:r>
          </w:p>
        </w:tc>
        <w:tc>
          <w:tcPr>
            <w:tcW w:w="7611" w:type="dxa"/>
            <w:noWrap w:val="0"/>
            <w:vAlign w:val="top"/>
          </w:tcPr>
          <w:p>
            <w:pPr>
              <w:keepNext w:val="0"/>
              <w:keepLines w:val="0"/>
              <w:pageBreakBefore w:val="0"/>
              <w:widowControl w:val="0"/>
              <w:kinsoku/>
              <w:wordWrap/>
              <w:topLinePunct w:val="0"/>
              <w:bidi w:val="0"/>
              <w:spacing w:line="360" w:lineRule="auto"/>
              <w:jc w:val="left"/>
              <w:rPr>
                <w:rFonts w:hint="eastAsia"/>
                <w:b/>
                <w:bCs/>
                <w:color w:val="auto"/>
                <w:sz w:val="24"/>
                <w:u w:val="none"/>
              </w:rPr>
            </w:pPr>
            <w:r>
              <w:rPr>
                <w:rFonts w:hint="eastAsia"/>
                <w:b/>
                <w:bCs/>
                <w:color w:val="auto"/>
                <w:sz w:val="24"/>
                <w:u w:val="none"/>
              </w:rPr>
              <w:t>1、工艺流程</w:t>
            </w:r>
          </w:p>
          <w:p>
            <w:pPr>
              <w:keepNext w:val="0"/>
              <w:keepLines w:val="0"/>
              <w:pageBreakBefore w:val="0"/>
              <w:widowControl w:val="0"/>
              <w:kinsoku/>
              <w:wordWrap/>
              <w:topLinePunct w:val="0"/>
              <w:bidi w:val="0"/>
              <w:spacing w:line="360" w:lineRule="auto"/>
              <w:ind w:firstLine="480" w:firstLineChars="200"/>
              <w:rPr>
                <w:rFonts w:hint="eastAsia"/>
                <w:color w:val="auto"/>
                <w:sz w:val="24"/>
                <w:highlight w:val="none"/>
                <w:u w:val="none"/>
              </w:rPr>
            </w:pPr>
            <w:r>
              <w:rPr>
                <w:rFonts w:hint="eastAsia"/>
                <w:color w:val="auto"/>
                <w:sz w:val="24"/>
                <w:highlight w:val="none"/>
                <w:u w:val="none"/>
              </w:rPr>
              <w:t>项目产品包括油性聚氨酯泡绵</w:t>
            </w:r>
            <w:r>
              <w:rPr>
                <w:rFonts w:hint="eastAsia"/>
                <w:color w:val="auto"/>
                <w:sz w:val="24"/>
                <w:highlight w:val="none"/>
                <w:u w:val="none"/>
                <w:lang w:val="en-US" w:eastAsia="zh-CN"/>
              </w:rPr>
              <w:t>和</w:t>
            </w:r>
            <w:r>
              <w:rPr>
                <w:rFonts w:hint="eastAsia"/>
                <w:color w:val="auto"/>
                <w:sz w:val="24"/>
                <w:highlight w:val="none"/>
                <w:u w:val="none"/>
              </w:rPr>
              <w:t>水性聚氨酯泡绵</w:t>
            </w:r>
            <w:r>
              <w:rPr>
                <w:rFonts w:hint="eastAsia"/>
                <w:color w:val="auto"/>
                <w:sz w:val="24"/>
                <w:highlight w:val="none"/>
                <w:u w:val="none"/>
                <w:lang w:val="en-US" w:eastAsia="zh-CN"/>
              </w:rPr>
              <w:t>两</w:t>
            </w:r>
            <w:r>
              <w:rPr>
                <w:rFonts w:hint="eastAsia"/>
                <w:color w:val="auto"/>
                <w:sz w:val="24"/>
                <w:highlight w:val="none"/>
                <w:u w:val="none"/>
              </w:rPr>
              <w:t>类，其生产工艺流程及生产设备装置一致，仅</w:t>
            </w:r>
            <w:r>
              <w:rPr>
                <w:rFonts w:hint="eastAsia"/>
                <w:color w:val="auto"/>
                <w:sz w:val="24"/>
                <w:highlight w:val="none"/>
                <w:u w:val="none"/>
                <w:lang w:val="en-US" w:eastAsia="zh-CN"/>
              </w:rPr>
              <w:t>在发泡时</w:t>
            </w:r>
            <w:r>
              <w:rPr>
                <w:rFonts w:hint="eastAsia"/>
                <w:color w:val="auto"/>
                <w:sz w:val="24"/>
                <w:highlight w:val="none"/>
                <w:u w:val="none"/>
              </w:rPr>
              <w:t>使用的原料种类及其投料配比有所差异，在此不分别叙述。</w:t>
            </w:r>
          </w:p>
          <w:p>
            <w:pPr>
              <w:keepNext w:val="0"/>
              <w:keepLines w:val="0"/>
              <w:pageBreakBefore w:val="0"/>
              <w:widowControl w:val="0"/>
              <w:kinsoku/>
              <w:wordWrap/>
              <w:topLinePunct w:val="0"/>
              <w:bidi w:val="0"/>
              <w:spacing w:line="360" w:lineRule="auto"/>
              <w:ind w:firstLine="480" w:firstLineChars="200"/>
              <w:rPr>
                <w:rFonts w:hint="eastAsia"/>
                <w:color w:val="auto"/>
                <w:sz w:val="24"/>
                <w:highlight w:val="none"/>
                <w:u w:val="none"/>
              </w:rPr>
            </w:pPr>
            <w:r>
              <w:rPr>
                <w:rFonts w:hint="eastAsia"/>
                <w:color w:val="auto"/>
                <w:sz w:val="24"/>
                <w:highlight w:val="none"/>
                <w:u w:val="none"/>
              </w:rPr>
              <w:t>项目产品的生产工艺流程及其主要产污环节详见下图。</w:t>
            </w:r>
          </w:p>
          <w:p>
            <w:pPr>
              <w:keepNext w:val="0"/>
              <w:keepLines w:val="0"/>
              <w:pageBreakBefore w:val="0"/>
              <w:widowControl w:val="0"/>
              <w:kinsoku/>
              <w:wordWrap/>
              <w:topLinePunct w:val="0"/>
              <w:bidi w:val="0"/>
              <w:jc w:val="center"/>
              <w:rPr>
                <w:rFonts w:hint="eastAsia"/>
                <w:b/>
                <w:bCs/>
                <w:color w:val="auto"/>
                <w:highlight w:val="none"/>
                <w:u w:val="none"/>
                <w:lang w:val="en-US" w:eastAsia="zh-CN"/>
              </w:rPr>
            </w:pPr>
            <w:r>
              <w:rPr>
                <w:sz w:val="24"/>
                <w:highlight w:val="none"/>
              </w:rPr>
              <w:drawing>
                <wp:anchor distT="0" distB="0" distL="114300" distR="114300" simplePos="0" relativeHeight="251663360" behindDoc="0" locked="0" layoutInCell="1" allowOverlap="1">
                  <wp:simplePos x="0" y="0"/>
                  <wp:positionH relativeFrom="column">
                    <wp:posOffset>735330</wp:posOffset>
                  </wp:positionH>
                  <wp:positionV relativeFrom="paragraph">
                    <wp:posOffset>93345</wp:posOffset>
                  </wp:positionV>
                  <wp:extent cx="3225165" cy="4369435"/>
                  <wp:effectExtent l="0" t="0" r="0" b="0"/>
                  <wp:wrapTopAndBottom/>
                  <wp:docPr id="19" name="图片 19"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命名文件1"/>
                          <pic:cNvPicPr>
                            <a:picLocks noChangeAspect="1"/>
                          </pic:cNvPicPr>
                        </pic:nvPicPr>
                        <pic:blipFill>
                          <a:blip r:embed="rId13"/>
                          <a:srcRect t="2094" b="1857"/>
                          <a:stretch>
                            <a:fillRect/>
                          </a:stretch>
                        </pic:blipFill>
                        <pic:spPr>
                          <a:xfrm>
                            <a:off x="0" y="0"/>
                            <a:ext cx="3225165" cy="4369435"/>
                          </a:xfrm>
                          <a:prstGeom prst="rect">
                            <a:avLst/>
                          </a:prstGeom>
                        </pic:spPr>
                      </pic:pic>
                    </a:graphicData>
                  </a:graphic>
                </wp:anchor>
              </w:drawing>
            </w: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589280</wp:posOffset>
                      </wp:positionH>
                      <wp:positionV relativeFrom="paragraph">
                        <wp:posOffset>3126105</wp:posOffset>
                      </wp:positionV>
                      <wp:extent cx="773430" cy="1068070"/>
                      <wp:effectExtent l="4445" t="4445" r="22225" b="13335"/>
                      <wp:wrapNone/>
                      <wp:docPr id="4" name="文本框 4"/>
                      <wp:cNvGraphicFramePr/>
                      <a:graphic xmlns:a="http://schemas.openxmlformats.org/drawingml/2006/main">
                        <a:graphicData uri="http://schemas.microsoft.com/office/word/2010/wordprocessingShape">
                          <wps:wsp>
                            <wps:cNvSpPr txBox="1"/>
                            <wps:spPr>
                              <a:xfrm>
                                <a:off x="2441575" y="3939540"/>
                                <a:ext cx="773430" cy="10680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图例：</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W废水</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G废气</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S固废</w:t>
                                  </w:r>
                                </w:p>
                                <w:p>
                                  <w:pPr>
                                    <w:keepNext w:val="0"/>
                                    <w:keepLines w:val="0"/>
                                    <w:pageBreakBefore w:val="0"/>
                                    <w:widowControl w:val="0"/>
                                    <w:kinsoku/>
                                    <w:wordWrap/>
                                    <w:topLinePunct w:val="0"/>
                                    <w:bidi w:val="0"/>
                                    <w:jc w:val="left"/>
                                    <w:rPr>
                                      <w:rFonts w:hint="default"/>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N噪声</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pt;margin-top:246.15pt;height:84.1pt;width:60.9pt;z-index:251662336;mso-width-relative:page;mso-height-relative:page;" filled="f" stroked="t" coordsize="21600,21600" o:gfxdata="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Rlb/dsAAAAKAQAADwAAAAAAAAABACAAAAAiAAAAZHJzL2Rvd25yZXYueG1sUEsBAhQAFAAA&#10;AAgAh07iQIDD7AleAgAAmgQAAA4AAAAAAAAAAQAgAAAAKgEAAGRycy9lMm9Eb2MueG1sUEsFBgAA&#10;AAAGAAYAWQEAAPoFAAAAAA==&#10;">
                      <v:fill on="f" focussize="0,0"/>
                      <v:stroke weight="0.5pt" color="#000000 [3204]" joinstyle="round"/>
                      <v:imagedata o:title=""/>
                      <o:lock v:ext="edit" aspectratio="f"/>
                      <v:textbox>
                        <w:txbxContent>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图例：</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W废水</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G废气</w:t>
                            </w:r>
                          </w:p>
                          <w:p>
                            <w:pPr>
                              <w:keepNext w:val="0"/>
                              <w:keepLines w:val="0"/>
                              <w:pageBreakBefore w:val="0"/>
                              <w:widowControl w:val="0"/>
                              <w:kinsoku/>
                              <w:wordWrap/>
                              <w:topLinePunct w:val="0"/>
                              <w:bidi w:val="0"/>
                              <w:jc w:val="left"/>
                              <w:rPr>
                                <w:rFonts w:hint="eastAsia"/>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S固废</w:t>
                            </w:r>
                          </w:p>
                          <w:p>
                            <w:pPr>
                              <w:keepNext w:val="0"/>
                              <w:keepLines w:val="0"/>
                              <w:pageBreakBefore w:val="0"/>
                              <w:widowControl w:val="0"/>
                              <w:kinsoku/>
                              <w:wordWrap/>
                              <w:topLinePunct w:val="0"/>
                              <w:bidi w:val="0"/>
                              <w:jc w:val="left"/>
                              <w:rPr>
                                <w:rFonts w:hint="default"/>
                                <w:b w:val="0"/>
                                <w:bCs w:val="0"/>
                                <w:color w:val="auto"/>
                                <w:sz w:val="20"/>
                                <w:szCs w:val="22"/>
                                <w:highlight w:val="none"/>
                                <w:u w:val="none"/>
                                <w:lang w:val="en-US" w:eastAsia="zh-CN"/>
                              </w:rPr>
                            </w:pPr>
                            <w:r>
                              <w:rPr>
                                <w:rFonts w:hint="eastAsia"/>
                                <w:b w:val="0"/>
                                <w:bCs w:val="0"/>
                                <w:color w:val="auto"/>
                                <w:sz w:val="20"/>
                                <w:szCs w:val="22"/>
                                <w:highlight w:val="none"/>
                                <w:u w:val="none"/>
                                <w:lang w:val="en-US" w:eastAsia="zh-CN"/>
                              </w:rPr>
                              <w:t>N噪声</w:t>
                            </w:r>
                          </w:p>
                          <w:p>
                            <w:pPr>
                              <w:rPr>
                                <w:sz w:val="20"/>
                                <w:szCs w:val="22"/>
                              </w:rPr>
                            </w:pPr>
                          </w:p>
                        </w:txbxContent>
                      </v:textbox>
                    </v:shape>
                  </w:pict>
                </mc:Fallback>
              </mc:AlternateContent>
            </w:r>
            <w:r>
              <w:rPr>
                <w:rFonts w:hint="eastAsia"/>
                <w:b/>
                <w:bCs/>
                <w:color w:val="auto"/>
                <w:highlight w:val="none"/>
                <w:u w:val="none"/>
                <w:lang w:val="en-US" w:eastAsia="zh-CN"/>
              </w:rPr>
              <w:t>图2-2 生产工艺流程及产污环节</w:t>
            </w:r>
          </w:p>
          <w:p>
            <w:pPr>
              <w:keepNext w:val="0"/>
              <w:keepLines w:val="0"/>
              <w:pageBreakBefore w:val="0"/>
              <w:widowControl w:val="0"/>
              <w:kinsoku/>
              <w:wordWrap/>
              <w:topLinePunct w:val="0"/>
              <w:bidi w:val="0"/>
              <w:spacing w:line="360" w:lineRule="auto"/>
              <w:rPr>
                <w:rFonts w:hint="eastAsia"/>
                <w:b/>
                <w:bCs/>
                <w:color w:val="auto"/>
                <w:sz w:val="24"/>
                <w:highlight w:val="none"/>
                <w:u w:val="none"/>
              </w:rPr>
            </w:pPr>
            <w:r>
              <w:rPr>
                <w:rFonts w:hint="eastAsia"/>
                <w:b/>
                <w:bCs/>
                <w:color w:val="auto"/>
                <w:sz w:val="24"/>
                <w:highlight w:val="none"/>
                <w:u w:val="none"/>
                <w:lang w:val="en-US" w:eastAsia="zh-CN"/>
              </w:rPr>
              <w:t>1、</w:t>
            </w:r>
            <w:r>
              <w:rPr>
                <w:rFonts w:hint="eastAsia"/>
                <w:b/>
                <w:bCs/>
                <w:color w:val="auto"/>
                <w:sz w:val="24"/>
                <w:highlight w:val="none"/>
                <w:u w:val="none"/>
              </w:rPr>
              <w:t>生产工艺简述：</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进料检验</w:t>
            </w:r>
            <w:r>
              <w:rPr>
                <w:rFonts w:hint="eastAsia"/>
                <w:b w:val="0"/>
                <w:bCs w:val="0"/>
                <w:color w:val="auto"/>
                <w:sz w:val="24"/>
                <w:highlight w:val="none"/>
                <w:u w:val="none"/>
              </w:rPr>
              <w:t>：检测分析原料中羟值，水分，异氰酸酯含量%等。</w:t>
            </w:r>
            <w:r>
              <w:rPr>
                <w:rFonts w:hint="eastAsia"/>
                <w:color w:val="auto"/>
                <w:sz w:val="24"/>
                <w:highlight w:val="none"/>
                <w:u w:val="none"/>
              </w:rPr>
              <w:t>该过程</w:t>
            </w:r>
            <w:r>
              <w:rPr>
                <w:rFonts w:hint="eastAsia"/>
                <w:color w:val="auto"/>
                <w:sz w:val="24"/>
                <w:highlight w:val="none"/>
                <w:u w:val="none"/>
                <w:lang w:eastAsia="zh-CN"/>
              </w:rPr>
              <w:t>有少量</w:t>
            </w:r>
            <w:r>
              <w:rPr>
                <w:rFonts w:hint="eastAsia"/>
                <w:color w:val="auto"/>
                <w:sz w:val="24"/>
                <w:highlight w:val="none"/>
                <w:u w:val="none"/>
              </w:rPr>
              <w:t>挥发性气体</w:t>
            </w:r>
            <w:r>
              <w:rPr>
                <w:rFonts w:hint="eastAsia"/>
                <w:color w:val="auto"/>
                <w:sz w:val="24"/>
                <w:highlight w:val="none"/>
                <w:u w:val="none"/>
                <w:lang w:eastAsia="zh-CN"/>
              </w:rPr>
              <w:t>产生（</w:t>
            </w:r>
            <w:r>
              <w:rPr>
                <w:rFonts w:hint="eastAsia"/>
                <w:color w:val="auto"/>
                <w:sz w:val="24"/>
                <w:highlight w:val="none"/>
                <w:u w:val="none"/>
                <w:lang w:val="en-US" w:eastAsia="zh-CN"/>
              </w:rPr>
              <w:t>G1</w:t>
            </w:r>
            <w:r>
              <w:rPr>
                <w:rFonts w:hint="eastAsia"/>
                <w:color w:val="auto"/>
                <w:sz w:val="24"/>
                <w:highlight w:val="none"/>
                <w:u w:val="none"/>
                <w:lang w:eastAsia="zh-CN"/>
              </w:rPr>
              <w:t>），原料包装桶（</w:t>
            </w:r>
            <w:r>
              <w:rPr>
                <w:rFonts w:hint="eastAsia"/>
                <w:color w:val="auto"/>
                <w:sz w:val="24"/>
                <w:highlight w:val="none"/>
                <w:u w:val="none"/>
              </w:rPr>
              <w:t>S1</w:t>
            </w:r>
            <w:r>
              <w:rPr>
                <w:rFonts w:hint="eastAsia"/>
                <w:color w:val="auto"/>
                <w:sz w:val="24"/>
                <w:highlight w:val="none"/>
                <w:u w:val="none"/>
                <w:lang w:eastAsia="zh-CN"/>
              </w:rPr>
              <w:t>）。</w:t>
            </w:r>
          </w:p>
          <w:p>
            <w:pPr>
              <w:keepNext w:val="0"/>
              <w:keepLines w:val="0"/>
              <w:pageBreakBefore w:val="0"/>
              <w:widowControl w:val="0"/>
              <w:kinsoku/>
              <w:wordWrap/>
              <w:topLinePunct w:val="0"/>
              <w:bidi w:val="0"/>
              <w:spacing w:line="360" w:lineRule="auto"/>
              <w:ind w:firstLine="482" w:firstLineChars="200"/>
              <w:rPr>
                <w:rFonts w:hint="eastAsia"/>
                <w:color w:val="auto"/>
                <w:sz w:val="24"/>
                <w:highlight w:val="none"/>
                <w:u w:val="none"/>
              </w:rPr>
            </w:pPr>
            <w:r>
              <w:rPr>
                <w:rFonts w:hint="eastAsia"/>
                <w:b/>
                <w:bCs/>
                <w:color w:val="auto"/>
                <w:sz w:val="24"/>
                <w:highlight w:val="none"/>
                <w:u w:val="none"/>
              </w:rPr>
              <w:t>发泡、搅拌</w:t>
            </w:r>
            <w:r>
              <w:rPr>
                <w:rFonts w:hint="eastAsia"/>
                <w:b w:val="0"/>
                <w:bCs w:val="0"/>
                <w:color w:val="auto"/>
                <w:sz w:val="24"/>
                <w:highlight w:val="none"/>
                <w:u w:val="none"/>
              </w:rPr>
              <w:t>：将</w:t>
            </w:r>
            <w:r>
              <w:rPr>
                <w:rFonts w:hint="eastAsia"/>
                <w:b w:val="0"/>
                <w:bCs w:val="0"/>
                <w:color w:val="auto"/>
                <w:sz w:val="24"/>
                <w:highlight w:val="none"/>
                <w:u w:val="none"/>
                <w:lang w:val="en-US" w:eastAsia="zh-CN"/>
              </w:rPr>
              <w:t>聚氨酯预聚体（异氰酸酯）和原料</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生产</w:t>
            </w:r>
            <w:r>
              <w:rPr>
                <w:rFonts w:hint="eastAsia"/>
                <w:b w:val="0"/>
                <w:bCs w:val="0"/>
                <w:color w:val="auto"/>
                <w:sz w:val="24"/>
                <w:highlight w:val="none"/>
                <w:u w:val="none"/>
                <w:lang w:eastAsia="zh-CN"/>
              </w:rPr>
              <w:t>水性聚氨酯泡绵使用</w:t>
            </w:r>
            <w:r>
              <w:rPr>
                <w:rFonts w:hint="eastAsia"/>
                <w:b w:val="0"/>
                <w:bCs w:val="0"/>
                <w:color w:val="auto"/>
                <w:sz w:val="24"/>
                <w:highlight w:val="none"/>
                <w:u w:val="none"/>
                <w:lang w:val="en-US" w:eastAsia="zh-CN"/>
              </w:rPr>
              <w:t>原料</w:t>
            </w:r>
            <w:r>
              <w:rPr>
                <w:rFonts w:hint="eastAsia"/>
                <w:b w:val="0"/>
                <w:bCs w:val="0"/>
                <w:color w:val="auto"/>
                <w:sz w:val="24"/>
                <w:highlight w:val="none"/>
                <w:u w:val="none"/>
                <w:lang w:eastAsia="zh-CN"/>
              </w:rPr>
              <w:t>：水性聚氨酯树脂、有机改性磷酸酯、增稠剂、丙二醇</w:t>
            </w:r>
            <w:r>
              <w:rPr>
                <w:rFonts w:hint="eastAsia"/>
                <w:b w:val="0"/>
                <w:bCs w:val="0"/>
                <w:color w:val="auto"/>
                <w:sz w:val="24"/>
                <w:highlight w:val="none"/>
                <w:u w:val="none"/>
                <w:lang w:val="en-US" w:eastAsia="zh-CN"/>
              </w:rPr>
              <w:t>、色膏</w:t>
            </w:r>
            <w:r>
              <w:rPr>
                <w:rFonts w:hint="eastAsia"/>
                <w:b w:val="0"/>
                <w:bCs w:val="0"/>
                <w:color w:val="auto"/>
                <w:sz w:val="24"/>
                <w:highlight w:val="none"/>
                <w:u w:val="none"/>
                <w:lang w:eastAsia="zh-CN"/>
              </w:rPr>
              <w:t>，</w:t>
            </w:r>
            <w:r>
              <w:rPr>
                <w:rFonts w:hint="eastAsia"/>
                <w:b w:val="0"/>
                <w:bCs w:val="0"/>
                <w:color w:val="auto"/>
                <w:sz w:val="24"/>
                <w:highlight w:val="none"/>
                <w:u w:val="none"/>
                <w:lang w:val="en-US" w:eastAsia="zh-CN"/>
              </w:rPr>
              <w:t>生产</w:t>
            </w:r>
            <w:r>
              <w:rPr>
                <w:rFonts w:hint="eastAsia"/>
                <w:b w:val="0"/>
                <w:bCs w:val="0"/>
                <w:color w:val="auto"/>
                <w:sz w:val="24"/>
                <w:highlight w:val="none"/>
                <w:u w:val="none"/>
                <w:lang w:eastAsia="zh-CN"/>
              </w:rPr>
              <w:t>油性聚氨酯泡绵使用</w:t>
            </w:r>
            <w:r>
              <w:rPr>
                <w:rFonts w:hint="eastAsia"/>
                <w:b w:val="0"/>
                <w:bCs w:val="0"/>
                <w:color w:val="auto"/>
                <w:sz w:val="24"/>
                <w:highlight w:val="none"/>
                <w:u w:val="none"/>
                <w:lang w:val="en-US" w:eastAsia="zh-CN"/>
              </w:rPr>
              <w:t>原料</w:t>
            </w:r>
            <w:r>
              <w:rPr>
                <w:rFonts w:hint="eastAsia"/>
                <w:b w:val="0"/>
                <w:bCs w:val="0"/>
                <w:color w:val="auto"/>
                <w:sz w:val="24"/>
                <w:highlight w:val="none"/>
                <w:u w:val="none"/>
                <w:lang w:eastAsia="zh-CN"/>
              </w:rPr>
              <w:t>：异氰酸酯、聚醚多元醇、催化剂</w:t>
            </w:r>
            <w:r>
              <w:rPr>
                <w:rFonts w:hint="eastAsia"/>
                <w:b w:val="0"/>
                <w:bCs w:val="0"/>
                <w:color w:val="auto"/>
                <w:sz w:val="24"/>
                <w:highlight w:val="none"/>
                <w:u w:val="none"/>
                <w:lang w:val="en-US" w:eastAsia="zh-CN"/>
              </w:rPr>
              <w:t>、色膏</w:t>
            </w:r>
            <w:r>
              <w:rPr>
                <w:rFonts w:hint="eastAsia"/>
                <w:b w:val="0"/>
                <w:bCs w:val="0"/>
                <w:color w:val="auto"/>
                <w:sz w:val="24"/>
                <w:highlight w:val="none"/>
                <w:u w:val="none"/>
                <w:lang w:eastAsia="zh-CN"/>
              </w:rPr>
              <w:t>）</w:t>
            </w:r>
            <w:r>
              <w:rPr>
                <w:rFonts w:hint="eastAsia"/>
                <w:b w:val="0"/>
                <w:bCs w:val="0"/>
                <w:color w:val="auto"/>
                <w:sz w:val="24"/>
                <w:highlight w:val="none"/>
                <w:u w:val="none"/>
              </w:rPr>
              <w:t>按比例混合搅拌</w:t>
            </w:r>
            <w:r>
              <w:rPr>
                <w:rFonts w:hint="eastAsia"/>
                <w:b w:val="0"/>
                <w:bCs w:val="0"/>
                <w:color w:val="auto"/>
                <w:sz w:val="24"/>
                <w:highlight w:val="none"/>
                <w:u w:val="none"/>
                <w:lang w:eastAsia="zh-CN"/>
              </w:rPr>
              <w:t>。</w:t>
            </w:r>
            <w:r>
              <w:rPr>
                <w:rFonts w:hint="eastAsia"/>
                <w:b w:val="0"/>
                <w:bCs w:val="0"/>
                <w:color w:val="auto"/>
                <w:sz w:val="24"/>
                <w:highlight w:val="none"/>
                <w:u w:val="none"/>
              </w:rPr>
              <w:t>搅拌均匀</w:t>
            </w:r>
            <w:r>
              <w:rPr>
                <w:rFonts w:hint="eastAsia"/>
                <w:b w:val="0"/>
                <w:bCs w:val="0"/>
                <w:color w:val="auto"/>
                <w:sz w:val="24"/>
                <w:highlight w:val="none"/>
                <w:u w:val="none"/>
                <w:lang w:val="en-US" w:eastAsia="zh-CN"/>
              </w:rPr>
              <w:t>后对</w:t>
            </w:r>
            <w:r>
              <w:rPr>
                <w:rFonts w:hint="eastAsia"/>
                <w:b w:val="0"/>
                <w:bCs w:val="0"/>
                <w:color w:val="auto"/>
                <w:sz w:val="24"/>
                <w:highlight w:val="none"/>
                <w:u w:val="none"/>
              </w:rPr>
              <w:t>原料进行发泡，发泡过程中加入氮气，氮气作为发泡剂，本项目发泡是</w:t>
            </w:r>
            <w:r>
              <w:rPr>
                <w:rFonts w:hint="eastAsia"/>
                <w:b w:val="0"/>
                <w:bCs w:val="0"/>
                <w:color w:val="auto"/>
                <w:sz w:val="24"/>
                <w:highlight w:val="none"/>
                <w:u w:val="none"/>
                <w:lang w:val="en-US" w:eastAsia="zh-CN"/>
              </w:rPr>
              <w:t>采用</w:t>
            </w:r>
            <w:r>
              <w:rPr>
                <w:rFonts w:hint="eastAsia"/>
                <w:b w:val="0"/>
                <w:bCs w:val="0"/>
                <w:color w:val="auto"/>
                <w:sz w:val="24"/>
                <w:highlight w:val="none"/>
                <w:u w:val="none"/>
              </w:rPr>
              <w:t>搅拌的方式进行反应，形成蜂窝状或多孔状结构。发泡成型的基本步骤是形成泡核、泡核生长或扩大以及泡核的稳定。在给定的温度与压力条件下，气体的溶解度下降，以致达到饱和状态，使多余的气体排除并形成气泡，从而实现成核。</w:t>
            </w:r>
            <w:r>
              <w:rPr>
                <w:rFonts w:hint="eastAsia"/>
                <w:color w:val="auto"/>
                <w:sz w:val="24"/>
                <w:highlight w:val="none"/>
                <w:u w:val="none"/>
              </w:rPr>
              <w:t>在该发泡、搅拌过程中，</w:t>
            </w:r>
            <w:r>
              <w:rPr>
                <w:rFonts w:hint="eastAsia"/>
                <w:color w:val="auto"/>
                <w:sz w:val="24"/>
                <w:highlight w:val="none"/>
                <w:u w:val="none"/>
                <w:lang w:val="en-US" w:eastAsia="zh-CN"/>
              </w:rPr>
              <w:t>会产生挥发性气体（G2）</w:t>
            </w:r>
            <w:r>
              <w:rPr>
                <w:rFonts w:hint="eastAsia"/>
                <w:color w:val="auto"/>
                <w:sz w:val="24"/>
                <w:highlight w:val="none"/>
                <w:u w:val="none"/>
                <w:lang w:eastAsia="zh-CN"/>
              </w:rPr>
              <w:t>，</w:t>
            </w:r>
            <w:r>
              <w:rPr>
                <w:rFonts w:hint="eastAsia"/>
                <w:color w:val="auto"/>
                <w:sz w:val="24"/>
                <w:highlight w:val="none"/>
                <w:u w:val="none"/>
              </w:rPr>
              <w:t>还有机械噪声产生（N）。</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涂布</w:t>
            </w:r>
            <w:r>
              <w:rPr>
                <w:rFonts w:hint="eastAsia"/>
                <w:b w:val="0"/>
                <w:bCs w:val="0"/>
                <w:color w:val="auto"/>
                <w:sz w:val="24"/>
                <w:highlight w:val="none"/>
                <w:u w:val="none"/>
              </w:rPr>
              <w:t>：将发泡好的聚氨酯弹性体涂布于PET等基材上。</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熟化</w:t>
            </w:r>
            <w:r>
              <w:rPr>
                <w:rFonts w:hint="eastAsia"/>
                <w:b w:val="0"/>
                <w:bCs w:val="0"/>
                <w:color w:val="auto"/>
                <w:sz w:val="24"/>
                <w:highlight w:val="none"/>
                <w:u w:val="none"/>
              </w:rPr>
              <w:t>：熟化的主要目的是让聚氨酯泡沫塑料的反应主剂在一定时间内充分反应，使泡沫塑料稳定并达到最佳复合强度。由于项目使用特殊催化剂，放映速率较差，故需要在发泡后再进行加热熟化。</w:t>
            </w:r>
            <w:r>
              <w:rPr>
                <w:rFonts w:hint="eastAsia"/>
                <w:color w:val="auto"/>
                <w:sz w:val="24"/>
                <w:highlight w:val="none"/>
                <w:u w:val="none"/>
              </w:rPr>
              <w:t>在该过程中，</w:t>
            </w:r>
            <w:r>
              <w:rPr>
                <w:rFonts w:hint="eastAsia"/>
                <w:color w:val="auto"/>
                <w:sz w:val="24"/>
                <w:highlight w:val="none"/>
                <w:u w:val="none"/>
                <w:lang w:val="en-US" w:eastAsia="zh-CN"/>
              </w:rPr>
              <w:t>会产生挥发性气体（G3）</w:t>
            </w:r>
            <w:r>
              <w:rPr>
                <w:rFonts w:hint="eastAsia"/>
                <w:color w:val="auto"/>
                <w:sz w:val="24"/>
                <w:highlight w:val="none"/>
                <w:u w:val="none"/>
              </w:rPr>
              <w:t>。</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lang w:val="en-US" w:eastAsia="zh-CN"/>
              </w:rPr>
              <w:t>印刷：</w:t>
            </w:r>
            <w:r>
              <w:rPr>
                <w:rFonts w:hint="eastAsia"/>
                <w:b w:val="0"/>
                <w:bCs w:val="0"/>
                <w:color w:val="auto"/>
                <w:sz w:val="24"/>
                <w:highlight w:val="none"/>
                <w:u w:val="none"/>
                <w:lang w:val="en-US" w:eastAsia="zh-CN"/>
              </w:rPr>
              <w:t>熟化后对半成品上印刷。</w:t>
            </w:r>
            <w:r>
              <w:rPr>
                <w:rFonts w:hint="eastAsia"/>
                <w:color w:val="auto"/>
                <w:sz w:val="24"/>
                <w:highlight w:val="none"/>
                <w:u w:val="none"/>
              </w:rPr>
              <w:t>在该过程中，</w:t>
            </w:r>
            <w:r>
              <w:rPr>
                <w:rFonts w:hint="eastAsia"/>
                <w:color w:val="auto"/>
                <w:sz w:val="24"/>
                <w:highlight w:val="none"/>
                <w:u w:val="none"/>
                <w:lang w:val="en-US" w:eastAsia="zh-CN"/>
              </w:rPr>
              <w:t>会产生挥发性气体（G4）</w:t>
            </w:r>
            <w:r>
              <w:rPr>
                <w:rFonts w:hint="eastAsia"/>
                <w:color w:val="auto"/>
                <w:sz w:val="24"/>
                <w:highlight w:val="none"/>
                <w:u w:val="none"/>
                <w:lang w:eastAsia="zh-CN"/>
              </w:rPr>
              <w:t>，</w:t>
            </w:r>
            <w:r>
              <w:rPr>
                <w:rFonts w:hint="eastAsia"/>
                <w:color w:val="auto"/>
                <w:sz w:val="24"/>
                <w:highlight w:val="none"/>
                <w:u w:val="none"/>
                <w:lang w:val="en-US" w:eastAsia="zh-CN"/>
              </w:rPr>
              <w:t>印刷机清洗废水（W1）</w:t>
            </w:r>
            <w:r>
              <w:rPr>
                <w:rFonts w:hint="eastAsia"/>
                <w:color w:val="auto"/>
                <w:sz w:val="24"/>
                <w:highlight w:val="none"/>
                <w:u w:val="none"/>
                <w:lang w:eastAsia="zh-CN"/>
              </w:rPr>
              <w:t>，</w:t>
            </w:r>
            <w:r>
              <w:rPr>
                <w:rFonts w:hint="eastAsia"/>
                <w:color w:val="auto"/>
                <w:sz w:val="24"/>
                <w:highlight w:val="none"/>
                <w:u w:val="none"/>
              </w:rPr>
              <w:t>还有机械噪声产生（N）。</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分切</w:t>
            </w:r>
            <w:r>
              <w:rPr>
                <w:rFonts w:hint="eastAsia"/>
                <w:b w:val="0"/>
                <w:bCs w:val="0"/>
                <w:color w:val="auto"/>
                <w:sz w:val="24"/>
                <w:highlight w:val="none"/>
                <w:u w:val="none"/>
              </w:rPr>
              <w:t>：客户需要各种宽度的泡绵，故需要将熟化好的泡绵按客户需求分切成不同宽度的尺寸。</w:t>
            </w:r>
            <w:r>
              <w:rPr>
                <w:rFonts w:hint="eastAsia"/>
                <w:color w:val="auto"/>
                <w:sz w:val="24"/>
                <w:highlight w:val="none"/>
                <w:u w:val="none"/>
              </w:rPr>
              <w:t>该过程中会有废边角料、噪声产生（S</w:t>
            </w:r>
            <w:r>
              <w:rPr>
                <w:rFonts w:hint="eastAsia"/>
                <w:color w:val="auto"/>
                <w:sz w:val="24"/>
                <w:highlight w:val="none"/>
                <w:u w:val="none"/>
                <w:lang w:val="en-US" w:eastAsia="zh-CN"/>
              </w:rPr>
              <w:t>2</w:t>
            </w:r>
            <w:r>
              <w:rPr>
                <w:rFonts w:hint="eastAsia"/>
                <w:color w:val="auto"/>
                <w:sz w:val="24"/>
                <w:highlight w:val="none"/>
                <w:u w:val="none"/>
              </w:rPr>
              <w:t>、N）。</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检验</w:t>
            </w:r>
            <w:r>
              <w:rPr>
                <w:rFonts w:hint="eastAsia"/>
                <w:b w:val="0"/>
                <w:bCs w:val="0"/>
                <w:color w:val="auto"/>
                <w:sz w:val="24"/>
                <w:highlight w:val="none"/>
                <w:u w:val="none"/>
              </w:rPr>
              <w:t>：对成品进行检验。</w:t>
            </w:r>
          </w:p>
          <w:p>
            <w:pPr>
              <w:keepNext w:val="0"/>
              <w:keepLines w:val="0"/>
              <w:pageBreakBefore w:val="0"/>
              <w:widowControl w:val="0"/>
              <w:kinsoku/>
              <w:wordWrap/>
              <w:topLinePunct w:val="0"/>
              <w:bidi w:val="0"/>
              <w:spacing w:line="360" w:lineRule="auto"/>
              <w:ind w:firstLine="482" w:firstLineChars="200"/>
              <w:rPr>
                <w:rFonts w:hint="eastAsia"/>
                <w:b w:val="0"/>
                <w:bCs w:val="0"/>
                <w:color w:val="auto"/>
                <w:sz w:val="24"/>
                <w:highlight w:val="none"/>
                <w:u w:val="none"/>
              </w:rPr>
            </w:pPr>
            <w:r>
              <w:rPr>
                <w:rFonts w:hint="eastAsia"/>
                <w:b/>
                <w:bCs/>
                <w:color w:val="auto"/>
                <w:sz w:val="24"/>
                <w:highlight w:val="none"/>
                <w:u w:val="none"/>
              </w:rPr>
              <w:t>入库包装</w:t>
            </w:r>
            <w:r>
              <w:rPr>
                <w:rFonts w:hint="eastAsia"/>
                <w:b w:val="0"/>
                <w:bCs w:val="0"/>
                <w:color w:val="auto"/>
                <w:sz w:val="24"/>
                <w:highlight w:val="none"/>
                <w:u w:val="none"/>
              </w:rPr>
              <w:t>：将成品包装入库待售。</w:t>
            </w:r>
          </w:p>
          <w:p>
            <w:pPr>
              <w:pStyle w:val="31"/>
              <w:keepNext w:val="0"/>
              <w:keepLines w:val="0"/>
              <w:pageBreakBefore w:val="0"/>
              <w:widowControl w:val="0"/>
              <w:numPr>
                <w:ilvl w:val="0"/>
                <w:numId w:val="1"/>
              </w:numPr>
              <w:kinsoku/>
              <w:wordWrap/>
              <w:topLinePunct w:val="0"/>
              <w:bidi w:val="0"/>
              <w:ind w:firstLine="0" w:firstLineChars="0"/>
              <w:rPr>
                <w:rFonts w:hint="eastAsia"/>
                <w:b/>
                <w:bCs/>
                <w:color w:val="auto"/>
                <w:szCs w:val="24"/>
                <w:highlight w:val="none"/>
                <w:u w:val="none"/>
              </w:rPr>
            </w:pPr>
            <w:r>
              <w:rPr>
                <w:rFonts w:hint="eastAsia"/>
                <w:b/>
                <w:bCs/>
                <w:color w:val="auto"/>
                <w:szCs w:val="24"/>
                <w:highlight w:val="none"/>
                <w:u w:val="none"/>
                <w:lang w:val="en-US" w:eastAsia="zh-CN"/>
              </w:rPr>
              <w:t>主要反应机理</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聚氨酯泡沫的形成是一个逐步加成聚合的过程，主要是凝胶反应和交联反应，主要反应如下：</w:t>
            </w:r>
          </w:p>
          <w:p>
            <w:pPr>
              <w:pStyle w:val="31"/>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多元醇与异氰酸酯反应：</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drawing>
                <wp:inline distT="0" distB="0" distL="114300" distR="114300">
                  <wp:extent cx="3006090" cy="659765"/>
                  <wp:effectExtent l="0" t="0" r="3810" b="698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rcRect t="13344"/>
                          <a:stretch>
                            <a:fillRect/>
                          </a:stretch>
                        </pic:blipFill>
                        <pic:spPr>
                          <a:xfrm>
                            <a:off x="0" y="0"/>
                            <a:ext cx="3006090" cy="659765"/>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上述（1）为凝胶反应，反应产生聚氨基甲酸酯，聚氨基甲酸酯是泡沫塑料的主要成分，含有数量众多的氨基甲酸酯基团（-NHCOO-）链节的高分子聚合物。</w:t>
            </w:r>
          </w:p>
          <w:p>
            <w:pPr>
              <w:pStyle w:val="31"/>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异氰酸酯与氨基甲酸酯（-NHCOO-）进一步反应：</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drawing>
                <wp:inline distT="0" distB="0" distL="114300" distR="114300">
                  <wp:extent cx="3124200" cy="709930"/>
                  <wp:effectExtent l="0" t="0" r="0" b="44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3124200" cy="709930"/>
                          </a:xfrm>
                          <a:prstGeom prst="rect">
                            <a:avLst/>
                          </a:prstGeom>
                          <a:noFill/>
                          <a:ln>
                            <a:noFill/>
                          </a:ln>
                        </pic:spPr>
                      </pic:pic>
                    </a:graphicData>
                  </a:graphic>
                </wp:inline>
              </w:drawing>
            </w:r>
          </w:p>
          <w:p>
            <w:pPr>
              <w:pStyle w:val="31"/>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异氰酸酯与脲基（-NHCONH-）进一步反应：</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drawing>
                <wp:inline distT="0" distB="0" distL="114300" distR="114300">
                  <wp:extent cx="3447415" cy="762635"/>
                  <wp:effectExtent l="0" t="0" r="635"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rcRect l="5758" t="10065" b="4007"/>
                          <a:stretch>
                            <a:fillRect/>
                          </a:stretch>
                        </pic:blipFill>
                        <pic:spPr>
                          <a:xfrm>
                            <a:off x="0" y="0"/>
                            <a:ext cx="3447415" cy="762635"/>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上</w:t>
            </w:r>
            <w:r>
              <w:rPr>
                <w:rFonts w:hint="default" w:ascii="Times New Roman" w:hAnsi="Times New Roman" w:eastAsia="宋体" w:cs="Times New Roman"/>
                <w:b w:val="0"/>
                <w:bCs w:val="0"/>
                <w:color w:val="auto"/>
                <w:kern w:val="2"/>
                <w:sz w:val="24"/>
                <w:szCs w:val="24"/>
                <w:highlight w:val="none"/>
                <w:u w:val="none"/>
                <w:lang w:val="en-US" w:eastAsia="zh-CN" w:bidi="ar-SA"/>
              </w:rPr>
              <w:t>述（2）、（3）属于交联反应，在聚氨酯泡沫制造过程中，这些反应都是以较快的速度同时进行着，在催化剂存在下，有的反应在几分钟内就完成</w:t>
            </w:r>
            <w:r>
              <w:rPr>
                <w:rFonts w:hint="eastAsia" w:ascii="Times New Roman" w:hAnsi="Times New Roman" w:eastAsia="宋体" w:cs="Times New Roman"/>
                <w:b w:val="0"/>
                <w:bCs w:val="0"/>
                <w:color w:val="auto"/>
                <w:kern w:val="2"/>
                <w:sz w:val="24"/>
                <w:szCs w:val="24"/>
                <w:highlight w:val="none"/>
                <w:u w:val="none"/>
                <w:lang w:val="en-US" w:eastAsia="zh-CN" w:bidi="ar-SA"/>
              </w:rPr>
              <w:t>，最后形成高分子量和具有一定交联度的聚氨酯泡沫体，聚合物的分子结构由线性结构变为体形结构，使发泡产物更好的相溶，加快产品的熟化。</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single"/>
                <w:lang w:val="en-US" w:eastAsia="zh-CN" w:bidi="ar-SA"/>
              </w:rPr>
            </w:pPr>
            <w:r>
              <w:rPr>
                <w:rFonts w:hint="eastAsia" w:cs="Times New Roman"/>
                <w:b w:val="0"/>
                <w:bCs w:val="0"/>
                <w:color w:val="auto"/>
                <w:kern w:val="2"/>
                <w:sz w:val="24"/>
                <w:szCs w:val="24"/>
                <w:highlight w:val="none"/>
                <w:u w:val="single"/>
                <w:lang w:val="en-US" w:eastAsia="zh-CN" w:bidi="ar-SA"/>
              </w:rPr>
              <w:t>本公司采用特殊工艺生产新型材料，100%固含量，产品完全固化项目产生的废气主要为</w:t>
            </w:r>
            <w:r>
              <w:rPr>
                <w:rFonts w:hint="eastAsia"/>
                <w:color w:val="auto"/>
                <w:sz w:val="24"/>
                <w:highlight w:val="none"/>
                <w:u w:val="single"/>
                <w:lang w:val="en-US" w:eastAsia="zh-CN"/>
              </w:rPr>
              <w:t>挥发性气体，源于原辅材料中，</w:t>
            </w:r>
            <w:r>
              <w:rPr>
                <w:rFonts w:hint="eastAsia" w:cs="Times New Roman"/>
                <w:b w:val="0"/>
                <w:bCs w:val="0"/>
                <w:color w:val="auto"/>
                <w:kern w:val="2"/>
                <w:sz w:val="24"/>
                <w:szCs w:val="24"/>
                <w:highlight w:val="none"/>
                <w:u w:val="single"/>
                <w:lang w:val="en-US" w:eastAsia="zh-CN" w:bidi="ar-SA"/>
              </w:rPr>
              <w:t>生产工艺中无新的有害气体产生。</w:t>
            </w:r>
          </w:p>
          <w:p>
            <w:pPr>
              <w:pStyle w:val="31"/>
              <w:keepNext w:val="0"/>
              <w:keepLines w:val="0"/>
              <w:pageBreakBefore w:val="0"/>
              <w:widowControl w:val="0"/>
              <w:numPr>
                <w:ilvl w:val="0"/>
                <w:numId w:val="1"/>
              </w:numPr>
              <w:kinsoku/>
              <w:wordWrap/>
              <w:topLinePunct w:val="0"/>
              <w:bidi w:val="0"/>
              <w:ind w:firstLine="0" w:firstLineChars="0"/>
              <w:rPr>
                <w:rFonts w:hint="eastAsia"/>
                <w:b/>
                <w:bCs/>
                <w:color w:val="auto"/>
                <w:szCs w:val="24"/>
                <w:highlight w:val="none"/>
                <w:u w:val="none"/>
              </w:rPr>
            </w:pPr>
            <w:r>
              <w:rPr>
                <w:rFonts w:hint="eastAsia"/>
                <w:b/>
                <w:bCs/>
                <w:color w:val="auto"/>
                <w:szCs w:val="24"/>
                <w:highlight w:val="none"/>
                <w:u w:val="none"/>
              </w:rPr>
              <w:t>产</w:t>
            </w:r>
            <w:r>
              <w:rPr>
                <w:rFonts w:hint="eastAsia"/>
                <w:b/>
                <w:bCs/>
                <w:color w:val="auto"/>
                <w:szCs w:val="24"/>
                <w:highlight w:val="none"/>
                <w:u w:val="none"/>
                <w:lang w:val="en-US" w:eastAsia="zh-CN"/>
              </w:rPr>
              <w:t>污</w:t>
            </w:r>
            <w:r>
              <w:rPr>
                <w:rFonts w:hint="eastAsia"/>
                <w:b/>
                <w:bCs/>
                <w:color w:val="auto"/>
                <w:szCs w:val="24"/>
                <w:highlight w:val="none"/>
                <w:u w:val="none"/>
              </w:rPr>
              <w:t>环节说明</w:t>
            </w:r>
          </w:p>
          <w:p>
            <w:pPr>
              <w:keepNext w:val="0"/>
              <w:keepLines w:val="0"/>
              <w:pageBreakBefore w:val="0"/>
              <w:widowControl w:val="0"/>
              <w:shd w:val="clear" w:color="auto" w:fill="auto"/>
              <w:kinsoku/>
              <w:wordWrap/>
              <w:topLinePunct w:val="0"/>
              <w:bidi w:val="0"/>
              <w:spacing w:line="360" w:lineRule="auto"/>
              <w:ind w:left="420" w:leftChars="200"/>
              <w:rPr>
                <w:rFonts w:hint="eastAsia"/>
                <w:color w:val="auto"/>
                <w:sz w:val="24"/>
                <w:highlight w:val="none"/>
                <w:u w:val="none"/>
              </w:rPr>
            </w:pPr>
            <w:r>
              <w:rPr>
                <w:rFonts w:hint="eastAsia"/>
                <w:color w:val="auto"/>
                <w:sz w:val="24"/>
                <w:highlight w:val="none"/>
                <w:u w:val="none"/>
              </w:rPr>
              <w:t>本项目主要污染包括以下内容。</w:t>
            </w:r>
          </w:p>
          <w:p>
            <w:pPr>
              <w:pStyle w:val="31"/>
              <w:keepNext w:val="0"/>
              <w:keepLines w:val="0"/>
              <w:pageBreakBefore w:val="0"/>
              <w:widowControl w:val="0"/>
              <w:shd w:val="clear" w:color="auto" w:fill="auto"/>
              <w:kinsoku/>
              <w:wordWrap/>
              <w:topLinePunct w:val="0"/>
              <w:bidi w:val="0"/>
              <w:ind w:firstLine="0" w:firstLineChars="0"/>
              <w:jc w:val="center"/>
              <w:rPr>
                <w:rFonts w:hint="eastAsia"/>
                <w:b/>
                <w:bCs/>
                <w:color w:val="auto"/>
                <w:sz w:val="21"/>
                <w:szCs w:val="21"/>
                <w:highlight w:val="none"/>
                <w:u w:val="none"/>
              </w:rPr>
            </w:pPr>
            <w:r>
              <w:rPr>
                <w:rFonts w:hint="eastAsia"/>
                <w:b/>
                <w:bCs/>
                <w:color w:val="auto"/>
                <w:sz w:val="21"/>
                <w:szCs w:val="21"/>
                <w:highlight w:val="none"/>
                <w:u w:val="none"/>
              </w:rPr>
              <w:t>表2-</w:t>
            </w:r>
            <w:r>
              <w:rPr>
                <w:rFonts w:hint="eastAsia"/>
                <w:b/>
                <w:bCs/>
                <w:color w:val="auto"/>
                <w:sz w:val="21"/>
                <w:szCs w:val="21"/>
                <w:highlight w:val="none"/>
                <w:u w:val="none"/>
                <w:lang w:val="en-US" w:eastAsia="zh-CN"/>
              </w:rPr>
              <w:t>6</w:t>
            </w:r>
            <w:r>
              <w:rPr>
                <w:rFonts w:hint="eastAsia"/>
                <w:b/>
                <w:bCs/>
                <w:color w:val="auto"/>
                <w:sz w:val="21"/>
                <w:szCs w:val="21"/>
                <w:highlight w:val="none"/>
                <w:u w:val="none"/>
              </w:rPr>
              <w:t xml:space="preserve"> 主要污染源及污染因子识别</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816"/>
              <w:gridCol w:w="732"/>
              <w:gridCol w:w="1700"/>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pct"/>
                  <w:shd w:val="clear" w:color="auto" w:fill="auto"/>
                  <w:noWrap w:val="0"/>
                  <w:vAlign w:val="center"/>
                </w:tcPr>
                <w:p>
                  <w:pPr>
                    <w:keepNext w:val="0"/>
                    <w:keepLines w:val="0"/>
                    <w:pageBreakBefore w:val="0"/>
                    <w:widowControl w:val="0"/>
                    <w:kinsoku/>
                    <w:wordWrap/>
                    <w:topLinePunct w:val="0"/>
                    <w:bidi w:val="0"/>
                    <w:jc w:val="center"/>
                    <w:rPr>
                      <w:b/>
                      <w:bCs/>
                      <w:color w:val="auto"/>
                      <w:szCs w:val="21"/>
                      <w:highlight w:val="none"/>
                      <w:u w:val="none"/>
                    </w:rPr>
                  </w:pPr>
                  <w:r>
                    <w:rPr>
                      <w:rFonts w:hint="eastAsia"/>
                      <w:b/>
                      <w:bCs/>
                      <w:color w:val="auto"/>
                      <w:szCs w:val="21"/>
                      <w:highlight w:val="none"/>
                      <w:u w:val="none"/>
                    </w:rPr>
                    <w:t>污染物</w:t>
                  </w:r>
                </w:p>
              </w:tc>
              <w:tc>
                <w:tcPr>
                  <w:tcW w:w="1230" w:type="pct"/>
                  <w:shd w:val="clear" w:color="auto" w:fill="auto"/>
                  <w:noWrap w:val="0"/>
                  <w:vAlign w:val="center"/>
                </w:tcPr>
                <w:p>
                  <w:pPr>
                    <w:keepNext w:val="0"/>
                    <w:keepLines w:val="0"/>
                    <w:pageBreakBefore w:val="0"/>
                    <w:widowControl w:val="0"/>
                    <w:kinsoku/>
                    <w:wordWrap/>
                    <w:topLinePunct w:val="0"/>
                    <w:bidi w:val="0"/>
                    <w:jc w:val="center"/>
                    <w:rPr>
                      <w:b/>
                      <w:bCs/>
                      <w:color w:val="auto"/>
                      <w:szCs w:val="21"/>
                      <w:highlight w:val="none"/>
                      <w:u w:val="none"/>
                    </w:rPr>
                  </w:pPr>
                  <w:r>
                    <w:rPr>
                      <w:rFonts w:hint="eastAsia"/>
                      <w:b/>
                      <w:bCs/>
                      <w:color w:val="auto"/>
                      <w:szCs w:val="21"/>
                      <w:highlight w:val="none"/>
                      <w:u w:val="none"/>
                    </w:rPr>
                    <w:t>产污环节</w:t>
                  </w:r>
                </w:p>
              </w:tc>
              <w:tc>
                <w:tcPr>
                  <w:tcW w:w="496" w:type="pct"/>
                  <w:shd w:val="clear" w:color="auto" w:fill="auto"/>
                  <w:noWrap w:val="0"/>
                  <w:vAlign w:val="center"/>
                </w:tcPr>
                <w:p>
                  <w:pPr>
                    <w:keepNext w:val="0"/>
                    <w:keepLines w:val="0"/>
                    <w:pageBreakBefore w:val="0"/>
                    <w:widowControl w:val="0"/>
                    <w:kinsoku/>
                    <w:wordWrap/>
                    <w:topLinePunct w:val="0"/>
                    <w:bidi w:val="0"/>
                    <w:jc w:val="center"/>
                    <w:rPr>
                      <w:b/>
                      <w:bCs/>
                      <w:color w:val="auto"/>
                      <w:szCs w:val="21"/>
                      <w:highlight w:val="none"/>
                      <w:u w:val="none"/>
                    </w:rPr>
                  </w:pPr>
                  <w:r>
                    <w:rPr>
                      <w:rFonts w:hint="eastAsia"/>
                      <w:b/>
                      <w:bCs/>
                      <w:color w:val="auto"/>
                      <w:szCs w:val="21"/>
                      <w:highlight w:val="none"/>
                      <w:u w:val="none"/>
                    </w:rPr>
                    <w:t>编号</w:t>
                  </w:r>
                </w:p>
              </w:tc>
              <w:tc>
                <w:tcPr>
                  <w:tcW w:w="1151" w:type="pct"/>
                  <w:shd w:val="clear" w:color="auto" w:fill="auto"/>
                  <w:noWrap w:val="0"/>
                  <w:vAlign w:val="center"/>
                </w:tcPr>
                <w:p>
                  <w:pPr>
                    <w:keepNext w:val="0"/>
                    <w:keepLines w:val="0"/>
                    <w:pageBreakBefore w:val="0"/>
                    <w:widowControl w:val="0"/>
                    <w:kinsoku/>
                    <w:wordWrap/>
                    <w:topLinePunct w:val="0"/>
                    <w:bidi w:val="0"/>
                    <w:jc w:val="center"/>
                    <w:rPr>
                      <w:b/>
                      <w:bCs/>
                      <w:color w:val="auto"/>
                      <w:szCs w:val="21"/>
                      <w:highlight w:val="none"/>
                      <w:u w:val="none"/>
                    </w:rPr>
                  </w:pPr>
                  <w:r>
                    <w:rPr>
                      <w:rFonts w:hint="eastAsia"/>
                      <w:b/>
                      <w:bCs/>
                      <w:color w:val="auto"/>
                      <w:szCs w:val="21"/>
                      <w:highlight w:val="none"/>
                      <w:u w:val="none"/>
                    </w:rPr>
                    <w:t>污染因子</w:t>
                  </w:r>
                </w:p>
              </w:tc>
              <w:tc>
                <w:tcPr>
                  <w:tcW w:w="1498" w:type="pct"/>
                  <w:shd w:val="clear" w:color="auto" w:fill="auto"/>
                  <w:noWrap w:val="0"/>
                  <w:vAlign w:val="center"/>
                </w:tcPr>
                <w:p>
                  <w:pPr>
                    <w:keepNext w:val="0"/>
                    <w:keepLines w:val="0"/>
                    <w:pageBreakBefore w:val="0"/>
                    <w:widowControl w:val="0"/>
                    <w:kinsoku/>
                    <w:wordWrap/>
                    <w:topLinePunct w:val="0"/>
                    <w:bidi w:val="0"/>
                    <w:jc w:val="center"/>
                    <w:rPr>
                      <w:rFonts w:hint="eastAsia"/>
                      <w:b/>
                      <w:bCs/>
                      <w:color w:val="auto"/>
                      <w:szCs w:val="21"/>
                      <w:highlight w:val="none"/>
                      <w:u w:val="none"/>
                    </w:rPr>
                  </w:pPr>
                  <w:r>
                    <w:rPr>
                      <w:rFonts w:hint="eastAsia"/>
                      <w:b/>
                      <w:bCs/>
                      <w:color w:val="auto"/>
                      <w:szCs w:val="21"/>
                      <w:highlight w:val="none"/>
                      <w:u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23" w:type="pct"/>
                  <w:vMerge w:val="restar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废气</w:t>
                  </w:r>
                </w:p>
              </w:tc>
              <w:tc>
                <w:tcPr>
                  <w:tcW w:w="1230" w:type="pct"/>
                  <w:noWrap w:val="0"/>
                  <w:vAlign w:val="center"/>
                </w:tcPr>
                <w:p>
                  <w:pPr>
                    <w:keepNext w:val="0"/>
                    <w:keepLines w:val="0"/>
                    <w:pageBreakBefore w:val="0"/>
                    <w:widowControl w:val="0"/>
                    <w:kinsoku/>
                    <w:wordWrap/>
                    <w:topLinePunct w:val="0"/>
                    <w:bidi w:val="0"/>
                    <w:jc w:val="center"/>
                    <w:rPr>
                      <w:rFonts w:hint="eastAsia" w:eastAsia="宋体"/>
                      <w:color w:val="auto"/>
                      <w:kern w:val="2"/>
                      <w:sz w:val="21"/>
                      <w:szCs w:val="21"/>
                      <w:highlight w:val="none"/>
                      <w:u w:val="none"/>
                      <w:lang w:val="en-US" w:eastAsia="zh-CN" w:bidi="ar-SA"/>
                    </w:rPr>
                  </w:pPr>
                  <w:r>
                    <w:rPr>
                      <w:rFonts w:hint="eastAsia"/>
                      <w:color w:val="auto"/>
                      <w:szCs w:val="21"/>
                      <w:highlight w:val="none"/>
                      <w:u w:val="none"/>
                      <w:lang w:eastAsia="zh-CN"/>
                    </w:rPr>
                    <w:t>进料检验</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kern w:val="2"/>
                      <w:sz w:val="21"/>
                      <w:szCs w:val="21"/>
                      <w:highlight w:val="none"/>
                      <w:u w:val="none"/>
                      <w:lang w:val="en-US" w:eastAsia="zh-CN" w:bidi="ar-SA"/>
                    </w:rPr>
                  </w:pPr>
                  <w:r>
                    <w:rPr>
                      <w:rFonts w:hint="eastAsia"/>
                      <w:color w:val="auto"/>
                      <w:szCs w:val="21"/>
                      <w:highlight w:val="none"/>
                      <w:u w:val="none"/>
                    </w:rPr>
                    <w:t>G</w:t>
                  </w:r>
                  <w:r>
                    <w:rPr>
                      <w:rFonts w:hint="eastAsia"/>
                      <w:color w:val="auto"/>
                      <w:szCs w:val="21"/>
                      <w:highlight w:val="none"/>
                      <w:u w:val="none"/>
                      <w:lang w:val="en-US" w:eastAsia="zh-CN"/>
                    </w:rPr>
                    <w:t>1</w:t>
                  </w:r>
                </w:p>
              </w:tc>
              <w:tc>
                <w:tcPr>
                  <w:tcW w:w="1151" w:type="pct"/>
                  <w:noWrap w:val="0"/>
                  <w:vAlign w:val="center"/>
                </w:tcPr>
                <w:p>
                  <w:pPr>
                    <w:keepNext w:val="0"/>
                    <w:keepLines w:val="0"/>
                    <w:pageBreakBefore w:val="0"/>
                    <w:widowControl w:val="0"/>
                    <w:kinsoku/>
                    <w:wordWrap/>
                    <w:topLinePunct w:val="0"/>
                    <w:bidi w:val="0"/>
                    <w:jc w:val="center"/>
                    <w:rPr>
                      <w:rFonts w:hint="eastAsia"/>
                      <w:color w:val="auto"/>
                      <w:kern w:val="2"/>
                      <w:sz w:val="21"/>
                      <w:szCs w:val="21"/>
                      <w:highlight w:val="none"/>
                      <w:u w:val="none"/>
                      <w:lang w:val="en-US" w:eastAsia="zh-CN" w:bidi="ar-SA"/>
                    </w:rPr>
                  </w:pPr>
                  <w:r>
                    <w:rPr>
                      <w:rFonts w:hint="eastAsia"/>
                      <w:color w:val="auto"/>
                      <w:szCs w:val="21"/>
                      <w:highlight w:val="none"/>
                      <w:u w:val="none"/>
                    </w:rPr>
                    <w:t>非甲烷总烃</w:t>
                  </w:r>
                </w:p>
              </w:tc>
              <w:tc>
                <w:tcPr>
                  <w:tcW w:w="1498"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eastAsia="zh-CN"/>
                    </w:rPr>
                  </w:pPr>
                  <w:r>
                    <w:rPr>
                      <w:rFonts w:hint="eastAsia"/>
                      <w:color w:val="auto"/>
                      <w:szCs w:val="21"/>
                      <w:highlight w:val="none"/>
                      <w:u w:val="none"/>
                      <w:lang w:eastAsia="zh-CN"/>
                    </w:rPr>
                    <w:t>无组织排放，加强厂区通风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keepNext w:val="0"/>
                    <w:keepLines w:val="0"/>
                    <w:pageBreakBefore w:val="0"/>
                    <w:widowControl w:val="0"/>
                    <w:kinsoku/>
                    <w:wordWrap/>
                    <w:topLinePunct w:val="0"/>
                    <w:bidi w:val="0"/>
                    <w:jc w:val="center"/>
                    <w:rPr>
                      <w:rFonts w:hint="eastAsia"/>
                      <w:color w:val="auto"/>
                      <w:kern w:val="2"/>
                      <w:sz w:val="21"/>
                      <w:szCs w:val="21"/>
                      <w:highlight w:val="none"/>
                      <w:u w:val="none"/>
                      <w:lang w:val="en-US" w:eastAsia="zh-CN" w:bidi="ar-SA"/>
                    </w:rPr>
                  </w:pPr>
                  <w:r>
                    <w:rPr>
                      <w:rFonts w:hint="eastAsia"/>
                      <w:color w:val="auto"/>
                      <w:szCs w:val="21"/>
                      <w:highlight w:val="none"/>
                      <w:u w:val="none"/>
                    </w:rPr>
                    <w:t>发泡、搅拌</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kern w:val="2"/>
                      <w:sz w:val="21"/>
                      <w:szCs w:val="21"/>
                      <w:highlight w:val="none"/>
                      <w:u w:val="none"/>
                      <w:lang w:val="en-US" w:eastAsia="zh-CN" w:bidi="ar-SA"/>
                    </w:rPr>
                  </w:pPr>
                  <w:r>
                    <w:rPr>
                      <w:rFonts w:hint="eastAsia"/>
                      <w:color w:val="auto"/>
                      <w:szCs w:val="21"/>
                      <w:highlight w:val="none"/>
                      <w:u w:val="none"/>
                    </w:rPr>
                    <w:t>G</w:t>
                  </w:r>
                  <w:r>
                    <w:rPr>
                      <w:rFonts w:hint="eastAsia"/>
                      <w:color w:val="auto"/>
                      <w:szCs w:val="21"/>
                      <w:highlight w:val="none"/>
                      <w:u w:val="none"/>
                      <w:lang w:val="en-US" w:eastAsia="zh-CN"/>
                    </w:rPr>
                    <w:t>2</w:t>
                  </w:r>
                </w:p>
              </w:tc>
              <w:tc>
                <w:tcPr>
                  <w:tcW w:w="1151" w:type="pct"/>
                  <w:noWrap w:val="0"/>
                  <w:vAlign w:val="center"/>
                </w:tcPr>
                <w:p>
                  <w:pPr>
                    <w:keepNext w:val="0"/>
                    <w:keepLines w:val="0"/>
                    <w:pageBreakBefore w:val="0"/>
                    <w:widowControl w:val="0"/>
                    <w:kinsoku/>
                    <w:wordWrap/>
                    <w:topLinePunct w:val="0"/>
                    <w:bidi w:val="0"/>
                    <w:jc w:val="center"/>
                    <w:rPr>
                      <w:rFonts w:hint="eastAsia"/>
                      <w:color w:val="auto"/>
                      <w:kern w:val="2"/>
                      <w:sz w:val="21"/>
                      <w:szCs w:val="21"/>
                      <w:highlight w:val="none"/>
                      <w:u w:val="none"/>
                      <w:lang w:val="en-US" w:eastAsia="zh-CN" w:bidi="ar-SA"/>
                    </w:rPr>
                  </w:pPr>
                  <w:r>
                    <w:rPr>
                      <w:rFonts w:hint="eastAsia"/>
                      <w:color w:val="auto"/>
                      <w:szCs w:val="21"/>
                      <w:highlight w:val="none"/>
                      <w:u w:val="none"/>
                    </w:rPr>
                    <w:t>非甲烷总烃</w:t>
                  </w:r>
                </w:p>
              </w:tc>
              <w:tc>
                <w:tcPr>
                  <w:tcW w:w="1498" w:type="pct"/>
                  <w:vMerge w:val="restar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w:t>
                  </w:r>
                  <w:r>
                    <w:rPr>
                      <w:rFonts w:hint="eastAsia"/>
                      <w:color w:val="auto"/>
                      <w:szCs w:val="21"/>
                      <w:highlight w:val="none"/>
                      <w:u w:val="none"/>
                      <w:lang w:eastAsia="zh-CN"/>
                    </w:rPr>
                    <w:t>UV光解+活性炭吸附</w:t>
                  </w:r>
                  <w:r>
                    <w:rPr>
                      <w:rFonts w:hint="eastAsia"/>
                      <w:color w:val="auto"/>
                      <w:szCs w:val="21"/>
                      <w:highlight w:val="none"/>
                      <w:u w:val="none"/>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val="en-US" w:eastAsia="zh-CN"/>
                    </w:rPr>
                  </w:pPr>
                  <w:r>
                    <w:rPr>
                      <w:rFonts w:hint="eastAsia"/>
                      <w:color w:val="auto"/>
                      <w:szCs w:val="21"/>
                      <w:highlight w:val="none"/>
                      <w:u w:val="none"/>
                      <w:lang w:val="en-US" w:eastAsia="zh-CN"/>
                    </w:rPr>
                    <w:t>熟化</w:t>
                  </w:r>
                </w:p>
              </w:tc>
              <w:tc>
                <w:tcPr>
                  <w:tcW w:w="496" w:type="pc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G</w:t>
                  </w:r>
                  <w:r>
                    <w:rPr>
                      <w:rFonts w:hint="eastAsia"/>
                      <w:color w:val="auto"/>
                      <w:szCs w:val="21"/>
                      <w:highlight w:val="none"/>
                      <w:u w:val="none"/>
                      <w:lang w:val="en-US" w:eastAsia="zh-CN"/>
                    </w:rPr>
                    <w:t>3</w:t>
                  </w:r>
                </w:p>
              </w:tc>
              <w:tc>
                <w:tcPr>
                  <w:tcW w:w="1151" w:type="pc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非甲烷总烃</w:t>
                  </w:r>
                </w:p>
              </w:tc>
              <w:tc>
                <w:tcPr>
                  <w:tcW w:w="1498"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val="en-US" w:eastAsia="zh-CN"/>
                    </w:rPr>
                  </w:pPr>
                  <w:r>
                    <w:rPr>
                      <w:rFonts w:hint="eastAsia"/>
                      <w:color w:val="auto"/>
                      <w:szCs w:val="21"/>
                      <w:highlight w:val="none"/>
                      <w:u w:val="none"/>
                      <w:lang w:val="en-US" w:eastAsia="zh-CN"/>
                    </w:rPr>
                    <w:t>印刷</w:t>
                  </w:r>
                </w:p>
              </w:tc>
              <w:tc>
                <w:tcPr>
                  <w:tcW w:w="496" w:type="pc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G</w:t>
                  </w:r>
                  <w:r>
                    <w:rPr>
                      <w:rFonts w:hint="eastAsia"/>
                      <w:color w:val="auto"/>
                      <w:szCs w:val="21"/>
                      <w:highlight w:val="none"/>
                      <w:u w:val="none"/>
                      <w:lang w:val="en-US" w:eastAsia="zh-CN"/>
                    </w:rPr>
                    <w:t>4</w:t>
                  </w:r>
                </w:p>
              </w:tc>
              <w:tc>
                <w:tcPr>
                  <w:tcW w:w="1151" w:type="pct"/>
                  <w:noWrap w:val="0"/>
                  <w:vAlign w:val="center"/>
                </w:tcPr>
                <w:p>
                  <w:pPr>
                    <w:keepNext w:val="0"/>
                    <w:keepLines w:val="0"/>
                    <w:pageBreakBefore w:val="0"/>
                    <w:widowControl w:val="0"/>
                    <w:kinsoku/>
                    <w:wordWrap/>
                    <w:topLinePunct w:val="0"/>
                    <w:bidi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VOCs</w:t>
                  </w:r>
                </w:p>
              </w:tc>
              <w:tc>
                <w:tcPr>
                  <w:tcW w:w="1498"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23" w:type="pct"/>
                  <w:vMerge w:val="restar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废水</w:t>
                  </w:r>
                </w:p>
              </w:tc>
              <w:tc>
                <w:tcPr>
                  <w:tcW w:w="1230" w:type="pct"/>
                  <w:noWrap w:val="0"/>
                  <w:vAlign w:val="center"/>
                </w:tcPr>
                <w:p>
                  <w:pPr>
                    <w:keepNext w:val="0"/>
                    <w:keepLines w:val="0"/>
                    <w:pageBreakBefore w:val="0"/>
                    <w:widowControl w:val="0"/>
                    <w:kinsoku/>
                    <w:wordWrap/>
                    <w:overflowPunct w:val="0"/>
                    <w:topLinePunct w:val="0"/>
                    <w:bidi w:val="0"/>
                    <w:jc w:val="center"/>
                    <w:rPr>
                      <w:rFonts w:hint="eastAsia"/>
                      <w:color w:val="auto"/>
                      <w:szCs w:val="21"/>
                      <w:highlight w:val="none"/>
                      <w:u w:val="none"/>
                    </w:rPr>
                  </w:pPr>
                  <w:r>
                    <w:rPr>
                      <w:rFonts w:hint="eastAsia"/>
                      <w:color w:val="auto"/>
                      <w:szCs w:val="21"/>
                      <w:highlight w:val="none"/>
                      <w:u w:val="none"/>
                      <w:lang w:val="en-US" w:eastAsia="zh-CN"/>
                    </w:rPr>
                    <w:t>印刷机</w:t>
                  </w:r>
                  <w:r>
                    <w:rPr>
                      <w:rFonts w:hint="eastAsia"/>
                      <w:color w:val="auto"/>
                      <w:szCs w:val="21"/>
                      <w:highlight w:val="none"/>
                      <w:u w:val="none"/>
                    </w:rPr>
                    <w:t>清洗废水</w:t>
                  </w:r>
                </w:p>
              </w:tc>
              <w:tc>
                <w:tcPr>
                  <w:tcW w:w="496"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W1</w:t>
                  </w:r>
                </w:p>
              </w:tc>
              <w:tc>
                <w:tcPr>
                  <w:tcW w:w="1151" w:type="pc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pH值、悬浮物、化学需氧量、五日生化需氧量、氨氮、总磷</w:t>
                  </w:r>
                </w:p>
              </w:tc>
              <w:tc>
                <w:tcPr>
                  <w:tcW w:w="1498" w:type="pct"/>
                  <w:noWrap w:val="0"/>
                  <w:vAlign w:val="center"/>
                </w:tcPr>
                <w:p>
                  <w:pPr>
                    <w:keepNext w:val="0"/>
                    <w:keepLines w:val="0"/>
                    <w:pageBreakBefore w:val="0"/>
                    <w:widowControl w:val="0"/>
                    <w:kinsoku/>
                    <w:wordWrap/>
                    <w:topLinePunct w:val="0"/>
                    <w:bidi w:val="0"/>
                    <w:jc w:val="both"/>
                    <w:rPr>
                      <w:rFonts w:hint="default" w:eastAsia="宋体"/>
                      <w:color w:val="auto"/>
                      <w:szCs w:val="21"/>
                      <w:highlight w:val="none"/>
                      <w:u w:val="none"/>
                      <w:lang w:val="en-US" w:eastAsia="zh-CN"/>
                    </w:rPr>
                  </w:pPr>
                  <w:r>
                    <w:rPr>
                      <w:rFonts w:hint="eastAsia"/>
                      <w:color w:val="auto"/>
                      <w:szCs w:val="21"/>
                      <w:highlight w:val="none"/>
                      <w:u w:val="none"/>
                      <w:lang w:eastAsia="zh-CN"/>
                    </w:rPr>
                    <w:t>采用胶桶收集后交湖南普瑞达内装材料有限公司处理，不外排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p>
              </w:tc>
              <w:tc>
                <w:tcPr>
                  <w:tcW w:w="1230" w:type="pct"/>
                  <w:noWrap w:val="0"/>
                  <w:vAlign w:val="center"/>
                </w:tcPr>
                <w:p>
                  <w:pPr>
                    <w:keepNext w:val="0"/>
                    <w:keepLines w:val="0"/>
                    <w:pageBreakBefore w:val="0"/>
                    <w:widowControl w:val="0"/>
                    <w:kinsoku/>
                    <w:wordWrap/>
                    <w:overflowPunct w:val="0"/>
                    <w:topLinePunct w:val="0"/>
                    <w:bidi w:val="0"/>
                    <w:jc w:val="center"/>
                    <w:rPr>
                      <w:rFonts w:hint="eastAsia"/>
                      <w:color w:val="auto"/>
                      <w:szCs w:val="21"/>
                      <w:highlight w:val="none"/>
                      <w:u w:val="none"/>
                    </w:rPr>
                  </w:pPr>
                  <w:r>
                    <w:rPr>
                      <w:rFonts w:hint="eastAsia"/>
                      <w:color w:val="auto"/>
                      <w:highlight w:val="none"/>
                      <w:u w:val="none"/>
                    </w:rPr>
                    <w:t>生活污水</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val="en-US" w:eastAsia="zh-CN"/>
                    </w:rPr>
                  </w:pPr>
                  <w:r>
                    <w:rPr>
                      <w:rFonts w:hint="eastAsia"/>
                      <w:color w:val="auto"/>
                      <w:szCs w:val="21"/>
                      <w:highlight w:val="none"/>
                      <w:u w:val="none"/>
                    </w:rPr>
                    <w:t>W</w:t>
                  </w:r>
                  <w:r>
                    <w:rPr>
                      <w:rFonts w:hint="eastAsia"/>
                      <w:color w:val="auto"/>
                      <w:szCs w:val="21"/>
                      <w:highlight w:val="none"/>
                      <w:u w:val="none"/>
                      <w:lang w:val="en-US" w:eastAsia="zh-CN"/>
                    </w:rPr>
                    <w:t>2</w:t>
                  </w:r>
                </w:p>
              </w:tc>
              <w:tc>
                <w:tcPr>
                  <w:tcW w:w="1151"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color w:val="auto"/>
                      <w:szCs w:val="21"/>
                      <w:u w:val="none"/>
                    </w:rPr>
                    <w:t>COD 、BOD</w:t>
                  </w:r>
                  <w:r>
                    <w:rPr>
                      <w:color w:val="auto"/>
                      <w:szCs w:val="21"/>
                      <w:u w:val="none"/>
                      <w:vertAlign w:val="subscript"/>
                    </w:rPr>
                    <w:t>5</w:t>
                  </w:r>
                  <w:r>
                    <w:rPr>
                      <w:color w:val="auto"/>
                      <w:szCs w:val="21"/>
                      <w:u w:val="none"/>
                    </w:rPr>
                    <w:t>、SS、</w:t>
                  </w:r>
                  <w:r>
                    <w:rPr>
                      <w:rFonts w:hint="eastAsia"/>
                      <w:color w:val="auto"/>
                      <w:szCs w:val="21"/>
                      <w:u w:val="none"/>
                    </w:rPr>
                    <w:t>氨氮</w:t>
                  </w:r>
                </w:p>
              </w:tc>
              <w:tc>
                <w:tcPr>
                  <w:tcW w:w="1498"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化粪池处理后进入新田县污水处理厂处理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噪声</w:t>
                  </w:r>
                </w:p>
              </w:tc>
              <w:tc>
                <w:tcPr>
                  <w:tcW w:w="1230"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设备运行（热风炉、发泡机、印刷机、分条机、电子鼓风干燥箱等）</w:t>
                  </w:r>
                </w:p>
              </w:tc>
              <w:tc>
                <w:tcPr>
                  <w:tcW w:w="496"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N</w:t>
                  </w:r>
                </w:p>
              </w:tc>
              <w:tc>
                <w:tcPr>
                  <w:tcW w:w="1151"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噪声</w:t>
                  </w:r>
                </w:p>
              </w:tc>
              <w:tc>
                <w:tcPr>
                  <w:tcW w:w="1498" w:type="pct"/>
                  <w:noWrap w:val="0"/>
                  <w:vAlign w:val="center"/>
                </w:tcPr>
                <w:p>
                  <w:pPr>
                    <w:keepNext w:val="0"/>
                    <w:keepLines w:val="0"/>
                    <w:pageBreakBefore w:val="0"/>
                    <w:widowControl w:val="0"/>
                    <w:kinsoku/>
                    <w:wordWrap/>
                    <w:topLinePunct w:val="0"/>
                    <w:bidi w:val="0"/>
                    <w:jc w:val="center"/>
                    <w:rPr>
                      <w:rFonts w:hint="eastAsia"/>
                      <w:color w:val="auto"/>
                      <w:szCs w:val="21"/>
                      <w:highlight w:val="none"/>
                      <w:u w:val="none"/>
                    </w:rPr>
                  </w:pPr>
                  <w:r>
                    <w:rPr>
                      <w:rFonts w:hint="eastAsia"/>
                      <w:color w:val="auto"/>
                      <w:szCs w:val="21"/>
                      <w:highlight w:val="none"/>
                      <w:u w:val="none"/>
                    </w:rPr>
                    <w:t>采取减振、密闭、隔声等措施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23" w:type="pct"/>
                  <w:vMerge w:val="restart"/>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r>
                    <w:rPr>
                      <w:rFonts w:hint="eastAsia"/>
                      <w:color w:val="auto"/>
                      <w:szCs w:val="21"/>
                      <w:highlight w:val="none"/>
                      <w:u w:val="none"/>
                    </w:rPr>
                    <w:t>固体废物</w:t>
                  </w:r>
                </w:p>
              </w:tc>
              <w:tc>
                <w:tcPr>
                  <w:tcW w:w="1230" w:type="pct"/>
                  <w:noWrap w:val="0"/>
                  <w:vAlign w:val="center"/>
                </w:tcPr>
                <w:p>
                  <w:pPr>
                    <w:keepNext w:val="0"/>
                    <w:keepLines w:val="0"/>
                    <w:pageBreakBefore w:val="0"/>
                    <w:widowControl w:val="0"/>
                    <w:kinsoku/>
                    <w:wordWrap/>
                    <w:overflowPunct w:val="0"/>
                    <w:topLinePunct w:val="0"/>
                    <w:bidi w:val="0"/>
                    <w:jc w:val="center"/>
                    <w:rPr>
                      <w:rFonts w:hint="eastAsia" w:eastAsia="宋体"/>
                      <w:color w:val="auto"/>
                      <w:kern w:val="0"/>
                      <w:szCs w:val="21"/>
                      <w:highlight w:val="none"/>
                      <w:u w:val="none"/>
                      <w:lang w:eastAsia="zh-CN"/>
                    </w:rPr>
                  </w:pPr>
                  <w:r>
                    <w:rPr>
                      <w:rFonts w:hint="eastAsia"/>
                      <w:color w:val="auto"/>
                      <w:szCs w:val="21"/>
                      <w:highlight w:val="none"/>
                      <w:u w:val="none"/>
                      <w:lang w:val="en-US" w:eastAsia="zh-CN"/>
                    </w:rPr>
                    <w:t>进料</w:t>
                  </w:r>
                </w:p>
              </w:tc>
              <w:tc>
                <w:tcPr>
                  <w:tcW w:w="496" w:type="pct"/>
                  <w:noWrap w:val="0"/>
                  <w:vAlign w:val="center"/>
                </w:tcPr>
                <w:p>
                  <w:pPr>
                    <w:keepNext w:val="0"/>
                    <w:keepLines w:val="0"/>
                    <w:pageBreakBefore w:val="0"/>
                    <w:widowControl w:val="0"/>
                    <w:kinsoku/>
                    <w:wordWrap/>
                    <w:topLinePunct w:val="0"/>
                    <w:bidi w:val="0"/>
                    <w:jc w:val="center"/>
                    <w:rPr>
                      <w:color w:val="auto"/>
                      <w:szCs w:val="21"/>
                      <w:highlight w:val="none"/>
                      <w:u w:val="none"/>
                    </w:rPr>
                  </w:pPr>
                  <w:r>
                    <w:rPr>
                      <w:rFonts w:hint="eastAsia"/>
                      <w:color w:val="auto"/>
                      <w:szCs w:val="21"/>
                      <w:highlight w:val="none"/>
                      <w:u w:val="none"/>
                    </w:rPr>
                    <w:t>S1</w:t>
                  </w:r>
                </w:p>
              </w:tc>
              <w:tc>
                <w:tcPr>
                  <w:tcW w:w="1151" w:type="pct"/>
                  <w:noWrap w:val="0"/>
                  <w:vAlign w:val="center"/>
                </w:tcPr>
                <w:p>
                  <w:pPr>
                    <w:pStyle w:val="30"/>
                    <w:keepNext w:val="0"/>
                    <w:keepLines w:val="0"/>
                    <w:pageBreakBefore w:val="0"/>
                    <w:widowControl w:val="0"/>
                    <w:kinsoku/>
                    <w:wordWrap/>
                    <w:overflowPunct w:val="0"/>
                    <w:topLinePunct w:val="0"/>
                    <w:bidi w:val="0"/>
                    <w:adjustRightInd/>
                    <w:jc w:val="center"/>
                    <w:rPr>
                      <w:color w:val="auto"/>
                      <w:sz w:val="21"/>
                      <w:szCs w:val="21"/>
                      <w:highlight w:val="none"/>
                      <w:u w:val="none"/>
                    </w:rPr>
                  </w:pPr>
                  <w:r>
                    <w:rPr>
                      <w:rFonts w:hint="eastAsia"/>
                      <w:color w:val="auto"/>
                      <w:sz w:val="21"/>
                      <w:szCs w:val="21"/>
                      <w:highlight w:val="none"/>
                      <w:u w:val="none"/>
                    </w:rPr>
                    <w:t>原料包装桶</w:t>
                  </w:r>
                </w:p>
              </w:tc>
              <w:tc>
                <w:tcPr>
                  <w:tcW w:w="1498" w:type="pct"/>
                  <w:noWrap w:val="0"/>
                  <w:vAlign w:val="center"/>
                </w:tcPr>
                <w:p>
                  <w:pPr>
                    <w:keepNext w:val="0"/>
                    <w:keepLines w:val="0"/>
                    <w:pageBreakBefore w:val="0"/>
                    <w:widowControl w:val="0"/>
                    <w:kinsoku/>
                    <w:wordWrap/>
                    <w:overflowPunct w:val="0"/>
                    <w:topLinePunct w:val="0"/>
                    <w:bidi w:val="0"/>
                    <w:jc w:val="center"/>
                    <w:textAlignment w:val="center"/>
                    <w:rPr>
                      <w:rFonts w:hint="eastAsia"/>
                      <w:color w:val="auto"/>
                      <w:szCs w:val="21"/>
                      <w:highlight w:val="yellow"/>
                      <w:u w:val="none"/>
                    </w:rPr>
                  </w:pPr>
                  <w:r>
                    <w:rPr>
                      <w:rFonts w:hint="eastAsia"/>
                      <w:color w:val="auto"/>
                      <w:kern w:val="0"/>
                      <w:szCs w:val="21"/>
                      <w:highlight w:val="none"/>
                      <w:u w:val="none"/>
                      <w:lang w:bidi="ar"/>
                    </w:rPr>
                    <w:t>废品回收单位处置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keepNext w:val="0"/>
                    <w:keepLines w:val="0"/>
                    <w:pageBreakBefore w:val="0"/>
                    <w:widowControl w:val="0"/>
                    <w:kinsoku/>
                    <w:wordWrap/>
                    <w:overflowPunct w:val="0"/>
                    <w:topLinePunct w:val="0"/>
                    <w:bidi w:val="0"/>
                    <w:jc w:val="center"/>
                    <w:rPr>
                      <w:rFonts w:hint="eastAsia"/>
                      <w:color w:val="auto"/>
                      <w:kern w:val="0"/>
                      <w:szCs w:val="21"/>
                      <w:highlight w:val="none"/>
                      <w:u w:val="none"/>
                    </w:rPr>
                  </w:pPr>
                  <w:r>
                    <w:rPr>
                      <w:rFonts w:hint="eastAsia"/>
                      <w:color w:val="auto"/>
                      <w:szCs w:val="21"/>
                      <w:highlight w:val="none"/>
                      <w:u w:val="none"/>
                      <w:lang w:val="en-US" w:eastAsia="zh-CN"/>
                    </w:rPr>
                    <w:t>分切</w:t>
                  </w:r>
                  <w:r>
                    <w:rPr>
                      <w:rFonts w:hint="eastAsia"/>
                      <w:color w:val="auto"/>
                      <w:szCs w:val="21"/>
                      <w:highlight w:val="none"/>
                      <w:u w:val="none"/>
                    </w:rPr>
                    <w:t>工序</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eastAsia="zh-CN"/>
                    </w:rPr>
                  </w:pPr>
                  <w:r>
                    <w:rPr>
                      <w:rFonts w:hint="eastAsia"/>
                      <w:color w:val="auto"/>
                      <w:szCs w:val="21"/>
                      <w:highlight w:val="none"/>
                      <w:u w:val="none"/>
                    </w:rPr>
                    <w:t>S</w:t>
                  </w:r>
                  <w:r>
                    <w:rPr>
                      <w:rFonts w:hint="eastAsia"/>
                      <w:color w:val="auto"/>
                      <w:szCs w:val="21"/>
                      <w:highlight w:val="none"/>
                      <w:u w:val="none"/>
                      <w:lang w:val="en-US" w:eastAsia="zh-CN"/>
                    </w:rPr>
                    <w:t>2</w:t>
                  </w:r>
                </w:p>
              </w:tc>
              <w:tc>
                <w:tcPr>
                  <w:tcW w:w="1151" w:type="pct"/>
                  <w:noWrap w:val="0"/>
                  <w:vAlign w:val="center"/>
                </w:tcPr>
                <w:p>
                  <w:pPr>
                    <w:pStyle w:val="30"/>
                    <w:keepNext w:val="0"/>
                    <w:keepLines w:val="0"/>
                    <w:pageBreakBefore w:val="0"/>
                    <w:widowControl w:val="0"/>
                    <w:kinsoku/>
                    <w:wordWrap/>
                    <w:overflowPunct w:val="0"/>
                    <w:topLinePunct w:val="0"/>
                    <w:bidi w:val="0"/>
                    <w:adjustRightInd/>
                    <w:jc w:val="center"/>
                    <w:rPr>
                      <w:rFonts w:hint="eastAsia"/>
                      <w:color w:val="auto"/>
                      <w:sz w:val="21"/>
                      <w:szCs w:val="21"/>
                      <w:highlight w:val="none"/>
                      <w:u w:val="none"/>
                    </w:rPr>
                  </w:pPr>
                  <w:r>
                    <w:rPr>
                      <w:rFonts w:hint="eastAsia"/>
                      <w:color w:val="auto"/>
                      <w:sz w:val="21"/>
                      <w:szCs w:val="21"/>
                      <w:highlight w:val="none"/>
                      <w:u w:val="none"/>
                    </w:rPr>
                    <w:t>废边角料</w:t>
                  </w:r>
                </w:p>
              </w:tc>
              <w:tc>
                <w:tcPr>
                  <w:tcW w:w="1498" w:type="pct"/>
                  <w:noWrap w:val="0"/>
                  <w:vAlign w:val="center"/>
                </w:tcPr>
                <w:p>
                  <w:pPr>
                    <w:keepNext w:val="0"/>
                    <w:keepLines w:val="0"/>
                    <w:pageBreakBefore w:val="0"/>
                    <w:widowControl w:val="0"/>
                    <w:kinsoku/>
                    <w:wordWrap/>
                    <w:overflowPunct w:val="0"/>
                    <w:topLinePunct w:val="0"/>
                    <w:bidi w:val="0"/>
                    <w:jc w:val="center"/>
                    <w:textAlignment w:val="center"/>
                    <w:rPr>
                      <w:rFonts w:hint="eastAsia" w:eastAsia="宋体"/>
                      <w:color w:val="auto"/>
                      <w:szCs w:val="21"/>
                      <w:highlight w:val="yellow"/>
                      <w:u w:val="none"/>
                      <w:lang w:eastAsia="zh-CN"/>
                    </w:rPr>
                  </w:pPr>
                  <w:r>
                    <w:rPr>
                      <w:rFonts w:hint="eastAsia"/>
                      <w:color w:val="auto"/>
                      <w:kern w:val="0"/>
                      <w:szCs w:val="21"/>
                      <w:highlight w:val="none"/>
                      <w:u w:val="none"/>
                      <w:lang w:bidi="ar"/>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pStyle w:val="30"/>
                    <w:keepNext w:val="0"/>
                    <w:keepLines w:val="0"/>
                    <w:pageBreakBefore w:val="0"/>
                    <w:widowControl w:val="0"/>
                    <w:kinsoku/>
                    <w:wordWrap/>
                    <w:overflowPunct w:val="0"/>
                    <w:topLinePunct w:val="0"/>
                    <w:bidi w:val="0"/>
                    <w:adjustRightInd/>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废气处理系统</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eastAsia="zh-CN"/>
                    </w:rPr>
                  </w:pPr>
                  <w:r>
                    <w:rPr>
                      <w:rFonts w:hint="eastAsia"/>
                      <w:color w:val="auto"/>
                      <w:szCs w:val="21"/>
                      <w:highlight w:val="none"/>
                      <w:u w:val="none"/>
                    </w:rPr>
                    <w:t>S</w:t>
                  </w:r>
                  <w:r>
                    <w:rPr>
                      <w:rFonts w:hint="eastAsia"/>
                      <w:color w:val="auto"/>
                      <w:szCs w:val="21"/>
                      <w:highlight w:val="none"/>
                      <w:u w:val="none"/>
                      <w:lang w:val="en-US" w:eastAsia="zh-CN"/>
                    </w:rPr>
                    <w:t>3</w:t>
                  </w:r>
                </w:p>
              </w:tc>
              <w:tc>
                <w:tcPr>
                  <w:tcW w:w="1151" w:type="pct"/>
                  <w:noWrap w:val="0"/>
                  <w:vAlign w:val="center"/>
                </w:tcPr>
                <w:p>
                  <w:pPr>
                    <w:pStyle w:val="30"/>
                    <w:keepNext w:val="0"/>
                    <w:keepLines w:val="0"/>
                    <w:pageBreakBefore w:val="0"/>
                    <w:widowControl w:val="0"/>
                    <w:kinsoku/>
                    <w:wordWrap/>
                    <w:overflowPunct w:val="0"/>
                    <w:topLinePunct w:val="0"/>
                    <w:bidi w:val="0"/>
                    <w:adjustRightInd/>
                    <w:jc w:val="center"/>
                    <w:rPr>
                      <w:rFonts w:hint="eastAsia"/>
                      <w:color w:val="auto"/>
                      <w:sz w:val="21"/>
                      <w:szCs w:val="21"/>
                      <w:highlight w:val="none"/>
                      <w:u w:val="none"/>
                    </w:rPr>
                  </w:pPr>
                  <w:r>
                    <w:rPr>
                      <w:rFonts w:hint="eastAsia"/>
                      <w:color w:val="auto"/>
                      <w:sz w:val="21"/>
                      <w:szCs w:val="21"/>
                      <w:highlight w:val="none"/>
                      <w:u w:val="none"/>
                    </w:rPr>
                    <w:t>废活性炭</w:t>
                  </w:r>
                </w:p>
              </w:tc>
              <w:tc>
                <w:tcPr>
                  <w:tcW w:w="1498" w:type="pct"/>
                  <w:noWrap w:val="0"/>
                  <w:vAlign w:val="center"/>
                </w:tcPr>
                <w:p>
                  <w:pPr>
                    <w:keepNext w:val="0"/>
                    <w:keepLines w:val="0"/>
                    <w:pageBreakBefore w:val="0"/>
                    <w:widowControl w:val="0"/>
                    <w:kinsoku/>
                    <w:wordWrap/>
                    <w:overflowPunct w:val="0"/>
                    <w:topLinePunct w:val="0"/>
                    <w:bidi w:val="0"/>
                    <w:jc w:val="center"/>
                    <w:textAlignment w:val="center"/>
                    <w:rPr>
                      <w:rFonts w:hint="eastAsia"/>
                      <w:color w:val="auto"/>
                      <w:szCs w:val="21"/>
                      <w:highlight w:val="none"/>
                      <w:u w:val="none"/>
                    </w:rPr>
                  </w:pPr>
                  <w:r>
                    <w:rPr>
                      <w:rFonts w:hint="eastAsia"/>
                      <w:color w:val="auto"/>
                      <w:kern w:val="0"/>
                      <w:szCs w:val="21"/>
                      <w:highlight w:val="none"/>
                      <w:u w:val="none"/>
                      <w:lang w:bidi="ar"/>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pStyle w:val="30"/>
                    <w:keepNext w:val="0"/>
                    <w:keepLines w:val="0"/>
                    <w:pageBreakBefore w:val="0"/>
                    <w:widowControl w:val="0"/>
                    <w:kinsoku/>
                    <w:wordWrap/>
                    <w:overflowPunct w:val="0"/>
                    <w:topLinePunct w:val="0"/>
                    <w:bidi w:val="0"/>
                    <w:adjustRightInd/>
                    <w:jc w:val="center"/>
                    <w:rPr>
                      <w:rFonts w:hint="eastAsia"/>
                      <w:color w:val="auto"/>
                      <w:sz w:val="21"/>
                      <w:szCs w:val="21"/>
                      <w:highlight w:val="none"/>
                      <w:u w:val="none"/>
                    </w:rPr>
                  </w:pPr>
                  <w:r>
                    <w:rPr>
                      <w:rFonts w:hint="eastAsia"/>
                      <w:color w:val="auto"/>
                      <w:sz w:val="21"/>
                      <w:szCs w:val="21"/>
                      <w:highlight w:val="none"/>
                      <w:u w:val="none"/>
                      <w:lang w:eastAsia="zh-CN"/>
                    </w:rPr>
                    <w:t>废气处理系统</w:t>
                  </w:r>
                </w:p>
              </w:tc>
              <w:tc>
                <w:tcPr>
                  <w:tcW w:w="496" w:type="pct"/>
                  <w:noWrap w:val="0"/>
                  <w:vAlign w:val="center"/>
                </w:tcPr>
                <w:p>
                  <w:pPr>
                    <w:keepNext w:val="0"/>
                    <w:keepLines w:val="0"/>
                    <w:pageBreakBefore w:val="0"/>
                    <w:widowControl w:val="0"/>
                    <w:kinsoku/>
                    <w:wordWrap/>
                    <w:topLinePunct w:val="0"/>
                    <w:bidi w:val="0"/>
                    <w:jc w:val="center"/>
                    <w:rPr>
                      <w:rFonts w:hint="eastAsia" w:eastAsia="宋体"/>
                      <w:color w:val="auto"/>
                      <w:szCs w:val="21"/>
                      <w:highlight w:val="none"/>
                      <w:u w:val="none"/>
                      <w:lang w:val="en-US" w:eastAsia="zh-CN"/>
                    </w:rPr>
                  </w:pPr>
                  <w:r>
                    <w:rPr>
                      <w:rFonts w:hint="eastAsia"/>
                      <w:color w:val="auto"/>
                      <w:szCs w:val="21"/>
                      <w:highlight w:val="none"/>
                      <w:u w:val="none"/>
                    </w:rPr>
                    <w:t>S</w:t>
                  </w:r>
                  <w:r>
                    <w:rPr>
                      <w:rFonts w:hint="eastAsia"/>
                      <w:color w:val="auto"/>
                      <w:szCs w:val="21"/>
                      <w:highlight w:val="none"/>
                      <w:u w:val="none"/>
                      <w:lang w:val="en-US" w:eastAsia="zh-CN"/>
                    </w:rPr>
                    <w:t>4</w:t>
                  </w:r>
                </w:p>
              </w:tc>
              <w:tc>
                <w:tcPr>
                  <w:tcW w:w="1151" w:type="pct"/>
                  <w:noWrap w:val="0"/>
                  <w:vAlign w:val="center"/>
                </w:tcPr>
                <w:p>
                  <w:pPr>
                    <w:pStyle w:val="30"/>
                    <w:keepNext w:val="0"/>
                    <w:keepLines w:val="0"/>
                    <w:pageBreakBefore w:val="0"/>
                    <w:widowControl w:val="0"/>
                    <w:kinsoku/>
                    <w:wordWrap/>
                    <w:overflowPunct w:val="0"/>
                    <w:topLinePunct w:val="0"/>
                    <w:bidi w:val="0"/>
                    <w:adjustRightInd/>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紫外线灯管</w:t>
                  </w:r>
                </w:p>
              </w:tc>
              <w:tc>
                <w:tcPr>
                  <w:tcW w:w="1498" w:type="pct"/>
                  <w:noWrap w:val="0"/>
                  <w:vAlign w:val="center"/>
                </w:tcPr>
                <w:p>
                  <w:pPr>
                    <w:keepNext w:val="0"/>
                    <w:keepLines w:val="0"/>
                    <w:pageBreakBefore w:val="0"/>
                    <w:widowControl w:val="0"/>
                    <w:kinsoku/>
                    <w:wordWrap/>
                    <w:overflowPunct w:val="0"/>
                    <w:topLinePunct w:val="0"/>
                    <w:bidi w:val="0"/>
                    <w:jc w:val="center"/>
                    <w:textAlignment w:val="center"/>
                    <w:rPr>
                      <w:rFonts w:hint="eastAsia"/>
                      <w:color w:val="auto"/>
                      <w:kern w:val="0"/>
                      <w:szCs w:val="21"/>
                      <w:highlight w:val="none"/>
                      <w:u w:val="none"/>
                      <w:lang w:bidi="ar"/>
                    </w:rPr>
                  </w:pPr>
                  <w:r>
                    <w:rPr>
                      <w:rFonts w:hint="eastAsia"/>
                      <w:color w:val="auto"/>
                      <w:kern w:val="0"/>
                      <w:szCs w:val="21"/>
                      <w:highlight w:val="none"/>
                      <w:u w:val="none"/>
                      <w:lang w:bidi="ar"/>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noWrap w:val="0"/>
                  <w:vAlign w:val="center"/>
                </w:tcPr>
                <w:p>
                  <w:pPr>
                    <w:keepNext w:val="0"/>
                    <w:keepLines w:val="0"/>
                    <w:pageBreakBefore w:val="0"/>
                    <w:widowControl w:val="0"/>
                    <w:kinsoku/>
                    <w:wordWrap/>
                    <w:topLinePunct w:val="0"/>
                    <w:bidi w:val="0"/>
                    <w:jc w:val="center"/>
                    <w:rPr>
                      <w:rFonts w:hint="eastAsia"/>
                      <w:color w:val="auto"/>
                      <w:szCs w:val="21"/>
                      <w:highlight w:val="yellow"/>
                      <w:u w:val="none"/>
                    </w:rPr>
                  </w:pPr>
                </w:p>
              </w:tc>
              <w:tc>
                <w:tcPr>
                  <w:tcW w:w="1230" w:type="pct"/>
                  <w:noWrap w:val="0"/>
                  <w:vAlign w:val="center"/>
                </w:tcPr>
                <w:p>
                  <w:pPr>
                    <w:pStyle w:val="30"/>
                    <w:keepNext w:val="0"/>
                    <w:keepLines w:val="0"/>
                    <w:pageBreakBefore w:val="0"/>
                    <w:widowControl w:val="0"/>
                    <w:kinsoku/>
                    <w:wordWrap/>
                    <w:overflowPunct w:val="0"/>
                    <w:topLinePunct w:val="0"/>
                    <w:bidi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职工生活垃圾</w:t>
                  </w:r>
                </w:p>
              </w:tc>
              <w:tc>
                <w:tcPr>
                  <w:tcW w:w="496" w:type="pct"/>
                  <w:noWrap w:val="0"/>
                  <w:vAlign w:val="center"/>
                </w:tcPr>
                <w:p>
                  <w:pPr>
                    <w:keepNext w:val="0"/>
                    <w:keepLines w:val="0"/>
                    <w:pageBreakBefore w:val="0"/>
                    <w:widowControl w:val="0"/>
                    <w:kinsoku/>
                    <w:wordWrap/>
                    <w:topLinePunct w:val="0"/>
                    <w:bidi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Cs w:val="21"/>
                      <w:highlight w:val="none"/>
                      <w:u w:val="none"/>
                    </w:rPr>
                    <w:t>S</w:t>
                  </w:r>
                  <w:r>
                    <w:rPr>
                      <w:rFonts w:hint="eastAsia"/>
                      <w:color w:val="auto"/>
                      <w:szCs w:val="21"/>
                      <w:highlight w:val="none"/>
                      <w:u w:val="none"/>
                      <w:lang w:val="en-US" w:eastAsia="zh-CN"/>
                    </w:rPr>
                    <w:t>5</w:t>
                  </w:r>
                </w:p>
              </w:tc>
              <w:tc>
                <w:tcPr>
                  <w:tcW w:w="1151" w:type="pct"/>
                  <w:noWrap w:val="0"/>
                  <w:vAlign w:val="center"/>
                </w:tcPr>
                <w:p>
                  <w:pPr>
                    <w:pStyle w:val="30"/>
                    <w:keepNext w:val="0"/>
                    <w:keepLines w:val="0"/>
                    <w:pageBreakBefore w:val="0"/>
                    <w:widowControl w:val="0"/>
                    <w:kinsoku/>
                    <w:wordWrap/>
                    <w:overflowPunct w:val="0"/>
                    <w:topLinePunct w:val="0"/>
                    <w:bidi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color w:val="auto"/>
                      <w:sz w:val="21"/>
                      <w:szCs w:val="21"/>
                      <w:highlight w:val="none"/>
                      <w:u w:val="none"/>
                    </w:rPr>
                    <w:t>生活垃圾</w:t>
                  </w:r>
                </w:p>
              </w:tc>
              <w:tc>
                <w:tcPr>
                  <w:tcW w:w="1498" w:type="pct"/>
                  <w:noWrap w:val="0"/>
                  <w:vAlign w:val="center"/>
                </w:tcPr>
                <w:p>
                  <w:pPr>
                    <w:keepNext w:val="0"/>
                    <w:keepLines w:val="0"/>
                    <w:pageBreakBefore w:val="0"/>
                    <w:widowControl w:val="0"/>
                    <w:kinsoku/>
                    <w:wordWrap/>
                    <w:overflowPunct w:val="0"/>
                    <w:topLinePunct w:val="0"/>
                    <w:bidi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kern w:val="0"/>
                      <w:szCs w:val="21"/>
                      <w:highlight w:val="none"/>
                      <w:u w:val="none"/>
                      <w:lang w:bidi="ar"/>
                    </w:rPr>
                    <w:t>环卫清运</w:t>
                  </w:r>
                </w:p>
              </w:tc>
            </w:tr>
          </w:tbl>
          <w:p>
            <w:pPr>
              <w:pStyle w:val="31"/>
              <w:keepNext w:val="0"/>
              <w:keepLines w:val="0"/>
              <w:pageBreakBefore w:val="0"/>
              <w:widowControl w:val="0"/>
              <w:kinsoku/>
              <w:wordWrap/>
              <w:topLinePunct w:val="0"/>
              <w:bidi w:val="0"/>
              <w:ind w:firstLine="0" w:firstLineChars="0"/>
              <w:rPr>
                <w:rFonts w:hint="eastAsia" w:ascii="Times New Roman" w:hAnsi="Times New Roman" w:eastAsia="宋体" w:cs="Times New Roman"/>
                <w:b/>
                <w:bCs/>
                <w:color w:val="auto"/>
                <w:kern w:val="0"/>
                <w:sz w:val="21"/>
                <w:szCs w:val="21"/>
                <w:u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11" w:type="dxa"/>
            <w:noWrap w:val="0"/>
            <w:vAlign w:val="center"/>
          </w:tcPr>
          <w:p>
            <w:pPr>
              <w:pStyle w:val="11"/>
              <w:adjustRightInd w:val="0"/>
              <w:snapToGrid w:val="0"/>
              <w:spacing w:before="0" w:beforeAutospacing="0" w:after="0" w:afterAutospacing="0"/>
              <w:jc w:val="center"/>
              <w:rPr>
                <w:rFonts w:hint="eastAsia" w:cs="宋体"/>
                <w:color w:val="auto"/>
                <w:sz w:val="21"/>
                <w:szCs w:val="21"/>
                <w:u w:val="none"/>
              </w:rPr>
            </w:pPr>
            <w:r>
              <w:rPr>
                <w:rFonts w:hint="eastAsia" w:cs="宋体"/>
                <w:bCs/>
                <w:color w:val="auto"/>
                <w:kern w:val="2"/>
                <w:sz w:val="24"/>
                <w:szCs w:val="24"/>
                <w:u w:val="none"/>
              </w:rPr>
              <w:t>与项目有关的原有环境污染问题</w:t>
            </w:r>
          </w:p>
        </w:tc>
        <w:tc>
          <w:tcPr>
            <w:tcW w:w="7611" w:type="dxa"/>
            <w:noWrap w:val="0"/>
            <w:vAlign w:val="center"/>
          </w:tcPr>
          <w:p>
            <w:pPr>
              <w:keepNext w:val="0"/>
              <w:keepLines w:val="0"/>
              <w:pageBreakBefore w:val="0"/>
              <w:widowControl w:val="0"/>
              <w:kinsoku/>
              <w:wordWrap/>
              <w:topLinePunct w:val="0"/>
              <w:bidi w:val="0"/>
              <w:spacing w:line="360" w:lineRule="auto"/>
              <w:ind w:firstLine="480" w:firstLineChars="200"/>
              <w:jc w:val="center"/>
              <w:rPr>
                <w:rFonts w:hint="eastAsia" w:ascii="Times New Roman" w:hAnsi="Times New Roman" w:eastAsia="宋体" w:cs="Times New Roman"/>
                <w:b/>
                <w:bCs/>
                <w:color w:val="auto"/>
                <w:kern w:val="0"/>
                <w:sz w:val="21"/>
                <w:szCs w:val="21"/>
                <w:u w:val="none"/>
                <w:lang w:val="en-US" w:eastAsia="zh-CN" w:bidi="ar-SA"/>
              </w:rPr>
            </w:pPr>
            <w:r>
              <w:rPr>
                <w:rFonts w:hint="eastAsia"/>
                <w:color w:val="auto"/>
                <w:sz w:val="24"/>
                <w:u w:val="none"/>
              </w:rPr>
              <w:t>无</w:t>
            </w:r>
          </w:p>
        </w:tc>
      </w:tr>
    </w:tbl>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1"/>
        <w:jc w:val="center"/>
        <w:outlineLvl w:val="0"/>
        <w:rPr>
          <w:rFonts w:ascii="黑体" w:hAnsi="黑体" w:eastAsia="黑体"/>
          <w:snapToGrid w:val="0"/>
          <w:color w:val="auto"/>
          <w:sz w:val="30"/>
          <w:szCs w:val="30"/>
        </w:rPr>
      </w:pPr>
      <w:bookmarkStart w:id="8" w:name="_Toc23240"/>
      <w:bookmarkStart w:id="9" w:name="_Toc8659"/>
      <w:bookmarkStart w:id="10" w:name="_Toc1364"/>
      <w:r>
        <w:rPr>
          <w:rFonts w:hint="eastAsia" w:ascii="黑体" w:hAnsi="黑体" w:eastAsia="黑体"/>
          <w:snapToGrid w:val="0"/>
          <w:color w:val="auto"/>
          <w:sz w:val="30"/>
          <w:szCs w:val="30"/>
        </w:rPr>
        <w:t>三、区域环境质量现状、环境保护目标及评价标准</w:t>
      </w:r>
      <w:bookmarkEnd w:id="8"/>
      <w:bookmarkEnd w:id="9"/>
      <w:bookmarkEnd w:id="10"/>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7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800"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区域</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w:t>
            </w:r>
          </w:p>
          <w:p>
            <w:pPr>
              <w:adjustRightInd w:val="0"/>
              <w:snapToGrid w:val="0"/>
              <w:jc w:val="center"/>
              <w:rPr>
                <w:rFonts w:ascii="宋体" w:hAnsi="宋体" w:cs="宋体"/>
                <w:color w:val="auto"/>
                <w:kern w:val="0"/>
                <w:szCs w:val="21"/>
                <w:highlight w:val="yellow"/>
              </w:rPr>
            </w:pPr>
            <w:r>
              <w:rPr>
                <w:rFonts w:hint="eastAsia" w:ascii="宋体" w:hAnsi="宋体" w:cs="宋体"/>
                <w:color w:val="auto"/>
                <w:kern w:val="0"/>
                <w:sz w:val="24"/>
                <w:szCs w:val="24"/>
                <w:highlight w:val="none"/>
              </w:rPr>
              <w:t>现状</w:t>
            </w:r>
          </w:p>
        </w:tc>
        <w:tc>
          <w:tcPr>
            <w:tcW w:w="8220" w:type="dxa"/>
            <w:noWrap w:val="0"/>
            <w:vAlign w:val="center"/>
          </w:tcPr>
          <w:p>
            <w:pPr>
              <w:spacing w:line="360" w:lineRule="auto"/>
              <w:jc w:val="left"/>
              <w:rPr>
                <w:b/>
                <w:bCs/>
                <w:color w:val="auto"/>
                <w:kern w:val="0"/>
                <w:sz w:val="24"/>
                <w:highlight w:val="none"/>
              </w:rPr>
            </w:pPr>
            <w:r>
              <w:rPr>
                <w:rFonts w:hint="eastAsia"/>
                <w:b/>
                <w:bCs/>
                <w:color w:val="auto"/>
                <w:kern w:val="0"/>
                <w:sz w:val="24"/>
                <w:highlight w:val="none"/>
              </w:rPr>
              <w:t>1、</w:t>
            </w:r>
            <w:r>
              <w:rPr>
                <w:b/>
                <w:bCs/>
                <w:color w:val="auto"/>
                <w:kern w:val="0"/>
                <w:sz w:val="24"/>
                <w:highlight w:val="none"/>
              </w:rPr>
              <w:t>环境空气质量现状</w:t>
            </w:r>
          </w:p>
          <w:p>
            <w:pPr>
              <w:widowControl/>
              <w:spacing w:line="360" w:lineRule="auto"/>
              <w:rPr>
                <w:b/>
                <w:bCs/>
                <w:color w:val="auto"/>
                <w:sz w:val="24"/>
                <w:highlight w:val="none"/>
              </w:rPr>
            </w:pPr>
            <w:r>
              <w:rPr>
                <w:b/>
                <w:bCs/>
                <w:color w:val="auto"/>
                <w:sz w:val="24"/>
                <w:highlight w:val="none"/>
              </w:rPr>
              <w:t>1.1 数据来源</w:t>
            </w:r>
          </w:p>
          <w:p>
            <w:pPr>
              <w:widowControl/>
              <w:spacing w:line="360" w:lineRule="auto"/>
              <w:ind w:firstLine="480" w:firstLineChars="200"/>
              <w:rPr>
                <w:color w:val="auto"/>
                <w:sz w:val="24"/>
                <w:highlight w:val="none"/>
              </w:rPr>
            </w:pPr>
            <w:r>
              <w:rPr>
                <w:color w:val="auto"/>
                <w:sz w:val="24"/>
                <w:highlight w:val="none"/>
              </w:rPr>
              <w:t>本次环境影响评价空气质量现状监测数据引用</w:t>
            </w:r>
            <w:r>
              <w:rPr>
                <w:rFonts w:hint="eastAsia"/>
                <w:color w:val="auto"/>
                <w:sz w:val="24"/>
                <w:highlight w:val="none"/>
              </w:rPr>
              <w:t>《2021年永州市环境质量监测年报》中新田县环境空气质量现状数据</w:t>
            </w:r>
            <w:r>
              <w:rPr>
                <w:color w:val="auto"/>
                <w:sz w:val="24"/>
                <w:highlight w:val="none"/>
              </w:rPr>
              <w:t>进行评价。</w:t>
            </w:r>
          </w:p>
          <w:p>
            <w:pPr>
              <w:widowControl/>
              <w:spacing w:line="360" w:lineRule="auto"/>
              <w:rPr>
                <w:b/>
                <w:bCs/>
                <w:color w:val="auto"/>
                <w:sz w:val="24"/>
                <w:highlight w:val="none"/>
              </w:rPr>
            </w:pPr>
            <w:r>
              <w:rPr>
                <w:b/>
                <w:bCs/>
                <w:color w:val="auto"/>
                <w:sz w:val="24"/>
                <w:highlight w:val="none"/>
              </w:rPr>
              <w:t>1.2 空气质量判定</w:t>
            </w:r>
          </w:p>
          <w:p>
            <w:pPr>
              <w:widowControl/>
              <w:spacing w:line="360" w:lineRule="auto"/>
              <w:ind w:firstLine="480" w:firstLineChars="200"/>
              <w:rPr>
                <w:rFonts w:hint="eastAsia"/>
                <w:color w:val="auto"/>
                <w:sz w:val="24"/>
                <w:highlight w:val="none"/>
              </w:rPr>
            </w:pPr>
            <w:r>
              <w:rPr>
                <w:rFonts w:hint="eastAsia"/>
                <w:color w:val="auto"/>
                <w:sz w:val="24"/>
                <w:highlight w:val="none"/>
              </w:rPr>
              <w:t>新田县环境空气质量监测结果统计具体情况见下表。</w:t>
            </w:r>
          </w:p>
          <w:p>
            <w:pPr>
              <w:widowControl/>
              <w:spacing w:line="360" w:lineRule="auto"/>
              <w:jc w:val="center"/>
              <w:rPr>
                <w:b/>
                <w:bCs/>
                <w:color w:val="auto"/>
                <w:szCs w:val="21"/>
                <w:highlight w:val="none"/>
              </w:rPr>
            </w:pPr>
            <w:r>
              <w:rPr>
                <w:b/>
                <w:bCs/>
                <w:color w:val="auto"/>
                <w:szCs w:val="21"/>
                <w:highlight w:val="none"/>
              </w:rPr>
              <w:t>表3-1  区域空气质量现状评价表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425"/>
              <w:gridCol w:w="1579"/>
              <w:gridCol w:w="1524"/>
              <w:gridCol w:w="1250"/>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b/>
                      <w:bCs/>
                      <w:color w:val="auto"/>
                      <w:u w:val="none"/>
                    </w:rPr>
                  </w:pPr>
                  <w:r>
                    <w:rPr>
                      <w:b/>
                      <w:bCs/>
                      <w:color w:val="auto"/>
                      <w:u w:val="none"/>
                    </w:rPr>
                    <w:t>监测因子</w:t>
                  </w:r>
                </w:p>
              </w:tc>
              <w:tc>
                <w:tcPr>
                  <w:tcW w:w="918" w:type="pct"/>
                  <w:vAlign w:val="center"/>
                </w:tcPr>
                <w:p>
                  <w:pPr>
                    <w:jc w:val="center"/>
                    <w:rPr>
                      <w:b/>
                      <w:bCs/>
                      <w:color w:val="auto"/>
                      <w:u w:val="none"/>
                    </w:rPr>
                  </w:pPr>
                  <w:r>
                    <w:rPr>
                      <w:b/>
                      <w:bCs/>
                      <w:color w:val="auto"/>
                      <w:u w:val="none"/>
                    </w:rPr>
                    <w:t>年评价指标</w:t>
                  </w:r>
                </w:p>
              </w:tc>
              <w:tc>
                <w:tcPr>
                  <w:tcW w:w="1017" w:type="pct"/>
                  <w:vAlign w:val="center"/>
                </w:tcPr>
                <w:p>
                  <w:pPr>
                    <w:jc w:val="center"/>
                    <w:rPr>
                      <w:b/>
                      <w:bCs/>
                      <w:color w:val="auto"/>
                      <w:u w:val="none"/>
                    </w:rPr>
                  </w:pPr>
                  <w:r>
                    <w:rPr>
                      <w:b/>
                      <w:bCs/>
                      <w:color w:val="auto"/>
                      <w:u w:val="none"/>
                    </w:rPr>
                    <w:t>监测浓度（年平均值）</w:t>
                  </w:r>
                </w:p>
              </w:tc>
              <w:tc>
                <w:tcPr>
                  <w:tcW w:w="982" w:type="pct"/>
                  <w:vAlign w:val="center"/>
                </w:tcPr>
                <w:p>
                  <w:pPr>
                    <w:jc w:val="center"/>
                    <w:rPr>
                      <w:b/>
                      <w:bCs/>
                      <w:color w:val="auto"/>
                      <w:u w:val="none"/>
                    </w:rPr>
                  </w:pPr>
                  <w:r>
                    <w:rPr>
                      <w:b/>
                      <w:bCs/>
                      <w:color w:val="auto"/>
                      <w:u w:val="none"/>
                    </w:rPr>
                    <w:t>标准值（年平均值）</w:t>
                  </w:r>
                </w:p>
              </w:tc>
              <w:tc>
                <w:tcPr>
                  <w:tcW w:w="805" w:type="pct"/>
                  <w:vAlign w:val="center"/>
                </w:tcPr>
                <w:p>
                  <w:pPr>
                    <w:jc w:val="center"/>
                    <w:rPr>
                      <w:b/>
                      <w:bCs/>
                      <w:color w:val="auto"/>
                      <w:u w:val="none"/>
                    </w:rPr>
                  </w:pPr>
                  <w:r>
                    <w:rPr>
                      <w:b/>
                      <w:bCs/>
                      <w:color w:val="auto"/>
                      <w:u w:val="none"/>
                    </w:rPr>
                    <w:t>占标率（%）</w:t>
                  </w:r>
                </w:p>
              </w:tc>
              <w:tc>
                <w:tcPr>
                  <w:tcW w:w="466" w:type="pct"/>
                  <w:vAlign w:val="center"/>
                </w:tcPr>
                <w:p>
                  <w:pPr>
                    <w:jc w:val="center"/>
                    <w:rPr>
                      <w:b/>
                      <w:bCs/>
                      <w:color w:val="auto"/>
                      <w:u w:val="none"/>
                    </w:rPr>
                  </w:pPr>
                  <w:r>
                    <w:rPr>
                      <w:b/>
                      <w:bCs/>
                      <w:color w:val="auto"/>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u w:val="none"/>
                    </w:rPr>
                  </w:pPr>
                  <w:r>
                    <w:rPr>
                      <w:color w:val="auto"/>
                      <w:u w:val="none"/>
                    </w:rPr>
                    <w:t>PM</w:t>
                  </w:r>
                  <w:r>
                    <w:rPr>
                      <w:color w:val="auto"/>
                      <w:u w:val="none"/>
                      <w:vertAlign w:val="subscript"/>
                    </w:rPr>
                    <w:t>10</w:t>
                  </w:r>
                </w:p>
              </w:tc>
              <w:tc>
                <w:tcPr>
                  <w:tcW w:w="918" w:type="pct"/>
                  <w:vMerge w:val="restart"/>
                  <w:vAlign w:val="center"/>
                </w:tcPr>
                <w:p>
                  <w:pPr>
                    <w:pStyle w:val="34"/>
                    <w:snapToGrid w:val="0"/>
                    <w:spacing w:line="240" w:lineRule="auto"/>
                    <w:rPr>
                      <w:color w:val="auto"/>
                      <w:u w:val="none"/>
                    </w:rPr>
                  </w:pPr>
                  <w:r>
                    <w:rPr>
                      <w:color w:val="auto"/>
                      <w:u w:val="none"/>
                    </w:rPr>
                    <w:t>年平均质量浓度</w:t>
                  </w:r>
                </w:p>
              </w:tc>
              <w:tc>
                <w:tcPr>
                  <w:tcW w:w="1017" w:type="pct"/>
                  <w:vAlign w:val="center"/>
                </w:tcPr>
                <w:p>
                  <w:pPr>
                    <w:jc w:val="center"/>
                    <w:rPr>
                      <w:color w:val="auto"/>
                      <w:u w:val="none"/>
                    </w:rPr>
                  </w:pPr>
                  <w:r>
                    <w:rPr>
                      <w:rFonts w:hint="eastAsia"/>
                      <w:color w:val="auto"/>
                      <w:u w:val="none"/>
                    </w:rPr>
                    <w:t>4</w:t>
                  </w:r>
                  <w:r>
                    <w:rPr>
                      <w:rFonts w:hint="eastAsia"/>
                      <w:color w:val="auto"/>
                      <w:u w:val="none"/>
                      <w:lang w:val="en-US" w:eastAsia="zh-CN"/>
                    </w:rPr>
                    <w:t>2</w:t>
                  </w:r>
                  <w:r>
                    <w:rPr>
                      <w:color w:val="auto"/>
                      <w:u w:val="none"/>
                    </w:rPr>
                    <w:t>ug/m</w:t>
                  </w:r>
                </w:p>
              </w:tc>
              <w:tc>
                <w:tcPr>
                  <w:tcW w:w="982" w:type="pct"/>
                  <w:vAlign w:val="center"/>
                </w:tcPr>
                <w:p>
                  <w:pPr>
                    <w:jc w:val="center"/>
                    <w:rPr>
                      <w:color w:val="auto"/>
                      <w:u w:val="none"/>
                    </w:rPr>
                  </w:pPr>
                  <w:r>
                    <w:rPr>
                      <w:color w:val="auto"/>
                      <w:u w:val="none"/>
                    </w:rPr>
                    <w:t>70ug/m</w:t>
                  </w:r>
                </w:p>
              </w:tc>
              <w:tc>
                <w:tcPr>
                  <w:tcW w:w="805" w:type="pct"/>
                  <w:vAlign w:val="center"/>
                </w:tcPr>
                <w:p>
                  <w:pPr>
                    <w:jc w:val="center"/>
                    <w:rPr>
                      <w:color w:val="auto"/>
                      <w:u w:val="none"/>
                    </w:rPr>
                  </w:pPr>
                  <w:r>
                    <w:rPr>
                      <w:rFonts w:hint="eastAsia"/>
                      <w:color w:val="auto"/>
                      <w:u w:val="none"/>
                      <w:lang w:val="en-US" w:eastAsia="zh-CN"/>
                    </w:rPr>
                    <w:t>60</w:t>
                  </w:r>
                  <w:r>
                    <w:rPr>
                      <w:rFonts w:hint="eastAsia"/>
                      <w:color w:val="auto"/>
                      <w:u w:val="none"/>
                    </w:rPr>
                    <w:t>%</w:t>
                  </w:r>
                </w:p>
              </w:tc>
              <w:tc>
                <w:tcPr>
                  <w:tcW w:w="466" w:type="pct"/>
                  <w:vAlign w:val="center"/>
                </w:tcPr>
                <w:p>
                  <w:pPr>
                    <w:jc w:val="center"/>
                    <w:rPr>
                      <w:color w:val="auto"/>
                      <w:u w:val="none"/>
                    </w:rPr>
                  </w:pPr>
                  <w:r>
                    <w:rPr>
                      <w:rFonts w:hint="eastAsia"/>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u w:val="none"/>
                    </w:rPr>
                  </w:pPr>
                  <w:r>
                    <w:rPr>
                      <w:color w:val="auto"/>
                      <w:u w:val="none"/>
                    </w:rPr>
                    <w:t>PM</w:t>
                  </w:r>
                  <w:r>
                    <w:rPr>
                      <w:color w:val="auto"/>
                      <w:u w:val="none"/>
                      <w:vertAlign w:val="subscript"/>
                    </w:rPr>
                    <w:t>2.5</w:t>
                  </w:r>
                </w:p>
              </w:tc>
              <w:tc>
                <w:tcPr>
                  <w:tcW w:w="918" w:type="pct"/>
                  <w:vMerge w:val="continue"/>
                  <w:vAlign w:val="center"/>
                </w:tcPr>
                <w:p>
                  <w:pPr>
                    <w:pStyle w:val="34"/>
                    <w:snapToGrid w:val="0"/>
                    <w:spacing w:line="240" w:lineRule="auto"/>
                    <w:rPr>
                      <w:color w:val="auto"/>
                      <w:u w:val="none"/>
                    </w:rPr>
                  </w:pPr>
                </w:p>
              </w:tc>
              <w:tc>
                <w:tcPr>
                  <w:tcW w:w="1017" w:type="pct"/>
                  <w:vAlign w:val="center"/>
                </w:tcPr>
                <w:p>
                  <w:pPr>
                    <w:jc w:val="center"/>
                    <w:rPr>
                      <w:color w:val="auto"/>
                      <w:u w:val="none"/>
                    </w:rPr>
                  </w:pPr>
                  <w:r>
                    <w:rPr>
                      <w:rFonts w:hint="eastAsia"/>
                      <w:color w:val="auto"/>
                      <w:u w:val="none"/>
                      <w:lang w:val="en-US" w:eastAsia="zh-CN"/>
                    </w:rPr>
                    <w:t>30</w:t>
                  </w:r>
                  <w:r>
                    <w:rPr>
                      <w:color w:val="auto"/>
                      <w:u w:val="none"/>
                    </w:rPr>
                    <w:t>ug/m</w:t>
                  </w:r>
                  <w:r>
                    <w:rPr>
                      <w:color w:val="auto"/>
                      <w:u w:val="none"/>
                      <w:vertAlign w:val="superscript"/>
                    </w:rPr>
                    <w:t>3</w:t>
                  </w:r>
                </w:p>
              </w:tc>
              <w:tc>
                <w:tcPr>
                  <w:tcW w:w="982" w:type="pct"/>
                  <w:vAlign w:val="center"/>
                </w:tcPr>
                <w:p>
                  <w:pPr>
                    <w:jc w:val="center"/>
                    <w:rPr>
                      <w:color w:val="auto"/>
                      <w:u w:val="none"/>
                    </w:rPr>
                  </w:pPr>
                  <w:r>
                    <w:rPr>
                      <w:color w:val="auto"/>
                      <w:u w:val="none"/>
                    </w:rPr>
                    <w:t>3</w:t>
                  </w:r>
                  <w:r>
                    <w:rPr>
                      <w:rFonts w:hint="eastAsia"/>
                      <w:color w:val="auto"/>
                      <w:u w:val="none"/>
                    </w:rPr>
                    <w:t>5</w:t>
                  </w:r>
                  <w:r>
                    <w:rPr>
                      <w:color w:val="auto"/>
                      <w:u w:val="none"/>
                    </w:rPr>
                    <w:t>ug/m</w:t>
                  </w:r>
                  <w:r>
                    <w:rPr>
                      <w:color w:val="auto"/>
                      <w:u w:val="none"/>
                      <w:vertAlign w:val="superscript"/>
                    </w:rPr>
                    <w:t>3</w:t>
                  </w:r>
                </w:p>
              </w:tc>
              <w:tc>
                <w:tcPr>
                  <w:tcW w:w="805" w:type="pct"/>
                  <w:vAlign w:val="center"/>
                </w:tcPr>
                <w:p>
                  <w:pPr>
                    <w:jc w:val="center"/>
                    <w:rPr>
                      <w:color w:val="auto"/>
                      <w:u w:val="none"/>
                    </w:rPr>
                  </w:pPr>
                  <w:r>
                    <w:rPr>
                      <w:rFonts w:hint="eastAsia"/>
                      <w:color w:val="auto"/>
                      <w:u w:val="none"/>
                      <w:lang w:val="en-US" w:eastAsia="zh-CN"/>
                    </w:rPr>
                    <w:t>85.7</w:t>
                  </w:r>
                  <w:r>
                    <w:rPr>
                      <w:rFonts w:hint="eastAsia"/>
                      <w:color w:val="auto"/>
                      <w:u w:val="none"/>
                    </w:rPr>
                    <w:t>%</w:t>
                  </w:r>
                </w:p>
              </w:tc>
              <w:tc>
                <w:tcPr>
                  <w:tcW w:w="466" w:type="pct"/>
                  <w:vAlign w:val="center"/>
                </w:tcPr>
                <w:p>
                  <w:pPr>
                    <w:jc w:val="center"/>
                    <w:rPr>
                      <w:color w:val="auto"/>
                      <w:u w:val="none"/>
                    </w:rPr>
                  </w:pPr>
                  <w:r>
                    <w:rPr>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u w:val="none"/>
                    </w:rPr>
                  </w:pPr>
                  <w:r>
                    <w:rPr>
                      <w:color w:val="auto"/>
                      <w:u w:val="none"/>
                    </w:rPr>
                    <w:t>二氧化硫</w:t>
                  </w:r>
                </w:p>
              </w:tc>
              <w:tc>
                <w:tcPr>
                  <w:tcW w:w="918" w:type="pct"/>
                  <w:vMerge w:val="continue"/>
                  <w:vAlign w:val="center"/>
                </w:tcPr>
                <w:p>
                  <w:pPr>
                    <w:pStyle w:val="34"/>
                    <w:snapToGrid w:val="0"/>
                    <w:spacing w:line="240" w:lineRule="auto"/>
                    <w:rPr>
                      <w:color w:val="auto"/>
                      <w:u w:val="none"/>
                    </w:rPr>
                  </w:pPr>
                </w:p>
              </w:tc>
              <w:tc>
                <w:tcPr>
                  <w:tcW w:w="1017" w:type="pct"/>
                  <w:vAlign w:val="center"/>
                </w:tcPr>
                <w:p>
                  <w:pPr>
                    <w:jc w:val="center"/>
                    <w:rPr>
                      <w:color w:val="auto"/>
                      <w:u w:val="none"/>
                    </w:rPr>
                  </w:pPr>
                  <w:r>
                    <w:rPr>
                      <w:rFonts w:hint="eastAsia"/>
                      <w:color w:val="auto"/>
                      <w:u w:val="none"/>
                      <w:lang w:val="en-US" w:eastAsia="zh-CN"/>
                    </w:rPr>
                    <w:t>6</w:t>
                  </w:r>
                  <w:r>
                    <w:rPr>
                      <w:color w:val="auto"/>
                      <w:u w:val="none"/>
                    </w:rPr>
                    <w:t>ug/m</w:t>
                  </w:r>
                  <w:r>
                    <w:rPr>
                      <w:color w:val="auto"/>
                      <w:u w:val="none"/>
                      <w:vertAlign w:val="superscript"/>
                    </w:rPr>
                    <w:t>3</w:t>
                  </w:r>
                </w:p>
              </w:tc>
              <w:tc>
                <w:tcPr>
                  <w:tcW w:w="982" w:type="pct"/>
                  <w:vAlign w:val="center"/>
                </w:tcPr>
                <w:p>
                  <w:pPr>
                    <w:jc w:val="center"/>
                    <w:rPr>
                      <w:color w:val="auto"/>
                      <w:u w:val="none"/>
                    </w:rPr>
                  </w:pPr>
                  <w:r>
                    <w:rPr>
                      <w:color w:val="auto"/>
                      <w:u w:val="none"/>
                    </w:rPr>
                    <w:t>60ug/m</w:t>
                  </w:r>
                  <w:r>
                    <w:rPr>
                      <w:color w:val="auto"/>
                      <w:u w:val="none"/>
                      <w:vertAlign w:val="superscript"/>
                    </w:rPr>
                    <w:t>3</w:t>
                  </w:r>
                </w:p>
              </w:tc>
              <w:tc>
                <w:tcPr>
                  <w:tcW w:w="805" w:type="pct"/>
                  <w:vAlign w:val="center"/>
                </w:tcPr>
                <w:p>
                  <w:pPr>
                    <w:jc w:val="center"/>
                    <w:rPr>
                      <w:color w:val="auto"/>
                      <w:u w:val="none"/>
                    </w:rPr>
                  </w:pPr>
                  <w:r>
                    <w:rPr>
                      <w:rFonts w:hint="eastAsia"/>
                      <w:color w:val="auto"/>
                      <w:u w:val="none"/>
                      <w:lang w:val="en-US" w:eastAsia="zh-CN"/>
                    </w:rPr>
                    <w:t>10</w:t>
                  </w:r>
                  <w:r>
                    <w:rPr>
                      <w:rFonts w:hint="eastAsia"/>
                      <w:color w:val="auto"/>
                      <w:u w:val="none"/>
                    </w:rPr>
                    <w:t>%</w:t>
                  </w:r>
                </w:p>
              </w:tc>
              <w:tc>
                <w:tcPr>
                  <w:tcW w:w="466" w:type="pct"/>
                  <w:vAlign w:val="center"/>
                </w:tcPr>
                <w:p>
                  <w:pPr>
                    <w:jc w:val="center"/>
                    <w:rPr>
                      <w:color w:val="auto"/>
                      <w:u w:val="none"/>
                    </w:rPr>
                  </w:pPr>
                  <w:r>
                    <w:rPr>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u w:val="none"/>
                    </w:rPr>
                  </w:pPr>
                  <w:r>
                    <w:rPr>
                      <w:color w:val="auto"/>
                      <w:u w:val="none"/>
                    </w:rPr>
                    <w:t>二氧化氮</w:t>
                  </w:r>
                </w:p>
              </w:tc>
              <w:tc>
                <w:tcPr>
                  <w:tcW w:w="918" w:type="pct"/>
                  <w:vMerge w:val="continue"/>
                  <w:vAlign w:val="center"/>
                </w:tcPr>
                <w:p>
                  <w:pPr>
                    <w:pStyle w:val="34"/>
                    <w:snapToGrid w:val="0"/>
                    <w:spacing w:line="240" w:lineRule="auto"/>
                    <w:rPr>
                      <w:color w:val="auto"/>
                      <w:u w:val="none"/>
                    </w:rPr>
                  </w:pPr>
                </w:p>
              </w:tc>
              <w:tc>
                <w:tcPr>
                  <w:tcW w:w="1017" w:type="pct"/>
                  <w:vAlign w:val="center"/>
                </w:tcPr>
                <w:p>
                  <w:pPr>
                    <w:jc w:val="center"/>
                    <w:rPr>
                      <w:color w:val="auto"/>
                      <w:u w:val="none"/>
                    </w:rPr>
                  </w:pPr>
                  <w:r>
                    <w:rPr>
                      <w:rFonts w:hint="eastAsia"/>
                      <w:color w:val="auto"/>
                      <w:u w:val="none"/>
                      <w:lang w:val="en-US" w:eastAsia="zh-CN"/>
                    </w:rPr>
                    <w:t>10</w:t>
                  </w:r>
                  <w:r>
                    <w:rPr>
                      <w:color w:val="auto"/>
                      <w:u w:val="none"/>
                    </w:rPr>
                    <w:t>ug/m</w:t>
                  </w:r>
                  <w:r>
                    <w:rPr>
                      <w:color w:val="auto"/>
                      <w:u w:val="none"/>
                      <w:vertAlign w:val="superscript"/>
                    </w:rPr>
                    <w:t>3</w:t>
                  </w:r>
                </w:p>
              </w:tc>
              <w:tc>
                <w:tcPr>
                  <w:tcW w:w="982" w:type="pct"/>
                  <w:vAlign w:val="center"/>
                </w:tcPr>
                <w:p>
                  <w:pPr>
                    <w:jc w:val="center"/>
                    <w:rPr>
                      <w:color w:val="auto"/>
                      <w:u w:val="none"/>
                    </w:rPr>
                  </w:pPr>
                  <w:r>
                    <w:rPr>
                      <w:color w:val="auto"/>
                      <w:u w:val="none"/>
                    </w:rPr>
                    <w:t>40ug/m</w:t>
                  </w:r>
                  <w:r>
                    <w:rPr>
                      <w:color w:val="auto"/>
                      <w:u w:val="none"/>
                      <w:vertAlign w:val="superscript"/>
                    </w:rPr>
                    <w:t>3</w:t>
                  </w:r>
                </w:p>
              </w:tc>
              <w:tc>
                <w:tcPr>
                  <w:tcW w:w="805" w:type="pct"/>
                  <w:vAlign w:val="center"/>
                </w:tcPr>
                <w:p>
                  <w:pPr>
                    <w:jc w:val="center"/>
                    <w:rPr>
                      <w:color w:val="auto"/>
                      <w:u w:val="none"/>
                    </w:rPr>
                  </w:pPr>
                  <w:r>
                    <w:rPr>
                      <w:rFonts w:hint="eastAsia"/>
                      <w:color w:val="auto"/>
                      <w:u w:val="none"/>
                      <w:lang w:val="en-US" w:eastAsia="zh-CN"/>
                    </w:rPr>
                    <w:t>25</w:t>
                  </w:r>
                  <w:r>
                    <w:rPr>
                      <w:rFonts w:hint="eastAsia"/>
                      <w:color w:val="auto"/>
                      <w:u w:val="none"/>
                    </w:rPr>
                    <w:t>%</w:t>
                  </w:r>
                </w:p>
              </w:tc>
              <w:tc>
                <w:tcPr>
                  <w:tcW w:w="466" w:type="pct"/>
                  <w:vAlign w:val="center"/>
                </w:tcPr>
                <w:p>
                  <w:pPr>
                    <w:jc w:val="center"/>
                    <w:rPr>
                      <w:color w:val="auto"/>
                      <w:u w:val="none"/>
                    </w:rPr>
                  </w:pPr>
                  <w:r>
                    <w:rPr>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u w:val="none"/>
                    </w:rPr>
                  </w:pPr>
                  <w:r>
                    <w:rPr>
                      <w:color w:val="auto"/>
                      <w:u w:val="none"/>
                    </w:rPr>
                    <w:t>臭氧</w:t>
                  </w:r>
                </w:p>
              </w:tc>
              <w:tc>
                <w:tcPr>
                  <w:tcW w:w="918" w:type="pct"/>
                  <w:vAlign w:val="center"/>
                </w:tcPr>
                <w:p>
                  <w:pPr>
                    <w:pStyle w:val="34"/>
                    <w:snapToGrid w:val="0"/>
                    <w:spacing w:line="240" w:lineRule="auto"/>
                    <w:rPr>
                      <w:color w:val="auto"/>
                      <w:u w:val="none"/>
                    </w:rPr>
                  </w:pPr>
                  <w:r>
                    <w:rPr>
                      <w:color w:val="auto"/>
                      <w:u w:val="none"/>
                    </w:rPr>
                    <w:t>日最大8h第90百分位</w:t>
                  </w:r>
                </w:p>
              </w:tc>
              <w:tc>
                <w:tcPr>
                  <w:tcW w:w="1017" w:type="pct"/>
                  <w:vAlign w:val="center"/>
                </w:tcPr>
                <w:p>
                  <w:pPr>
                    <w:jc w:val="center"/>
                    <w:rPr>
                      <w:color w:val="auto"/>
                      <w:u w:val="none"/>
                    </w:rPr>
                  </w:pPr>
                  <w:r>
                    <w:rPr>
                      <w:rFonts w:hint="eastAsia"/>
                      <w:color w:val="auto"/>
                      <w:u w:val="none"/>
                      <w:lang w:val="en-US" w:eastAsia="zh-CN"/>
                    </w:rPr>
                    <w:t>114</w:t>
                  </w:r>
                  <w:r>
                    <w:rPr>
                      <w:color w:val="auto"/>
                      <w:u w:val="none"/>
                    </w:rPr>
                    <w:t>ug/m</w:t>
                  </w:r>
                </w:p>
              </w:tc>
              <w:tc>
                <w:tcPr>
                  <w:tcW w:w="982" w:type="pct"/>
                  <w:vAlign w:val="center"/>
                </w:tcPr>
                <w:p>
                  <w:pPr>
                    <w:jc w:val="center"/>
                    <w:rPr>
                      <w:color w:val="auto"/>
                      <w:u w:val="none"/>
                    </w:rPr>
                  </w:pPr>
                  <w:r>
                    <w:rPr>
                      <w:color w:val="auto"/>
                      <w:u w:val="none"/>
                    </w:rPr>
                    <w:t>160ug/m</w:t>
                  </w:r>
                </w:p>
              </w:tc>
              <w:tc>
                <w:tcPr>
                  <w:tcW w:w="805" w:type="pct"/>
                  <w:vAlign w:val="center"/>
                </w:tcPr>
                <w:p>
                  <w:pPr>
                    <w:jc w:val="center"/>
                    <w:rPr>
                      <w:color w:val="auto"/>
                      <w:u w:val="none"/>
                    </w:rPr>
                  </w:pPr>
                  <w:r>
                    <w:rPr>
                      <w:rFonts w:hint="eastAsia"/>
                      <w:color w:val="auto"/>
                      <w:u w:val="none"/>
                    </w:rPr>
                    <w:t>7</w:t>
                  </w:r>
                  <w:r>
                    <w:rPr>
                      <w:rFonts w:hint="eastAsia"/>
                      <w:color w:val="auto"/>
                      <w:u w:val="none"/>
                      <w:lang w:val="en-US" w:eastAsia="zh-CN"/>
                    </w:rPr>
                    <w:t>1.25</w:t>
                  </w:r>
                  <w:r>
                    <w:rPr>
                      <w:rFonts w:hint="eastAsia"/>
                      <w:color w:val="auto"/>
                      <w:u w:val="none"/>
                    </w:rPr>
                    <w:t>%</w:t>
                  </w:r>
                </w:p>
              </w:tc>
              <w:tc>
                <w:tcPr>
                  <w:tcW w:w="466" w:type="pct"/>
                  <w:vAlign w:val="center"/>
                </w:tcPr>
                <w:p>
                  <w:pPr>
                    <w:jc w:val="center"/>
                    <w:rPr>
                      <w:color w:val="auto"/>
                      <w:u w:val="none"/>
                    </w:rPr>
                  </w:pPr>
                  <w:r>
                    <w:rPr>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8" w:type="pct"/>
                  <w:vAlign w:val="center"/>
                </w:tcPr>
                <w:p>
                  <w:pPr>
                    <w:jc w:val="center"/>
                    <w:rPr>
                      <w:color w:val="auto"/>
                      <w:highlight w:val="none"/>
                      <w:u w:val="none"/>
                    </w:rPr>
                  </w:pPr>
                  <w:r>
                    <w:rPr>
                      <w:color w:val="auto"/>
                      <w:highlight w:val="none"/>
                      <w:u w:val="none"/>
                    </w:rPr>
                    <w:t>一氧化碳</w:t>
                  </w:r>
                </w:p>
              </w:tc>
              <w:tc>
                <w:tcPr>
                  <w:tcW w:w="918" w:type="pct"/>
                  <w:vAlign w:val="center"/>
                </w:tcPr>
                <w:p>
                  <w:pPr>
                    <w:pStyle w:val="34"/>
                    <w:snapToGrid w:val="0"/>
                    <w:spacing w:line="240" w:lineRule="auto"/>
                    <w:rPr>
                      <w:color w:val="auto"/>
                      <w:highlight w:val="none"/>
                      <w:u w:val="none"/>
                    </w:rPr>
                  </w:pPr>
                  <w:r>
                    <w:rPr>
                      <w:color w:val="auto"/>
                      <w:highlight w:val="none"/>
                      <w:u w:val="none"/>
                    </w:rPr>
                    <w:t>CO第95百分值</w:t>
                  </w:r>
                </w:p>
              </w:tc>
              <w:tc>
                <w:tcPr>
                  <w:tcW w:w="1017" w:type="pct"/>
                  <w:vAlign w:val="center"/>
                </w:tcPr>
                <w:p>
                  <w:pPr>
                    <w:jc w:val="center"/>
                    <w:rPr>
                      <w:color w:val="auto"/>
                      <w:highlight w:val="none"/>
                      <w:u w:val="none"/>
                    </w:rPr>
                  </w:pPr>
                  <w:r>
                    <w:rPr>
                      <w:rFonts w:hint="eastAsia"/>
                      <w:color w:val="auto"/>
                      <w:highlight w:val="none"/>
                      <w:u w:val="none"/>
                    </w:rPr>
                    <w:t>0.9</w:t>
                  </w:r>
                  <w:r>
                    <w:rPr>
                      <w:color w:val="auto"/>
                      <w:highlight w:val="none"/>
                      <w:u w:val="none"/>
                    </w:rPr>
                    <w:t>mg/m</w:t>
                  </w:r>
                  <w:r>
                    <w:rPr>
                      <w:color w:val="auto"/>
                      <w:highlight w:val="none"/>
                      <w:u w:val="none"/>
                      <w:vertAlign w:val="superscript"/>
                    </w:rPr>
                    <w:t>3</w:t>
                  </w:r>
                </w:p>
              </w:tc>
              <w:tc>
                <w:tcPr>
                  <w:tcW w:w="982" w:type="pct"/>
                  <w:vAlign w:val="center"/>
                </w:tcPr>
                <w:p>
                  <w:pPr>
                    <w:jc w:val="center"/>
                    <w:rPr>
                      <w:color w:val="auto"/>
                      <w:highlight w:val="none"/>
                      <w:u w:val="none"/>
                    </w:rPr>
                  </w:pPr>
                  <w:r>
                    <w:rPr>
                      <w:color w:val="auto"/>
                      <w:highlight w:val="none"/>
                      <w:u w:val="none"/>
                    </w:rPr>
                    <w:t>4mg/m</w:t>
                  </w:r>
                  <w:r>
                    <w:rPr>
                      <w:color w:val="auto"/>
                      <w:highlight w:val="none"/>
                      <w:u w:val="none"/>
                      <w:vertAlign w:val="superscript"/>
                    </w:rPr>
                    <w:t>3</w:t>
                  </w:r>
                </w:p>
              </w:tc>
              <w:tc>
                <w:tcPr>
                  <w:tcW w:w="805" w:type="pct"/>
                  <w:vAlign w:val="center"/>
                </w:tcPr>
                <w:p>
                  <w:pPr>
                    <w:jc w:val="center"/>
                    <w:rPr>
                      <w:color w:val="auto"/>
                      <w:highlight w:val="none"/>
                      <w:u w:val="none"/>
                    </w:rPr>
                  </w:pPr>
                  <w:r>
                    <w:rPr>
                      <w:rFonts w:hint="eastAsia"/>
                      <w:color w:val="auto"/>
                      <w:highlight w:val="none"/>
                      <w:u w:val="none"/>
                    </w:rPr>
                    <w:t>22.5%</w:t>
                  </w:r>
                </w:p>
              </w:tc>
              <w:tc>
                <w:tcPr>
                  <w:tcW w:w="466" w:type="pct"/>
                  <w:vAlign w:val="center"/>
                </w:tcPr>
                <w:p>
                  <w:pPr>
                    <w:jc w:val="center"/>
                    <w:rPr>
                      <w:color w:val="auto"/>
                      <w:highlight w:val="none"/>
                      <w:u w:val="none"/>
                    </w:rPr>
                  </w:pPr>
                  <w:r>
                    <w:rPr>
                      <w:color w:val="auto"/>
                      <w:highlight w:val="none"/>
                      <w:u w:val="none"/>
                    </w:rPr>
                    <w:t>达标</w:t>
                  </w:r>
                </w:p>
              </w:tc>
            </w:tr>
          </w:tbl>
          <w:p>
            <w:pPr>
              <w:widowControl/>
              <w:spacing w:line="360" w:lineRule="auto"/>
              <w:ind w:firstLine="480" w:firstLineChars="200"/>
              <w:rPr>
                <w:color w:val="auto"/>
                <w:sz w:val="24"/>
                <w:highlight w:val="none"/>
              </w:rPr>
            </w:pPr>
            <w:r>
              <w:rPr>
                <w:color w:val="auto"/>
                <w:sz w:val="24"/>
                <w:highlight w:val="none"/>
              </w:rPr>
              <w:t>根据上表可知，</w:t>
            </w:r>
            <w:r>
              <w:rPr>
                <w:rFonts w:hint="eastAsia"/>
                <w:color w:val="auto"/>
                <w:sz w:val="24"/>
                <w:highlight w:val="none"/>
              </w:rPr>
              <w:t>项目所在区</w:t>
            </w:r>
            <w:r>
              <w:rPr>
                <w:color w:val="auto"/>
                <w:sz w:val="24"/>
                <w:highlight w:val="none"/>
              </w:rPr>
              <w:t>域SO</w:t>
            </w:r>
            <w:r>
              <w:rPr>
                <w:color w:val="auto"/>
                <w:sz w:val="24"/>
                <w:highlight w:val="none"/>
                <w:vertAlign w:val="subscript"/>
              </w:rPr>
              <w:t>2</w:t>
            </w:r>
            <w:r>
              <w:rPr>
                <w:color w:val="auto"/>
                <w:sz w:val="24"/>
                <w:highlight w:val="none"/>
              </w:rPr>
              <w:t>、NO</w:t>
            </w:r>
            <w:r>
              <w:rPr>
                <w:color w:val="auto"/>
                <w:sz w:val="24"/>
                <w:highlight w:val="none"/>
                <w:vertAlign w:val="subscript"/>
              </w:rPr>
              <w:t>2</w:t>
            </w:r>
            <w:r>
              <w:rPr>
                <w:color w:val="auto"/>
                <w:sz w:val="24"/>
                <w:highlight w:val="none"/>
              </w:rPr>
              <w:t>、PM</w:t>
            </w:r>
            <w:r>
              <w:rPr>
                <w:color w:val="auto"/>
                <w:sz w:val="24"/>
                <w:highlight w:val="none"/>
                <w:vertAlign w:val="subscript"/>
              </w:rPr>
              <w:t>10</w:t>
            </w:r>
            <w:r>
              <w:rPr>
                <w:color w:val="auto"/>
                <w:sz w:val="24"/>
                <w:highlight w:val="none"/>
              </w:rPr>
              <w:t>、CO、O</w:t>
            </w:r>
            <w:r>
              <w:rPr>
                <w:color w:val="auto"/>
                <w:sz w:val="24"/>
                <w:highlight w:val="none"/>
                <w:vertAlign w:val="subscript"/>
              </w:rPr>
              <w:t>3</w:t>
            </w:r>
            <w:r>
              <w:rPr>
                <w:color w:val="auto"/>
                <w:sz w:val="24"/>
                <w:highlight w:val="none"/>
              </w:rPr>
              <w:t>、PM</w:t>
            </w:r>
            <w:r>
              <w:rPr>
                <w:color w:val="auto"/>
                <w:sz w:val="24"/>
                <w:highlight w:val="none"/>
                <w:vertAlign w:val="subscript"/>
              </w:rPr>
              <w:t>2.5</w:t>
            </w:r>
            <w:r>
              <w:rPr>
                <w:color w:val="auto"/>
                <w:sz w:val="24"/>
                <w:highlight w:val="none"/>
              </w:rPr>
              <w:t>年平均</w:t>
            </w:r>
            <w:r>
              <w:rPr>
                <w:rFonts w:hint="eastAsia"/>
                <w:color w:val="auto"/>
                <w:sz w:val="24"/>
                <w:highlight w:val="none"/>
              </w:rPr>
              <w:t>质量浓度</w:t>
            </w:r>
            <w:r>
              <w:rPr>
                <w:color w:val="auto"/>
                <w:sz w:val="24"/>
                <w:highlight w:val="none"/>
              </w:rPr>
              <w:t>均</w:t>
            </w:r>
            <w:r>
              <w:rPr>
                <w:rFonts w:hint="eastAsia"/>
                <w:color w:val="auto"/>
                <w:sz w:val="24"/>
                <w:highlight w:val="none"/>
              </w:rPr>
              <w:t>符合</w:t>
            </w:r>
            <w:r>
              <w:rPr>
                <w:color w:val="auto"/>
                <w:sz w:val="24"/>
                <w:highlight w:val="none"/>
              </w:rPr>
              <w:t>《环境空气质量标准》（GB3095-2012）中二级标准限值</w:t>
            </w:r>
            <w:r>
              <w:rPr>
                <w:rFonts w:hint="eastAsia"/>
                <w:color w:val="auto"/>
                <w:sz w:val="24"/>
                <w:highlight w:val="none"/>
              </w:rPr>
              <w:t>要求，因此判定是达标区</w:t>
            </w:r>
            <w:r>
              <w:rPr>
                <w:color w:val="auto"/>
                <w:sz w:val="24"/>
                <w:highlight w:val="none"/>
              </w:rPr>
              <w:t>。</w:t>
            </w:r>
          </w:p>
          <w:p>
            <w:pPr>
              <w:widowControl/>
              <w:spacing w:line="360" w:lineRule="auto"/>
              <w:rPr>
                <w:rFonts w:hint="eastAsia"/>
                <w:b/>
                <w:bCs/>
                <w:color w:val="auto"/>
                <w:sz w:val="24"/>
                <w:highlight w:val="none"/>
              </w:rPr>
            </w:pPr>
            <w:r>
              <w:rPr>
                <w:b/>
                <w:bCs/>
                <w:color w:val="auto"/>
                <w:sz w:val="24"/>
                <w:highlight w:val="none"/>
              </w:rPr>
              <w:t xml:space="preserve">1.3 </w:t>
            </w:r>
            <w:r>
              <w:rPr>
                <w:rFonts w:hint="eastAsia"/>
                <w:b/>
                <w:bCs/>
                <w:color w:val="auto"/>
                <w:sz w:val="24"/>
                <w:highlight w:val="none"/>
              </w:rPr>
              <w:t>其他污染物环境质量现状</w:t>
            </w:r>
          </w:p>
          <w:p>
            <w:pPr>
              <w:widowControl/>
              <w:spacing w:line="360" w:lineRule="auto"/>
              <w:ind w:firstLine="480" w:firstLineChars="200"/>
              <w:rPr>
                <w:color w:val="auto"/>
                <w:sz w:val="24"/>
                <w:highlight w:val="none"/>
              </w:rPr>
            </w:pPr>
            <w:r>
              <w:rPr>
                <w:rFonts w:hint="eastAsia"/>
                <w:color w:val="auto"/>
                <w:sz w:val="24"/>
                <w:highlight w:val="none"/>
              </w:rPr>
              <w:t>本环评引用《新田县德润新材料产业园项目环境报告表</w:t>
            </w:r>
            <w:r>
              <w:rPr>
                <w:color w:val="auto"/>
                <w:sz w:val="24"/>
                <w:highlight w:val="none"/>
              </w:rPr>
              <w:t>》中补充监测结果。该数据由</w:t>
            </w:r>
            <w:r>
              <w:rPr>
                <w:rFonts w:hint="eastAsia"/>
                <w:color w:val="auto"/>
                <w:sz w:val="24"/>
                <w:highlight w:val="none"/>
              </w:rPr>
              <w:t>湖南中石检测有限公司</w:t>
            </w:r>
            <w:r>
              <w:rPr>
                <w:color w:val="auto"/>
                <w:sz w:val="24"/>
                <w:highlight w:val="none"/>
              </w:rPr>
              <w:t>于202</w:t>
            </w:r>
            <w:r>
              <w:rPr>
                <w:rFonts w:hint="eastAsia"/>
                <w:color w:val="auto"/>
                <w:sz w:val="24"/>
                <w:highlight w:val="none"/>
                <w:lang w:val="en-US" w:eastAsia="zh-CN"/>
              </w:rPr>
              <w:t>0</w:t>
            </w:r>
            <w:r>
              <w:rPr>
                <w:color w:val="auto"/>
                <w:sz w:val="24"/>
                <w:highlight w:val="none"/>
              </w:rPr>
              <w:t>年</w:t>
            </w:r>
            <w:r>
              <w:rPr>
                <w:rFonts w:hint="eastAsia"/>
                <w:color w:val="auto"/>
                <w:sz w:val="24"/>
                <w:highlight w:val="none"/>
                <w:lang w:val="en-US" w:eastAsia="zh-CN"/>
              </w:rPr>
              <w:t>11</w:t>
            </w:r>
            <w:r>
              <w:rPr>
                <w:color w:val="auto"/>
                <w:sz w:val="24"/>
                <w:highlight w:val="none"/>
              </w:rPr>
              <w:t>月</w:t>
            </w:r>
            <w:r>
              <w:rPr>
                <w:rFonts w:hint="eastAsia"/>
                <w:color w:val="auto"/>
                <w:sz w:val="24"/>
                <w:highlight w:val="none"/>
                <w:lang w:val="en-US" w:eastAsia="zh-CN"/>
              </w:rPr>
              <w:t>13</w:t>
            </w:r>
            <w:r>
              <w:rPr>
                <w:color w:val="auto"/>
                <w:sz w:val="24"/>
                <w:highlight w:val="none"/>
              </w:rPr>
              <w:t>日-</w:t>
            </w:r>
            <w:r>
              <w:rPr>
                <w:rFonts w:hint="eastAsia"/>
                <w:color w:val="auto"/>
                <w:sz w:val="24"/>
                <w:highlight w:val="none"/>
                <w:lang w:val="en-US" w:eastAsia="zh-CN"/>
              </w:rPr>
              <w:t>15</w:t>
            </w:r>
            <w:r>
              <w:rPr>
                <w:color w:val="auto"/>
                <w:sz w:val="24"/>
                <w:highlight w:val="none"/>
              </w:rPr>
              <w:t>日监测所得</w:t>
            </w:r>
            <w:r>
              <w:rPr>
                <w:rFonts w:hint="eastAsia"/>
                <w:color w:val="auto"/>
                <w:sz w:val="24"/>
                <w:highlight w:val="none"/>
                <w:lang w:eastAsia="zh-CN"/>
              </w:rPr>
              <w:t>。</w:t>
            </w:r>
            <w:r>
              <w:rPr>
                <w:rFonts w:hint="eastAsia"/>
                <w:color w:val="auto"/>
                <w:sz w:val="24"/>
                <w:highlight w:val="none"/>
                <w:lang w:val="en-US" w:eastAsia="zh-CN"/>
              </w:rPr>
              <w:t>由于</w:t>
            </w:r>
            <w:r>
              <w:rPr>
                <w:rFonts w:hint="eastAsia"/>
                <w:color w:val="auto"/>
                <w:sz w:val="24"/>
                <w:highlight w:val="none"/>
              </w:rPr>
              <w:t>在本项目周边5km内，且数据在3年内，因此引用该数据是有效的。数据详见下表。</w:t>
            </w:r>
          </w:p>
          <w:p>
            <w:pPr>
              <w:widowControl/>
              <w:spacing w:line="360" w:lineRule="auto"/>
              <w:jc w:val="center"/>
              <w:rPr>
                <w:b/>
                <w:bCs/>
                <w:color w:val="auto"/>
                <w:szCs w:val="21"/>
                <w:highlight w:val="none"/>
              </w:rPr>
            </w:pPr>
            <w:r>
              <w:rPr>
                <w:b/>
                <w:bCs/>
                <w:color w:val="auto"/>
                <w:szCs w:val="21"/>
                <w:highlight w:val="none"/>
              </w:rPr>
              <w:t>表3-</w:t>
            </w:r>
            <w:r>
              <w:rPr>
                <w:rFonts w:hint="eastAsia"/>
                <w:b/>
                <w:bCs/>
                <w:color w:val="auto"/>
                <w:szCs w:val="21"/>
                <w:highlight w:val="none"/>
              </w:rPr>
              <w:t>2</w:t>
            </w:r>
            <w:r>
              <w:rPr>
                <w:b/>
                <w:bCs/>
                <w:color w:val="auto"/>
                <w:szCs w:val="21"/>
                <w:highlight w:val="none"/>
              </w:rPr>
              <w:t xml:space="preserve"> </w:t>
            </w:r>
            <w:r>
              <w:rPr>
                <w:rFonts w:hint="eastAsia"/>
                <w:b/>
                <w:bCs/>
                <w:color w:val="auto"/>
                <w:szCs w:val="21"/>
                <w:highlight w:val="none"/>
              </w:rPr>
              <w:t>其它污染物环境质量现状表</w:t>
            </w:r>
            <w:r>
              <w:rPr>
                <w:b/>
                <w:bCs/>
                <w:color w:val="auto"/>
                <w:szCs w:val="21"/>
                <w:highlight w:val="none"/>
              </w:rPr>
              <w:t xml:space="preserve"> </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4"/>
              <w:gridCol w:w="1226"/>
              <w:gridCol w:w="1227"/>
              <w:gridCol w:w="219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9"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u w:val="none" w:color="auto"/>
                    </w:rPr>
                  </w:pPr>
                  <w:r>
                    <w:rPr>
                      <w:rFonts w:hint="default" w:ascii="Times New Roman" w:hAnsi="Times New Roman" w:eastAsia="宋体" w:cs="Times New Roman"/>
                      <w:b/>
                      <w:bCs/>
                      <w:color w:val="000000"/>
                      <w:sz w:val="21"/>
                      <w:szCs w:val="21"/>
                      <w:u w:val="none" w:color="auto"/>
                    </w:rPr>
                    <w:t>监测点</w:t>
                  </w:r>
                </w:p>
              </w:tc>
              <w:tc>
                <w:tcPr>
                  <w:tcW w:w="790"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u w:val="none" w:color="auto"/>
                    </w:rPr>
                  </w:pPr>
                  <w:r>
                    <w:rPr>
                      <w:rFonts w:hint="default" w:ascii="Times New Roman" w:hAnsi="Times New Roman" w:eastAsia="宋体" w:cs="Times New Roman"/>
                      <w:b/>
                      <w:bCs/>
                      <w:color w:val="000000"/>
                      <w:sz w:val="21"/>
                      <w:szCs w:val="21"/>
                      <w:u w:val="none" w:color="auto"/>
                    </w:rPr>
                    <w:t>监测项目</w:t>
                  </w:r>
                </w:p>
              </w:tc>
              <w:tc>
                <w:tcPr>
                  <w:tcW w:w="791"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u w:val="none" w:color="auto"/>
                    </w:rPr>
                  </w:pPr>
                  <w:r>
                    <w:rPr>
                      <w:rFonts w:hint="default" w:ascii="Times New Roman" w:hAnsi="Times New Roman" w:eastAsia="宋体" w:cs="Times New Roman"/>
                      <w:b/>
                      <w:bCs/>
                      <w:color w:val="000000"/>
                      <w:sz w:val="21"/>
                      <w:szCs w:val="21"/>
                      <w:u w:val="none" w:color="auto"/>
                    </w:rPr>
                    <w:t>浓度范围</w:t>
                  </w:r>
                </w:p>
              </w:tc>
              <w:tc>
                <w:tcPr>
                  <w:tcW w:w="1414"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u w:val="none" w:color="auto"/>
                    </w:rPr>
                  </w:pPr>
                  <w:r>
                    <w:rPr>
                      <w:rFonts w:hint="default" w:ascii="Times New Roman" w:hAnsi="Times New Roman" w:eastAsia="宋体" w:cs="Times New Roman"/>
                      <w:b/>
                      <w:bCs/>
                      <w:color w:val="000000"/>
                      <w:sz w:val="21"/>
                      <w:szCs w:val="21"/>
                      <w:u w:val="none" w:color="auto"/>
                    </w:rPr>
                    <w:t>标准值</w:t>
                  </w:r>
                </w:p>
              </w:tc>
              <w:tc>
                <w:tcPr>
                  <w:tcW w:w="1414" w:type="pct"/>
                  <w:tcBorders>
                    <w:tl2br w:val="nil"/>
                    <w:tr2bl w:val="nil"/>
                  </w:tcBorders>
                  <w:noWrap w:val="0"/>
                  <w:vAlign w:val="center"/>
                </w:tcPr>
                <w:p>
                  <w:pPr>
                    <w:jc w:val="center"/>
                    <w:rPr>
                      <w:rFonts w:hint="default" w:ascii="Times New Roman" w:hAnsi="Times New Roman" w:eastAsia="宋体" w:cs="Times New Roman"/>
                      <w:b/>
                      <w:bCs/>
                      <w:color w:val="000000"/>
                      <w:sz w:val="21"/>
                      <w:szCs w:val="21"/>
                      <w:u w:val="none" w:color="auto"/>
                    </w:rPr>
                  </w:pPr>
                  <w:r>
                    <w:rPr>
                      <w:b/>
                      <w:bCs/>
                      <w:color w:val="auto"/>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9" w:type="pct"/>
                  <w:tcBorders>
                    <w:tl2br w:val="nil"/>
                    <w:tr2bl w:val="nil"/>
                  </w:tcBorders>
                  <w:noWrap w:val="0"/>
                  <w:vAlign w:val="center"/>
                </w:tcPr>
                <w:p>
                  <w:pPr>
                    <w:jc w:val="center"/>
                    <w:rPr>
                      <w:rFonts w:hint="eastAsia"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rPr>
                    <w:t>G</w:t>
                  </w:r>
                  <w:r>
                    <w:rPr>
                      <w:rFonts w:hint="eastAsia" w:ascii="Times New Roman" w:hAnsi="Times New Roman" w:eastAsia="宋体" w:cs="Times New Roman"/>
                      <w:color w:val="000000"/>
                      <w:sz w:val="21"/>
                      <w:szCs w:val="21"/>
                      <w:u w:val="none" w:color="auto"/>
                      <w:lang w:val="en-US" w:eastAsia="zh-CN"/>
                    </w:rPr>
                    <w:t>1</w:t>
                  </w:r>
                </w:p>
              </w:tc>
              <w:tc>
                <w:tcPr>
                  <w:tcW w:w="790"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u w:val="none" w:color="auto"/>
                      <w:vertAlign w:val="subscript"/>
                      <w:lang w:val="en-US" w:eastAsia="zh-CN" w:bidi="ar-SA"/>
                    </w:rPr>
                  </w:pPr>
                  <w:r>
                    <w:rPr>
                      <w:rFonts w:hint="default" w:ascii="Times New Roman" w:hAnsi="Times New Roman" w:eastAsia="宋体" w:cs="Times New Roman"/>
                      <w:color w:val="000000"/>
                      <w:sz w:val="21"/>
                      <w:szCs w:val="21"/>
                      <w:u w:val="none" w:color="auto"/>
                      <w:vertAlign w:val="baseline"/>
                      <w:lang w:val="en-US" w:eastAsia="zh-CN"/>
                    </w:rPr>
                    <w:t>TVOC</w:t>
                  </w:r>
                </w:p>
              </w:tc>
              <w:tc>
                <w:tcPr>
                  <w:tcW w:w="791" w:type="pct"/>
                  <w:tcBorders>
                    <w:tl2br w:val="nil"/>
                    <w:tr2bl w:val="nil"/>
                  </w:tcBorders>
                  <w:noWrap w:val="0"/>
                  <w:vAlign w:val="center"/>
                </w:tcPr>
                <w:p>
                  <w:pPr>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rPr>
                    <w:t>0.</w:t>
                  </w:r>
                  <w:r>
                    <w:rPr>
                      <w:rFonts w:hint="default" w:ascii="Times New Roman" w:hAnsi="Times New Roman" w:eastAsia="宋体" w:cs="Times New Roman"/>
                      <w:color w:val="000000"/>
                      <w:sz w:val="21"/>
                      <w:szCs w:val="21"/>
                      <w:u w:val="none" w:color="auto"/>
                      <w:lang w:val="en-US" w:eastAsia="zh-CN"/>
                    </w:rPr>
                    <w:t>368</w:t>
                  </w:r>
                  <w:r>
                    <w:rPr>
                      <w:rFonts w:hint="default" w:ascii="Times New Roman" w:hAnsi="Times New Roman" w:eastAsia="宋体" w:cs="Times New Roman"/>
                      <w:color w:val="000000"/>
                      <w:sz w:val="21"/>
                      <w:szCs w:val="21"/>
                      <w:u w:val="none" w:color="auto"/>
                    </w:rPr>
                    <w:t>~0.</w:t>
                  </w:r>
                  <w:r>
                    <w:rPr>
                      <w:rFonts w:hint="default" w:ascii="Times New Roman" w:hAnsi="Times New Roman" w:eastAsia="宋体" w:cs="Times New Roman"/>
                      <w:color w:val="000000"/>
                      <w:sz w:val="21"/>
                      <w:szCs w:val="21"/>
                      <w:u w:val="none" w:color="auto"/>
                      <w:lang w:val="en-US" w:eastAsia="zh-CN"/>
                    </w:rPr>
                    <w:t>401</w:t>
                  </w:r>
                </w:p>
              </w:tc>
              <w:tc>
                <w:tcPr>
                  <w:tcW w:w="1414" w:type="pct"/>
                  <w:tcBorders>
                    <w:tl2br w:val="nil"/>
                    <w:tr2bl w:val="nil"/>
                  </w:tcBorders>
                  <w:noWrap w:val="0"/>
                  <w:vAlign w:val="center"/>
                </w:tcPr>
                <w:p>
                  <w:pPr>
                    <w:jc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sz w:val="21"/>
                      <w:szCs w:val="21"/>
                      <w:u w:val="none" w:color="auto"/>
                      <w:lang w:val="en-US" w:eastAsia="zh-CN"/>
                    </w:rPr>
                    <w:t>0.6</w:t>
                  </w:r>
                </w:p>
              </w:tc>
              <w:tc>
                <w:tcPr>
                  <w:tcW w:w="1414" w:type="pct"/>
                  <w:tcBorders>
                    <w:tl2br w:val="nil"/>
                    <w:tr2bl w:val="nil"/>
                  </w:tcBorders>
                  <w:noWrap w:val="0"/>
                  <w:vAlign w:val="center"/>
                </w:tcPr>
                <w:p>
                  <w:pPr>
                    <w:jc w:val="center"/>
                    <w:rPr>
                      <w:rFonts w:hint="eastAsia" w:ascii="Times New Roman" w:hAnsi="Times New Roman" w:eastAsia="宋体" w:cs="Times New Roman"/>
                      <w:color w:val="000000"/>
                      <w:sz w:val="21"/>
                      <w:szCs w:val="21"/>
                      <w:u w:val="none" w:color="auto"/>
                      <w:lang w:val="en-US" w:eastAsia="zh-CN"/>
                    </w:rPr>
                  </w:pPr>
                  <w:r>
                    <w:rPr>
                      <w:rFonts w:hint="eastAsia"/>
                      <w:color w:val="auto"/>
                      <w:u w:val="none"/>
                    </w:rPr>
                    <w:t>达标</w:t>
                  </w:r>
                </w:p>
              </w:tc>
            </w:tr>
          </w:tbl>
          <w:p>
            <w:pPr>
              <w:spacing w:line="360" w:lineRule="auto"/>
              <w:ind w:firstLine="480" w:firstLineChars="200"/>
              <w:rPr>
                <w:rFonts w:hint="eastAsia"/>
                <w:b/>
                <w:bCs/>
                <w:color w:val="auto"/>
                <w:kern w:val="0"/>
                <w:sz w:val="24"/>
                <w:highlight w:val="none"/>
              </w:rPr>
            </w:pPr>
            <w:r>
              <w:rPr>
                <w:rFonts w:hint="eastAsia"/>
                <w:color w:val="auto"/>
                <w:sz w:val="24"/>
                <w:highlight w:val="none"/>
              </w:rPr>
              <w:t>结果表明，项目所在区域各监测点位总挥发性有机物可满足《环境影响评价技术导则 大气环境》（HJ2.2-2018）附录D浓度限值要求，评价区域大气环境质量良好。</w:t>
            </w:r>
          </w:p>
          <w:p>
            <w:pPr>
              <w:spacing w:line="360" w:lineRule="auto"/>
              <w:jc w:val="left"/>
              <w:rPr>
                <w:b/>
                <w:bCs/>
                <w:color w:val="auto"/>
                <w:kern w:val="0"/>
                <w:sz w:val="24"/>
                <w:highlight w:val="none"/>
              </w:rPr>
            </w:pPr>
            <w:r>
              <w:rPr>
                <w:rFonts w:hint="eastAsia"/>
                <w:b/>
                <w:bCs/>
                <w:color w:val="auto"/>
                <w:kern w:val="0"/>
                <w:sz w:val="24"/>
                <w:highlight w:val="none"/>
              </w:rPr>
              <w:t>2、地表水环境</w:t>
            </w:r>
            <w:r>
              <w:rPr>
                <w:b/>
                <w:bCs/>
                <w:color w:val="auto"/>
                <w:kern w:val="0"/>
                <w:sz w:val="24"/>
                <w:highlight w:val="none"/>
              </w:rPr>
              <w:t>质量现状</w:t>
            </w:r>
          </w:p>
          <w:p>
            <w:pPr>
              <w:widowControl/>
              <w:spacing w:line="360" w:lineRule="auto"/>
              <w:rPr>
                <w:b/>
                <w:bCs/>
                <w:color w:val="auto"/>
                <w:sz w:val="24"/>
                <w:highlight w:val="none"/>
              </w:rPr>
            </w:pPr>
            <w:r>
              <w:rPr>
                <w:rFonts w:hint="eastAsia"/>
                <w:b/>
                <w:bCs/>
                <w:color w:val="auto"/>
                <w:sz w:val="24"/>
                <w:highlight w:val="none"/>
                <w:lang w:val="en-US" w:eastAsia="zh-CN"/>
              </w:rPr>
              <w:t>2</w:t>
            </w:r>
            <w:r>
              <w:rPr>
                <w:b/>
                <w:bCs/>
                <w:color w:val="auto"/>
                <w:sz w:val="24"/>
                <w:highlight w:val="none"/>
              </w:rPr>
              <w:t>.1 数据来源</w:t>
            </w:r>
          </w:p>
          <w:p>
            <w:pPr>
              <w:widowControl/>
              <w:spacing w:line="360" w:lineRule="auto"/>
              <w:ind w:firstLine="480" w:firstLineChars="200"/>
              <w:rPr>
                <w:color w:val="auto"/>
                <w:sz w:val="24"/>
                <w:highlight w:val="none"/>
              </w:rPr>
            </w:pPr>
            <w:r>
              <w:rPr>
                <w:rFonts w:hint="eastAsia"/>
                <w:color w:val="auto"/>
                <w:sz w:val="24"/>
                <w:highlight w:val="none"/>
              </w:rPr>
              <w:t>本次评价地表水环境质量监测数据引用于永州市生态环境局发布的关于永州市环境质量简报（2021年9月）</w:t>
            </w:r>
            <w:r>
              <w:rPr>
                <w:rFonts w:hint="eastAsia" w:cs="Times New Roman" w:eastAsiaTheme="minorEastAsia"/>
                <w:color w:val="000000" w:themeColor="text1"/>
                <w:kern w:val="0"/>
                <w:sz w:val="24"/>
                <w:szCs w:val="24"/>
                <w:highlight w:val="none"/>
                <w:u w:val="none" w:color="auto"/>
                <w:lang w:eastAsia="zh-CN"/>
                <w14:textFill>
                  <w14:solidFill>
                    <w14:schemeClr w14:val="tx1"/>
                  </w14:solidFill>
                </w14:textFill>
              </w:rPr>
              <w:t>，</w:t>
            </w:r>
            <w:r>
              <w:rPr>
                <w:rFonts w:hint="eastAsia" w:cs="Times New Roman" w:eastAsiaTheme="minorEastAsia"/>
                <w:color w:val="000000" w:themeColor="text1"/>
                <w:kern w:val="0"/>
                <w:sz w:val="24"/>
                <w:szCs w:val="24"/>
                <w:highlight w:val="none"/>
                <w:u w:val="none" w:color="auto"/>
                <w:lang w:val="en-US" w:eastAsia="zh-CN"/>
                <w14:textFill>
                  <w14:solidFill>
                    <w14:schemeClr w14:val="tx1"/>
                  </w14:solidFill>
                </w14:textFill>
              </w:rPr>
              <w:t>新田河大历县村监测断面与本项目的距离约2.5km，且该监测点位于本项目下游，能有效代表本项目周边水环境质量现状</w:t>
            </w:r>
            <w:r>
              <w:rPr>
                <w:color w:val="auto"/>
                <w:sz w:val="24"/>
                <w:highlight w:val="none"/>
              </w:rPr>
              <w:t>。</w:t>
            </w:r>
          </w:p>
          <w:p>
            <w:pPr>
              <w:widowControl/>
              <w:spacing w:line="360" w:lineRule="auto"/>
              <w:rPr>
                <w:b/>
                <w:bCs/>
                <w:color w:val="auto"/>
                <w:sz w:val="24"/>
                <w:highlight w:val="none"/>
              </w:rPr>
            </w:pPr>
            <w:r>
              <w:rPr>
                <w:rFonts w:hint="eastAsia"/>
                <w:b/>
                <w:bCs/>
                <w:color w:val="auto"/>
                <w:sz w:val="24"/>
                <w:highlight w:val="none"/>
                <w:lang w:val="en-US" w:eastAsia="zh-CN"/>
              </w:rPr>
              <w:t>2</w:t>
            </w:r>
            <w:r>
              <w:rPr>
                <w:b/>
                <w:bCs/>
                <w:color w:val="auto"/>
                <w:sz w:val="24"/>
                <w:highlight w:val="none"/>
              </w:rPr>
              <w:t xml:space="preserve">.2 </w:t>
            </w:r>
            <w:r>
              <w:rPr>
                <w:rFonts w:hint="eastAsia"/>
                <w:b/>
                <w:bCs/>
                <w:color w:val="auto"/>
                <w:sz w:val="24"/>
                <w:highlight w:val="none"/>
                <w:lang w:val="en-US" w:eastAsia="zh-CN"/>
              </w:rPr>
              <w:t>地表水环境</w:t>
            </w:r>
            <w:r>
              <w:rPr>
                <w:b/>
                <w:bCs/>
                <w:color w:val="auto"/>
                <w:sz w:val="24"/>
                <w:highlight w:val="none"/>
              </w:rPr>
              <w:t>质量判定</w:t>
            </w:r>
          </w:p>
          <w:p>
            <w:pPr>
              <w:widowControl/>
              <w:spacing w:line="360" w:lineRule="auto"/>
              <w:ind w:firstLine="480" w:firstLineChars="200"/>
              <w:rPr>
                <w:rFonts w:hint="eastAsia"/>
                <w:color w:val="auto"/>
                <w:sz w:val="24"/>
                <w:highlight w:val="none"/>
              </w:rPr>
            </w:pPr>
            <w:r>
              <w:rPr>
                <w:rFonts w:hint="eastAsia"/>
                <w:color w:val="auto"/>
                <w:sz w:val="24"/>
                <w:highlight w:val="none"/>
              </w:rPr>
              <w:t>新田县</w:t>
            </w:r>
            <w:r>
              <w:rPr>
                <w:rFonts w:hint="eastAsia"/>
                <w:color w:val="auto"/>
                <w:sz w:val="24"/>
                <w:highlight w:val="none"/>
                <w:lang w:val="en-US" w:eastAsia="zh-CN"/>
              </w:rPr>
              <w:t>水环境</w:t>
            </w:r>
            <w:r>
              <w:rPr>
                <w:rFonts w:hint="eastAsia"/>
                <w:color w:val="auto"/>
                <w:sz w:val="24"/>
                <w:highlight w:val="none"/>
              </w:rPr>
              <w:t>质量监测结果统计具体情况见下表。</w:t>
            </w:r>
          </w:p>
          <w:p>
            <w:pPr>
              <w:pStyle w:val="13"/>
              <w:spacing w:after="0"/>
              <w:ind w:left="0" w:firstLine="0"/>
              <w:jc w:val="center"/>
              <w:rPr>
                <w:b/>
                <w:bCs/>
                <w:color w:val="auto"/>
                <w:szCs w:val="21"/>
                <w:highlight w:val="yellow"/>
              </w:rPr>
            </w:pPr>
            <w:r>
              <w:rPr>
                <w:sz w:val="24"/>
                <w:highlight w:val="none"/>
                <w:u w:val="none" w:color="auto"/>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1089025</wp:posOffset>
                      </wp:positionV>
                      <wp:extent cx="4939665" cy="120650"/>
                      <wp:effectExtent l="13970" t="13970" r="18415" b="17780"/>
                      <wp:wrapNone/>
                      <wp:docPr id="11" name="矩形 11"/>
                      <wp:cNvGraphicFramePr/>
                      <a:graphic xmlns:a="http://schemas.openxmlformats.org/drawingml/2006/main">
                        <a:graphicData uri="http://schemas.microsoft.com/office/word/2010/wordprocessingShape">
                          <wps:wsp>
                            <wps:cNvSpPr/>
                            <wps:spPr>
                              <a:xfrm>
                                <a:off x="0" y="0"/>
                                <a:ext cx="4939665" cy="120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pt;margin-top:85.75pt;height:9.5pt;width:388.95pt;z-index:251659264;v-text-anchor:middle;mso-width-relative:page;mso-height-relative:page;" filled="f" stroked="t" coordsize="21600,21600" o:gfxdata="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RRibXAAAACQEAAA8AAAAAAAAAAQAgAAAAIgAAAGRycy9kb3ducmV2Lnht&#10;bFBLAQIUABQAAAAIAIdO4kCf80lvbAIAAM0EAAAOAAAAAAAAAAEAIAAAACYBAABkcnMvZTJvRG9j&#10;LnhtbFBLBQYAAAAABgAGAFkBAAAEBgAAAAA=&#10;">
                      <v:fill on="f" focussize="0,0"/>
                      <v:stroke weight="2.25pt" color="#FF0000 [3204]" miterlimit="8" joinstyle="miter"/>
                      <v:imagedata o:title=""/>
                      <o:lock v:ext="edit" aspectratio="f"/>
                    </v:rect>
                  </w:pict>
                </mc:Fallback>
              </mc:AlternateContent>
            </w:r>
            <w:r>
              <w:rPr>
                <w:sz w:val="24"/>
                <w:highlight w:val="none"/>
                <w:u w:val="none" w:color="auto"/>
              </w:rPr>
              <w:drawing>
                <wp:inline distT="0" distB="0" distL="114300" distR="114300">
                  <wp:extent cx="4883150" cy="1478280"/>
                  <wp:effectExtent l="0" t="0" r="3175" b="7620"/>
                  <wp:docPr id="1" name="图片 1" descr="4a9edc3bb1e90c6b6ac90567467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9edc3bb1e90c6b6ac905674670650"/>
                          <pic:cNvPicPr>
                            <a:picLocks noChangeAspect="1"/>
                          </pic:cNvPicPr>
                        </pic:nvPicPr>
                        <pic:blipFill>
                          <a:blip r:embed="rId17"/>
                          <a:srcRect l="4346" t="12317" r="4157" b="3519"/>
                          <a:stretch>
                            <a:fillRect/>
                          </a:stretch>
                        </pic:blipFill>
                        <pic:spPr>
                          <a:xfrm>
                            <a:off x="0" y="0"/>
                            <a:ext cx="4883150" cy="1478280"/>
                          </a:xfrm>
                          <a:prstGeom prst="rect">
                            <a:avLst/>
                          </a:prstGeom>
                        </pic:spPr>
                      </pic:pic>
                    </a:graphicData>
                  </a:graphic>
                </wp:inline>
              </w:drawing>
            </w:r>
          </w:p>
          <w:p>
            <w:pPr>
              <w:pStyle w:val="13"/>
              <w:spacing w:after="0"/>
              <w:ind w:left="0" w:firstLine="0"/>
              <w:jc w:val="center"/>
              <w:rPr>
                <w:rFonts w:hint="eastAsia"/>
                <w:b/>
                <w:bCs/>
                <w:color w:val="auto"/>
                <w:szCs w:val="21"/>
                <w:highlight w:val="none"/>
              </w:rPr>
            </w:pPr>
            <w:r>
              <w:rPr>
                <w:rFonts w:hint="eastAsia"/>
                <w:b/>
                <w:bCs/>
                <w:color w:val="auto"/>
                <w:szCs w:val="21"/>
                <w:highlight w:val="none"/>
                <w:lang w:val="en-US" w:eastAsia="zh-CN"/>
              </w:rPr>
              <w:t>图</w:t>
            </w:r>
            <w:r>
              <w:rPr>
                <w:b/>
                <w:bCs/>
                <w:color w:val="auto"/>
                <w:szCs w:val="21"/>
                <w:highlight w:val="none"/>
              </w:rPr>
              <w:t>3-</w:t>
            </w:r>
            <w:r>
              <w:rPr>
                <w:rFonts w:hint="eastAsia"/>
                <w:b/>
                <w:bCs/>
                <w:color w:val="auto"/>
                <w:szCs w:val="21"/>
                <w:highlight w:val="none"/>
                <w:lang w:val="en-US" w:eastAsia="zh-CN"/>
              </w:rPr>
              <w:t>1</w:t>
            </w:r>
            <w:r>
              <w:rPr>
                <w:rFonts w:hint="eastAsia"/>
                <w:b/>
                <w:bCs/>
                <w:color w:val="auto"/>
                <w:szCs w:val="21"/>
                <w:highlight w:val="none"/>
              </w:rPr>
              <w:t xml:space="preserve"> 水环境质量现状监测结果</w:t>
            </w:r>
          </w:p>
          <w:p>
            <w:pPr>
              <w:spacing w:line="360" w:lineRule="auto"/>
              <w:ind w:firstLine="480" w:firstLineChars="200"/>
              <w:rPr>
                <w:color w:val="auto"/>
                <w:sz w:val="24"/>
                <w:highlight w:val="none"/>
              </w:rPr>
            </w:pPr>
            <w:r>
              <w:rPr>
                <w:rFonts w:hint="eastAsia"/>
                <w:color w:val="auto"/>
                <w:sz w:val="24"/>
                <w:highlight w:val="none"/>
              </w:rPr>
              <w:t>由上</w:t>
            </w:r>
            <w:r>
              <w:rPr>
                <w:rFonts w:hint="eastAsia"/>
                <w:color w:val="auto"/>
                <w:sz w:val="24"/>
                <w:highlight w:val="none"/>
                <w:lang w:val="en-US" w:eastAsia="zh-CN"/>
              </w:rPr>
              <w:t>图</w:t>
            </w:r>
            <w:r>
              <w:rPr>
                <w:rFonts w:hint="eastAsia"/>
                <w:color w:val="auto"/>
                <w:sz w:val="24"/>
                <w:highlight w:val="none"/>
              </w:rPr>
              <w:t>可知，本项目所在地地表水环境能达到《地表水质量标准》（GB3838-2002）</w:t>
            </w:r>
            <w:r>
              <w:rPr>
                <w:rFonts w:hint="default" w:ascii="Times New Roman" w:hAnsi="Times New Roman" w:cs="Times New Roman" w:eastAsiaTheme="minorEastAsia"/>
                <w:color w:val="000000" w:themeColor="text1"/>
                <w:kern w:val="0"/>
                <w:sz w:val="24"/>
                <w:szCs w:val="24"/>
                <w:highlight w:val="none"/>
                <w:u w:val="none" w:color="auto"/>
                <w:lang w:val="en-US" w:eastAsia="zh-CN"/>
                <w14:textFill>
                  <w14:solidFill>
                    <w14:schemeClr w14:val="tx1"/>
                  </w14:solidFill>
                </w14:textFill>
              </w:rPr>
              <w:t>II</w:t>
            </w:r>
            <w:r>
              <w:rPr>
                <w:rFonts w:hint="eastAsia" w:ascii="宋体" w:hAnsi="宋体" w:cs="宋体"/>
                <w:bCs/>
                <w:color w:val="auto"/>
                <w:spacing w:val="-2"/>
                <w:sz w:val="24"/>
                <w:highlight w:val="none"/>
              </w:rPr>
              <w:t>类标准，说明本项目所在区域地表水环境质量状况较好</w:t>
            </w:r>
            <w:r>
              <w:rPr>
                <w:rFonts w:hint="eastAsia"/>
                <w:color w:val="auto"/>
                <w:sz w:val="24"/>
                <w:highlight w:val="none"/>
              </w:rPr>
              <w:t>。</w:t>
            </w:r>
          </w:p>
          <w:p>
            <w:pPr>
              <w:spacing w:line="360" w:lineRule="auto"/>
              <w:jc w:val="left"/>
              <w:rPr>
                <w:b/>
                <w:bCs/>
                <w:color w:val="auto"/>
                <w:kern w:val="0"/>
                <w:sz w:val="24"/>
                <w:highlight w:val="none"/>
              </w:rPr>
            </w:pPr>
            <w:r>
              <w:rPr>
                <w:rFonts w:hint="eastAsia"/>
                <w:b/>
                <w:bCs/>
                <w:color w:val="auto"/>
                <w:kern w:val="0"/>
                <w:sz w:val="24"/>
                <w:highlight w:val="none"/>
              </w:rPr>
              <w:t>3、声环境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本项目厂界外周边50米范围内不存在声环境保护目标，因此根据《建设项目环境影响报告表编制技术指南（污染影响类）》（试行）中的规定，本项目可不进行声环境质量现状监测</w:t>
            </w:r>
            <w:r>
              <w:rPr>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000000"/>
                <w:sz w:val="24"/>
                <w:highlight w:val="none"/>
                <w:lang w:eastAsia="zh-CN"/>
              </w:rPr>
            </w:pPr>
            <w:r>
              <w:rPr>
                <w:rFonts w:hint="eastAsia"/>
                <w:b/>
                <w:bCs/>
                <w:color w:val="000000"/>
                <w:sz w:val="24"/>
                <w:highlight w:val="none"/>
                <w:lang w:val="en-US" w:eastAsia="zh-CN"/>
              </w:rPr>
              <w:t>4、</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生态环境</w:t>
            </w:r>
          </w:p>
          <w:p>
            <w:pPr>
              <w:pageBreakBefore w:val="0"/>
              <w:widowControl w:val="0"/>
              <w:kinsoku/>
              <w:wordWrap/>
              <w:overflowPunct/>
              <w:topLinePunct w:val="0"/>
              <w:autoSpaceDE/>
              <w:autoSpaceDN/>
              <w:bidi w:val="0"/>
              <w:adjustRightInd w:val="0"/>
              <w:snapToGrid w:val="0"/>
              <w:spacing w:after="0" w:afterLines="0" w:line="360" w:lineRule="auto"/>
              <w:ind w:left="0" w:leftChars="0" w:firstLine="480" w:firstLineChars="200"/>
              <w:jc w:val="both"/>
              <w:textAlignment w:val="auto"/>
              <w:rPr>
                <w:rFonts w:hint="default" w:ascii="Times New Roman" w:hAnsi="Times New Roman" w:cs="Times New Roman"/>
                <w:b w:val="0"/>
                <w:bCs w:val="0"/>
                <w:color w:val="000000"/>
                <w:kern w:val="0"/>
                <w:sz w:val="24"/>
                <w:szCs w:val="24"/>
                <w:highlight w:val="none"/>
                <w:lang w:val="en-US" w:eastAsia="zh-CN"/>
              </w:rPr>
            </w:pP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本项目属于</w:t>
            </w: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产业园区</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内</w:t>
            </w: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建设项目</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，且</w:t>
            </w: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用地范围内</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无</w:t>
            </w:r>
            <w:r>
              <w:rPr>
                <w:rFonts w:hint="default"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生态环境保护目标</w:t>
            </w:r>
            <w:r>
              <w:rPr>
                <w:rFonts w:hint="eastAsia" w:ascii="Times New Roman" w:hAnsi="Times New Roman" w:cs="Times New Roman" w:eastAsiaTheme="minorEastAsia"/>
                <w:color w:val="000000" w:themeColor="text1"/>
                <w:kern w:val="2"/>
                <w:sz w:val="24"/>
                <w:szCs w:val="22"/>
                <w:highlight w:val="none"/>
                <w:u w:val="none" w:color="auto"/>
                <w:lang w:val="en-US" w:eastAsia="zh-CN" w:bidi="ar-SA"/>
                <w14:textFill>
                  <w14:solidFill>
                    <w14:schemeClr w14:val="tx1"/>
                  </w14:solidFill>
                </w14:textFill>
              </w:rPr>
              <w:t>，根据《建设项目环境影响报告表编制技术指南（污染影响类）》（试行）要求，可不开展生态现状调查。</w:t>
            </w:r>
          </w:p>
          <w:p>
            <w:pPr>
              <w:pageBreakBefore w:val="0"/>
              <w:widowControl w:val="0"/>
              <w:kinsoku/>
              <w:wordWrap/>
              <w:overflowPunct/>
              <w:topLinePunct w:val="0"/>
              <w:autoSpaceDE/>
              <w:autoSpaceDN/>
              <w:bidi w:val="0"/>
              <w:adjustRightInd w:val="0"/>
              <w:snapToGrid w:val="0"/>
              <w:spacing w:after="0" w:afterLines="0" w:line="360" w:lineRule="auto"/>
              <w:jc w:val="both"/>
              <w:textAlignment w:val="auto"/>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sz w:val="24"/>
                <w:highlight w:val="none"/>
                <w:u w:val="none" w:color="auto"/>
                <w:lang w:val="en-US" w:eastAsia="zh-CN"/>
                <w14:textFill>
                  <w14:solidFill>
                    <w14:schemeClr w14:val="tx1"/>
                  </w14:solidFill>
                </w14:textFill>
              </w:rPr>
              <w:t>电磁辐射</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480" w:firstLineChars="200"/>
              <w:jc w:val="both"/>
              <w:textAlignment w:val="auto"/>
              <w:outlineLvl w:val="2"/>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none" w:color="auto"/>
                <w:lang w:val="en-US" w:eastAsia="zh-CN"/>
                <w14:textFill>
                  <w14:solidFill>
                    <w14:schemeClr w14:val="tx1"/>
                  </w14:solidFill>
                </w14:textFill>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jc w:val="both"/>
              <w:textAlignment w:val="auto"/>
              <w:outlineLvl w:val="2"/>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6</w:t>
            </w:r>
            <w:r>
              <w:rPr>
                <w:rFonts w:hint="default" w:ascii="Times New Roman" w:hAnsi="Times New Roman" w:cs="Times New Roman" w:eastAsiaTheme="minorEastAsia"/>
                <w:b/>
                <w:bCs/>
                <w:color w:val="000000" w:themeColor="text1"/>
                <w:kern w:val="2"/>
                <w:sz w:val="24"/>
                <w:szCs w:val="22"/>
                <w:highlight w:val="none"/>
                <w:u w:val="none" w:color="auto"/>
                <w:lang w:val="en-US" w:eastAsia="zh-CN" w:bidi="ar-SA"/>
                <w14:textFill>
                  <w14:solidFill>
                    <w14:schemeClr w14:val="tx1"/>
                  </w14:solidFill>
                </w14:textFill>
              </w:rPr>
              <w:t>、</w:t>
            </w:r>
            <w:r>
              <w:rPr>
                <w:rFonts w:hint="eastAsia"/>
                <w:b/>
                <w:bCs/>
                <w:color w:val="000000"/>
                <w:sz w:val="24"/>
                <w:highlight w:val="none"/>
                <w:lang w:val="en-US" w:eastAsia="zh-CN"/>
              </w:rPr>
              <w:t>地下水、</w:t>
            </w:r>
            <w:r>
              <w:rPr>
                <w:rFonts w:hint="eastAsia" w:ascii="Times New Roman" w:hAnsi="Times New Roman"/>
                <w:b/>
                <w:bCs/>
                <w:color w:val="000000"/>
                <w:sz w:val="24"/>
                <w:highlight w:val="none"/>
                <w:lang w:eastAsia="zh-CN"/>
              </w:rPr>
              <w:t>土壤环境</w:t>
            </w:r>
          </w:p>
          <w:p>
            <w:pPr>
              <w:spacing w:line="360" w:lineRule="auto"/>
              <w:ind w:firstLine="480" w:firstLineChars="200"/>
              <w:rPr>
                <w:b/>
                <w:bCs/>
                <w:color w:val="auto"/>
                <w:kern w:val="0"/>
                <w:sz w:val="24"/>
                <w:highlight w:val="yellow"/>
              </w:rPr>
            </w:pPr>
            <w:r>
              <w:rPr>
                <w:rFonts w:hint="eastAsia" w:ascii="Times New Roman" w:hAnsi="Times New Roman" w:cs="Times New Roman"/>
                <w:b w:val="0"/>
                <w:bCs w:val="0"/>
                <w:color w:val="000000"/>
                <w:kern w:val="0"/>
                <w:sz w:val="24"/>
                <w:szCs w:val="24"/>
                <w:highlight w:val="none"/>
                <w:lang w:val="en-US" w:eastAsia="zh-CN"/>
              </w:rPr>
              <w:t>本</w:t>
            </w:r>
            <w:r>
              <w:rPr>
                <w:rFonts w:hint="default" w:ascii="Times New Roman" w:hAnsi="Times New Roman" w:cs="Times New Roman"/>
                <w:b w:val="0"/>
                <w:bCs w:val="0"/>
                <w:color w:val="000000"/>
                <w:kern w:val="0"/>
                <w:sz w:val="24"/>
                <w:szCs w:val="24"/>
                <w:highlight w:val="none"/>
                <w:lang w:val="en-US" w:eastAsia="zh-CN"/>
              </w:rPr>
              <w:t>项目厂区地面已做硬化处理，且项目不存在土壤和地下水的污染途径，根据《建设项目环境影响报告表编制技术指南（污染影响类）》（试行）要求，可不开展地下水和土壤环境质量现状调查。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800"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pPr>
              <w:adjustRightInd w:val="0"/>
              <w:snapToGrid w:val="0"/>
              <w:jc w:val="center"/>
              <w:rPr>
                <w:rFonts w:hint="eastAsia" w:ascii="宋体" w:hAnsi="宋体" w:cs="宋体"/>
                <w:color w:val="auto"/>
                <w:kern w:val="0"/>
                <w:sz w:val="24"/>
                <w:szCs w:val="24"/>
                <w:highlight w:val="yellow"/>
              </w:rPr>
            </w:pPr>
            <w:r>
              <w:rPr>
                <w:rFonts w:hint="eastAsia" w:ascii="宋体" w:hAnsi="宋体" w:cs="宋体"/>
                <w:color w:val="auto"/>
                <w:kern w:val="0"/>
                <w:sz w:val="24"/>
                <w:szCs w:val="24"/>
                <w:highlight w:val="none"/>
              </w:rPr>
              <w:t>目标</w:t>
            </w:r>
          </w:p>
        </w:tc>
        <w:tc>
          <w:tcPr>
            <w:tcW w:w="8220" w:type="dxa"/>
            <w:noWrap w:val="0"/>
            <w:vAlign w:val="center"/>
          </w:tcPr>
          <w:p>
            <w:pPr>
              <w:numPr>
                <w:ilvl w:val="0"/>
                <w:numId w:val="3"/>
              </w:numPr>
              <w:spacing w:line="360" w:lineRule="auto"/>
              <w:ind w:left="148" w:leftChars="0" w:firstLine="482" w:firstLineChars="0"/>
              <w:rPr>
                <w:rFonts w:hint="eastAsia"/>
                <w:b/>
                <w:bCs/>
                <w:color w:val="auto"/>
                <w:sz w:val="24"/>
                <w:highlight w:val="none"/>
              </w:rPr>
            </w:pPr>
            <w:r>
              <w:rPr>
                <w:rFonts w:hint="eastAsia"/>
                <w:b/>
                <w:bCs/>
                <w:color w:val="auto"/>
                <w:sz w:val="24"/>
                <w:highlight w:val="none"/>
              </w:rPr>
              <w:t>大气环境保护目标</w:t>
            </w:r>
          </w:p>
          <w:p>
            <w:pPr>
              <w:spacing w:line="360" w:lineRule="auto"/>
              <w:ind w:firstLine="480" w:firstLineChars="200"/>
              <w:rPr>
                <w:color w:val="auto"/>
                <w:sz w:val="24"/>
                <w:highlight w:val="none"/>
              </w:rPr>
            </w:pPr>
            <w:r>
              <w:rPr>
                <w:color w:val="auto"/>
                <w:sz w:val="24"/>
                <w:highlight w:val="none"/>
              </w:rPr>
              <w:t>通过对项目周边环境的勘查，本项目周边</w:t>
            </w:r>
            <w:r>
              <w:rPr>
                <w:rFonts w:hint="eastAsia"/>
                <w:color w:val="auto"/>
                <w:sz w:val="24"/>
                <w:highlight w:val="none"/>
              </w:rPr>
              <w:t>500m</w:t>
            </w:r>
            <w:r>
              <w:rPr>
                <w:color w:val="auto"/>
                <w:sz w:val="24"/>
                <w:highlight w:val="none"/>
              </w:rPr>
              <w:t>的环境保护目标见表3-</w:t>
            </w:r>
            <w:r>
              <w:rPr>
                <w:rFonts w:hint="eastAsia"/>
                <w:color w:val="auto"/>
                <w:sz w:val="24"/>
                <w:highlight w:val="none"/>
              </w:rPr>
              <w:t>5。</w:t>
            </w:r>
          </w:p>
          <w:p>
            <w:pPr>
              <w:spacing w:line="360" w:lineRule="auto"/>
              <w:jc w:val="center"/>
              <w:rPr>
                <w:b/>
                <w:bCs/>
                <w:color w:val="auto"/>
                <w:szCs w:val="21"/>
                <w:highlight w:val="none"/>
              </w:rPr>
            </w:pPr>
            <w:r>
              <w:rPr>
                <w:b/>
                <w:bCs/>
                <w:color w:val="auto"/>
                <w:szCs w:val="21"/>
                <w:highlight w:val="none"/>
              </w:rPr>
              <w:t>表3-</w:t>
            </w:r>
            <w:r>
              <w:rPr>
                <w:rFonts w:hint="eastAsia"/>
                <w:b/>
                <w:bCs/>
                <w:color w:val="auto"/>
                <w:szCs w:val="21"/>
                <w:highlight w:val="none"/>
              </w:rPr>
              <w:t>5</w:t>
            </w:r>
            <w:r>
              <w:rPr>
                <w:b/>
                <w:bCs/>
                <w:color w:val="auto"/>
                <w:szCs w:val="21"/>
                <w:highlight w:val="none"/>
              </w:rPr>
              <w:t xml:space="preserve"> 本项目</w:t>
            </w:r>
            <w:r>
              <w:rPr>
                <w:rFonts w:hint="eastAsia"/>
                <w:b/>
                <w:bCs/>
                <w:color w:val="auto"/>
                <w:szCs w:val="21"/>
                <w:highlight w:val="none"/>
              </w:rPr>
              <w:t>周边大气</w:t>
            </w:r>
            <w:r>
              <w:rPr>
                <w:b/>
                <w:bCs/>
                <w:color w:val="auto"/>
                <w:szCs w:val="21"/>
                <w:highlight w:val="none"/>
              </w:rPr>
              <w:t>环境保护目标一览表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321"/>
              <w:gridCol w:w="656"/>
              <w:gridCol w:w="1521"/>
              <w:gridCol w:w="1424"/>
              <w:gridCol w:w="1172"/>
              <w:gridCol w:w="643"/>
              <w:gridCol w:w="53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07" w:type="pct"/>
                  <w:vMerge w:val="restart"/>
                  <w:noWrap w:val="0"/>
                  <w:vAlign w:val="center"/>
                </w:tcPr>
                <w:p>
                  <w:pPr>
                    <w:jc w:val="center"/>
                    <w:rPr>
                      <w:b/>
                      <w:bCs/>
                      <w:color w:val="auto"/>
                      <w:szCs w:val="21"/>
                      <w:highlight w:val="none"/>
                    </w:rPr>
                  </w:pPr>
                  <w:r>
                    <w:rPr>
                      <w:b/>
                      <w:bCs/>
                      <w:color w:val="auto"/>
                      <w:szCs w:val="21"/>
                      <w:highlight w:val="none"/>
                    </w:rPr>
                    <w:t>环境要素</w:t>
                  </w:r>
                </w:p>
              </w:tc>
              <w:tc>
                <w:tcPr>
                  <w:tcW w:w="773" w:type="pct"/>
                  <w:gridSpan w:val="2"/>
                  <w:vMerge w:val="restart"/>
                  <w:noWrap w:val="0"/>
                  <w:vAlign w:val="center"/>
                </w:tcPr>
                <w:p>
                  <w:pPr>
                    <w:jc w:val="center"/>
                    <w:rPr>
                      <w:b/>
                      <w:bCs/>
                      <w:color w:val="auto"/>
                      <w:szCs w:val="21"/>
                      <w:highlight w:val="none"/>
                    </w:rPr>
                  </w:pPr>
                  <w:r>
                    <w:rPr>
                      <w:b/>
                      <w:bCs/>
                      <w:color w:val="auto"/>
                      <w:szCs w:val="21"/>
                      <w:highlight w:val="none"/>
                    </w:rPr>
                    <w:t>编号和名称</w:t>
                  </w:r>
                </w:p>
              </w:tc>
              <w:tc>
                <w:tcPr>
                  <w:tcW w:w="1466" w:type="pct"/>
                  <w:gridSpan w:val="2"/>
                  <w:noWrap w:val="0"/>
                  <w:vAlign w:val="center"/>
                </w:tcPr>
                <w:p>
                  <w:pPr>
                    <w:jc w:val="center"/>
                    <w:rPr>
                      <w:b/>
                      <w:bCs/>
                      <w:color w:val="auto"/>
                      <w:szCs w:val="21"/>
                      <w:highlight w:val="none"/>
                    </w:rPr>
                  </w:pPr>
                  <w:r>
                    <w:rPr>
                      <w:b/>
                      <w:bCs/>
                      <w:color w:val="auto"/>
                      <w:szCs w:val="21"/>
                      <w:highlight w:val="none"/>
                    </w:rPr>
                    <w:t>坐标</w:t>
                  </w:r>
                </w:p>
              </w:tc>
              <w:tc>
                <w:tcPr>
                  <w:tcW w:w="827" w:type="pct"/>
                  <w:vMerge w:val="restart"/>
                  <w:noWrap w:val="0"/>
                  <w:vAlign w:val="center"/>
                </w:tcPr>
                <w:p>
                  <w:pPr>
                    <w:jc w:val="center"/>
                    <w:rPr>
                      <w:b/>
                      <w:bCs/>
                      <w:color w:val="auto"/>
                      <w:szCs w:val="21"/>
                      <w:highlight w:val="none"/>
                    </w:rPr>
                  </w:pPr>
                  <w:r>
                    <w:rPr>
                      <w:b/>
                      <w:bCs/>
                      <w:color w:val="auto"/>
                      <w:szCs w:val="21"/>
                      <w:highlight w:val="none"/>
                    </w:rPr>
                    <w:t>保护内容</w:t>
                  </w:r>
                </w:p>
              </w:tc>
              <w:tc>
                <w:tcPr>
                  <w:tcW w:w="486" w:type="pct"/>
                  <w:vMerge w:val="restart"/>
                  <w:noWrap w:val="0"/>
                  <w:vAlign w:val="center"/>
                </w:tcPr>
                <w:p>
                  <w:pPr>
                    <w:jc w:val="center"/>
                    <w:rPr>
                      <w:b/>
                      <w:bCs/>
                      <w:color w:val="auto"/>
                      <w:szCs w:val="21"/>
                      <w:highlight w:val="none"/>
                    </w:rPr>
                  </w:pPr>
                  <w:r>
                    <w:rPr>
                      <w:b/>
                      <w:bCs/>
                      <w:color w:val="auto"/>
                      <w:szCs w:val="21"/>
                      <w:highlight w:val="none"/>
                    </w:rPr>
                    <w:t>功能区</w:t>
                  </w:r>
                </w:p>
              </w:tc>
              <w:tc>
                <w:tcPr>
                  <w:tcW w:w="418" w:type="pct"/>
                  <w:vMerge w:val="restart"/>
                  <w:noWrap w:val="0"/>
                  <w:vAlign w:val="center"/>
                </w:tcPr>
                <w:p>
                  <w:pPr>
                    <w:jc w:val="center"/>
                    <w:rPr>
                      <w:b/>
                      <w:bCs/>
                      <w:color w:val="auto"/>
                      <w:szCs w:val="21"/>
                      <w:highlight w:val="none"/>
                    </w:rPr>
                  </w:pPr>
                  <w:r>
                    <w:rPr>
                      <w:b/>
                      <w:bCs/>
                      <w:color w:val="auto"/>
                      <w:szCs w:val="21"/>
                      <w:highlight w:val="none"/>
                    </w:rPr>
                    <w:t>相对位置</w:t>
                  </w:r>
                </w:p>
              </w:tc>
              <w:tc>
                <w:tcPr>
                  <w:tcW w:w="618" w:type="pct"/>
                  <w:vMerge w:val="restart"/>
                  <w:noWrap w:val="0"/>
                  <w:vAlign w:val="center"/>
                </w:tcPr>
                <w:p>
                  <w:pPr>
                    <w:jc w:val="center"/>
                    <w:rPr>
                      <w:b/>
                      <w:bCs/>
                      <w:color w:val="auto"/>
                      <w:szCs w:val="21"/>
                      <w:highlight w:val="none"/>
                    </w:rPr>
                  </w:pPr>
                  <w:r>
                    <w:rPr>
                      <w:b/>
                      <w:bCs/>
                      <w:color w:val="auto"/>
                      <w:szCs w:val="21"/>
                      <w:highlight w:val="none"/>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07" w:type="pct"/>
                  <w:vMerge w:val="continue"/>
                  <w:noWrap w:val="0"/>
                  <w:vAlign w:val="center"/>
                </w:tcPr>
                <w:p>
                  <w:pPr>
                    <w:jc w:val="center"/>
                    <w:rPr>
                      <w:color w:val="auto"/>
                      <w:highlight w:val="none"/>
                    </w:rPr>
                  </w:pPr>
                </w:p>
              </w:tc>
              <w:tc>
                <w:tcPr>
                  <w:tcW w:w="773" w:type="pct"/>
                  <w:gridSpan w:val="2"/>
                  <w:vMerge w:val="continue"/>
                  <w:noWrap w:val="0"/>
                  <w:vAlign w:val="center"/>
                </w:tcPr>
                <w:p>
                  <w:pPr>
                    <w:jc w:val="center"/>
                    <w:rPr>
                      <w:color w:val="auto"/>
                      <w:highlight w:val="yellow"/>
                    </w:rPr>
                  </w:pPr>
                </w:p>
              </w:tc>
              <w:tc>
                <w:tcPr>
                  <w:tcW w:w="786" w:type="pct"/>
                  <w:noWrap w:val="0"/>
                  <w:vAlign w:val="center"/>
                </w:tcPr>
                <w:p>
                  <w:pPr>
                    <w:jc w:val="center"/>
                    <w:rPr>
                      <w:b/>
                      <w:bCs/>
                      <w:color w:val="auto"/>
                      <w:highlight w:val="none"/>
                    </w:rPr>
                  </w:pPr>
                  <w:r>
                    <w:rPr>
                      <w:b/>
                      <w:bCs/>
                      <w:color w:val="auto"/>
                      <w:highlight w:val="none"/>
                    </w:rPr>
                    <w:t>X</w:t>
                  </w:r>
                </w:p>
              </w:tc>
              <w:tc>
                <w:tcPr>
                  <w:tcW w:w="680" w:type="pct"/>
                  <w:noWrap w:val="0"/>
                  <w:vAlign w:val="center"/>
                </w:tcPr>
                <w:p>
                  <w:pPr>
                    <w:jc w:val="center"/>
                    <w:rPr>
                      <w:b/>
                      <w:bCs/>
                      <w:color w:val="auto"/>
                      <w:highlight w:val="none"/>
                    </w:rPr>
                  </w:pPr>
                  <w:r>
                    <w:rPr>
                      <w:b/>
                      <w:bCs/>
                      <w:color w:val="auto"/>
                      <w:highlight w:val="none"/>
                    </w:rPr>
                    <w:t>Y</w:t>
                  </w:r>
                </w:p>
              </w:tc>
              <w:tc>
                <w:tcPr>
                  <w:tcW w:w="827" w:type="pct"/>
                  <w:vMerge w:val="continue"/>
                  <w:noWrap w:val="0"/>
                  <w:vAlign w:val="center"/>
                </w:tcPr>
                <w:p>
                  <w:pPr>
                    <w:jc w:val="center"/>
                    <w:rPr>
                      <w:color w:val="auto"/>
                      <w:highlight w:val="yellow"/>
                    </w:rPr>
                  </w:pPr>
                </w:p>
              </w:tc>
              <w:tc>
                <w:tcPr>
                  <w:tcW w:w="486" w:type="pct"/>
                  <w:vMerge w:val="continue"/>
                  <w:noWrap w:val="0"/>
                  <w:vAlign w:val="center"/>
                </w:tcPr>
                <w:p>
                  <w:pPr>
                    <w:jc w:val="center"/>
                    <w:rPr>
                      <w:color w:val="auto"/>
                      <w:highlight w:val="yellow"/>
                    </w:rPr>
                  </w:pPr>
                </w:p>
              </w:tc>
              <w:tc>
                <w:tcPr>
                  <w:tcW w:w="418" w:type="pct"/>
                  <w:vMerge w:val="continue"/>
                  <w:noWrap w:val="0"/>
                  <w:vAlign w:val="center"/>
                </w:tcPr>
                <w:p>
                  <w:pPr>
                    <w:jc w:val="center"/>
                    <w:rPr>
                      <w:color w:val="auto"/>
                      <w:highlight w:val="yellow"/>
                    </w:rPr>
                  </w:pPr>
                </w:p>
              </w:tc>
              <w:tc>
                <w:tcPr>
                  <w:tcW w:w="618" w:type="pct"/>
                  <w:vMerge w:val="continue"/>
                  <w:noWrap w:val="0"/>
                  <w:vAlign w:val="center"/>
                </w:tcPr>
                <w:p>
                  <w:pPr>
                    <w:jc w:val="center"/>
                    <w:rPr>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restart"/>
                  <w:noWrap w:val="0"/>
                  <w:vAlign w:val="center"/>
                </w:tcPr>
                <w:p>
                  <w:pPr>
                    <w:jc w:val="center"/>
                    <w:rPr>
                      <w:color w:val="auto"/>
                      <w:szCs w:val="21"/>
                      <w:highlight w:val="none"/>
                    </w:rPr>
                  </w:pPr>
                  <w:r>
                    <w:rPr>
                      <w:color w:val="auto"/>
                      <w:szCs w:val="21"/>
                      <w:highlight w:val="none"/>
                    </w:rPr>
                    <w:t>大气环境</w:t>
                  </w:r>
                </w:p>
              </w:tc>
              <w:tc>
                <w:tcPr>
                  <w:tcW w:w="229" w:type="pct"/>
                  <w:noWrap w:val="0"/>
                  <w:vAlign w:val="center"/>
                </w:tcPr>
                <w:p>
                  <w:pPr>
                    <w:jc w:val="center"/>
                    <w:rPr>
                      <w:color w:val="auto"/>
                      <w:szCs w:val="21"/>
                      <w:highlight w:val="none"/>
                    </w:rPr>
                  </w:pPr>
                  <w:r>
                    <w:rPr>
                      <w:color w:val="auto"/>
                      <w:szCs w:val="21"/>
                      <w:highlight w:val="none"/>
                    </w:rPr>
                    <w:t>1</w:t>
                  </w:r>
                </w:p>
              </w:tc>
              <w:tc>
                <w:tcPr>
                  <w:tcW w:w="544" w:type="pct"/>
                  <w:noWrap w:val="0"/>
                  <w:vAlign w:val="center"/>
                </w:tcPr>
                <w:p>
                  <w:pPr>
                    <w:jc w:val="center"/>
                    <w:rPr>
                      <w:color w:val="auto"/>
                      <w:szCs w:val="21"/>
                      <w:highlight w:val="none"/>
                    </w:rPr>
                  </w:pPr>
                  <w:r>
                    <w:rPr>
                      <w:rFonts w:hint="eastAsia"/>
                      <w:color w:val="auto"/>
                      <w:szCs w:val="21"/>
                      <w:highlight w:val="none"/>
                      <w:lang w:val="en-US" w:eastAsia="zh-CN"/>
                    </w:rPr>
                    <w:t>土珠</w:t>
                  </w:r>
                  <w:r>
                    <w:rPr>
                      <w:rFonts w:hint="eastAsia"/>
                      <w:color w:val="auto"/>
                      <w:szCs w:val="21"/>
                      <w:highlight w:val="none"/>
                    </w:rPr>
                    <w:t>村</w:t>
                  </w:r>
                </w:p>
              </w:tc>
              <w:tc>
                <w:tcPr>
                  <w:tcW w:w="786" w:type="pct"/>
                  <w:noWrap w:val="0"/>
                  <w:vAlign w:val="center"/>
                </w:tcPr>
                <w:p>
                  <w:pPr>
                    <w:jc w:val="center"/>
                    <w:rPr>
                      <w:color w:val="auto"/>
                      <w:szCs w:val="21"/>
                      <w:highlight w:val="yellow"/>
                    </w:rPr>
                  </w:pPr>
                  <w:r>
                    <w:rPr>
                      <w:rFonts w:hint="eastAsia"/>
                    </w:rPr>
                    <w:t>112.201754153</w:t>
                  </w:r>
                </w:p>
              </w:tc>
              <w:tc>
                <w:tcPr>
                  <w:tcW w:w="680" w:type="pct"/>
                  <w:noWrap w:val="0"/>
                  <w:vAlign w:val="center"/>
                </w:tcPr>
                <w:p>
                  <w:pPr>
                    <w:jc w:val="center"/>
                    <w:rPr>
                      <w:color w:val="auto"/>
                      <w:szCs w:val="21"/>
                      <w:highlight w:val="yellow"/>
                    </w:rPr>
                  </w:pPr>
                  <w:r>
                    <w:rPr>
                      <w:rFonts w:hint="eastAsia"/>
                    </w:rPr>
                    <w:t>25.884231493</w:t>
                  </w:r>
                </w:p>
              </w:tc>
              <w:tc>
                <w:tcPr>
                  <w:tcW w:w="827" w:type="pct"/>
                  <w:noWrap w:val="0"/>
                  <w:vAlign w:val="center"/>
                </w:tcPr>
                <w:p>
                  <w:pPr>
                    <w:jc w:val="center"/>
                    <w:rPr>
                      <w:color w:val="auto"/>
                      <w:szCs w:val="21"/>
                      <w:highlight w:val="yellow"/>
                    </w:rPr>
                  </w:pPr>
                  <w:r>
                    <w:rPr>
                      <w:color w:val="auto"/>
                      <w:szCs w:val="21"/>
                      <w:highlight w:val="none"/>
                    </w:rPr>
                    <w:t>居民，约</w:t>
                  </w:r>
                  <w:r>
                    <w:rPr>
                      <w:rFonts w:hint="eastAsia"/>
                      <w:color w:val="auto"/>
                      <w:szCs w:val="21"/>
                      <w:highlight w:val="none"/>
                      <w:lang w:val="en-US" w:eastAsia="zh-CN"/>
                    </w:rPr>
                    <w:t>45</w:t>
                  </w:r>
                  <w:r>
                    <w:rPr>
                      <w:rFonts w:hint="eastAsia"/>
                      <w:color w:val="auto"/>
                      <w:szCs w:val="21"/>
                      <w:highlight w:val="none"/>
                    </w:rPr>
                    <w:t>户，</w:t>
                  </w:r>
                  <w:r>
                    <w:rPr>
                      <w:rFonts w:hint="eastAsia"/>
                      <w:color w:val="auto"/>
                      <w:szCs w:val="21"/>
                      <w:highlight w:val="none"/>
                      <w:lang w:val="en-US" w:eastAsia="zh-CN"/>
                    </w:rPr>
                    <w:t>135</w:t>
                  </w:r>
                  <w:r>
                    <w:rPr>
                      <w:color w:val="auto"/>
                      <w:szCs w:val="21"/>
                      <w:highlight w:val="none"/>
                    </w:rPr>
                    <w:t>人</w:t>
                  </w:r>
                </w:p>
              </w:tc>
              <w:tc>
                <w:tcPr>
                  <w:tcW w:w="486" w:type="pct"/>
                  <w:noWrap w:val="0"/>
                  <w:vAlign w:val="center"/>
                </w:tcPr>
                <w:p>
                  <w:pPr>
                    <w:jc w:val="center"/>
                    <w:rPr>
                      <w:color w:val="auto"/>
                      <w:szCs w:val="21"/>
                      <w:highlight w:val="none"/>
                    </w:rPr>
                  </w:pPr>
                  <w:r>
                    <w:rPr>
                      <w:color w:val="auto"/>
                      <w:szCs w:val="21"/>
                      <w:highlight w:val="none"/>
                    </w:rPr>
                    <w:t>二类</w:t>
                  </w:r>
                </w:p>
              </w:tc>
              <w:tc>
                <w:tcPr>
                  <w:tcW w:w="418" w:type="pct"/>
                  <w:noWrap w:val="0"/>
                  <w:vAlign w:val="center"/>
                </w:tcPr>
                <w:p>
                  <w:pPr>
                    <w:jc w:val="center"/>
                    <w:rPr>
                      <w:color w:val="auto"/>
                      <w:szCs w:val="21"/>
                      <w:highlight w:val="none"/>
                    </w:rPr>
                  </w:pPr>
                  <w:r>
                    <w:rPr>
                      <w:color w:val="auto"/>
                      <w:szCs w:val="21"/>
                      <w:highlight w:val="none"/>
                    </w:rPr>
                    <w:t>东</w:t>
                  </w:r>
                </w:p>
              </w:tc>
              <w:tc>
                <w:tcPr>
                  <w:tcW w:w="618" w:type="pct"/>
                  <w:noWrap w:val="0"/>
                  <w:vAlign w:val="center"/>
                </w:tcPr>
                <w:p>
                  <w:pPr>
                    <w:tabs>
                      <w:tab w:val="left" w:pos="388"/>
                    </w:tabs>
                    <w:jc w:val="center"/>
                    <w:rPr>
                      <w:color w:val="auto"/>
                      <w:szCs w:val="21"/>
                      <w:highlight w:val="none"/>
                    </w:rPr>
                  </w:pPr>
                  <w:r>
                    <w:rPr>
                      <w:rFonts w:hint="eastAsia"/>
                      <w:color w:val="auto"/>
                      <w:szCs w:val="21"/>
                      <w:highlight w:val="none"/>
                    </w:rPr>
                    <w:t>3</w:t>
                  </w:r>
                  <w:r>
                    <w:rPr>
                      <w:color w:val="auto"/>
                      <w:szCs w:val="21"/>
                      <w:highlight w:val="none"/>
                    </w:rPr>
                    <w:t>0</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50</w:t>
                  </w:r>
                  <w:r>
                    <w:rPr>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jc w:val="center"/>
                    <w:rPr>
                      <w:color w:val="auto"/>
                      <w:szCs w:val="21"/>
                      <w:highlight w:val="yellow"/>
                    </w:rPr>
                  </w:pPr>
                </w:p>
              </w:tc>
              <w:tc>
                <w:tcPr>
                  <w:tcW w:w="229" w:type="pct"/>
                  <w:noWrap w:val="0"/>
                  <w:vAlign w:val="center"/>
                </w:tcPr>
                <w:p>
                  <w:pPr>
                    <w:jc w:val="center"/>
                    <w:rPr>
                      <w:rFonts w:hint="eastAsia"/>
                      <w:color w:val="auto"/>
                      <w:szCs w:val="21"/>
                      <w:highlight w:val="none"/>
                    </w:rPr>
                  </w:pPr>
                  <w:r>
                    <w:rPr>
                      <w:rFonts w:hint="eastAsia"/>
                      <w:color w:val="auto"/>
                      <w:szCs w:val="21"/>
                      <w:highlight w:val="none"/>
                    </w:rPr>
                    <w:t>2</w:t>
                  </w:r>
                </w:p>
              </w:tc>
              <w:tc>
                <w:tcPr>
                  <w:tcW w:w="544" w:type="pct"/>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河大桥</w:t>
                  </w:r>
                </w:p>
              </w:tc>
              <w:tc>
                <w:tcPr>
                  <w:tcW w:w="786" w:type="pct"/>
                  <w:noWrap w:val="0"/>
                  <w:vAlign w:val="center"/>
                </w:tcPr>
                <w:p>
                  <w:pPr>
                    <w:jc w:val="center"/>
                    <w:rPr>
                      <w:color w:val="auto"/>
                      <w:szCs w:val="21"/>
                      <w:highlight w:val="yellow"/>
                    </w:rPr>
                  </w:pPr>
                  <w:r>
                    <w:rPr>
                      <w:rFonts w:hint="eastAsia"/>
                    </w:rPr>
                    <w:t>112.201941908</w:t>
                  </w:r>
                </w:p>
              </w:tc>
              <w:tc>
                <w:tcPr>
                  <w:tcW w:w="680" w:type="pct"/>
                  <w:noWrap w:val="0"/>
                  <w:vAlign w:val="center"/>
                </w:tcPr>
                <w:p>
                  <w:pPr>
                    <w:jc w:val="center"/>
                    <w:rPr>
                      <w:color w:val="auto"/>
                      <w:szCs w:val="21"/>
                      <w:highlight w:val="none"/>
                    </w:rPr>
                  </w:pPr>
                  <w:r>
                    <w:rPr>
                      <w:rFonts w:hint="eastAsia"/>
                      <w:highlight w:val="none"/>
                    </w:rPr>
                    <w:t>25.882101819</w:t>
                  </w:r>
                </w:p>
              </w:tc>
              <w:tc>
                <w:tcPr>
                  <w:tcW w:w="827" w:type="pct"/>
                  <w:noWrap w:val="0"/>
                  <w:vAlign w:val="center"/>
                </w:tcPr>
                <w:p>
                  <w:pPr>
                    <w:jc w:val="center"/>
                    <w:rPr>
                      <w:color w:val="auto"/>
                      <w:szCs w:val="21"/>
                      <w:highlight w:val="none"/>
                    </w:rPr>
                  </w:pPr>
                  <w:r>
                    <w:rPr>
                      <w:color w:val="auto"/>
                      <w:szCs w:val="21"/>
                      <w:highlight w:val="none"/>
                    </w:rPr>
                    <w:t>居民，约</w:t>
                  </w:r>
                  <w:r>
                    <w:rPr>
                      <w:rFonts w:hint="eastAsia"/>
                      <w:color w:val="auto"/>
                      <w:szCs w:val="21"/>
                      <w:highlight w:val="none"/>
                      <w:lang w:val="en-US" w:eastAsia="zh-CN"/>
                    </w:rPr>
                    <w:t>15</w:t>
                  </w:r>
                  <w:r>
                    <w:rPr>
                      <w:rFonts w:hint="eastAsia"/>
                      <w:color w:val="auto"/>
                      <w:szCs w:val="21"/>
                      <w:highlight w:val="none"/>
                    </w:rPr>
                    <w:t>户，</w:t>
                  </w:r>
                  <w:r>
                    <w:rPr>
                      <w:rFonts w:hint="eastAsia"/>
                      <w:color w:val="auto"/>
                      <w:szCs w:val="21"/>
                      <w:highlight w:val="none"/>
                      <w:lang w:val="en-US" w:eastAsia="zh-CN"/>
                    </w:rPr>
                    <w:t>45</w:t>
                  </w:r>
                  <w:r>
                    <w:rPr>
                      <w:color w:val="auto"/>
                      <w:szCs w:val="21"/>
                      <w:highlight w:val="none"/>
                    </w:rPr>
                    <w:t>人</w:t>
                  </w:r>
                </w:p>
              </w:tc>
              <w:tc>
                <w:tcPr>
                  <w:tcW w:w="486" w:type="pct"/>
                  <w:noWrap w:val="0"/>
                  <w:vAlign w:val="center"/>
                </w:tcPr>
                <w:p>
                  <w:pPr>
                    <w:jc w:val="center"/>
                    <w:rPr>
                      <w:color w:val="auto"/>
                      <w:szCs w:val="21"/>
                      <w:highlight w:val="none"/>
                    </w:rPr>
                  </w:pPr>
                  <w:r>
                    <w:rPr>
                      <w:color w:val="auto"/>
                      <w:szCs w:val="21"/>
                      <w:highlight w:val="none"/>
                    </w:rPr>
                    <w:t>二类</w:t>
                  </w:r>
                </w:p>
              </w:tc>
              <w:tc>
                <w:tcPr>
                  <w:tcW w:w="418" w:type="pct"/>
                  <w:noWrap w:val="0"/>
                  <w:vAlign w:val="center"/>
                </w:tcPr>
                <w:p>
                  <w:pPr>
                    <w:jc w:val="center"/>
                    <w:rPr>
                      <w:color w:val="auto"/>
                      <w:szCs w:val="21"/>
                      <w:highlight w:val="none"/>
                    </w:rPr>
                  </w:pPr>
                  <w:r>
                    <w:rPr>
                      <w:color w:val="auto"/>
                      <w:szCs w:val="21"/>
                      <w:highlight w:val="none"/>
                    </w:rPr>
                    <w:t>东</w:t>
                  </w:r>
                  <w:r>
                    <w:rPr>
                      <w:rFonts w:hint="eastAsia"/>
                      <w:color w:val="auto"/>
                      <w:szCs w:val="21"/>
                      <w:highlight w:val="none"/>
                    </w:rPr>
                    <w:t>南</w:t>
                  </w:r>
                </w:p>
              </w:tc>
              <w:tc>
                <w:tcPr>
                  <w:tcW w:w="618" w:type="pct"/>
                  <w:noWrap w:val="0"/>
                  <w:vAlign w:val="center"/>
                </w:tcPr>
                <w:p>
                  <w:pPr>
                    <w:tabs>
                      <w:tab w:val="left" w:pos="388"/>
                    </w:tabs>
                    <w:jc w:val="center"/>
                    <w:rPr>
                      <w:color w:val="auto"/>
                      <w:szCs w:val="21"/>
                      <w:highlight w:val="none"/>
                    </w:rPr>
                  </w:pPr>
                  <w:r>
                    <w:rPr>
                      <w:rFonts w:hint="eastAsia"/>
                      <w:color w:val="auto"/>
                      <w:szCs w:val="21"/>
                      <w:highlight w:val="none"/>
                      <w:lang w:val="en-US" w:eastAsia="zh-CN"/>
                    </w:rPr>
                    <w:t>465</w:t>
                  </w:r>
                  <w:r>
                    <w:rPr>
                      <w:color w:val="auto"/>
                      <w:szCs w:val="21"/>
                      <w:highlight w:val="none"/>
                    </w:rPr>
                    <w:t>~</w:t>
                  </w:r>
                  <w:r>
                    <w:rPr>
                      <w:rFonts w:hint="eastAsia"/>
                      <w:color w:val="auto"/>
                      <w:szCs w:val="21"/>
                      <w:highlight w:val="none"/>
                    </w:rPr>
                    <w:t>50</w:t>
                  </w:r>
                  <w:r>
                    <w:rPr>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jc w:val="center"/>
                    <w:rPr>
                      <w:color w:val="auto"/>
                      <w:szCs w:val="21"/>
                      <w:highlight w:val="yellow"/>
                    </w:rPr>
                  </w:pPr>
                </w:p>
              </w:tc>
              <w:tc>
                <w:tcPr>
                  <w:tcW w:w="229" w:type="pct"/>
                  <w:noWrap w:val="0"/>
                  <w:vAlign w:val="center"/>
                </w:tcPr>
                <w:p>
                  <w:pPr>
                    <w:jc w:val="center"/>
                    <w:rPr>
                      <w:rFonts w:hint="eastAsia"/>
                      <w:color w:val="auto"/>
                      <w:szCs w:val="21"/>
                      <w:highlight w:val="none"/>
                    </w:rPr>
                  </w:pPr>
                  <w:r>
                    <w:rPr>
                      <w:rFonts w:hint="eastAsia"/>
                      <w:color w:val="auto"/>
                      <w:szCs w:val="21"/>
                      <w:highlight w:val="none"/>
                    </w:rPr>
                    <w:t>3</w:t>
                  </w:r>
                </w:p>
              </w:tc>
              <w:tc>
                <w:tcPr>
                  <w:tcW w:w="544"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新田德恒实验学校</w:t>
                  </w:r>
                </w:p>
              </w:tc>
              <w:tc>
                <w:tcPr>
                  <w:tcW w:w="786" w:type="pct"/>
                  <w:noWrap w:val="0"/>
                  <w:vAlign w:val="center"/>
                </w:tcPr>
                <w:p>
                  <w:pPr>
                    <w:jc w:val="center"/>
                    <w:rPr>
                      <w:color w:val="auto"/>
                      <w:szCs w:val="21"/>
                      <w:highlight w:val="none"/>
                    </w:rPr>
                  </w:pPr>
                  <w:r>
                    <w:rPr>
                      <w:rFonts w:hint="eastAsia"/>
                      <w:highlight w:val="none"/>
                    </w:rPr>
                    <w:t>112.200713456</w:t>
                  </w:r>
                </w:p>
              </w:tc>
              <w:tc>
                <w:tcPr>
                  <w:tcW w:w="680" w:type="pct"/>
                  <w:noWrap w:val="0"/>
                  <w:vAlign w:val="center"/>
                </w:tcPr>
                <w:p>
                  <w:pPr>
                    <w:jc w:val="center"/>
                    <w:rPr>
                      <w:color w:val="auto"/>
                      <w:szCs w:val="21"/>
                      <w:highlight w:val="yellow"/>
                    </w:rPr>
                  </w:pPr>
                  <w:r>
                    <w:rPr>
                      <w:rFonts w:hint="eastAsia"/>
                    </w:rPr>
                    <w:t>25.886656210</w:t>
                  </w:r>
                </w:p>
              </w:tc>
              <w:tc>
                <w:tcPr>
                  <w:tcW w:w="827" w:type="pct"/>
                  <w:noWrap w:val="0"/>
                  <w:vAlign w:val="center"/>
                </w:tcPr>
                <w:p>
                  <w:pPr>
                    <w:jc w:val="center"/>
                    <w:rPr>
                      <w:color w:val="auto"/>
                      <w:szCs w:val="21"/>
                      <w:highlight w:val="none"/>
                    </w:rPr>
                  </w:pPr>
                  <w:r>
                    <w:rPr>
                      <w:rFonts w:hint="eastAsia" w:cs="Times New Roman"/>
                      <w:color w:val="auto"/>
                      <w:highlight w:val="none"/>
                      <w:u w:val="none"/>
                      <w:lang w:val="en-US" w:eastAsia="zh-CN"/>
                    </w:rPr>
                    <w:t>学校，约600师生</w:t>
                  </w:r>
                </w:p>
              </w:tc>
              <w:tc>
                <w:tcPr>
                  <w:tcW w:w="486" w:type="pct"/>
                  <w:noWrap w:val="0"/>
                  <w:vAlign w:val="center"/>
                </w:tcPr>
                <w:p>
                  <w:pPr>
                    <w:jc w:val="center"/>
                    <w:rPr>
                      <w:color w:val="auto"/>
                      <w:szCs w:val="21"/>
                      <w:highlight w:val="none"/>
                    </w:rPr>
                  </w:pPr>
                  <w:r>
                    <w:rPr>
                      <w:color w:val="auto"/>
                      <w:szCs w:val="21"/>
                      <w:highlight w:val="none"/>
                    </w:rPr>
                    <w:t>二类</w:t>
                  </w:r>
                </w:p>
              </w:tc>
              <w:tc>
                <w:tcPr>
                  <w:tcW w:w="418" w:type="pct"/>
                  <w:noWrap w:val="0"/>
                  <w:vAlign w:val="center"/>
                </w:tcPr>
                <w:p>
                  <w:pPr>
                    <w:jc w:val="center"/>
                    <w:rPr>
                      <w:rFonts w:hint="eastAsia" w:eastAsia="宋体"/>
                      <w:color w:val="auto"/>
                      <w:szCs w:val="21"/>
                      <w:highlight w:val="none"/>
                      <w:lang w:eastAsia="zh-CN"/>
                    </w:rPr>
                  </w:pPr>
                  <w:r>
                    <w:rPr>
                      <w:color w:val="auto"/>
                      <w:szCs w:val="21"/>
                      <w:highlight w:val="none"/>
                    </w:rPr>
                    <w:t>东</w:t>
                  </w:r>
                  <w:r>
                    <w:rPr>
                      <w:rFonts w:hint="eastAsia"/>
                      <w:color w:val="auto"/>
                      <w:szCs w:val="21"/>
                      <w:highlight w:val="none"/>
                      <w:lang w:val="en-US" w:eastAsia="zh-CN"/>
                    </w:rPr>
                    <w:t>北</w:t>
                  </w:r>
                </w:p>
              </w:tc>
              <w:tc>
                <w:tcPr>
                  <w:tcW w:w="618" w:type="pct"/>
                  <w:noWrap w:val="0"/>
                  <w:vAlign w:val="center"/>
                </w:tcPr>
                <w:p>
                  <w:pPr>
                    <w:tabs>
                      <w:tab w:val="left" w:pos="388"/>
                    </w:tabs>
                    <w:jc w:val="center"/>
                    <w:rPr>
                      <w:color w:val="auto"/>
                      <w:szCs w:val="21"/>
                      <w:highlight w:val="none"/>
                    </w:rPr>
                  </w:pPr>
                  <w:r>
                    <w:rPr>
                      <w:rFonts w:hint="eastAsia"/>
                      <w:color w:val="auto"/>
                      <w:szCs w:val="21"/>
                      <w:highlight w:val="none"/>
                      <w:lang w:val="en-US" w:eastAsia="zh-CN"/>
                    </w:rPr>
                    <w:t>2</w:t>
                  </w:r>
                  <w:r>
                    <w:rPr>
                      <w:rFonts w:hint="eastAsia"/>
                      <w:color w:val="auto"/>
                      <w:szCs w:val="21"/>
                      <w:highlight w:val="none"/>
                    </w:rPr>
                    <w:t>50-500</w:t>
                  </w:r>
                </w:p>
              </w:tc>
            </w:tr>
          </w:tbl>
          <w:p>
            <w:pPr>
              <w:keepNext w:val="0"/>
              <w:keepLines w:val="0"/>
              <w:pageBreakBefore w:val="0"/>
              <w:widowControl w:val="0"/>
              <w:numPr>
                <w:ilvl w:val="0"/>
                <w:numId w:val="3"/>
              </w:numPr>
              <w:kinsoku/>
              <w:wordWrap/>
              <w:overflowPunct/>
              <w:topLinePunct w:val="0"/>
              <w:autoSpaceDE/>
              <w:autoSpaceDN/>
              <w:bidi w:val="0"/>
              <w:spacing w:line="360" w:lineRule="auto"/>
              <w:ind w:left="148" w:leftChars="0" w:firstLine="482" w:firstLineChars="0"/>
              <w:textAlignment w:val="auto"/>
              <w:rPr>
                <w:rFonts w:hint="eastAsia"/>
                <w:b/>
                <w:bCs/>
                <w:color w:val="auto"/>
                <w:sz w:val="24"/>
                <w:highlight w:val="none"/>
              </w:rPr>
            </w:pPr>
            <w:r>
              <w:rPr>
                <w:rFonts w:hint="eastAsia"/>
                <w:b/>
                <w:bCs/>
                <w:color w:val="auto"/>
                <w:sz w:val="24"/>
                <w:highlight w:val="none"/>
              </w:rPr>
              <w:t>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color w:val="auto"/>
                <w:sz w:val="24"/>
                <w:highlight w:val="none"/>
              </w:rPr>
              <w:t>通过对项目周边环境的勘查，</w:t>
            </w:r>
            <w:r>
              <w:rPr>
                <w:rFonts w:hint="eastAsia"/>
                <w:color w:val="auto"/>
                <w:sz w:val="24"/>
                <w:highlight w:val="none"/>
              </w:rPr>
              <w:t>项目50米范围内无居民区。</w:t>
            </w:r>
          </w:p>
          <w:p>
            <w:pPr>
              <w:keepNext w:val="0"/>
              <w:keepLines w:val="0"/>
              <w:pageBreakBefore w:val="0"/>
              <w:widowControl w:val="0"/>
              <w:numPr>
                <w:ilvl w:val="0"/>
                <w:numId w:val="3"/>
              </w:numPr>
              <w:kinsoku/>
              <w:wordWrap/>
              <w:overflowPunct/>
              <w:topLinePunct w:val="0"/>
              <w:autoSpaceDE/>
              <w:autoSpaceDN/>
              <w:bidi w:val="0"/>
              <w:spacing w:line="360" w:lineRule="auto"/>
              <w:ind w:left="148" w:leftChars="0" w:firstLine="482" w:firstLineChars="0"/>
              <w:textAlignment w:val="auto"/>
              <w:rPr>
                <w:rFonts w:hint="eastAsia"/>
                <w:b/>
                <w:bCs/>
                <w:color w:val="auto"/>
                <w:sz w:val="24"/>
                <w:highlight w:val="none"/>
              </w:rPr>
            </w:pPr>
            <w:r>
              <w:rPr>
                <w:rFonts w:hint="eastAsia"/>
                <w:b/>
                <w:bCs/>
                <w:color w:val="auto"/>
                <w:sz w:val="24"/>
                <w:highlight w:val="none"/>
              </w:rPr>
              <w:t>地下水环境保护目标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color w:val="auto"/>
                <w:sz w:val="24"/>
                <w:highlight w:val="none"/>
              </w:rPr>
              <w:t>通过对项目周边环境的勘查，本项目周边</w:t>
            </w:r>
            <w:r>
              <w:rPr>
                <w:rFonts w:hint="eastAsia"/>
                <w:color w:val="auto"/>
                <w:sz w:val="24"/>
                <w:highlight w:val="none"/>
              </w:rPr>
              <w:t>500m范围内不存在地下水集中式饮用水源和热水、矿泉水、温泉等特殊地下水资源。</w:t>
            </w:r>
          </w:p>
          <w:p>
            <w:pPr>
              <w:keepNext w:val="0"/>
              <w:keepLines w:val="0"/>
              <w:pageBreakBefore w:val="0"/>
              <w:widowControl w:val="0"/>
              <w:numPr>
                <w:ilvl w:val="0"/>
                <w:numId w:val="3"/>
              </w:numPr>
              <w:kinsoku/>
              <w:wordWrap/>
              <w:overflowPunct/>
              <w:topLinePunct w:val="0"/>
              <w:autoSpaceDE/>
              <w:autoSpaceDN/>
              <w:bidi w:val="0"/>
              <w:spacing w:line="360" w:lineRule="auto"/>
              <w:ind w:left="148" w:leftChars="0" w:firstLine="482" w:firstLineChars="0"/>
              <w:textAlignment w:val="auto"/>
              <w:rPr>
                <w:rFonts w:hint="eastAsia"/>
                <w:b/>
                <w:bCs/>
                <w:color w:val="auto"/>
                <w:sz w:val="24"/>
                <w:highlight w:val="none"/>
              </w:rPr>
            </w:pPr>
            <w:r>
              <w:rPr>
                <w:rFonts w:hint="eastAsia"/>
                <w:b/>
                <w:bCs/>
                <w:color w:val="auto"/>
                <w:sz w:val="24"/>
                <w:highlight w:val="none"/>
              </w:rPr>
              <w:t>生态环境保护目标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kern w:val="0"/>
                <w:szCs w:val="21"/>
                <w:highlight w:val="yellow"/>
              </w:rPr>
            </w:pPr>
            <w:r>
              <w:rPr>
                <w:color w:val="auto"/>
                <w:sz w:val="24"/>
                <w:highlight w:val="none"/>
              </w:rPr>
              <w:t>通过对项目周边环境的勘查，</w:t>
            </w:r>
            <w:r>
              <w:rPr>
                <w:rFonts w:hint="eastAsia"/>
                <w:color w:val="auto"/>
                <w:sz w:val="24"/>
                <w:highlight w:val="none"/>
              </w:rPr>
              <w:t>项目周边</w:t>
            </w:r>
            <w:r>
              <w:rPr>
                <w:color w:val="auto"/>
                <w:sz w:val="24"/>
                <w:highlight w:val="none"/>
              </w:rPr>
              <w:t>无生态环境保护目标</w:t>
            </w:r>
            <w:r>
              <w:rPr>
                <w:rFonts w:hint="eastAsia"/>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污染</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物排</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放控</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制标</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准</w:t>
            </w:r>
          </w:p>
        </w:tc>
        <w:tc>
          <w:tcPr>
            <w:tcW w:w="8220" w:type="dxa"/>
            <w:noWrap w:val="0"/>
            <w:vAlign w:val="center"/>
          </w:tcPr>
          <w:p>
            <w:pPr>
              <w:pStyle w:val="31"/>
              <w:numPr>
                <w:ilvl w:val="0"/>
                <w:numId w:val="4"/>
              </w:numPr>
              <w:ind w:firstLine="482"/>
              <w:rPr>
                <w:rFonts w:hint="eastAsia"/>
                <w:b/>
                <w:bCs/>
                <w:color w:val="auto"/>
                <w:szCs w:val="24"/>
                <w:highlight w:val="none"/>
              </w:rPr>
            </w:pPr>
            <w:r>
              <w:rPr>
                <w:rFonts w:hint="eastAsia"/>
                <w:b/>
                <w:bCs/>
                <w:color w:val="auto"/>
                <w:szCs w:val="24"/>
                <w:highlight w:val="none"/>
              </w:rPr>
              <w:t>废气</w:t>
            </w:r>
          </w:p>
          <w:p>
            <w:pPr>
              <w:spacing w:line="360" w:lineRule="auto"/>
              <w:ind w:firstLine="480" w:firstLineChars="200"/>
              <w:rPr>
                <w:rFonts w:hint="eastAsia"/>
                <w:color w:val="auto"/>
                <w:sz w:val="24"/>
                <w:highlight w:val="none"/>
              </w:rPr>
            </w:pPr>
            <w:r>
              <w:rPr>
                <w:rFonts w:hint="eastAsia" w:ascii="宋体" w:hAnsi="宋体" w:eastAsia="宋体" w:cs="宋体"/>
                <w:color w:val="auto"/>
                <w:sz w:val="24"/>
                <w:highlight w:val="none"/>
              </w:rPr>
              <w:t>①</w:t>
            </w:r>
            <w:r>
              <w:rPr>
                <w:rFonts w:hint="eastAsia" w:ascii="宋体" w:hAnsi="宋体" w:cs="宋体"/>
                <w:color w:val="auto"/>
                <w:sz w:val="24"/>
                <w:highlight w:val="none"/>
              </w:rPr>
              <w:t>有组织废气</w:t>
            </w:r>
          </w:p>
          <w:p>
            <w:pPr>
              <w:spacing w:line="360" w:lineRule="auto"/>
              <w:ind w:firstLine="480" w:firstLineChars="200"/>
              <w:rPr>
                <w:rFonts w:hint="eastAsia"/>
                <w:color w:val="auto"/>
                <w:sz w:val="24"/>
                <w:szCs w:val="24"/>
                <w:highlight w:val="none"/>
                <w:lang w:eastAsia="zh-CN"/>
              </w:rPr>
            </w:pPr>
            <w:r>
              <w:rPr>
                <w:rFonts w:hint="eastAsia" w:ascii="宋体" w:hAnsi="宋体" w:cs="宋体"/>
                <w:color w:val="auto"/>
                <w:sz w:val="24"/>
                <w:szCs w:val="24"/>
                <w:highlight w:val="none"/>
              </w:rPr>
              <w:t>发泡、</w:t>
            </w:r>
            <w:r>
              <w:rPr>
                <w:rFonts w:hint="eastAsia" w:ascii="宋体" w:hAnsi="宋体" w:cs="宋体"/>
                <w:color w:val="auto"/>
                <w:sz w:val="24"/>
                <w:szCs w:val="24"/>
                <w:highlight w:val="none"/>
                <w:lang w:eastAsia="zh-CN"/>
              </w:rPr>
              <w:t>搅拌工序、</w:t>
            </w:r>
            <w:r>
              <w:rPr>
                <w:rFonts w:hint="eastAsia" w:ascii="宋体" w:hAnsi="宋体" w:cs="宋体"/>
                <w:color w:val="auto"/>
                <w:sz w:val="24"/>
                <w:szCs w:val="24"/>
                <w:highlight w:val="none"/>
              </w:rPr>
              <w:t>熟化</w:t>
            </w:r>
            <w:r>
              <w:rPr>
                <w:rFonts w:hint="eastAsia"/>
                <w:color w:val="auto"/>
                <w:sz w:val="24"/>
                <w:szCs w:val="24"/>
                <w:highlight w:val="none"/>
              </w:rPr>
              <w:t>工序产生的非甲烷总烃有组织废气执行《合成树脂工业污染物排放标准》（GB31732-2015）表 5大气污染物特别排放限值</w:t>
            </w:r>
            <w:r>
              <w:rPr>
                <w:rFonts w:hint="eastAsia"/>
                <w:color w:val="auto"/>
                <w:sz w:val="24"/>
                <w:szCs w:val="24"/>
                <w:highlight w:val="none"/>
                <w:lang w:eastAsia="zh-CN"/>
              </w:rPr>
              <w:t>。</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印刷工序</w:t>
            </w:r>
            <w:r>
              <w:rPr>
                <w:rFonts w:hint="eastAsia"/>
                <w:color w:val="auto"/>
                <w:sz w:val="21"/>
                <w:szCs w:val="21"/>
                <w:u w:val="none"/>
                <w:lang w:val="en-US" w:eastAsia="zh-CN"/>
              </w:rPr>
              <w:t>VOCs</w:t>
            </w:r>
            <w:r>
              <w:rPr>
                <w:rFonts w:hint="eastAsia"/>
                <w:color w:val="auto"/>
                <w:sz w:val="24"/>
                <w:szCs w:val="24"/>
                <w:highlight w:val="none"/>
                <w:lang w:eastAsia="zh-CN"/>
              </w:rPr>
              <w:t>执行湖南省地方标准《印刷业挥发性有机物排放标准》(DB43/1357-2017) 表1排气筒挥发性有机物排放浓度限值。</w:t>
            </w:r>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热风炉废气执行《工业炉窑大气污染排放标准》（GB 9078-1996）和《工业炉窑大气污染综合治理方案》（环大气〔2019〕56号）。</w:t>
            </w:r>
          </w:p>
          <w:p>
            <w:pPr>
              <w:spacing w:line="360" w:lineRule="auto"/>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食堂油烟执行</w:t>
            </w:r>
            <w:r>
              <w:rPr>
                <w:rFonts w:hint="eastAsia"/>
                <w:color w:val="auto"/>
                <w:sz w:val="24"/>
                <w:szCs w:val="24"/>
                <w:highlight w:val="none"/>
                <w:lang w:eastAsia="zh-CN"/>
              </w:rPr>
              <w:t>《饮食业油烟排放标准（</w:t>
            </w:r>
            <w:r>
              <w:rPr>
                <w:rFonts w:hint="eastAsia"/>
                <w:color w:val="auto"/>
                <w:sz w:val="24"/>
                <w:szCs w:val="24"/>
                <w:highlight w:val="none"/>
                <w:lang w:val="en-US" w:eastAsia="zh-CN"/>
              </w:rPr>
              <w:t>试行</w:t>
            </w:r>
            <w:r>
              <w:rPr>
                <w:rFonts w:hint="eastAsia"/>
                <w:color w:val="auto"/>
                <w:sz w:val="24"/>
                <w:szCs w:val="24"/>
                <w:highlight w:val="none"/>
                <w:lang w:eastAsia="zh-CN"/>
              </w:rPr>
              <w:t>）》（GB18483-2001）表2中标准限制。</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标准限值见下表。</w:t>
            </w:r>
          </w:p>
          <w:p>
            <w:pPr>
              <w:spacing w:line="360" w:lineRule="auto"/>
              <w:ind w:firstLine="422" w:firstLineChars="200"/>
              <w:jc w:val="center"/>
              <w:rPr>
                <w:rFonts w:hint="eastAsia"/>
                <w:b/>
                <w:bCs/>
                <w:color w:val="auto"/>
                <w:szCs w:val="21"/>
                <w:highlight w:val="none"/>
              </w:rPr>
            </w:pPr>
            <w:r>
              <w:rPr>
                <w:rFonts w:hint="eastAsia"/>
                <w:b/>
                <w:bCs/>
                <w:color w:val="auto"/>
                <w:szCs w:val="21"/>
                <w:highlight w:val="none"/>
              </w:rPr>
              <w:t>表3-</w:t>
            </w:r>
            <w:r>
              <w:rPr>
                <w:rFonts w:hint="eastAsia"/>
                <w:b/>
                <w:bCs/>
                <w:color w:val="auto"/>
                <w:szCs w:val="21"/>
                <w:highlight w:val="none"/>
                <w:lang w:val="en-US" w:eastAsia="zh-CN"/>
              </w:rPr>
              <w:t>6</w:t>
            </w:r>
            <w:r>
              <w:rPr>
                <w:rFonts w:hint="eastAsia"/>
                <w:b/>
                <w:bCs/>
                <w:color w:val="auto"/>
                <w:szCs w:val="21"/>
                <w:highlight w:val="none"/>
              </w:rPr>
              <w:t xml:space="preserve"> 有组织废气排放标准限值</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73"/>
              <w:gridCol w:w="2187"/>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852" w:type="pct"/>
                  <w:noWrap w:val="0"/>
                  <w:vAlign w:val="center"/>
                </w:tcPr>
                <w:p>
                  <w:pPr>
                    <w:jc w:val="center"/>
                    <w:rPr>
                      <w:b/>
                      <w:bCs/>
                      <w:color w:val="auto"/>
                      <w:highlight w:val="none"/>
                    </w:rPr>
                  </w:pPr>
                  <w:r>
                    <w:rPr>
                      <w:b/>
                      <w:bCs/>
                      <w:color w:val="auto"/>
                      <w:highlight w:val="none"/>
                    </w:rPr>
                    <w:t>污染物</w:t>
                  </w:r>
                </w:p>
              </w:tc>
              <w:tc>
                <w:tcPr>
                  <w:tcW w:w="1410" w:type="pct"/>
                  <w:noWrap w:val="0"/>
                  <w:vAlign w:val="center"/>
                </w:tcPr>
                <w:p>
                  <w:pPr>
                    <w:jc w:val="center"/>
                    <w:rPr>
                      <w:rFonts w:hint="default" w:eastAsia="宋体"/>
                      <w:b/>
                      <w:bCs/>
                      <w:color w:val="auto"/>
                      <w:highlight w:val="none"/>
                      <w:lang w:val="en-US" w:eastAsia="zh-CN"/>
                    </w:rPr>
                  </w:pPr>
                  <w:r>
                    <w:rPr>
                      <w:b/>
                      <w:bCs/>
                      <w:color w:val="auto"/>
                      <w:highlight w:val="none"/>
                    </w:rPr>
                    <w:t>排放浓度</w:t>
                  </w:r>
                  <w:r>
                    <w:rPr>
                      <w:rFonts w:hint="eastAsia"/>
                      <w:b/>
                      <w:bCs/>
                      <w:color w:val="auto"/>
                      <w:highlight w:val="none"/>
                      <w:lang w:val="en-US" w:eastAsia="zh-CN"/>
                    </w:rPr>
                    <w:t>（</w:t>
                  </w:r>
                  <w:r>
                    <w:rPr>
                      <w:b/>
                      <w:bCs/>
                      <w:color w:val="auto"/>
                      <w:highlight w:val="none"/>
                    </w:rPr>
                    <w:t>mg/m</w:t>
                  </w:r>
                  <w:r>
                    <w:rPr>
                      <w:b/>
                      <w:bCs/>
                      <w:color w:val="auto"/>
                      <w:highlight w:val="none"/>
                      <w:vertAlign w:val="superscript"/>
                    </w:rPr>
                    <w:t>3</w:t>
                  </w:r>
                  <w:r>
                    <w:rPr>
                      <w:rFonts w:hint="eastAsia"/>
                      <w:b/>
                      <w:bCs/>
                      <w:color w:val="auto"/>
                      <w:highlight w:val="none"/>
                      <w:lang w:val="en-US" w:eastAsia="zh-CN"/>
                    </w:rPr>
                    <w:t>）</w:t>
                  </w:r>
                </w:p>
              </w:tc>
              <w:tc>
                <w:tcPr>
                  <w:tcW w:w="1737" w:type="pct"/>
                  <w:noWrap w:val="0"/>
                  <w:vAlign w:val="center"/>
                </w:tcPr>
                <w:p>
                  <w:pPr>
                    <w:jc w:val="center"/>
                    <w:rPr>
                      <w:rFonts w:hint="eastAsia" w:eastAsia="宋体"/>
                      <w:b/>
                      <w:bCs/>
                      <w:color w:val="auto"/>
                      <w:highlight w:val="none"/>
                      <w:lang w:eastAsia="zh-CN"/>
                    </w:rPr>
                  </w:pPr>
                  <w:r>
                    <w:rPr>
                      <w:b/>
                      <w:bCs/>
                      <w:color w:val="auto"/>
                      <w:highlight w:val="none"/>
                    </w:rPr>
                    <w:t>排放速率</w:t>
                  </w:r>
                  <w:r>
                    <w:rPr>
                      <w:rFonts w:hint="eastAsia"/>
                      <w:b/>
                      <w:bCs/>
                      <w:color w:val="auto"/>
                      <w:highlight w:val="none"/>
                      <w:lang w:eastAsia="zh-CN"/>
                    </w:rPr>
                    <w:t>（</w:t>
                  </w:r>
                  <w:r>
                    <w:rPr>
                      <w:rFonts w:hint="eastAsia"/>
                      <w:b/>
                      <w:bCs/>
                      <w:color w:val="auto"/>
                      <w:highlight w:val="none"/>
                      <w:lang w:val="en-US" w:eastAsia="zh-CN"/>
                    </w:rPr>
                    <w:t>kg/h</w:t>
                  </w:r>
                  <w:r>
                    <w:rPr>
                      <w:rFonts w:hint="eastAsia"/>
                      <w:b/>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852" w:type="pct"/>
                  <w:noWrap w:val="0"/>
                  <w:vAlign w:val="center"/>
                </w:tcPr>
                <w:p>
                  <w:pPr>
                    <w:jc w:val="center"/>
                    <w:rPr>
                      <w:rFonts w:hint="eastAsia"/>
                      <w:color w:val="auto"/>
                      <w:sz w:val="21"/>
                      <w:szCs w:val="21"/>
                      <w:highlight w:val="none"/>
                    </w:rPr>
                  </w:pPr>
                  <w:r>
                    <w:rPr>
                      <w:rFonts w:hint="eastAsia"/>
                      <w:color w:val="auto"/>
                      <w:sz w:val="21"/>
                      <w:szCs w:val="21"/>
                      <w:highlight w:val="none"/>
                    </w:rPr>
                    <w:t>非甲烷总烃</w:t>
                  </w:r>
                </w:p>
              </w:tc>
              <w:tc>
                <w:tcPr>
                  <w:tcW w:w="1410" w:type="pct"/>
                  <w:noWrap w:val="0"/>
                  <w:vAlign w:val="center"/>
                </w:tcPr>
                <w:p>
                  <w:pPr>
                    <w:jc w:val="center"/>
                    <w:rPr>
                      <w:color w:val="auto"/>
                      <w:highlight w:val="none"/>
                    </w:rPr>
                  </w:pPr>
                  <w:r>
                    <w:rPr>
                      <w:rFonts w:hint="eastAsia"/>
                      <w:color w:val="auto"/>
                      <w:highlight w:val="none"/>
                      <w:lang w:val="en-US" w:eastAsia="zh-CN"/>
                    </w:rPr>
                    <w:t>6</w:t>
                  </w:r>
                  <w:r>
                    <w:rPr>
                      <w:rFonts w:hint="eastAsia"/>
                      <w:color w:val="auto"/>
                      <w:highlight w:val="none"/>
                    </w:rPr>
                    <w:t>0</w:t>
                  </w:r>
                </w:p>
              </w:tc>
              <w:tc>
                <w:tcPr>
                  <w:tcW w:w="1737" w:type="pct"/>
                  <w:noWrap w:val="0"/>
                  <w:vAlign w:val="center"/>
                </w:tcPr>
                <w:p>
                  <w:pPr>
                    <w:jc w:val="center"/>
                    <w:rPr>
                      <w:rFonts w:hint="eastAsia" w:eastAsia="宋体"/>
                      <w:color w:val="auto"/>
                      <w:highlight w:val="none"/>
                      <w:lang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852" w:type="pct"/>
                  <w:noWrap w:val="0"/>
                  <w:vAlign w:val="center"/>
                </w:tcPr>
                <w:p>
                  <w:pPr>
                    <w:jc w:val="center"/>
                    <w:rPr>
                      <w:rFonts w:hint="eastAsia"/>
                      <w:color w:val="auto"/>
                      <w:sz w:val="21"/>
                      <w:szCs w:val="21"/>
                      <w:highlight w:val="none"/>
                    </w:rPr>
                  </w:pPr>
                  <w:r>
                    <w:rPr>
                      <w:rFonts w:hint="eastAsia"/>
                      <w:color w:val="auto"/>
                      <w:sz w:val="21"/>
                      <w:szCs w:val="21"/>
                      <w:u w:val="none"/>
                      <w:lang w:val="en-US" w:eastAsia="zh-CN"/>
                    </w:rPr>
                    <w:t>VOCs</w:t>
                  </w:r>
                </w:p>
              </w:tc>
              <w:tc>
                <w:tcPr>
                  <w:tcW w:w="1410" w:type="pct"/>
                  <w:noWrap w:val="0"/>
                  <w:vAlign w:val="center"/>
                </w:tcPr>
                <w:p>
                  <w:pPr>
                    <w:jc w:val="center"/>
                    <w:rPr>
                      <w:rFonts w:hint="default"/>
                      <w:color w:val="auto"/>
                      <w:highlight w:val="none"/>
                      <w:lang w:val="en-US" w:eastAsia="zh-CN"/>
                    </w:rPr>
                  </w:pPr>
                  <w:r>
                    <w:rPr>
                      <w:rFonts w:hint="eastAsia"/>
                      <w:color w:val="auto"/>
                      <w:highlight w:val="none"/>
                      <w:lang w:val="en-US" w:eastAsia="zh-CN"/>
                    </w:rPr>
                    <w:t>100</w:t>
                  </w:r>
                </w:p>
              </w:tc>
              <w:tc>
                <w:tcPr>
                  <w:tcW w:w="1737" w:type="pct"/>
                  <w:noWrap w:val="0"/>
                  <w:vAlign w:val="center"/>
                </w:tcPr>
                <w:p>
                  <w:pPr>
                    <w:jc w:val="center"/>
                    <w:rPr>
                      <w:rFonts w:hint="default"/>
                      <w:color w:val="auto"/>
                      <w:highlight w:val="none"/>
                      <w:lang w:val="en-US" w:eastAsia="zh-CN"/>
                    </w:rPr>
                  </w:pPr>
                  <w:r>
                    <w:rPr>
                      <w:rFonts w:hint="eastAsia"/>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1852"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lang w:val="en-US" w:eastAsia="zh-CN"/>
                    </w:rPr>
                  </w:pP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p>
              </w:tc>
              <w:tc>
                <w:tcPr>
                  <w:tcW w:w="1410" w:type="pct"/>
                  <w:noWrap w:val="0"/>
                  <w:vAlign w:val="center"/>
                </w:tcPr>
                <w:p>
                  <w:pPr>
                    <w:jc w:val="center"/>
                    <w:rPr>
                      <w:rFonts w:hint="default"/>
                      <w:color w:val="auto"/>
                      <w:highlight w:val="none"/>
                      <w:lang w:val="en-US" w:eastAsia="zh-CN"/>
                    </w:rPr>
                  </w:pPr>
                  <w:r>
                    <w:rPr>
                      <w:rFonts w:hint="eastAsia"/>
                      <w:color w:val="auto"/>
                      <w:highlight w:val="none"/>
                      <w:lang w:val="en-US" w:eastAsia="zh-CN"/>
                    </w:rPr>
                    <w:t>200</w:t>
                  </w:r>
                </w:p>
              </w:tc>
              <w:tc>
                <w:tcPr>
                  <w:tcW w:w="1737" w:type="pct"/>
                  <w:noWrap w:val="0"/>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852"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lang w:val="en-US" w:eastAsia="zh-CN"/>
                    </w:rPr>
                  </w:pPr>
                  <w:r>
                    <w:rPr>
                      <w:rFonts w:hint="eastAsia" w:eastAsia="宋体" w:cs="Times New Roman"/>
                      <w:color w:val="000000"/>
                      <w:sz w:val="21"/>
                      <w:szCs w:val="21"/>
                      <w:highlight w:val="none"/>
                      <w:lang w:eastAsia="zh-CN"/>
                    </w:rPr>
                    <w:t>颗粒物</w:t>
                  </w:r>
                </w:p>
              </w:tc>
              <w:tc>
                <w:tcPr>
                  <w:tcW w:w="1410" w:type="pct"/>
                  <w:noWrap w:val="0"/>
                  <w:vAlign w:val="center"/>
                </w:tcPr>
                <w:p>
                  <w:pPr>
                    <w:jc w:val="center"/>
                    <w:rPr>
                      <w:rFonts w:hint="default"/>
                      <w:color w:val="auto"/>
                      <w:highlight w:val="none"/>
                      <w:lang w:val="en-US" w:eastAsia="zh-CN"/>
                    </w:rPr>
                  </w:pPr>
                  <w:r>
                    <w:rPr>
                      <w:rFonts w:hint="eastAsia"/>
                      <w:color w:val="auto"/>
                      <w:highlight w:val="none"/>
                      <w:lang w:val="en-US" w:eastAsia="zh-CN"/>
                    </w:rPr>
                    <w:t>30</w:t>
                  </w:r>
                </w:p>
              </w:tc>
              <w:tc>
                <w:tcPr>
                  <w:tcW w:w="1737" w:type="pct"/>
                  <w:noWrap w:val="0"/>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1852"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lang w:val="en-US" w:eastAsia="zh-CN"/>
                    </w:rPr>
                  </w:pPr>
                  <w:r>
                    <w:rPr>
                      <w:rFonts w:hint="eastAsia" w:cs="Times New Roman"/>
                      <w:color w:val="000000"/>
                      <w:sz w:val="21"/>
                      <w:szCs w:val="21"/>
                      <w:highlight w:val="none"/>
                      <w:lang w:val="en-US" w:eastAsia="zh-CN"/>
                    </w:rPr>
                    <w:t>NO</w:t>
                  </w:r>
                  <w:r>
                    <w:rPr>
                      <w:rFonts w:hint="eastAsia" w:cs="Times New Roman"/>
                      <w:color w:val="000000"/>
                      <w:sz w:val="21"/>
                      <w:szCs w:val="21"/>
                      <w:highlight w:val="none"/>
                      <w:vertAlign w:val="subscript"/>
                      <w:lang w:val="en-US" w:eastAsia="zh-CN"/>
                    </w:rPr>
                    <w:t>X</w:t>
                  </w:r>
                </w:p>
              </w:tc>
              <w:tc>
                <w:tcPr>
                  <w:tcW w:w="1410" w:type="pct"/>
                  <w:noWrap w:val="0"/>
                  <w:vAlign w:val="center"/>
                </w:tcPr>
                <w:p>
                  <w:pPr>
                    <w:jc w:val="center"/>
                    <w:rPr>
                      <w:rFonts w:hint="default"/>
                      <w:color w:val="auto"/>
                      <w:highlight w:val="none"/>
                      <w:lang w:val="en-US" w:eastAsia="zh-CN"/>
                    </w:rPr>
                  </w:pPr>
                  <w:r>
                    <w:rPr>
                      <w:rFonts w:hint="eastAsia"/>
                      <w:color w:val="auto"/>
                      <w:highlight w:val="none"/>
                      <w:lang w:val="en-US" w:eastAsia="zh-CN"/>
                    </w:rPr>
                    <w:t>300</w:t>
                  </w:r>
                </w:p>
              </w:tc>
              <w:tc>
                <w:tcPr>
                  <w:tcW w:w="1737" w:type="pct"/>
                  <w:noWrap w:val="0"/>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852" w:type="pct"/>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油烟</w:t>
                  </w:r>
                </w:p>
              </w:tc>
              <w:tc>
                <w:tcPr>
                  <w:tcW w:w="1410" w:type="pct"/>
                  <w:noWrap w:val="0"/>
                  <w:vAlign w:val="center"/>
                </w:tcPr>
                <w:p>
                  <w:pPr>
                    <w:jc w:val="center"/>
                    <w:rPr>
                      <w:rFonts w:hint="default"/>
                      <w:color w:val="auto"/>
                      <w:highlight w:val="none"/>
                      <w:lang w:val="en-US" w:eastAsia="zh-CN"/>
                    </w:rPr>
                  </w:pPr>
                  <w:r>
                    <w:rPr>
                      <w:rFonts w:hint="eastAsia"/>
                      <w:color w:val="auto"/>
                      <w:highlight w:val="none"/>
                      <w:lang w:val="en-US" w:eastAsia="zh-CN"/>
                    </w:rPr>
                    <w:t>2</w:t>
                  </w:r>
                </w:p>
              </w:tc>
              <w:tc>
                <w:tcPr>
                  <w:tcW w:w="1737" w:type="pct"/>
                  <w:noWrap w:val="0"/>
                  <w:vAlign w:val="center"/>
                </w:tcPr>
                <w:p>
                  <w:pPr>
                    <w:jc w:val="center"/>
                    <w:rPr>
                      <w:rFonts w:hint="eastAsia"/>
                      <w:color w:val="auto"/>
                      <w:highlight w:val="none"/>
                      <w:lang w:val="en-US" w:eastAsia="zh-CN"/>
                    </w:rPr>
                  </w:pPr>
                  <w:r>
                    <w:rPr>
                      <w:rFonts w:hint="eastAsia"/>
                      <w:color w:val="auto"/>
                      <w:highlight w:val="none"/>
                      <w:lang w:val="en-US" w:eastAsia="zh-CN"/>
                    </w:rPr>
                    <w:t>/</w:t>
                  </w:r>
                </w:p>
              </w:tc>
            </w:tr>
          </w:tbl>
          <w:p>
            <w:pPr>
              <w:spacing w:line="360" w:lineRule="auto"/>
              <w:ind w:firstLine="480" w:firstLineChars="200"/>
              <w:rPr>
                <w:rFonts w:hint="eastAsia"/>
                <w:color w:val="auto"/>
                <w:sz w:val="24"/>
                <w:highlight w:val="none"/>
              </w:rPr>
            </w:pPr>
            <w:r>
              <w:rPr>
                <w:rFonts w:hint="eastAsia" w:ascii="宋体" w:hAnsi="宋体" w:cs="宋体"/>
                <w:color w:val="auto"/>
                <w:sz w:val="24"/>
                <w:highlight w:val="none"/>
              </w:rPr>
              <w:t>②无组织废气</w:t>
            </w:r>
          </w:p>
          <w:p>
            <w:pPr>
              <w:spacing w:line="360" w:lineRule="auto"/>
              <w:ind w:firstLine="480" w:firstLineChars="200"/>
              <w:rPr>
                <w:rFonts w:hint="eastAsia"/>
                <w:color w:val="auto"/>
                <w:sz w:val="24"/>
                <w:szCs w:val="24"/>
                <w:highlight w:val="none"/>
                <w:lang w:eastAsia="zh-CN"/>
              </w:rPr>
            </w:pPr>
            <w:r>
              <w:rPr>
                <w:rFonts w:hint="eastAsia" w:ascii="宋体" w:hAnsi="宋体" w:cs="宋体"/>
                <w:color w:val="auto"/>
                <w:sz w:val="24"/>
                <w:highlight w:val="none"/>
                <w:lang w:eastAsia="zh-CN"/>
              </w:rPr>
              <w:t>厂界非甲烷总烃执</w:t>
            </w:r>
            <w:r>
              <w:rPr>
                <w:rFonts w:hint="default" w:ascii="Times New Roman" w:hAnsi="Times New Roman" w:cs="Times New Roman"/>
                <w:color w:val="auto"/>
                <w:sz w:val="24"/>
                <w:highlight w:val="none"/>
                <w:lang w:eastAsia="zh-CN"/>
              </w:rPr>
              <w:t>行《合成树脂工业污染物排放标准》（GB31732-2015）表9企业边界大气污染物浓度限值。同时非甲烷总烃应满足《挥发性有机物无组织排放控制标准》（GB37822-2019）厂内非甲烷</w:t>
            </w:r>
            <w:r>
              <w:rPr>
                <w:rFonts w:hint="eastAsia" w:ascii="宋体" w:hAnsi="宋体" w:cs="宋体"/>
                <w:color w:val="auto"/>
                <w:sz w:val="24"/>
                <w:highlight w:val="none"/>
                <w:lang w:eastAsia="zh-CN"/>
              </w:rPr>
              <w:t>总烃无组织排放限值。厂界</w:t>
            </w:r>
            <w:r>
              <w:rPr>
                <w:rFonts w:hint="eastAsia"/>
                <w:color w:val="auto"/>
                <w:sz w:val="21"/>
                <w:szCs w:val="21"/>
                <w:u w:val="none"/>
                <w:lang w:val="en-US" w:eastAsia="zh-CN"/>
              </w:rPr>
              <w:t>VOCs</w:t>
            </w:r>
            <w:r>
              <w:rPr>
                <w:rFonts w:hint="eastAsia"/>
                <w:color w:val="auto"/>
                <w:sz w:val="24"/>
                <w:szCs w:val="24"/>
                <w:highlight w:val="none"/>
                <w:lang w:eastAsia="zh-CN"/>
              </w:rPr>
              <w:t xml:space="preserve">执行湖南省地方标准《印刷业挥发性有机物排放标准》(DB43/1357-2017) </w:t>
            </w:r>
            <w:r>
              <w:rPr>
                <w:rFonts w:hint="eastAsia" w:ascii="Times New Roman" w:hAnsi="Times New Roman" w:cs="Times New Roman"/>
                <w:color w:val="auto"/>
                <w:sz w:val="24"/>
                <w:szCs w:val="24"/>
                <w:lang w:val="zh-CN" w:eastAsia="zh-CN"/>
              </w:rPr>
              <w:t>表2无组织监控点挥发性有机物浓度限值</w:t>
            </w:r>
            <w:r>
              <w:rPr>
                <w:rFonts w:hint="eastAsia"/>
                <w:color w:val="auto"/>
                <w:sz w:val="24"/>
                <w:szCs w:val="24"/>
                <w:highlight w:val="none"/>
                <w:lang w:eastAsia="zh-CN"/>
              </w:rPr>
              <w:t>。</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标准限值见下表。</w:t>
            </w:r>
          </w:p>
          <w:p>
            <w:pPr>
              <w:spacing w:line="360" w:lineRule="auto"/>
              <w:ind w:firstLine="422" w:firstLineChars="200"/>
              <w:jc w:val="center"/>
              <w:rPr>
                <w:rFonts w:hint="eastAsia"/>
                <w:b/>
                <w:bCs/>
                <w:color w:val="auto"/>
                <w:szCs w:val="21"/>
                <w:highlight w:val="none"/>
              </w:rPr>
            </w:pPr>
            <w:r>
              <w:rPr>
                <w:rFonts w:hint="eastAsia"/>
                <w:b/>
                <w:bCs/>
                <w:color w:val="auto"/>
                <w:szCs w:val="21"/>
                <w:highlight w:val="none"/>
              </w:rPr>
              <w:t>表3-</w:t>
            </w:r>
            <w:r>
              <w:rPr>
                <w:rFonts w:hint="eastAsia"/>
                <w:b/>
                <w:bCs/>
                <w:color w:val="auto"/>
                <w:szCs w:val="21"/>
                <w:highlight w:val="none"/>
                <w:lang w:val="en-US" w:eastAsia="zh-CN"/>
              </w:rPr>
              <w:t>7</w:t>
            </w:r>
            <w:r>
              <w:rPr>
                <w:rFonts w:hint="eastAsia"/>
                <w:b/>
                <w:bCs/>
                <w:color w:val="auto"/>
                <w:szCs w:val="21"/>
                <w:highlight w:val="none"/>
              </w:rPr>
              <w:t xml:space="preserve"> 无组织废气排放标准限值</w:t>
            </w:r>
          </w:p>
          <w:tbl>
            <w:tblPr>
              <w:tblStyle w:val="14"/>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38"/>
              <w:gridCol w:w="5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1443" w:type="pct"/>
                  <w:noWrap w:val="0"/>
                  <w:vAlign w:val="center"/>
                </w:tcPr>
                <w:p>
                  <w:pPr>
                    <w:jc w:val="center"/>
                    <w:rPr>
                      <w:b/>
                      <w:bCs/>
                      <w:color w:val="auto"/>
                      <w:highlight w:val="none"/>
                    </w:rPr>
                  </w:pPr>
                  <w:r>
                    <w:rPr>
                      <w:b/>
                      <w:bCs/>
                      <w:color w:val="auto"/>
                      <w:highlight w:val="none"/>
                    </w:rPr>
                    <w:t>污染物</w:t>
                  </w:r>
                </w:p>
              </w:tc>
              <w:tc>
                <w:tcPr>
                  <w:tcW w:w="3556" w:type="pct"/>
                  <w:noWrap w:val="0"/>
                  <w:vAlign w:val="center"/>
                </w:tcPr>
                <w:p>
                  <w:pPr>
                    <w:pStyle w:val="30"/>
                    <w:jc w:val="center"/>
                    <w:rPr>
                      <w:rFonts w:hint="eastAsia" w:eastAsia="宋体"/>
                      <w:b/>
                      <w:bCs/>
                      <w:color w:val="auto"/>
                      <w:sz w:val="21"/>
                      <w:highlight w:val="none"/>
                      <w:lang w:val="en-US" w:eastAsia="zh-CN"/>
                    </w:rPr>
                  </w:pPr>
                  <w:r>
                    <w:rPr>
                      <w:b/>
                      <w:bCs/>
                      <w:color w:val="auto"/>
                      <w:sz w:val="21"/>
                      <w:highlight w:val="none"/>
                    </w:rPr>
                    <w:t>无组织排放监控浓度限值</w:t>
                  </w:r>
                  <w:r>
                    <w:rPr>
                      <w:rFonts w:hint="eastAsia"/>
                      <w:b/>
                      <w:bCs/>
                      <w:color w:val="auto"/>
                      <w:sz w:val="21"/>
                      <w:highlight w:val="none"/>
                      <w:lang w:eastAsia="zh-CN"/>
                    </w:rPr>
                    <w:t>（</w:t>
                  </w:r>
                  <w:r>
                    <w:rPr>
                      <w:rFonts w:eastAsia="Times New Roman"/>
                      <w:b/>
                      <w:bCs/>
                      <w:color w:val="auto"/>
                      <w:sz w:val="21"/>
                      <w:highlight w:val="none"/>
                    </w:rPr>
                    <w:t>mg/m</w:t>
                  </w:r>
                  <w:r>
                    <w:rPr>
                      <w:rFonts w:eastAsia="Times New Roman"/>
                      <w:b/>
                      <w:bCs/>
                      <w:color w:val="auto"/>
                      <w:position w:val="7"/>
                      <w:sz w:val="14"/>
                      <w:highlight w:val="none"/>
                    </w:rPr>
                    <w:t>3</w:t>
                  </w:r>
                  <w:r>
                    <w:rPr>
                      <w:rFonts w:hint="eastAsia"/>
                      <w:b/>
                      <w:bCs/>
                      <w:color w:val="auto"/>
                      <w:sz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443" w:type="pct"/>
                  <w:vMerge w:val="restart"/>
                  <w:noWrap w:val="0"/>
                  <w:vAlign w:val="center"/>
                </w:tcPr>
                <w:p>
                  <w:pPr>
                    <w:jc w:val="center"/>
                    <w:rPr>
                      <w:color w:val="auto"/>
                      <w:highlight w:val="none"/>
                    </w:rPr>
                  </w:pPr>
                  <w:r>
                    <w:rPr>
                      <w:rFonts w:hint="eastAsia"/>
                      <w:color w:val="auto"/>
                      <w:highlight w:val="none"/>
                    </w:rPr>
                    <w:t>非甲烷总烃</w:t>
                  </w:r>
                </w:p>
              </w:tc>
              <w:tc>
                <w:tcPr>
                  <w:tcW w:w="3556" w:type="pct"/>
                  <w:noWrap w:val="0"/>
                  <w:vAlign w:val="center"/>
                </w:tcPr>
                <w:p>
                  <w:pPr>
                    <w:pStyle w:val="30"/>
                    <w:jc w:val="center"/>
                    <w:rPr>
                      <w:rFonts w:eastAsia="Times New Roman"/>
                      <w:color w:val="auto"/>
                      <w:sz w:val="14"/>
                      <w:highlight w:val="none"/>
                    </w:rPr>
                  </w:pPr>
                  <w:r>
                    <w:rPr>
                      <w:color w:val="auto"/>
                      <w:sz w:val="21"/>
                      <w:highlight w:val="none"/>
                    </w:rPr>
                    <w:t>厂界＜</w:t>
                  </w:r>
                  <w:r>
                    <w:rPr>
                      <w:rFonts w:hint="eastAsia"/>
                      <w:color w:val="auto"/>
                      <w:sz w:val="21"/>
                      <w:highlight w:val="none"/>
                      <w:lang w:val="en-US" w:eastAsia="zh-CN"/>
                    </w:rPr>
                    <w:t>4</w:t>
                  </w:r>
                  <w:r>
                    <w:rPr>
                      <w:rFonts w:eastAsia="Times New Roman"/>
                      <w:color w:val="auto"/>
                      <w:sz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443" w:type="pct"/>
                  <w:vMerge w:val="continue"/>
                  <w:noWrap w:val="0"/>
                  <w:vAlign w:val="center"/>
                </w:tcPr>
                <w:p>
                  <w:pPr>
                    <w:jc w:val="center"/>
                    <w:rPr>
                      <w:rFonts w:hint="eastAsia"/>
                      <w:color w:val="auto"/>
                      <w:highlight w:val="none"/>
                    </w:rPr>
                  </w:pPr>
                </w:p>
              </w:tc>
              <w:tc>
                <w:tcPr>
                  <w:tcW w:w="3556" w:type="pct"/>
                  <w:noWrap w:val="0"/>
                  <w:vAlign w:val="center"/>
                </w:tcPr>
                <w:p>
                  <w:pPr>
                    <w:pStyle w:val="30"/>
                    <w:jc w:val="center"/>
                    <w:rPr>
                      <w:color w:val="auto"/>
                      <w:sz w:val="21"/>
                      <w:highlight w:val="none"/>
                    </w:rPr>
                  </w:pPr>
                  <w:r>
                    <w:rPr>
                      <w:rFonts w:hint="eastAsia"/>
                      <w:color w:val="auto"/>
                      <w:sz w:val="21"/>
                      <w:highlight w:val="none"/>
                      <w:lang w:eastAsia="zh-CN"/>
                    </w:rPr>
                    <w:t>厂区</w:t>
                  </w:r>
                  <w:r>
                    <w:rPr>
                      <w:color w:val="auto"/>
                      <w:sz w:val="21"/>
                      <w:highlight w:val="none"/>
                    </w:rPr>
                    <w:t>＜</w:t>
                  </w:r>
                  <w:r>
                    <w:rPr>
                      <w:rFonts w:hint="eastAsia"/>
                      <w:color w:val="auto"/>
                      <w:sz w:val="21"/>
                      <w:highlight w:val="none"/>
                      <w:lang w:val="en-US" w:eastAsia="zh-CN"/>
                    </w:rPr>
                    <w:t>6</w:t>
                  </w:r>
                  <w:r>
                    <w:rPr>
                      <w:rFonts w:eastAsia="Times New Roman"/>
                      <w:color w:val="auto"/>
                      <w:sz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443" w:type="pct"/>
                  <w:vMerge w:val="restart"/>
                  <w:noWrap w:val="0"/>
                  <w:vAlign w:val="center"/>
                </w:tcPr>
                <w:p>
                  <w:pPr>
                    <w:jc w:val="center"/>
                    <w:rPr>
                      <w:rFonts w:hint="eastAsia"/>
                      <w:color w:val="auto"/>
                      <w:highlight w:val="none"/>
                    </w:rPr>
                  </w:pPr>
                  <w:r>
                    <w:rPr>
                      <w:rFonts w:hint="eastAsia"/>
                      <w:color w:val="auto"/>
                      <w:sz w:val="21"/>
                      <w:szCs w:val="21"/>
                      <w:u w:val="none"/>
                      <w:lang w:val="en-US" w:eastAsia="zh-CN"/>
                    </w:rPr>
                    <w:t>VOCs</w:t>
                  </w:r>
                </w:p>
              </w:tc>
              <w:tc>
                <w:tcPr>
                  <w:tcW w:w="5684" w:type="dxa"/>
                  <w:noWrap w:val="0"/>
                  <w:vAlign w:val="center"/>
                </w:tcPr>
                <w:p>
                  <w:pPr>
                    <w:pStyle w:val="30"/>
                    <w:jc w:val="center"/>
                    <w:rPr>
                      <w:rFonts w:hint="eastAsia"/>
                      <w:color w:val="auto"/>
                      <w:sz w:val="21"/>
                      <w:highlight w:val="none"/>
                      <w:lang w:eastAsia="zh-CN"/>
                    </w:rPr>
                  </w:pPr>
                  <w:r>
                    <w:rPr>
                      <w:color w:val="auto"/>
                      <w:sz w:val="21"/>
                      <w:highlight w:val="none"/>
                    </w:rPr>
                    <w:t>厂界＜</w:t>
                  </w:r>
                  <w:r>
                    <w:rPr>
                      <w:rFonts w:hint="eastAsia"/>
                      <w:color w:val="auto"/>
                      <w:sz w:val="21"/>
                      <w:highlight w:val="none"/>
                      <w:lang w:val="en-US" w:eastAsia="zh-CN"/>
                    </w:rPr>
                    <w:t>4</w:t>
                  </w:r>
                  <w:r>
                    <w:rPr>
                      <w:rFonts w:eastAsia="Times New Roman"/>
                      <w:color w:val="auto"/>
                      <w:sz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443" w:type="pct"/>
                  <w:vMerge w:val="continue"/>
                  <w:noWrap w:val="0"/>
                  <w:vAlign w:val="center"/>
                </w:tcPr>
                <w:p>
                  <w:pPr>
                    <w:jc w:val="center"/>
                    <w:rPr>
                      <w:rFonts w:hint="eastAsia"/>
                      <w:color w:val="auto"/>
                      <w:highlight w:val="none"/>
                    </w:rPr>
                  </w:pPr>
                </w:p>
              </w:tc>
              <w:tc>
                <w:tcPr>
                  <w:tcW w:w="5684" w:type="dxa"/>
                  <w:noWrap w:val="0"/>
                  <w:vAlign w:val="center"/>
                </w:tcPr>
                <w:p>
                  <w:pPr>
                    <w:pStyle w:val="30"/>
                    <w:jc w:val="center"/>
                    <w:rPr>
                      <w:rFonts w:hint="eastAsia"/>
                      <w:color w:val="auto"/>
                      <w:sz w:val="21"/>
                      <w:highlight w:val="none"/>
                      <w:lang w:eastAsia="zh-CN"/>
                    </w:rPr>
                  </w:pPr>
                  <w:r>
                    <w:rPr>
                      <w:rFonts w:hint="eastAsia"/>
                      <w:color w:val="auto"/>
                      <w:sz w:val="21"/>
                      <w:highlight w:val="none"/>
                      <w:lang w:eastAsia="zh-CN"/>
                    </w:rPr>
                    <w:t>厂区</w:t>
                  </w:r>
                  <w:r>
                    <w:rPr>
                      <w:color w:val="auto"/>
                      <w:sz w:val="21"/>
                      <w:highlight w:val="none"/>
                    </w:rPr>
                    <w:t>＜</w:t>
                  </w:r>
                  <w:r>
                    <w:rPr>
                      <w:rFonts w:hint="eastAsia"/>
                      <w:color w:val="auto"/>
                      <w:sz w:val="21"/>
                      <w:highlight w:val="none"/>
                      <w:lang w:val="en-US" w:eastAsia="zh-CN"/>
                    </w:rPr>
                    <w:t>10</w:t>
                  </w:r>
                  <w:r>
                    <w:rPr>
                      <w:rFonts w:eastAsia="Times New Roman"/>
                      <w:color w:val="auto"/>
                      <w:sz w:val="21"/>
                      <w:highlight w:val="none"/>
                    </w:rPr>
                    <w:t>.0</w:t>
                  </w:r>
                </w:p>
              </w:tc>
            </w:tr>
          </w:tbl>
          <w:p>
            <w:pPr>
              <w:spacing w:line="360" w:lineRule="auto"/>
              <w:ind w:firstLine="482" w:firstLineChars="200"/>
              <w:rPr>
                <w:rFonts w:hint="eastAsia"/>
                <w:b/>
                <w:bCs/>
                <w:color w:val="auto"/>
                <w:sz w:val="24"/>
                <w:highlight w:val="none"/>
                <w:lang w:eastAsia="zh-CN"/>
              </w:rPr>
            </w:pPr>
            <w:r>
              <w:rPr>
                <w:rFonts w:hint="eastAsia"/>
                <w:b/>
                <w:bCs/>
                <w:color w:val="auto"/>
                <w:sz w:val="24"/>
                <w:highlight w:val="none"/>
              </w:rPr>
              <w:t>2、</w:t>
            </w:r>
            <w:r>
              <w:rPr>
                <w:rFonts w:hint="eastAsia"/>
                <w:b/>
                <w:bCs/>
                <w:color w:val="auto"/>
                <w:sz w:val="24"/>
                <w:highlight w:val="none"/>
                <w:lang w:eastAsia="zh-CN"/>
              </w:rPr>
              <w:t>废水</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本项目生活污水排放执行《污水综</w:t>
            </w:r>
            <w:r>
              <w:rPr>
                <w:rFonts w:hint="default" w:ascii="Times New Roman" w:hAnsi="Times New Roman" w:eastAsia="宋体" w:cs="Times New Roman"/>
                <w:color w:val="auto"/>
                <w:sz w:val="24"/>
                <w:highlight w:val="none"/>
                <w:lang w:val="en-US" w:eastAsia="zh-CN"/>
              </w:rPr>
              <w:t>合排放标准》（GB8978-1996）三级标准</w:t>
            </w:r>
            <w:r>
              <w:rPr>
                <w:rFonts w:hint="eastAsia" w:ascii="Times New Roman" w:hAnsi="Times New Roman" w:eastAsia="宋体" w:cs="Times New Roman"/>
                <w:color w:val="auto"/>
                <w:sz w:val="24"/>
                <w:highlight w:val="none"/>
                <w:lang w:val="en-US" w:eastAsia="zh-CN"/>
              </w:rPr>
              <w:t>。</w:t>
            </w:r>
          </w:p>
          <w:p>
            <w:pPr>
              <w:pStyle w:val="2"/>
              <w:keepNext w:val="0"/>
              <w:keepLines w:val="0"/>
              <w:pageBreakBefore w:val="0"/>
              <w:widowControl/>
              <w:kinsoku/>
              <w:wordWrap/>
              <w:overflowPunct w:val="0"/>
              <w:topLinePunct w:val="0"/>
              <w:autoSpaceDE/>
              <w:autoSpaceDN/>
              <w:bidi w:val="0"/>
              <w:adjustRightInd/>
              <w:snapToGrid/>
              <w:spacing w:before="0" w:after="0" w:line="240" w:lineRule="auto"/>
              <w:ind w:right="0"/>
              <w:jc w:val="center"/>
              <w:textAlignment w:val="auto"/>
              <w:rPr>
                <w:rFonts w:hint="eastAsia" w:eastAsia="宋体"/>
                <w:b/>
                <w:bCs/>
                <w:color w:val="auto"/>
                <w:sz w:val="21"/>
                <w:szCs w:val="21"/>
                <w:highlight w:val="none"/>
                <w:lang w:eastAsia="zh-CN"/>
              </w:rPr>
            </w:pPr>
            <w:r>
              <w:rPr>
                <w:b/>
                <w:color w:val="auto"/>
                <w:kern w:val="2"/>
                <w:sz w:val="21"/>
                <w:szCs w:val="21"/>
                <w:highlight w:val="none"/>
              </w:rPr>
              <w:t>表</w:t>
            </w:r>
            <w:r>
              <w:rPr>
                <w:rFonts w:hint="eastAsia"/>
                <w:b/>
                <w:color w:val="auto"/>
                <w:kern w:val="2"/>
                <w:sz w:val="21"/>
                <w:szCs w:val="21"/>
                <w:highlight w:val="none"/>
                <w:lang w:val="en-US" w:eastAsia="zh-CN"/>
              </w:rPr>
              <w:t>3</w:t>
            </w:r>
            <w:r>
              <w:rPr>
                <w:b/>
                <w:color w:val="auto"/>
                <w:kern w:val="2"/>
                <w:sz w:val="21"/>
                <w:szCs w:val="21"/>
                <w:highlight w:val="none"/>
              </w:rPr>
              <w:t>-</w:t>
            </w:r>
            <w:r>
              <w:rPr>
                <w:rFonts w:hint="eastAsia"/>
                <w:b/>
                <w:color w:val="auto"/>
                <w:kern w:val="2"/>
                <w:sz w:val="21"/>
                <w:szCs w:val="21"/>
                <w:highlight w:val="none"/>
                <w:lang w:val="en-US" w:eastAsia="zh-CN"/>
              </w:rPr>
              <w:t>8</w:t>
            </w:r>
            <w:r>
              <w:rPr>
                <w:rFonts w:hint="eastAsia"/>
                <w:b/>
                <w:color w:val="auto"/>
                <w:kern w:val="2"/>
                <w:sz w:val="21"/>
                <w:szCs w:val="21"/>
                <w:highlight w:val="none"/>
              </w:rPr>
              <w:t xml:space="preserve"> </w:t>
            </w:r>
            <w:r>
              <w:rPr>
                <w:rFonts w:hint="eastAsia"/>
                <w:b/>
                <w:color w:val="auto"/>
                <w:kern w:val="2"/>
                <w:sz w:val="21"/>
                <w:szCs w:val="21"/>
                <w:highlight w:val="none"/>
                <w:lang w:eastAsia="zh-CN"/>
              </w:rPr>
              <w:t>污水执行标准</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6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1" w:type="pct"/>
                  <w:noWrap w:val="0"/>
                  <w:vAlign w:val="center"/>
                </w:tcPr>
                <w:p>
                  <w:pPr>
                    <w:overflowPunct w:val="0"/>
                    <w:jc w:val="center"/>
                    <w:rPr>
                      <w:rFonts w:hint="eastAsia" w:eastAsia="宋体"/>
                      <w:b/>
                      <w:color w:val="auto"/>
                      <w:sz w:val="21"/>
                      <w:szCs w:val="21"/>
                      <w:highlight w:val="none"/>
                      <w:lang w:eastAsia="zh-CN"/>
                    </w:rPr>
                  </w:pPr>
                  <w:r>
                    <w:rPr>
                      <w:rFonts w:hint="eastAsia"/>
                      <w:b/>
                      <w:color w:val="auto"/>
                      <w:sz w:val="21"/>
                      <w:szCs w:val="21"/>
                      <w:highlight w:val="none"/>
                      <w:lang w:eastAsia="zh-CN"/>
                    </w:rPr>
                    <w:t>项目</w:t>
                  </w:r>
                </w:p>
              </w:tc>
              <w:tc>
                <w:tcPr>
                  <w:tcW w:w="3868" w:type="pct"/>
                  <w:noWrap w:val="0"/>
                  <w:vAlign w:val="center"/>
                </w:tcPr>
                <w:p>
                  <w:pPr>
                    <w:overflowPunct w:val="0"/>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排放浓度（</w:t>
                  </w:r>
                  <w:r>
                    <w:rPr>
                      <w:rFonts w:hint="eastAsia" w:ascii="Times New Roman" w:hAnsi="Times New Roman" w:eastAsia="宋体" w:cs="Times New Roman"/>
                      <w:b/>
                      <w:color w:val="auto"/>
                      <w:sz w:val="21"/>
                      <w:szCs w:val="21"/>
                      <w:highlight w:val="none"/>
                      <w:lang w:val="en-US" w:eastAsia="zh-CN"/>
                    </w:rPr>
                    <w:t>mg/L</w:t>
                  </w:r>
                  <w:r>
                    <w:rPr>
                      <w:rFonts w:hint="eastAsia" w:ascii="Times New Roman" w:hAnsi="Times New Roman" w:eastAsia="宋体"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1" w:type="pct"/>
                  <w:noWrap w:val="0"/>
                  <w:vAlign w:val="center"/>
                </w:tcPr>
                <w:p>
                  <w:pPr>
                    <w:overflowPunct w:val="0"/>
                    <w:jc w:val="center"/>
                    <w:rPr>
                      <w:rFonts w:hint="eastAsia"/>
                      <w:color w:val="auto"/>
                      <w:sz w:val="21"/>
                      <w:szCs w:val="21"/>
                      <w:highlight w:val="none"/>
                      <w:lang w:eastAsia="zh-CN"/>
                    </w:rPr>
                  </w:pPr>
                  <w:r>
                    <w:rPr>
                      <w:color w:val="auto"/>
                      <w:sz w:val="21"/>
                      <w:szCs w:val="21"/>
                      <w:highlight w:val="none"/>
                    </w:rPr>
                    <w:t>CODcr</w:t>
                  </w:r>
                </w:p>
              </w:tc>
              <w:tc>
                <w:tcPr>
                  <w:tcW w:w="3868" w:type="pct"/>
                  <w:noWrap w:val="0"/>
                  <w:vAlign w:val="center"/>
                </w:tcPr>
                <w:p>
                  <w:pPr>
                    <w:overflowPunct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1" w:type="pct"/>
                  <w:noWrap w:val="0"/>
                  <w:vAlign w:val="center"/>
                </w:tcPr>
                <w:p>
                  <w:pPr>
                    <w:overflowPunct w:val="0"/>
                    <w:jc w:val="center"/>
                    <w:rPr>
                      <w:rFonts w:hint="eastAsia"/>
                      <w:color w:val="auto"/>
                      <w:sz w:val="21"/>
                      <w:szCs w:val="21"/>
                      <w:highlight w:val="none"/>
                      <w:lang w:eastAsia="zh-CN"/>
                    </w:rPr>
                  </w:pPr>
                  <w:r>
                    <w:rPr>
                      <w:color w:val="auto"/>
                      <w:sz w:val="21"/>
                      <w:szCs w:val="21"/>
                      <w:highlight w:val="none"/>
                    </w:rPr>
                    <w:t>BOD</w:t>
                  </w:r>
                  <w:r>
                    <w:rPr>
                      <w:color w:val="auto"/>
                      <w:sz w:val="21"/>
                      <w:szCs w:val="21"/>
                      <w:highlight w:val="none"/>
                      <w:vertAlign w:val="subscript"/>
                    </w:rPr>
                    <w:t>5</w:t>
                  </w:r>
                </w:p>
              </w:tc>
              <w:tc>
                <w:tcPr>
                  <w:tcW w:w="3868" w:type="pct"/>
                  <w:noWrap w:val="0"/>
                  <w:vAlign w:val="center"/>
                </w:tcPr>
                <w:p>
                  <w:pPr>
                    <w:overflowPunct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1" w:type="pct"/>
                  <w:noWrap w:val="0"/>
                  <w:vAlign w:val="center"/>
                </w:tcPr>
                <w:p>
                  <w:pPr>
                    <w:overflowPunct w:val="0"/>
                    <w:jc w:val="center"/>
                    <w:rPr>
                      <w:rFonts w:hint="eastAsia"/>
                      <w:color w:val="auto"/>
                      <w:sz w:val="21"/>
                      <w:szCs w:val="21"/>
                      <w:highlight w:val="none"/>
                      <w:lang w:eastAsia="zh-CN"/>
                    </w:rPr>
                  </w:pPr>
                  <w:r>
                    <w:rPr>
                      <w:color w:val="auto"/>
                      <w:sz w:val="21"/>
                      <w:szCs w:val="21"/>
                      <w:highlight w:val="none"/>
                    </w:rPr>
                    <w:t>SS</w:t>
                  </w:r>
                </w:p>
              </w:tc>
              <w:tc>
                <w:tcPr>
                  <w:tcW w:w="3868" w:type="pct"/>
                  <w:noWrap w:val="0"/>
                  <w:vAlign w:val="center"/>
                </w:tcPr>
                <w:p>
                  <w:pPr>
                    <w:overflowPunct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1" w:type="pct"/>
                  <w:noWrap w:val="0"/>
                  <w:vAlign w:val="center"/>
                </w:tcPr>
                <w:p>
                  <w:pPr>
                    <w:overflowPunct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pH</w:t>
                  </w:r>
                </w:p>
              </w:tc>
              <w:tc>
                <w:tcPr>
                  <w:tcW w:w="3868" w:type="pct"/>
                  <w:noWrap w:val="0"/>
                  <w:vAlign w:val="center"/>
                </w:tcPr>
                <w:p>
                  <w:pPr>
                    <w:overflowPunct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6-9</w:t>
                  </w:r>
                </w:p>
              </w:tc>
            </w:tr>
          </w:tbl>
          <w:p>
            <w:pPr>
              <w:spacing w:line="360" w:lineRule="auto"/>
              <w:ind w:firstLine="482" w:firstLineChars="200"/>
              <w:rPr>
                <w:b/>
                <w:bCs/>
                <w:color w:val="auto"/>
                <w:sz w:val="24"/>
                <w:highlight w:val="none"/>
              </w:rPr>
            </w:pPr>
            <w:r>
              <w:rPr>
                <w:rFonts w:hint="eastAsia"/>
                <w:b/>
                <w:bCs/>
                <w:color w:val="auto"/>
                <w:sz w:val="24"/>
                <w:highlight w:val="none"/>
                <w:lang w:val="en-US" w:eastAsia="zh-CN"/>
              </w:rPr>
              <w:t>3、</w:t>
            </w:r>
            <w:r>
              <w:rPr>
                <w:rFonts w:hint="eastAsia"/>
                <w:b/>
                <w:bCs/>
                <w:color w:val="auto"/>
                <w:sz w:val="24"/>
                <w:highlight w:val="none"/>
              </w:rPr>
              <w:t>噪声</w:t>
            </w:r>
          </w:p>
          <w:p>
            <w:pPr>
              <w:spacing w:line="360" w:lineRule="auto"/>
              <w:ind w:firstLine="480" w:firstLineChars="200"/>
              <w:rPr>
                <w:rFonts w:hint="eastAsia"/>
                <w:color w:val="auto"/>
                <w:sz w:val="24"/>
                <w:highlight w:val="none"/>
              </w:rPr>
            </w:pPr>
            <w:r>
              <w:rPr>
                <w:rFonts w:hint="eastAsia"/>
                <w:color w:val="auto"/>
                <w:sz w:val="24"/>
                <w:highlight w:val="none"/>
              </w:rPr>
              <w:t>本项目厂界执行《工业企业厂界环境噪声排放标准》（GB12348-2008）中3类标准限值，具体见下表。</w:t>
            </w:r>
          </w:p>
          <w:p>
            <w:pPr>
              <w:pStyle w:val="2"/>
              <w:tabs>
                <w:tab w:val="left" w:pos="1541"/>
              </w:tabs>
              <w:spacing w:after="17" w:line="305" w:lineRule="exact"/>
              <w:ind w:left="381"/>
              <w:jc w:val="center"/>
              <w:rPr>
                <w:rFonts w:hint="eastAsia"/>
                <w:b/>
                <w:bCs/>
                <w:color w:val="auto"/>
                <w:kern w:val="2"/>
                <w:sz w:val="21"/>
                <w:szCs w:val="21"/>
                <w:highlight w:val="none"/>
              </w:rPr>
            </w:pPr>
            <w:r>
              <w:rPr>
                <w:rFonts w:hint="eastAsia"/>
                <w:b/>
                <w:bCs/>
                <w:color w:val="auto"/>
                <w:kern w:val="2"/>
                <w:sz w:val="21"/>
                <w:szCs w:val="21"/>
                <w:highlight w:val="none"/>
              </w:rPr>
              <w:t>表3-</w:t>
            </w:r>
            <w:r>
              <w:rPr>
                <w:rFonts w:hint="eastAsia"/>
                <w:b/>
                <w:bCs/>
                <w:color w:val="auto"/>
                <w:kern w:val="2"/>
                <w:sz w:val="21"/>
                <w:szCs w:val="21"/>
                <w:highlight w:val="none"/>
                <w:lang w:val="en-US" w:eastAsia="zh-CN"/>
              </w:rPr>
              <w:t xml:space="preserve">9 </w:t>
            </w:r>
            <w:r>
              <w:rPr>
                <w:rFonts w:hint="eastAsia"/>
                <w:b/>
                <w:bCs/>
                <w:color w:val="auto"/>
                <w:kern w:val="2"/>
                <w:sz w:val="21"/>
                <w:szCs w:val="21"/>
                <w:highlight w:val="none"/>
              </w:rPr>
              <w:t>工业企业厂界环境噪声排放标准限值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84"/>
              <w:gridCol w:w="2817"/>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666" w:type="dxa"/>
                  <w:noWrap w:val="0"/>
                  <w:vAlign w:val="top"/>
                </w:tcPr>
                <w:p>
                  <w:pPr>
                    <w:pStyle w:val="30"/>
                    <w:spacing w:before="46" w:line="252" w:lineRule="exact"/>
                    <w:ind w:left="96" w:right="90"/>
                    <w:jc w:val="center"/>
                    <w:rPr>
                      <w:b/>
                      <w:bCs/>
                      <w:color w:val="auto"/>
                      <w:sz w:val="21"/>
                      <w:highlight w:val="none"/>
                    </w:rPr>
                  </w:pPr>
                  <w:r>
                    <w:rPr>
                      <w:b/>
                      <w:bCs/>
                      <w:color w:val="auto"/>
                      <w:sz w:val="21"/>
                      <w:highlight w:val="none"/>
                    </w:rPr>
                    <w:t>类别</w:t>
                  </w:r>
                </w:p>
              </w:tc>
              <w:tc>
                <w:tcPr>
                  <w:tcW w:w="2888" w:type="dxa"/>
                  <w:noWrap w:val="0"/>
                  <w:vAlign w:val="top"/>
                </w:tcPr>
                <w:p>
                  <w:pPr>
                    <w:pStyle w:val="30"/>
                    <w:spacing w:before="46" w:line="252" w:lineRule="exact"/>
                    <w:ind w:left="96" w:right="90"/>
                    <w:jc w:val="center"/>
                    <w:rPr>
                      <w:b/>
                      <w:bCs/>
                      <w:color w:val="auto"/>
                      <w:sz w:val="21"/>
                      <w:highlight w:val="none"/>
                    </w:rPr>
                  </w:pPr>
                  <w:r>
                    <w:rPr>
                      <w:b/>
                      <w:bCs/>
                      <w:color w:val="auto"/>
                      <w:sz w:val="21"/>
                      <w:highlight w:val="none"/>
                    </w:rPr>
                    <w:t>昼间</w:t>
                  </w:r>
                </w:p>
              </w:tc>
              <w:tc>
                <w:tcPr>
                  <w:tcW w:w="2410" w:type="dxa"/>
                  <w:noWrap w:val="0"/>
                  <w:vAlign w:val="top"/>
                </w:tcPr>
                <w:p>
                  <w:pPr>
                    <w:pStyle w:val="30"/>
                    <w:spacing w:before="46" w:line="252" w:lineRule="exact"/>
                    <w:ind w:left="96" w:right="90"/>
                    <w:jc w:val="center"/>
                    <w:rPr>
                      <w:b/>
                      <w:bCs/>
                      <w:color w:val="auto"/>
                      <w:sz w:val="21"/>
                      <w:highlight w:val="none"/>
                    </w:rPr>
                  </w:pPr>
                  <w:r>
                    <w:rPr>
                      <w:b/>
                      <w:bCs/>
                      <w:color w:val="auto"/>
                      <w:sz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666" w:type="dxa"/>
                  <w:noWrap w:val="0"/>
                  <w:vAlign w:val="top"/>
                </w:tcPr>
                <w:p>
                  <w:pPr>
                    <w:pStyle w:val="30"/>
                    <w:spacing w:before="46" w:line="252" w:lineRule="exact"/>
                    <w:ind w:left="96" w:right="90"/>
                    <w:jc w:val="center"/>
                    <w:rPr>
                      <w:rFonts w:hint="eastAsia"/>
                      <w:color w:val="auto"/>
                      <w:sz w:val="21"/>
                      <w:highlight w:val="none"/>
                    </w:rPr>
                  </w:pPr>
                  <w:r>
                    <w:rPr>
                      <w:rFonts w:hint="eastAsia"/>
                      <w:color w:val="auto"/>
                      <w:sz w:val="21"/>
                      <w:highlight w:val="none"/>
                    </w:rPr>
                    <w:t>执行标准</w:t>
                  </w:r>
                </w:p>
              </w:tc>
              <w:tc>
                <w:tcPr>
                  <w:tcW w:w="2888" w:type="dxa"/>
                  <w:noWrap w:val="0"/>
                  <w:vAlign w:val="top"/>
                </w:tcPr>
                <w:p>
                  <w:pPr>
                    <w:pStyle w:val="30"/>
                    <w:spacing w:before="46" w:line="252" w:lineRule="exact"/>
                    <w:ind w:left="96" w:right="90"/>
                    <w:jc w:val="center"/>
                    <w:rPr>
                      <w:color w:val="auto"/>
                      <w:sz w:val="21"/>
                      <w:highlight w:val="none"/>
                    </w:rPr>
                  </w:pPr>
                  <w:r>
                    <w:rPr>
                      <w:rFonts w:hint="eastAsia"/>
                      <w:color w:val="auto"/>
                      <w:sz w:val="21"/>
                      <w:highlight w:val="none"/>
                    </w:rPr>
                    <w:t>65</w:t>
                  </w:r>
                  <w:r>
                    <w:rPr>
                      <w:color w:val="auto"/>
                      <w:sz w:val="21"/>
                      <w:highlight w:val="none"/>
                    </w:rPr>
                    <w:t>dB(A)</w:t>
                  </w:r>
                </w:p>
              </w:tc>
              <w:tc>
                <w:tcPr>
                  <w:tcW w:w="2410" w:type="dxa"/>
                  <w:noWrap w:val="0"/>
                  <w:vAlign w:val="top"/>
                </w:tcPr>
                <w:p>
                  <w:pPr>
                    <w:pStyle w:val="30"/>
                    <w:spacing w:before="46" w:line="252" w:lineRule="exact"/>
                    <w:ind w:left="96" w:right="90"/>
                    <w:jc w:val="center"/>
                    <w:rPr>
                      <w:color w:val="auto"/>
                      <w:sz w:val="21"/>
                      <w:highlight w:val="none"/>
                    </w:rPr>
                  </w:pPr>
                  <w:r>
                    <w:rPr>
                      <w:rFonts w:hint="eastAsia"/>
                      <w:color w:val="auto"/>
                      <w:sz w:val="21"/>
                      <w:highlight w:val="none"/>
                    </w:rPr>
                    <w:t>55</w:t>
                  </w:r>
                  <w:r>
                    <w:rPr>
                      <w:color w:val="auto"/>
                      <w:sz w:val="21"/>
                      <w:highlight w:val="none"/>
                    </w:rPr>
                    <w:t>dB(A)</w:t>
                  </w:r>
                </w:p>
              </w:tc>
            </w:tr>
          </w:tbl>
          <w:p>
            <w:pPr>
              <w:pStyle w:val="2"/>
              <w:spacing w:before="0" w:after="0" w:line="360" w:lineRule="auto"/>
              <w:ind w:right="0" w:firstLine="482" w:firstLineChars="200"/>
              <w:rPr>
                <w:rFonts w:hint="eastAsia"/>
                <w:b/>
                <w:bCs/>
                <w:color w:val="auto"/>
                <w:sz w:val="24"/>
                <w:szCs w:val="24"/>
                <w:highlight w:val="none"/>
              </w:rPr>
            </w:pPr>
            <w:r>
              <w:rPr>
                <w:rFonts w:hint="eastAsia"/>
                <w:b/>
                <w:bCs/>
                <w:color w:val="auto"/>
                <w:sz w:val="24"/>
                <w:szCs w:val="24"/>
                <w:highlight w:val="none"/>
                <w:lang w:val="en-US" w:eastAsia="zh-CN"/>
              </w:rPr>
              <w:t>4</w:t>
            </w:r>
            <w:r>
              <w:rPr>
                <w:rFonts w:hint="eastAsia"/>
                <w:b/>
                <w:bCs/>
                <w:color w:val="auto"/>
                <w:sz w:val="24"/>
                <w:szCs w:val="24"/>
                <w:highlight w:val="none"/>
              </w:rPr>
              <w:t>、固体废物</w:t>
            </w:r>
          </w:p>
          <w:p>
            <w:pPr>
              <w:spacing w:line="360" w:lineRule="auto"/>
              <w:ind w:firstLine="480" w:firstLineChars="200"/>
              <w:rPr>
                <w:color w:val="auto"/>
                <w:highlight w:val="yellow"/>
              </w:rPr>
            </w:pPr>
            <w:r>
              <w:rPr>
                <w:color w:val="auto"/>
                <w:sz w:val="24"/>
                <w:highlight w:val="none"/>
              </w:rPr>
              <w:t>项目产生的一般工业固体废物贮存执行《一般工业固体废物贮存和填埋污染控制标准》（GB18599-2020），危险废物的暂存执行《危险废物贮存污染控制标准》 （GB18597-2001）及其修改单（环保部公告 2013 年第 36 号）。生活垃圾处理执行《城市生活垃圾处理及污染防治技术政策》（建城[2000]120 号）和《生活垃圾处理技术指南》（建城[2010]61号）以及国家、省市关于固体废物污染环境防治的法律法规。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800" w:type="dxa"/>
            <w:noWrap w:val="0"/>
            <w:vAlign w:val="center"/>
          </w:tcPr>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szCs w:val="24"/>
                <w:highlight w:val="none"/>
              </w:rPr>
              <w:t>指标</w:t>
            </w:r>
          </w:p>
        </w:tc>
        <w:tc>
          <w:tcPr>
            <w:tcW w:w="8220" w:type="dxa"/>
            <w:noWrap w:val="0"/>
            <w:vAlign w:val="center"/>
          </w:tcPr>
          <w:p>
            <w:pPr>
              <w:pStyle w:val="33"/>
              <w:spacing w:line="360" w:lineRule="auto"/>
              <w:ind w:firstLine="480" w:firstLineChars="200"/>
              <w:jc w:val="both"/>
              <w:rPr>
                <w:rFonts w:ascii="Times New Roman" w:cs="Times New Roman"/>
                <w:color w:val="auto"/>
                <w:highlight w:val="none"/>
              </w:rPr>
            </w:pPr>
            <w:r>
              <w:rPr>
                <w:rFonts w:hint="eastAsia" w:ascii="Times New Roman" w:cs="Times New Roman"/>
                <w:color w:val="auto"/>
                <w:highlight w:val="none"/>
                <w:lang w:val="en-US" w:eastAsia="zh-CN"/>
              </w:rPr>
              <w:t>本项目生活污水经化粪池处理后排入市政污水管网，进入新田县污水处理厂处理达标后排入新田河，废水总</w:t>
            </w:r>
            <w:bookmarkStart w:id="29" w:name="_GoBack"/>
            <w:bookmarkEnd w:id="29"/>
            <w:r>
              <w:rPr>
                <w:rFonts w:hint="eastAsia" w:ascii="Times New Roman" w:cs="Times New Roman"/>
                <w:color w:val="auto"/>
                <w:highlight w:val="none"/>
                <w:lang w:val="en-US" w:eastAsia="zh-CN"/>
              </w:rPr>
              <w:t>量指标纳入新田县污水处理厂，本项目无需另行申请废水总量指标</w:t>
            </w:r>
            <w:r>
              <w:rPr>
                <w:rFonts w:ascii="Times New Roman" w:cs="Times New Roman"/>
                <w:color w:val="auto"/>
                <w:highlight w:val="none"/>
              </w:rPr>
              <w:t>。</w:t>
            </w:r>
          </w:p>
          <w:p>
            <w:pPr>
              <w:pStyle w:val="33"/>
              <w:spacing w:line="360" w:lineRule="auto"/>
              <w:ind w:firstLine="480" w:firstLineChars="200"/>
              <w:jc w:val="both"/>
              <w:rPr>
                <w:rFonts w:hAnsi="宋体"/>
                <w:color w:val="auto"/>
                <w:szCs w:val="21"/>
                <w:highlight w:val="yellow"/>
              </w:rPr>
            </w:pPr>
            <w:r>
              <w:rPr>
                <w:rFonts w:hint="eastAsia" w:ascii="Times New Roman" w:cs="Times New Roman"/>
                <w:color w:val="auto"/>
                <w:highlight w:val="none"/>
                <w:vertAlign w:val="baseline"/>
                <w:lang w:val="en-US" w:eastAsia="zh-CN"/>
              </w:rPr>
              <w:t>因此，结合本项目污染物排放因子，确定本项目的总量控制指标为：SO</w:t>
            </w:r>
            <w:r>
              <w:rPr>
                <w:rFonts w:hint="eastAsia" w:ascii="Times New Roman" w:cs="Times New Roman"/>
                <w:color w:val="auto"/>
                <w:highlight w:val="none"/>
                <w:vertAlign w:val="subscript"/>
                <w:lang w:val="en-US" w:eastAsia="zh-CN"/>
              </w:rPr>
              <w:t>2</w:t>
            </w:r>
            <w:r>
              <w:rPr>
                <w:rFonts w:hint="eastAsia" w:ascii="Times New Roman" w:cs="Times New Roman"/>
                <w:color w:val="auto"/>
                <w:highlight w:val="none"/>
                <w:vertAlign w:val="baseline"/>
                <w:lang w:val="en-US" w:eastAsia="zh-CN"/>
              </w:rPr>
              <w:t>：0.15t/a、NO</w:t>
            </w:r>
            <w:r>
              <w:rPr>
                <w:rFonts w:hint="eastAsia" w:ascii="Times New Roman" w:cs="Times New Roman"/>
                <w:color w:val="auto"/>
                <w:highlight w:val="none"/>
                <w:vertAlign w:val="subscript"/>
                <w:lang w:val="en-US" w:eastAsia="zh-CN"/>
              </w:rPr>
              <w:t>X</w:t>
            </w:r>
            <w:r>
              <w:rPr>
                <w:rFonts w:hint="eastAsia" w:ascii="Times New Roman" w:cs="Times New Roman"/>
                <w:color w:val="auto"/>
                <w:highlight w:val="none"/>
                <w:vertAlign w:val="baseline"/>
                <w:lang w:val="en-US" w:eastAsia="zh-CN"/>
              </w:rPr>
              <w:t>：0.71t/a、VOC</w:t>
            </w:r>
            <w:r>
              <w:rPr>
                <w:rFonts w:hint="eastAsia" w:ascii="Times New Roman" w:cs="Times New Roman"/>
                <w:color w:val="auto"/>
                <w:highlight w:val="none"/>
                <w:vertAlign w:val="subscript"/>
                <w:lang w:val="en-US" w:eastAsia="zh-CN"/>
              </w:rPr>
              <w:t>S</w:t>
            </w:r>
            <w:r>
              <w:rPr>
                <w:rFonts w:hint="eastAsia" w:ascii="Times New Roman" w:cs="Times New Roman"/>
                <w:color w:val="auto"/>
                <w:highlight w:val="none"/>
                <w:vertAlign w:val="baseline"/>
                <w:lang w:val="en-US" w:eastAsia="zh-CN"/>
              </w:rPr>
              <w:t>：0.03t/a。计算过程详见四部分的污染源分析。</w:t>
            </w:r>
          </w:p>
        </w:tc>
      </w:tr>
    </w:tbl>
    <w:p>
      <w:pPr>
        <w:bidi w:val="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1"/>
        <w:jc w:val="center"/>
        <w:outlineLvl w:val="0"/>
        <w:rPr>
          <w:rFonts w:ascii="黑体" w:hAnsi="黑体" w:eastAsia="黑体"/>
          <w:snapToGrid w:val="0"/>
          <w:color w:val="auto"/>
          <w:sz w:val="30"/>
          <w:szCs w:val="30"/>
        </w:rPr>
      </w:pPr>
      <w:bookmarkStart w:id="11" w:name="_Toc15193"/>
      <w:bookmarkStart w:id="12" w:name="_Toc21085"/>
      <w:bookmarkStart w:id="13" w:name="_Toc17179"/>
      <w:r>
        <w:rPr>
          <w:rFonts w:hint="eastAsia" w:ascii="黑体" w:hAnsi="黑体" w:eastAsia="黑体"/>
          <w:snapToGrid w:val="0"/>
          <w:color w:val="auto"/>
          <w:sz w:val="30"/>
          <w:szCs w:val="30"/>
        </w:rPr>
        <w:t>四、主要环境影响和保护措施</w:t>
      </w:r>
      <w:bookmarkEnd w:id="11"/>
      <w:bookmarkEnd w:id="12"/>
      <w:bookmarkEnd w:id="13"/>
    </w:p>
    <w:tbl>
      <w:tblPr>
        <w:tblStyle w:val="14"/>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428"/>
        <w:gridCol w:w="863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406" w:type="dxa"/>
            <w:tcBorders>
              <w:tl2br w:val="nil"/>
              <w:tr2bl w:val="nil"/>
            </w:tcBorders>
            <w:noWrap w:val="0"/>
            <w:vAlign w:val="center"/>
          </w:tcPr>
          <w:p>
            <w:pPr>
              <w:pStyle w:val="11"/>
              <w:overflowPunct w:val="0"/>
              <w:adjustRightInd w:val="0"/>
              <w:snapToGrid w:val="0"/>
              <w:spacing w:before="0" w:beforeAutospacing="0" w:after="0" w:afterAutospacing="0"/>
              <w:jc w:val="center"/>
              <w:rPr>
                <w:rFonts w:hint="eastAsia" w:cs="宋体"/>
                <w:color w:val="auto"/>
                <w:kern w:val="2"/>
                <w:sz w:val="24"/>
                <w:szCs w:val="24"/>
                <w:highlight w:val="none"/>
                <w:u w:val="none"/>
              </w:rPr>
            </w:pPr>
            <w:r>
              <w:rPr>
                <w:rFonts w:hint="eastAsia" w:cs="宋体"/>
                <w:color w:val="auto"/>
                <w:kern w:val="2"/>
                <w:sz w:val="24"/>
                <w:szCs w:val="24"/>
                <w:highlight w:val="none"/>
                <w:u w:val="none"/>
              </w:rPr>
              <w:t>施工</w:t>
            </w:r>
          </w:p>
          <w:p>
            <w:pPr>
              <w:pStyle w:val="11"/>
              <w:overflowPunct w:val="0"/>
              <w:adjustRightInd w:val="0"/>
              <w:snapToGrid w:val="0"/>
              <w:spacing w:before="0" w:beforeAutospacing="0" w:after="0" w:afterAutospacing="0"/>
              <w:jc w:val="center"/>
              <w:rPr>
                <w:rFonts w:hint="eastAsia" w:cs="宋体"/>
                <w:color w:val="auto"/>
                <w:kern w:val="2"/>
                <w:sz w:val="24"/>
                <w:szCs w:val="24"/>
                <w:highlight w:val="none"/>
                <w:u w:val="none"/>
              </w:rPr>
            </w:pPr>
            <w:r>
              <w:rPr>
                <w:rFonts w:hint="eastAsia" w:cs="宋体"/>
                <w:color w:val="auto"/>
                <w:kern w:val="2"/>
                <w:sz w:val="24"/>
                <w:szCs w:val="24"/>
                <w:highlight w:val="none"/>
                <w:u w:val="none"/>
              </w:rPr>
              <w:t>期环</w:t>
            </w:r>
          </w:p>
          <w:p>
            <w:pPr>
              <w:pStyle w:val="11"/>
              <w:overflowPunct w:val="0"/>
              <w:adjustRightInd w:val="0"/>
              <w:snapToGrid w:val="0"/>
              <w:spacing w:before="0" w:beforeAutospacing="0" w:after="0" w:afterAutospacing="0"/>
              <w:jc w:val="center"/>
              <w:rPr>
                <w:rFonts w:hint="eastAsia" w:cs="宋体"/>
                <w:color w:val="auto"/>
                <w:kern w:val="2"/>
                <w:sz w:val="24"/>
                <w:szCs w:val="24"/>
                <w:highlight w:val="none"/>
                <w:u w:val="none"/>
              </w:rPr>
            </w:pPr>
            <w:r>
              <w:rPr>
                <w:rFonts w:hint="eastAsia" w:cs="宋体"/>
                <w:color w:val="auto"/>
                <w:kern w:val="2"/>
                <w:sz w:val="24"/>
                <w:szCs w:val="24"/>
                <w:highlight w:val="none"/>
                <w:u w:val="none"/>
              </w:rPr>
              <w:t>境保</w:t>
            </w:r>
          </w:p>
          <w:p>
            <w:pPr>
              <w:pStyle w:val="11"/>
              <w:overflowPunct w:val="0"/>
              <w:adjustRightInd w:val="0"/>
              <w:snapToGrid w:val="0"/>
              <w:spacing w:before="0" w:beforeAutospacing="0" w:after="0" w:afterAutospacing="0"/>
              <w:jc w:val="center"/>
              <w:rPr>
                <w:rFonts w:hint="eastAsia" w:cs="宋体"/>
                <w:color w:val="auto"/>
                <w:kern w:val="2"/>
                <w:sz w:val="24"/>
                <w:szCs w:val="24"/>
                <w:highlight w:val="none"/>
                <w:u w:val="none"/>
              </w:rPr>
            </w:pPr>
            <w:r>
              <w:rPr>
                <w:rFonts w:hint="eastAsia" w:cs="宋体"/>
                <w:color w:val="auto"/>
                <w:kern w:val="2"/>
                <w:sz w:val="24"/>
                <w:szCs w:val="24"/>
                <w:highlight w:val="none"/>
                <w:u w:val="none"/>
              </w:rPr>
              <w:t>护措</w:t>
            </w:r>
          </w:p>
          <w:p>
            <w:pPr>
              <w:pStyle w:val="11"/>
              <w:overflowPunct w:val="0"/>
              <w:adjustRightInd w:val="0"/>
              <w:snapToGrid w:val="0"/>
              <w:spacing w:before="0" w:beforeAutospacing="0" w:after="0" w:afterAutospacing="0"/>
              <w:jc w:val="center"/>
              <w:rPr>
                <w:rFonts w:hint="eastAsia" w:cs="宋体"/>
                <w:bCs/>
                <w:color w:val="auto"/>
                <w:kern w:val="2"/>
                <w:sz w:val="24"/>
                <w:szCs w:val="24"/>
                <w:highlight w:val="none"/>
                <w:u w:val="none"/>
              </w:rPr>
            </w:pPr>
            <w:r>
              <w:rPr>
                <w:rFonts w:hint="eastAsia" w:cs="宋体"/>
                <w:color w:val="auto"/>
                <w:kern w:val="2"/>
                <w:sz w:val="24"/>
                <w:szCs w:val="24"/>
                <w:highlight w:val="none"/>
                <w:u w:val="none"/>
              </w:rPr>
              <w:t>施</w:t>
            </w:r>
          </w:p>
        </w:tc>
        <w:tc>
          <w:tcPr>
            <w:tcW w:w="8655" w:type="dxa"/>
            <w:tcBorders>
              <w:tl2br w:val="nil"/>
              <w:tr2bl w:val="nil"/>
            </w:tcBorders>
            <w:noWrap w:val="0"/>
            <w:vAlign w:val="center"/>
          </w:tcPr>
          <w:p>
            <w:pPr>
              <w:overflowPunct w:val="0"/>
              <w:spacing w:line="360" w:lineRule="auto"/>
              <w:ind w:firstLine="480" w:firstLineChars="200"/>
              <w:rPr>
                <w:rFonts w:hint="default" w:ascii="宋体" w:hAnsi="宋体" w:eastAsia="宋体" w:cs="宋体"/>
                <w:bCs/>
                <w:color w:val="auto"/>
                <w:spacing w:val="-10"/>
                <w:szCs w:val="21"/>
                <w:highlight w:val="none"/>
                <w:u w:val="none"/>
                <w:lang w:val="en-US" w:eastAsia="zh-CN"/>
              </w:rPr>
            </w:pPr>
            <w:r>
              <w:rPr>
                <w:bCs/>
                <w:color w:val="auto"/>
                <w:sz w:val="24"/>
                <w:highlight w:val="none"/>
                <w:u w:val="none"/>
              </w:rPr>
              <w:t>本项目</w:t>
            </w:r>
            <w:r>
              <w:rPr>
                <w:rFonts w:hint="eastAsia"/>
                <w:bCs/>
                <w:color w:val="auto"/>
                <w:sz w:val="24"/>
                <w:highlight w:val="none"/>
                <w:u w:val="none"/>
                <w:lang w:val="en-US" w:eastAsia="zh-CN"/>
              </w:rPr>
              <w:t>利用已建厂房，故本环评不对施工期进行分析。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406" w:type="dxa"/>
            <w:tcBorders>
              <w:tl2br w:val="nil"/>
              <w:tr2bl w:val="nil"/>
            </w:tcBorders>
            <w:noWrap w:val="0"/>
            <w:vAlign w:val="center"/>
          </w:tcPr>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运营</w:t>
            </w:r>
          </w:p>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期环</w:t>
            </w:r>
          </w:p>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境影</w:t>
            </w:r>
          </w:p>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响和</w:t>
            </w:r>
          </w:p>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保护</w:t>
            </w:r>
          </w:p>
          <w:p>
            <w:pPr>
              <w:overflowPunct w:val="0"/>
              <w:adjustRightInd w:val="0"/>
              <w:snapToGrid w:val="0"/>
              <w:jc w:val="center"/>
              <w:rPr>
                <w:rFonts w:hint="eastAsia" w:ascii="宋体" w:hAnsi="宋体" w:cs="宋体"/>
                <w:bCs/>
                <w:color w:val="auto"/>
                <w:sz w:val="24"/>
                <w:szCs w:val="24"/>
                <w:u w:val="none"/>
              </w:rPr>
            </w:pPr>
            <w:r>
              <w:rPr>
                <w:rFonts w:hint="eastAsia" w:ascii="宋体" w:hAnsi="宋体" w:cs="宋体"/>
                <w:bCs/>
                <w:color w:val="auto"/>
                <w:sz w:val="24"/>
                <w:szCs w:val="24"/>
                <w:u w:val="none"/>
              </w:rPr>
              <w:t>措施</w:t>
            </w:r>
          </w:p>
        </w:tc>
        <w:tc>
          <w:tcPr>
            <w:tcW w:w="8655" w:type="dxa"/>
            <w:tcBorders>
              <w:tl2br w:val="nil"/>
              <w:tr2bl w:val="nil"/>
            </w:tcBorders>
            <w:noWrap w:val="0"/>
            <w:vAlign w:val="center"/>
          </w:tcPr>
          <w:p>
            <w:pPr>
              <w:pStyle w:val="2"/>
              <w:overflowPunct w:val="0"/>
              <w:spacing w:after="0" w:line="360" w:lineRule="auto"/>
              <w:rPr>
                <w:b/>
                <w:bCs/>
                <w:color w:val="auto"/>
                <w:sz w:val="24"/>
                <w:u w:val="none"/>
              </w:rPr>
            </w:pPr>
            <w:r>
              <w:rPr>
                <w:rFonts w:hint="eastAsia"/>
                <w:b/>
                <w:bCs/>
                <w:color w:val="auto"/>
                <w:sz w:val="24"/>
                <w:u w:val="none"/>
              </w:rPr>
              <w:t>1、</w:t>
            </w:r>
            <w:r>
              <w:rPr>
                <w:b/>
                <w:bCs/>
                <w:color w:val="auto"/>
                <w:sz w:val="24"/>
                <w:u w:val="none"/>
              </w:rPr>
              <w:t>废气</w:t>
            </w:r>
          </w:p>
          <w:p>
            <w:pPr>
              <w:pStyle w:val="2"/>
              <w:overflowPunct w:val="0"/>
              <w:spacing w:before="0" w:after="0" w:line="360" w:lineRule="auto"/>
              <w:ind w:right="0" w:firstLine="482" w:firstLineChars="200"/>
              <w:rPr>
                <w:b/>
                <w:bCs/>
                <w:color w:val="auto"/>
                <w:sz w:val="24"/>
                <w:u w:val="none"/>
              </w:rPr>
            </w:pPr>
            <w:r>
              <w:rPr>
                <w:rFonts w:hint="eastAsia"/>
                <w:b/>
                <w:bCs/>
                <w:color w:val="auto"/>
                <w:sz w:val="24"/>
                <w:u w:val="none"/>
              </w:rPr>
              <w:t>（1）</w:t>
            </w:r>
            <w:r>
              <w:rPr>
                <w:b/>
                <w:bCs/>
                <w:color w:val="auto"/>
                <w:sz w:val="24"/>
                <w:u w:val="none"/>
              </w:rPr>
              <w:t>污染源分析</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本项目生产废气主要为备料废气、发泡、</w:t>
            </w:r>
            <w:r>
              <w:rPr>
                <w:rFonts w:hint="eastAsia" w:ascii="宋体" w:hAnsi="宋体" w:cs="宋体"/>
                <w:color w:val="auto"/>
                <w:sz w:val="24"/>
                <w:highlight w:val="none"/>
                <w:u w:val="none"/>
                <w:lang w:val="en-US" w:eastAsia="zh-CN"/>
              </w:rPr>
              <w:t>搅拌废气、</w:t>
            </w:r>
            <w:r>
              <w:rPr>
                <w:rFonts w:hint="eastAsia" w:ascii="宋体" w:hAnsi="宋体" w:eastAsia="宋体" w:cs="宋体"/>
                <w:color w:val="auto"/>
                <w:sz w:val="24"/>
                <w:highlight w:val="none"/>
                <w:u w:val="none"/>
                <w:lang w:val="en-US" w:eastAsia="zh-CN"/>
              </w:rPr>
              <w:t>熟化废气、印刷废气</w:t>
            </w:r>
            <w:r>
              <w:rPr>
                <w:rFonts w:hint="eastAsia" w:ascii="宋体" w:hAnsi="宋体" w:cs="宋体"/>
                <w:color w:val="auto"/>
                <w:sz w:val="24"/>
                <w:highlight w:val="none"/>
                <w:u w:val="none"/>
                <w:lang w:val="en-US" w:eastAsia="zh-CN"/>
              </w:rPr>
              <w:t>、热风炉废气和食堂油烟废气</w:t>
            </w:r>
            <w:r>
              <w:rPr>
                <w:rFonts w:hint="eastAsia" w:ascii="宋体" w:hAnsi="宋体" w:eastAsia="宋体" w:cs="宋体"/>
                <w:color w:val="auto"/>
                <w:sz w:val="24"/>
                <w:highlight w:val="none"/>
                <w:u w:val="none"/>
                <w:lang w:val="en-US" w:eastAsia="zh-CN"/>
              </w:rPr>
              <w:t>。</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①备料废气</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color w:val="auto"/>
                <w:sz w:val="24"/>
                <w:highlight w:val="none"/>
                <w:u w:val="none"/>
                <w:lang w:val="en-US" w:eastAsia="zh-CN"/>
              </w:rPr>
            </w:pPr>
            <w:r>
              <w:rPr>
                <w:rFonts w:hint="eastAsia"/>
                <w:color w:val="auto"/>
                <w:sz w:val="24"/>
                <w:highlight w:val="none"/>
                <w:u w:val="none"/>
                <w:lang w:val="en-US" w:eastAsia="zh-CN"/>
              </w:rPr>
              <w:t>项目使用的各物料均采用输送泵，通过密封管道送至发泡、搅拌工序。在物料接口时，会有极少量原料挥发。由于泵料时间短，且各物料在常温下饱和蒸气压均较低，可能产生的挥发性有机废气量极少。因此本项目仅对备料废气进行定性分析。</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②发泡、</w:t>
            </w:r>
            <w:r>
              <w:rPr>
                <w:rFonts w:hint="eastAsia" w:ascii="宋体" w:hAnsi="宋体" w:cs="宋体"/>
                <w:color w:val="auto"/>
                <w:sz w:val="24"/>
                <w:highlight w:val="none"/>
                <w:u w:val="none"/>
                <w:lang w:val="en-US" w:eastAsia="zh-CN"/>
              </w:rPr>
              <w:t>搅拌废气、</w:t>
            </w:r>
            <w:r>
              <w:rPr>
                <w:rFonts w:hint="eastAsia" w:ascii="宋体" w:hAnsi="宋体" w:eastAsia="宋体" w:cs="宋体"/>
                <w:color w:val="auto"/>
                <w:sz w:val="24"/>
                <w:highlight w:val="none"/>
                <w:u w:val="none"/>
                <w:lang w:val="en-US" w:eastAsia="zh-CN"/>
              </w:rPr>
              <w:t>熟化废气</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color w:val="auto"/>
                <w:sz w:val="24"/>
                <w:highlight w:val="none"/>
                <w:u w:val="none"/>
              </w:rPr>
            </w:pPr>
            <w:r>
              <w:rPr>
                <w:rFonts w:hint="eastAsia"/>
                <w:color w:val="auto"/>
                <w:sz w:val="24"/>
                <w:u w:val="none"/>
                <w:lang w:val="en-US" w:eastAsia="zh-CN"/>
              </w:rPr>
              <w:t>项目在发泡、搅拌、熟化过程将产生少量的有机废气，本项目以非甲烷总烃计算。参照《浙江省重点行业 VOCs 污染排放源排放量计算方法》（1.1 版）中的排放系数和本项目物料的实际使用量计算非甲烷总烃排放量。该文件认为非甲烷总烃的排放系数为2.368kg/t 树脂原料。本项目聚氨酯树脂原液及其他辅料使用量为690.4t/a，则非甲烷总烃的产生量</w:t>
            </w:r>
            <w:r>
              <w:rPr>
                <w:rFonts w:hint="eastAsia"/>
                <w:color w:val="auto"/>
                <w:sz w:val="24"/>
                <w:u w:val="none"/>
              </w:rPr>
              <w:t>约</w:t>
            </w:r>
            <w:r>
              <w:rPr>
                <w:rFonts w:hint="eastAsia"/>
                <w:color w:val="auto"/>
                <w:sz w:val="24"/>
                <w:u w:val="none"/>
                <w:lang w:val="en-US" w:eastAsia="zh-CN"/>
              </w:rPr>
              <w:t>为1.63t/a</w:t>
            </w:r>
            <w:r>
              <w:rPr>
                <w:rFonts w:hint="eastAsia"/>
                <w:color w:val="auto"/>
                <w:sz w:val="24"/>
                <w:u w:val="none"/>
              </w:rPr>
              <w:t>，整个过</w:t>
            </w:r>
            <w:r>
              <w:rPr>
                <w:rFonts w:hint="eastAsia"/>
                <w:color w:val="auto"/>
                <w:sz w:val="24"/>
                <w:highlight w:val="none"/>
                <w:u w:val="none"/>
              </w:rPr>
              <w:t>程进行密闭操作，在发泡</w:t>
            </w:r>
            <w:r>
              <w:rPr>
                <w:rFonts w:hint="eastAsia"/>
                <w:color w:val="auto"/>
                <w:sz w:val="24"/>
                <w:highlight w:val="none"/>
                <w:u w:val="none"/>
                <w:lang w:eastAsia="zh-CN"/>
              </w:rPr>
              <w:t>、搅拌</w:t>
            </w:r>
            <w:r>
              <w:rPr>
                <w:rFonts w:hint="eastAsia"/>
                <w:color w:val="auto"/>
                <w:sz w:val="24"/>
                <w:highlight w:val="none"/>
                <w:u w:val="none"/>
              </w:rPr>
              <w:t>工段和熟化工段箱体吸罩顶部进行引风，风机风量为</w:t>
            </w:r>
            <w:r>
              <w:rPr>
                <w:rFonts w:hint="eastAsia"/>
                <w:color w:val="auto"/>
                <w:sz w:val="24"/>
                <w:highlight w:val="none"/>
                <w:u w:val="none"/>
                <w:lang w:val="en-US" w:eastAsia="zh-CN"/>
              </w:rPr>
              <w:t>50</w:t>
            </w:r>
            <w:r>
              <w:rPr>
                <w:rFonts w:hint="eastAsia"/>
                <w:color w:val="auto"/>
                <w:sz w:val="24"/>
                <w:highlight w:val="none"/>
                <w:u w:val="none"/>
              </w:rPr>
              <w:t>00m</w:t>
            </w:r>
            <w:r>
              <w:rPr>
                <w:rFonts w:hint="eastAsia"/>
                <w:color w:val="auto"/>
                <w:sz w:val="24"/>
                <w:highlight w:val="none"/>
                <w:u w:val="none"/>
                <w:vertAlign w:val="superscript"/>
              </w:rPr>
              <w:t>3</w:t>
            </w:r>
            <w:r>
              <w:rPr>
                <w:rFonts w:hint="eastAsia"/>
                <w:color w:val="auto"/>
                <w:sz w:val="24"/>
                <w:highlight w:val="none"/>
                <w:u w:val="none"/>
              </w:rPr>
              <w:t>/h，收集效率9</w:t>
            </w:r>
            <w:r>
              <w:rPr>
                <w:rFonts w:hint="eastAsia"/>
                <w:color w:val="auto"/>
                <w:sz w:val="24"/>
                <w:highlight w:val="none"/>
                <w:u w:val="none"/>
                <w:lang w:val="en-US" w:eastAsia="zh-CN"/>
              </w:rPr>
              <w:t>0</w:t>
            </w:r>
            <w:r>
              <w:rPr>
                <w:rFonts w:hint="eastAsia"/>
                <w:color w:val="auto"/>
                <w:sz w:val="24"/>
                <w:highlight w:val="none"/>
                <w:u w:val="none"/>
              </w:rPr>
              <w:t>%，有组织</w:t>
            </w:r>
            <w:r>
              <w:rPr>
                <w:rFonts w:hint="eastAsia"/>
                <w:color w:val="auto"/>
                <w:sz w:val="24"/>
                <w:highlight w:val="none"/>
                <w:u w:val="none"/>
                <w:lang w:val="en-US" w:eastAsia="zh-CN"/>
              </w:rPr>
              <w:t>非甲烷总烃</w:t>
            </w:r>
            <w:r>
              <w:rPr>
                <w:rFonts w:hint="eastAsia"/>
                <w:color w:val="auto"/>
                <w:sz w:val="24"/>
                <w:highlight w:val="none"/>
                <w:u w:val="none"/>
              </w:rPr>
              <w:t>产生量</w:t>
            </w:r>
            <w:r>
              <w:rPr>
                <w:rFonts w:hint="eastAsia"/>
                <w:color w:val="auto"/>
                <w:sz w:val="24"/>
                <w:highlight w:val="none"/>
                <w:u w:val="none"/>
                <w:lang w:val="en-US" w:eastAsia="zh-CN"/>
              </w:rPr>
              <w:t>1.47</w:t>
            </w:r>
            <w:r>
              <w:rPr>
                <w:rFonts w:hint="eastAsia"/>
                <w:color w:val="auto"/>
                <w:sz w:val="24"/>
                <w:highlight w:val="none"/>
                <w:u w:val="none"/>
              </w:rPr>
              <w:t>t/a，无组织</w:t>
            </w:r>
            <w:r>
              <w:rPr>
                <w:rFonts w:hint="eastAsia"/>
                <w:color w:val="auto"/>
                <w:sz w:val="24"/>
                <w:highlight w:val="none"/>
                <w:u w:val="none"/>
                <w:lang w:val="en-US" w:eastAsia="zh-CN"/>
              </w:rPr>
              <w:t>非甲烷总烃</w:t>
            </w:r>
            <w:r>
              <w:rPr>
                <w:rFonts w:hint="eastAsia"/>
                <w:color w:val="auto"/>
                <w:sz w:val="24"/>
                <w:highlight w:val="none"/>
                <w:u w:val="none"/>
              </w:rPr>
              <w:t>排放量</w:t>
            </w:r>
            <w:r>
              <w:rPr>
                <w:rFonts w:hint="eastAsia"/>
                <w:color w:val="auto"/>
                <w:sz w:val="24"/>
                <w:highlight w:val="none"/>
                <w:u w:val="none"/>
                <w:lang w:val="en-US" w:eastAsia="zh-CN"/>
              </w:rPr>
              <w:t>0.16</w:t>
            </w:r>
            <w:r>
              <w:rPr>
                <w:rFonts w:hint="eastAsia"/>
                <w:color w:val="auto"/>
                <w:sz w:val="24"/>
                <w:highlight w:val="none"/>
                <w:u w:val="none"/>
              </w:rPr>
              <w:t>t/a。</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color w:val="auto"/>
                <w:sz w:val="24"/>
                <w:highlight w:val="none"/>
                <w:u w:val="none"/>
              </w:rPr>
            </w:pPr>
            <w:r>
              <w:rPr>
                <w:rFonts w:hint="eastAsia"/>
                <w:color w:val="auto"/>
                <w:sz w:val="24"/>
                <w:highlight w:val="none"/>
                <w:u w:val="none"/>
              </w:rPr>
              <w:t>收集的废气</w:t>
            </w:r>
            <w:r>
              <w:rPr>
                <w:rFonts w:hint="eastAsia"/>
                <w:color w:val="auto"/>
                <w:sz w:val="24"/>
                <w:szCs w:val="24"/>
                <w:highlight w:val="none"/>
                <w:u w:val="none"/>
              </w:rPr>
              <w:t>拟采取“UV 光解+活性炭吸附”</w:t>
            </w:r>
            <w:r>
              <w:rPr>
                <w:rFonts w:hint="eastAsia"/>
                <w:color w:val="auto"/>
                <w:sz w:val="24"/>
                <w:highlight w:val="none"/>
                <w:u w:val="none"/>
              </w:rPr>
              <w:t>装置处理后通过 15m 排气筒排放。则有组织</w:t>
            </w:r>
            <w:r>
              <w:rPr>
                <w:rFonts w:hint="eastAsia"/>
                <w:color w:val="auto"/>
                <w:sz w:val="24"/>
                <w:highlight w:val="none"/>
                <w:u w:val="none"/>
                <w:lang w:val="en-US" w:eastAsia="zh-CN"/>
              </w:rPr>
              <w:t>非甲烷总烃</w:t>
            </w:r>
            <w:r>
              <w:rPr>
                <w:rFonts w:hint="eastAsia"/>
                <w:color w:val="auto"/>
                <w:sz w:val="24"/>
                <w:highlight w:val="none"/>
                <w:u w:val="none"/>
              </w:rPr>
              <w:t>产生浓度</w:t>
            </w:r>
            <w:r>
              <w:rPr>
                <w:rFonts w:hint="eastAsia"/>
                <w:color w:val="auto"/>
                <w:sz w:val="24"/>
                <w:highlight w:val="none"/>
                <w:u w:val="none"/>
                <w:lang w:val="en-US" w:eastAsia="zh-CN"/>
              </w:rPr>
              <w:t>122.5</w:t>
            </w:r>
            <w:r>
              <w:rPr>
                <w:rFonts w:hint="eastAsia"/>
                <w:color w:val="auto"/>
                <w:sz w:val="24"/>
                <w:highlight w:val="none"/>
                <w:u w:val="none"/>
              </w:rPr>
              <w:t>mg/m</w:t>
            </w:r>
            <w:r>
              <w:rPr>
                <w:rFonts w:hint="eastAsia"/>
                <w:color w:val="auto"/>
                <w:sz w:val="24"/>
                <w:highlight w:val="none"/>
                <w:u w:val="none"/>
                <w:vertAlign w:val="superscript"/>
              </w:rPr>
              <w:t>3</w:t>
            </w:r>
            <w:r>
              <w:rPr>
                <w:rFonts w:hint="eastAsia"/>
                <w:color w:val="auto"/>
                <w:sz w:val="24"/>
                <w:highlight w:val="none"/>
                <w:u w:val="none"/>
              </w:rPr>
              <w:t xml:space="preserve">，产生速率 </w:t>
            </w:r>
            <w:r>
              <w:rPr>
                <w:rFonts w:hint="eastAsia"/>
                <w:color w:val="auto"/>
                <w:sz w:val="24"/>
                <w:highlight w:val="none"/>
                <w:u w:val="none"/>
                <w:lang w:val="en-US" w:eastAsia="zh-CN"/>
              </w:rPr>
              <w:t>0.61</w:t>
            </w:r>
            <w:r>
              <w:rPr>
                <w:rFonts w:hint="eastAsia"/>
                <w:color w:val="auto"/>
                <w:sz w:val="24"/>
                <w:highlight w:val="none"/>
                <w:u w:val="none"/>
              </w:rPr>
              <w:t>kg/h，处理效率按90%计，处理后</w:t>
            </w:r>
            <w:r>
              <w:rPr>
                <w:rFonts w:hint="eastAsia"/>
                <w:color w:val="auto"/>
                <w:sz w:val="24"/>
                <w:highlight w:val="none"/>
                <w:u w:val="none"/>
                <w:lang w:val="en-US" w:eastAsia="zh-CN"/>
              </w:rPr>
              <w:t>非甲烷总烃</w:t>
            </w:r>
            <w:r>
              <w:rPr>
                <w:rFonts w:hint="eastAsia"/>
                <w:color w:val="auto"/>
                <w:sz w:val="24"/>
                <w:highlight w:val="none"/>
                <w:u w:val="none"/>
              </w:rPr>
              <w:t>排放浓度</w:t>
            </w:r>
            <w:r>
              <w:rPr>
                <w:rFonts w:hint="eastAsia"/>
                <w:color w:val="auto"/>
                <w:sz w:val="24"/>
                <w:highlight w:val="none"/>
                <w:u w:val="none"/>
                <w:lang w:val="en-US" w:eastAsia="zh-CN"/>
              </w:rPr>
              <w:t>11.67</w:t>
            </w:r>
            <w:r>
              <w:rPr>
                <w:rFonts w:hint="eastAsia"/>
                <w:color w:val="auto"/>
                <w:sz w:val="24"/>
                <w:highlight w:val="none"/>
                <w:u w:val="none"/>
              </w:rPr>
              <w:t>mg/m</w:t>
            </w:r>
            <w:r>
              <w:rPr>
                <w:rFonts w:hint="eastAsia"/>
                <w:color w:val="auto"/>
                <w:sz w:val="24"/>
                <w:highlight w:val="none"/>
                <w:u w:val="none"/>
                <w:vertAlign w:val="superscript"/>
              </w:rPr>
              <w:t>3</w:t>
            </w:r>
            <w:r>
              <w:rPr>
                <w:rFonts w:hint="eastAsia"/>
                <w:color w:val="auto"/>
                <w:sz w:val="24"/>
                <w:highlight w:val="none"/>
                <w:u w:val="none"/>
              </w:rPr>
              <w:t xml:space="preserve">，排放速率 </w:t>
            </w:r>
            <w:r>
              <w:rPr>
                <w:rFonts w:hint="eastAsia"/>
                <w:color w:val="auto"/>
                <w:sz w:val="24"/>
                <w:highlight w:val="none"/>
                <w:u w:val="none"/>
                <w:lang w:val="en-US" w:eastAsia="zh-CN"/>
              </w:rPr>
              <w:t>0.058</w:t>
            </w:r>
            <w:r>
              <w:rPr>
                <w:rFonts w:hint="eastAsia"/>
                <w:color w:val="auto"/>
                <w:sz w:val="24"/>
                <w:highlight w:val="none"/>
                <w:u w:val="none"/>
              </w:rPr>
              <w:t>kg/h，排放量 0.</w:t>
            </w:r>
            <w:r>
              <w:rPr>
                <w:rFonts w:hint="eastAsia"/>
                <w:color w:val="auto"/>
                <w:sz w:val="24"/>
                <w:highlight w:val="none"/>
                <w:u w:val="none"/>
                <w:lang w:val="en-US" w:eastAsia="zh-CN"/>
              </w:rPr>
              <w:t>14</w:t>
            </w:r>
            <w:r>
              <w:rPr>
                <w:rFonts w:hint="eastAsia"/>
                <w:color w:val="auto"/>
                <w:sz w:val="24"/>
                <w:highlight w:val="none"/>
                <w:u w:val="none"/>
              </w:rPr>
              <w:t>t/a</w:t>
            </w:r>
            <w:r>
              <w:rPr>
                <w:rFonts w:hint="default" w:ascii="Times New Roman" w:hAnsi="Times New Roman" w:cs="Times New Roman"/>
                <w:color w:val="auto"/>
                <w:sz w:val="24"/>
                <w:highlight w:val="none"/>
                <w:u w:val="none"/>
              </w:rPr>
              <w:t>。</w:t>
            </w:r>
          </w:p>
          <w:p>
            <w:pPr>
              <w:pStyle w:val="2"/>
              <w:overflowPunct w:val="0"/>
              <w:spacing w:before="0" w:after="0" w:line="360" w:lineRule="auto"/>
              <w:ind w:right="0" w:firstLine="480" w:firstLineChars="200"/>
              <w:rPr>
                <w:rFonts w:hint="default" w:ascii="Times New Roman" w:hAnsi="Times New Roman" w:eastAsia="宋体" w:cs="Times New Roman"/>
                <w:color w:val="auto"/>
                <w:sz w:val="24"/>
                <w:highlight w:val="none"/>
                <w:u w:val="none"/>
                <w:lang w:val="en-US" w:eastAsia="zh-CN"/>
              </w:rPr>
            </w:pPr>
            <w:r>
              <w:rPr>
                <w:rFonts w:hint="eastAsia" w:ascii="宋体" w:hAnsi="宋体" w:eastAsia="宋体" w:cs="宋体"/>
                <w:color w:val="auto"/>
                <w:sz w:val="24"/>
                <w:highlight w:val="none"/>
                <w:u w:val="none"/>
              </w:rPr>
              <w:t>③</w:t>
            </w:r>
            <w:r>
              <w:rPr>
                <w:rFonts w:hint="eastAsia" w:ascii="宋体" w:hAnsi="宋体" w:eastAsia="宋体" w:cs="宋体"/>
                <w:color w:val="auto"/>
                <w:sz w:val="24"/>
                <w:highlight w:val="none"/>
                <w:u w:val="none"/>
                <w:lang w:val="en-US" w:eastAsia="zh-CN"/>
              </w:rPr>
              <w:t>印刷</w:t>
            </w:r>
            <w:r>
              <w:rPr>
                <w:rFonts w:hint="default" w:ascii="Times New Roman" w:hAnsi="Times New Roman" w:eastAsia="宋体" w:cs="Times New Roman"/>
                <w:color w:val="auto"/>
                <w:sz w:val="24"/>
                <w:highlight w:val="none"/>
                <w:u w:val="none"/>
                <w:lang w:val="en-US" w:eastAsia="zh-CN"/>
              </w:rPr>
              <w:t>废气</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firstLine="480" w:firstLineChars="200"/>
              <w:textAlignment w:val="auto"/>
              <w:rPr>
                <w:rFonts w:hint="eastAsia"/>
                <w:color w:val="auto"/>
                <w:sz w:val="24"/>
                <w:highlight w:val="none"/>
                <w:u w:val="none"/>
              </w:rPr>
            </w:pPr>
            <w:r>
              <w:rPr>
                <w:rFonts w:hint="default" w:ascii="Times New Roman" w:hAnsi="Times New Roman" w:eastAsia="宋体" w:cs="Times New Roman"/>
                <w:color w:val="auto"/>
                <w:sz w:val="24"/>
                <w:highlight w:val="none"/>
                <w:u w:val="none"/>
                <w:lang w:val="en-US" w:eastAsia="zh-CN"/>
              </w:rPr>
              <w:t>本项目印刷</w:t>
            </w:r>
            <w:r>
              <w:rPr>
                <w:rFonts w:hint="eastAsia" w:cs="Times New Roman"/>
                <w:color w:val="auto"/>
                <w:sz w:val="24"/>
                <w:highlight w:val="none"/>
                <w:u w:val="none"/>
                <w:lang w:val="en-US" w:eastAsia="zh-CN"/>
              </w:rPr>
              <w:t>属于冷固轮转胶印油墨。根据《环境标志产品技术要求 胶印油墨》（HJ2542-2016），油墨中挥发性有机化合物VOC含量≤3%，故本次环评按最大值计算。</w:t>
            </w:r>
            <w:r>
              <w:rPr>
                <w:rFonts w:hint="default" w:ascii="Times New Roman" w:hAnsi="Times New Roman" w:eastAsia="宋体" w:cs="Times New Roman"/>
                <w:color w:val="auto"/>
                <w:sz w:val="24"/>
                <w:highlight w:val="none"/>
                <w:u w:val="none"/>
                <w:lang w:val="en-US" w:eastAsia="zh-CN"/>
              </w:rPr>
              <w:t>本项目</w:t>
            </w:r>
            <w:r>
              <w:rPr>
                <w:rFonts w:hint="eastAsia" w:cs="Times New Roman"/>
                <w:color w:val="auto"/>
                <w:sz w:val="24"/>
                <w:highlight w:val="none"/>
                <w:u w:val="none"/>
                <w:lang w:val="en-US" w:eastAsia="zh-CN"/>
              </w:rPr>
              <w:t>年使用油墨10t，故VOC</w:t>
            </w:r>
            <w:r>
              <w:rPr>
                <w:rFonts w:hint="default" w:ascii="Times New Roman" w:hAnsi="Times New Roman" w:eastAsia="宋体" w:cs="Times New Roman"/>
                <w:color w:val="auto"/>
                <w:sz w:val="24"/>
                <w:highlight w:val="none"/>
                <w:u w:val="none"/>
                <w:lang w:val="en-US" w:eastAsia="zh-CN"/>
              </w:rPr>
              <w:t xml:space="preserve">s </w:t>
            </w:r>
            <w:r>
              <w:rPr>
                <w:rFonts w:hint="eastAsia" w:cs="Times New Roman"/>
                <w:color w:val="auto"/>
                <w:sz w:val="24"/>
                <w:highlight w:val="none"/>
                <w:u w:val="none"/>
                <w:lang w:val="en-US" w:eastAsia="zh-CN"/>
              </w:rPr>
              <w:t>产生量为0.3t。</w:t>
            </w:r>
            <w:r>
              <w:rPr>
                <w:rFonts w:hint="eastAsia"/>
                <w:color w:val="auto"/>
                <w:sz w:val="24"/>
                <w:highlight w:val="none"/>
                <w:u w:val="none"/>
              </w:rPr>
              <w:t>风机风量为</w:t>
            </w:r>
            <w:r>
              <w:rPr>
                <w:rFonts w:hint="eastAsia"/>
                <w:color w:val="auto"/>
                <w:sz w:val="24"/>
                <w:highlight w:val="none"/>
                <w:u w:val="none"/>
                <w:lang w:val="en-US" w:eastAsia="zh-CN"/>
              </w:rPr>
              <w:t>50</w:t>
            </w:r>
            <w:r>
              <w:rPr>
                <w:rFonts w:hint="eastAsia"/>
                <w:color w:val="auto"/>
                <w:sz w:val="24"/>
                <w:highlight w:val="none"/>
                <w:u w:val="none"/>
              </w:rPr>
              <w:t>00m</w:t>
            </w:r>
            <w:r>
              <w:rPr>
                <w:rFonts w:hint="eastAsia"/>
                <w:color w:val="auto"/>
                <w:sz w:val="24"/>
                <w:highlight w:val="none"/>
                <w:u w:val="none"/>
                <w:vertAlign w:val="superscript"/>
              </w:rPr>
              <w:t>3</w:t>
            </w:r>
            <w:r>
              <w:rPr>
                <w:rFonts w:hint="eastAsia"/>
                <w:color w:val="auto"/>
                <w:sz w:val="24"/>
                <w:highlight w:val="none"/>
                <w:u w:val="none"/>
              </w:rPr>
              <w:t>/h，收集效率9</w:t>
            </w:r>
            <w:r>
              <w:rPr>
                <w:rFonts w:hint="eastAsia"/>
                <w:color w:val="auto"/>
                <w:sz w:val="24"/>
                <w:highlight w:val="none"/>
                <w:u w:val="none"/>
                <w:lang w:val="en-US" w:eastAsia="zh-CN"/>
              </w:rPr>
              <w:t>0</w:t>
            </w:r>
            <w:r>
              <w:rPr>
                <w:rFonts w:hint="eastAsia"/>
                <w:color w:val="auto"/>
                <w:sz w:val="24"/>
                <w:highlight w:val="none"/>
                <w:u w:val="none"/>
              </w:rPr>
              <w:t>%，有组织</w:t>
            </w:r>
            <w:r>
              <w:rPr>
                <w:rFonts w:hint="eastAsia"/>
                <w:color w:val="auto"/>
                <w:sz w:val="24"/>
                <w:highlight w:val="none"/>
                <w:u w:val="none"/>
                <w:lang w:val="en-US" w:eastAsia="zh-CN"/>
              </w:rPr>
              <w:t>VOCs</w:t>
            </w:r>
            <w:r>
              <w:rPr>
                <w:rFonts w:hint="eastAsia"/>
                <w:color w:val="auto"/>
                <w:sz w:val="24"/>
                <w:highlight w:val="none"/>
                <w:u w:val="none"/>
              </w:rPr>
              <w:t>产生量</w:t>
            </w:r>
            <w:r>
              <w:rPr>
                <w:rFonts w:hint="eastAsia"/>
                <w:color w:val="auto"/>
                <w:sz w:val="24"/>
                <w:highlight w:val="none"/>
                <w:u w:val="none"/>
                <w:lang w:val="en-US" w:eastAsia="zh-CN"/>
              </w:rPr>
              <w:t>0.27</w:t>
            </w:r>
            <w:r>
              <w:rPr>
                <w:rFonts w:hint="eastAsia"/>
                <w:color w:val="auto"/>
                <w:sz w:val="24"/>
                <w:highlight w:val="none"/>
                <w:u w:val="none"/>
              </w:rPr>
              <w:t>t/a，无组织</w:t>
            </w:r>
            <w:r>
              <w:rPr>
                <w:rFonts w:hint="eastAsia"/>
                <w:color w:val="auto"/>
                <w:sz w:val="24"/>
                <w:highlight w:val="none"/>
                <w:u w:val="none"/>
                <w:lang w:val="en-US" w:eastAsia="zh-CN"/>
              </w:rPr>
              <w:t>VOCs</w:t>
            </w:r>
            <w:r>
              <w:rPr>
                <w:rFonts w:hint="eastAsia"/>
                <w:color w:val="auto"/>
                <w:sz w:val="24"/>
                <w:highlight w:val="none"/>
                <w:u w:val="none"/>
              </w:rPr>
              <w:t>排放量</w:t>
            </w:r>
            <w:r>
              <w:rPr>
                <w:rFonts w:hint="eastAsia"/>
                <w:color w:val="auto"/>
                <w:sz w:val="24"/>
                <w:highlight w:val="none"/>
                <w:u w:val="none"/>
                <w:lang w:val="en-US" w:eastAsia="zh-CN"/>
              </w:rPr>
              <w:t>0.03</w:t>
            </w:r>
            <w:r>
              <w:rPr>
                <w:rFonts w:hint="eastAsia"/>
                <w:color w:val="auto"/>
                <w:sz w:val="24"/>
                <w:highlight w:val="none"/>
                <w:u w:val="none"/>
              </w:rPr>
              <w:t>t/a。</w:t>
            </w:r>
          </w:p>
          <w:p>
            <w:pPr>
              <w:pStyle w:val="2"/>
              <w:keepNext w:val="0"/>
              <w:keepLines w:val="0"/>
              <w:pageBreakBefore w:val="0"/>
              <w:widowControl w:val="0"/>
              <w:tabs>
                <w:tab w:val="left" w:pos="0"/>
              </w:tabs>
              <w:kinsoku/>
              <w:wordWrap/>
              <w:overflowPunct w:val="0"/>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eastAsia" w:cs="Times New Roman"/>
                <w:color w:val="auto"/>
                <w:sz w:val="24"/>
                <w:highlight w:val="none"/>
                <w:u w:val="none"/>
                <w:lang w:val="en-US" w:eastAsia="zh-CN"/>
              </w:rPr>
              <w:t>印刷废气拟采取“UV 光解+活性炭吸附”装置处理后通过 15m 排气筒排放（共用发泡、搅拌工序、熟化工序的废气处理设备）。</w:t>
            </w:r>
            <w:r>
              <w:rPr>
                <w:rFonts w:hint="eastAsia"/>
                <w:color w:val="auto"/>
                <w:sz w:val="24"/>
                <w:highlight w:val="none"/>
                <w:u w:val="none"/>
              </w:rPr>
              <w:t>则有组织</w:t>
            </w:r>
            <w:r>
              <w:rPr>
                <w:rFonts w:hint="eastAsia"/>
                <w:color w:val="auto"/>
                <w:sz w:val="24"/>
                <w:highlight w:val="none"/>
                <w:u w:val="none"/>
                <w:lang w:val="en-US" w:eastAsia="zh-CN"/>
              </w:rPr>
              <w:t>VOCs</w:t>
            </w:r>
            <w:r>
              <w:rPr>
                <w:rFonts w:hint="eastAsia"/>
                <w:color w:val="auto"/>
                <w:sz w:val="24"/>
                <w:highlight w:val="none"/>
                <w:u w:val="none"/>
              </w:rPr>
              <w:t>产生浓度</w:t>
            </w:r>
            <w:r>
              <w:rPr>
                <w:rFonts w:hint="eastAsia"/>
                <w:color w:val="auto"/>
                <w:sz w:val="24"/>
                <w:highlight w:val="none"/>
                <w:u w:val="none"/>
                <w:lang w:val="en-US" w:eastAsia="zh-CN"/>
              </w:rPr>
              <w:t>22.5</w:t>
            </w:r>
            <w:r>
              <w:rPr>
                <w:rFonts w:hint="eastAsia"/>
                <w:color w:val="auto"/>
                <w:sz w:val="24"/>
                <w:highlight w:val="none"/>
                <w:u w:val="none"/>
              </w:rPr>
              <w:t>mg/m</w:t>
            </w:r>
            <w:r>
              <w:rPr>
                <w:rFonts w:hint="eastAsia"/>
                <w:color w:val="auto"/>
                <w:sz w:val="24"/>
                <w:highlight w:val="none"/>
                <w:u w:val="none"/>
                <w:vertAlign w:val="superscript"/>
              </w:rPr>
              <w:t>3</w:t>
            </w:r>
            <w:r>
              <w:rPr>
                <w:rFonts w:hint="eastAsia"/>
                <w:color w:val="auto"/>
                <w:sz w:val="24"/>
                <w:highlight w:val="none"/>
                <w:u w:val="none"/>
              </w:rPr>
              <w:t xml:space="preserve">，产生速率 </w:t>
            </w:r>
            <w:r>
              <w:rPr>
                <w:rFonts w:hint="eastAsia"/>
                <w:color w:val="auto"/>
                <w:sz w:val="24"/>
                <w:highlight w:val="none"/>
                <w:u w:val="none"/>
                <w:lang w:val="en-US" w:eastAsia="zh-CN"/>
              </w:rPr>
              <w:t>0.11</w:t>
            </w:r>
            <w:r>
              <w:rPr>
                <w:rFonts w:hint="eastAsia"/>
                <w:color w:val="auto"/>
                <w:sz w:val="24"/>
                <w:highlight w:val="none"/>
                <w:u w:val="none"/>
              </w:rPr>
              <w:t>kg/h，处理效率按90%计，处理后</w:t>
            </w:r>
            <w:r>
              <w:rPr>
                <w:rFonts w:hint="eastAsia"/>
                <w:color w:val="auto"/>
                <w:sz w:val="24"/>
                <w:highlight w:val="none"/>
                <w:u w:val="none"/>
                <w:lang w:val="en-US" w:eastAsia="zh-CN"/>
              </w:rPr>
              <w:t>VOCs</w:t>
            </w:r>
            <w:r>
              <w:rPr>
                <w:rFonts w:hint="eastAsia"/>
                <w:color w:val="auto"/>
                <w:sz w:val="24"/>
                <w:highlight w:val="none"/>
                <w:u w:val="none"/>
              </w:rPr>
              <w:t>排放浓度</w:t>
            </w:r>
            <w:r>
              <w:rPr>
                <w:rFonts w:hint="eastAsia"/>
                <w:color w:val="auto"/>
                <w:sz w:val="24"/>
                <w:highlight w:val="none"/>
                <w:u w:val="none"/>
                <w:lang w:val="en-US" w:eastAsia="zh-CN"/>
              </w:rPr>
              <w:t>2.5</w:t>
            </w:r>
            <w:r>
              <w:rPr>
                <w:rFonts w:hint="eastAsia"/>
                <w:color w:val="auto"/>
                <w:sz w:val="24"/>
                <w:highlight w:val="none"/>
                <w:u w:val="none"/>
              </w:rPr>
              <w:t>mg/m</w:t>
            </w:r>
            <w:r>
              <w:rPr>
                <w:rFonts w:hint="eastAsia"/>
                <w:color w:val="auto"/>
                <w:sz w:val="24"/>
                <w:highlight w:val="none"/>
                <w:u w:val="none"/>
                <w:vertAlign w:val="superscript"/>
              </w:rPr>
              <w:t>3</w:t>
            </w:r>
            <w:r>
              <w:rPr>
                <w:rFonts w:hint="eastAsia"/>
                <w:color w:val="auto"/>
                <w:sz w:val="24"/>
                <w:highlight w:val="none"/>
                <w:u w:val="none"/>
              </w:rPr>
              <w:t xml:space="preserve">，排放速率 </w:t>
            </w:r>
            <w:r>
              <w:rPr>
                <w:rFonts w:hint="eastAsia"/>
                <w:color w:val="auto"/>
                <w:sz w:val="24"/>
                <w:highlight w:val="none"/>
                <w:u w:val="none"/>
                <w:lang w:val="en-US" w:eastAsia="zh-CN"/>
              </w:rPr>
              <w:t>0.01</w:t>
            </w:r>
            <w:r>
              <w:rPr>
                <w:rFonts w:hint="eastAsia"/>
                <w:color w:val="auto"/>
                <w:sz w:val="24"/>
                <w:highlight w:val="none"/>
                <w:u w:val="none"/>
              </w:rPr>
              <w:t>kg/h，排放量 0.</w:t>
            </w:r>
            <w:r>
              <w:rPr>
                <w:rFonts w:hint="eastAsia"/>
                <w:color w:val="auto"/>
                <w:sz w:val="24"/>
                <w:highlight w:val="none"/>
                <w:u w:val="none"/>
                <w:lang w:val="en-US" w:eastAsia="zh-CN"/>
              </w:rPr>
              <w:t>03</w:t>
            </w:r>
            <w:r>
              <w:rPr>
                <w:rFonts w:hint="eastAsia"/>
                <w:color w:val="auto"/>
                <w:sz w:val="24"/>
                <w:highlight w:val="none"/>
                <w:u w:val="none"/>
              </w:rPr>
              <w:t>t/a。</w:t>
            </w:r>
          </w:p>
          <w:p>
            <w:pPr>
              <w:pStyle w:val="2"/>
              <w:keepNext w:val="0"/>
              <w:keepLines w:val="0"/>
              <w:pageBreakBefore w:val="0"/>
              <w:widowControl w:val="0"/>
              <w:tabs>
                <w:tab w:val="left" w:pos="0"/>
              </w:tabs>
              <w:kinsoku/>
              <w:wordWrap/>
              <w:overflowPunct w:val="0"/>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④热风炉废气</w:t>
            </w:r>
          </w:p>
          <w:p>
            <w:pPr>
              <w:keepNext w:val="0"/>
              <w:keepLines w:val="0"/>
              <w:pageBreakBefore w:val="0"/>
              <w:widowControl w:val="0"/>
              <w:tabs>
                <w:tab w:val="left" w:pos="0"/>
              </w:tabs>
              <w:kinsoku/>
              <w:wordWrap/>
              <w:topLinePunct w:val="0"/>
              <w:autoSpaceDE/>
              <w:autoSpaceDN/>
              <w:bidi w:val="0"/>
              <w:spacing w:line="360" w:lineRule="auto"/>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drawing>
                <wp:anchor distT="0" distB="0" distL="114300" distR="114300" simplePos="0" relativeHeight="251661312" behindDoc="0" locked="0" layoutInCell="1" allowOverlap="1">
                  <wp:simplePos x="0" y="0"/>
                  <wp:positionH relativeFrom="column">
                    <wp:posOffset>1750695</wp:posOffset>
                  </wp:positionH>
                  <wp:positionV relativeFrom="paragraph">
                    <wp:posOffset>751840</wp:posOffset>
                  </wp:positionV>
                  <wp:extent cx="1400175" cy="497205"/>
                  <wp:effectExtent l="0" t="0" r="9525" b="1714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extLst>
                              <a:ext uri="{28A0092B-C50C-407E-A947-70E740481C1C}">
                                <a14:useLocalDpi xmlns:a14="http://schemas.microsoft.com/office/drawing/2010/main" val="0"/>
                              </a:ext>
                            </a:extLst>
                          </a:blip>
                          <a:srcRect t="15182" b="13636"/>
                          <a:stretch>
                            <a:fillRect/>
                          </a:stretch>
                        </pic:blipFill>
                        <pic:spPr>
                          <a:xfrm>
                            <a:off x="0" y="0"/>
                            <a:ext cx="1400175" cy="497205"/>
                          </a:xfrm>
                          <a:prstGeom prst="rect">
                            <a:avLst/>
                          </a:prstGeom>
                          <a:noFill/>
                          <a:ln w="9525">
                            <a:noFill/>
                          </a:ln>
                        </pic:spPr>
                      </pic:pic>
                    </a:graphicData>
                  </a:graphic>
                </wp:anchor>
              </w:drawing>
            </w:r>
            <w:r>
              <w:rPr>
                <w:rFonts w:hint="default" w:ascii="Times New Roman" w:hAnsi="Times New Roman" w:cs="Times New Roman"/>
                <w:bCs/>
                <w:color w:val="auto"/>
                <w:sz w:val="24"/>
                <w:szCs w:val="24"/>
              </w:rPr>
              <w:t xml:space="preserve">    本项目</w:t>
            </w:r>
            <w:r>
              <w:rPr>
                <w:rFonts w:hint="default" w:ascii="Times New Roman" w:hAnsi="Times New Roman" w:cs="Times New Roman"/>
                <w:bCs/>
                <w:color w:val="auto"/>
                <w:sz w:val="24"/>
                <w:szCs w:val="24"/>
                <w:lang w:eastAsia="zh-CN"/>
              </w:rPr>
              <w:t>热风炉</w:t>
            </w:r>
            <w:r>
              <w:rPr>
                <w:rFonts w:hint="default" w:ascii="Times New Roman" w:hAnsi="Times New Roman" w:cs="Times New Roman"/>
                <w:bCs/>
                <w:color w:val="auto"/>
                <w:sz w:val="24"/>
                <w:szCs w:val="24"/>
              </w:rPr>
              <w:t>蒸发量为</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t/h，额定蒸汽压力为1.0MPa，给水温度为20℃，设计热效率为94%，根据《环境统计手册》（四川科技出版社，方品贤等主编）中计算公式：</w:t>
            </w:r>
          </w:p>
          <w:p>
            <w:pPr>
              <w:keepNext w:val="0"/>
              <w:keepLines w:val="0"/>
              <w:pageBreakBefore w:val="0"/>
              <w:widowControl w:val="0"/>
              <w:tabs>
                <w:tab w:val="left" w:pos="0"/>
              </w:tabs>
              <w:kinsoku/>
              <w:wordWrap/>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rPr>
            </w:pPr>
          </w:p>
          <w:p>
            <w:pPr>
              <w:keepNext w:val="0"/>
              <w:keepLines w:val="0"/>
              <w:pageBreakBefore w:val="0"/>
              <w:widowControl w:val="0"/>
              <w:tabs>
                <w:tab w:val="left" w:pos="0"/>
              </w:tabs>
              <w:kinsoku/>
              <w:wordWrap/>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rPr>
            </w:pP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式中：B----燃料耗量（kg/h或Nm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/h）</w:t>
            </w:r>
            <w:r>
              <w:rPr>
                <w:rFonts w:hint="default" w:ascii="Times New Roman" w:hAnsi="Times New Roman" w:cs="Times New Roman"/>
                <w:bCs/>
                <w:color w:val="auto"/>
                <w:sz w:val="24"/>
                <w:szCs w:val="24"/>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 xml:space="preserve">      D----每小时的产汽量（kg/h），该</w:t>
            </w:r>
            <w:r>
              <w:rPr>
                <w:rFonts w:hint="eastAsia" w:ascii="Times New Roman" w:hAnsi="Times New Roman" w:cs="Times New Roman"/>
                <w:bCs/>
                <w:color w:val="auto"/>
                <w:sz w:val="24"/>
                <w:szCs w:val="24"/>
                <w:lang w:eastAsia="zh-CN"/>
              </w:rPr>
              <w:t>热风炉</w:t>
            </w:r>
            <w:r>
              <w:rPr>
                <w:rFonts w:hint="default" w:ascii="Times New Roman" w:hAnsi="Times New Roman" w:cs="Times New Roman"/>
                <w:bCs/>
                <w:color w:val="auto"/>
                <w:sz w:val="24"/>
                <w:szCs w:val="24"/>
              </w:rPr>
              <w:t>取</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000kg/h</w:t>
            </w:r>
            <w:r>
              <w:rPr>
                <w:rFonts w:hint="default" w:ascii="Times New Roman" w:hAnsi="Times New Roman" w:cs="Times New Roman"/>
                <w:bCs/>
                <w:color w:val="auto"/>
                <w:sz w:val="24"/>
                <w:szCs w:val="24"/>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 xml:space="preserve">      Q</w:t>
            </w:r>
            <w:r>
              <w:rPr>
                <w:rFonts w:hint="default" w:ascii="Times New Roman" w:hAnsi="Times New Roman" w:cs="Times New Roman"/>
                <w:bCs/>
                <w:color w:val="auto"/>
                <w:sz w:val="24"/>
                <w:szCs w:val="24"/>
                <w:vertAlign w:val="subscript"/>
              </w:rPr>
              <w:t>L</w:t>
            </w:r>
            <w:r>
              <w:rPr>
                <w:rFonts w:hint="default" w:ascii="Times New Roman" w:hAnsi="Times New Roman" w:cs="Times New Roman"/>
                <w:bCs/>
                <w:color w:val="auto"/>
                <w:sz w:val="24"/>
                <w:szCs w:val="24"/>
              </w:rPr>
              <w:t>----燃料的低位发热值（kJ/ 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），经计算天然气的低位发热值为36200kJ/ 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vertAlign w:val="baseline"/>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 xml:space="preserve">      η----热效率（%），该</w:t>
            </w:r>
            <w:r>
              <w:rPr>
                <w:rFonts w:hint="eastAsia" w:ascii="Times New Roman" w:hAnsi="Times New Roman" w:cs="Times New Roman"/>
                <w:bCs/>
                <w:color w:val="auto"/>
                <w:sz w:val="24"/>
                <w:szCs w:val="24"/>
                <w:lang w:eastAsia="zh-CN"/>
              </w:rPr>
              <w:t>热风炉</w:t>
            </w:r>
            <w:r>
              <w:rPr>
                <w:rFonts w:hint="default" w:ascii="Times New Roman" w:hAnsi="Times New Roman" w:cs="Times New Roman"/>
                <w:bCs/>
                <w:color w:val="auto"/>
                <w:sz w:val="24"/>
                <w:szCs w:val="24"/>
              </w:rPr>
              <w:t>取94%</w:t>
            </w:r>
            <w:r>
              <w:rPr>
                <w:rFonts w:hint="default" w:ascii="Times New Roman" w:hAnsi="Times New Roman" w:cs="Times New Roman"/>
                <w:bCs/>
                <w:color w:val="auto"/>
                <w:sz w:val="24"/>
                <w:szCs w:val="24"/>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 xml:space="preserve">      i″----在某绝对工作压力下的饱和蒸汽热焓值（kJ/kg），查表得1.0MPa压力下水蒸气的饱和蒸汽热焓值为2777.0kJ/kg</w:t>
            </w:r>
            <w:r>
              <w:rPr>
                <w:rFonts w:hint="default" w:ascii="Times New Roman" w:hAnsi="Times New Roman" w:cs="Times New Roman"/>
                <w:bCs/>
                <w:color w:val="auto"/>
                <w:sz w:val="24"/>
                <w:szCs w:val="24"/>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 xml:space="preserve">      i′----给水热焓值（kJ/kg），给水温度为20℃，其给水热焓值为83.74kJ/kg</w:t>
            </w:r>
            <w:r>
              <w:rPr>
                <w:rFonts w:hint="eastAsia" w:ascii="Times New Roman" w:hAnsi="Times New Roman" w:cs="Times New Roman"/>
                <w:bCs/>
                <w:color w:val="auto"/>
                <w:sz w:val="24"/>
                <w:szCs w:val="24"/>
                <w:lang w:eastAsia="zh-CN"/>
              </w:rPr>
              <w:t>；</w:t>
            </w:r>
          </w:p>
          <w:p>
            <w:pPr>
              <w:keepNext w:val="0"/>
              <w:keepLines w:val="0"/>
              <w:pageBreakBefore w:val="0"/>
              <w:widowControl w:val="0"/>
              <w:tabs>
                <w:tab w:val="left" w:pos="0"/>
              </w:tabs>
              <w:kinsoku/>
              <w:wordWrap/>
              <w:topLinePunct w:val="0"/>
              <w:autoSpaceDE/>
              <w:autoSpaceDN/>
              <w:bidi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经计算得，一台</w:t>
            </w: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t/h燃气</w:t>
            </w:r>
            <w:r>
              <w:rPr>
                <w:rFonts w:hint="eastAsia" w:ascii="Times New Roman" w:hAnsi="Times New Roman" w:cs="Times New Roman"/>
                <w:bCs/>
                <w:color w:val="auto"/>
                <w:sz w:val="24"/>
                <w:szCs w:val="24"/>
                <w:lang w:eastAsia="zh-CN"/>
              </w:rPr>
              <w:t>热风炉</w:t>
            </w:r>
            <w:r>
              <w:rPr>
                <w:rFonts w:hint="default" w:ascii="Times New Roman" w:hAnsi="Times New Roman" w:cs="Times New Roman"/>
                <w:bCs/>
                <w:color w:val="auto"/>
                <w:sz w:val="24"/>
                <w:szCs w:val="24"/>
              </w:rPr>
              <w:t>燃料耗量B=</w:t>
            </w:r>
            <w:r>
              <w:rPr>
                <w:rFonts w:hint="eastAsia" w:ascii="Times New Roman" w:hAnsi="Times New Roman" w:cs="Times New Roman"/>
                <w:bCs/>
                <w:color w:val="auto"/>
                <w:sz w:val="24"/>
                <w:szCs w:val="24"/>
                <w:lang w:val="en-US" w:eastAsia="zh-CN"/>
              </w:rPr>
              <w:t>158.3</w:t>
            </w:r>
            <w:r>
              <w:rPr>
                <w:rFonts w:hint="default" w:ascii="Times New Roman" w:hAnsi="Times New Roman" w:cs="Times New Roman"/>
                <w:bCs/>
                <w:color w:val="auto"/>
                <w:sz w:val="24"/>
                <w:szCs w:val="24"/>
              </w:rPr>
              <w:t>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/h，该项目燃气</w:t>
            </w:r>
            <w:r>
              <w:rPr>
                <w:rFonts w:hint="eastAsia" w:ascii="Times New Roman" w:hAnsi="Times New Roman" w:cs="Times New Roman"/>
                <w:bCs/>
                <w:color w:val="auto"/>
                <w:sz w:val="24"/>
                <w:szCs w:val="24"/>
                <w:lang w:eastAsia="zh-CN"/>
              </w:rPr>
              <w:t>热风炉</w:t>
            </w:r>
            <w:r>
              <w:rPr>
                <w:rFonts w:hint="default" w:ascii="Times New Roman" w:hAnsi="Times New Roman" w:cs="Times New Roman"/>
                <w:bCs/>
                <w:color w:val="auto"/>
                <w:sz w:val="24"/>
                <w:szCs w:val="24"/>
              </w:rPr>
              <w:t>年工作</w:t>
            </w:r>
            <w:r>
              <w:rPr>
                <w:rFonts w:hint="eastAsia" w:ascii="Times New Roman" w:hAnsi="Times New Roman" w:cs="Times New Roman"/>
                <w:bCs/>
                <w:color w:val="auto"/>
                <w:sz w:val="24"/>
                <w:szCs w:val="24"/>
                <w:lang w:val="en-US" w:eastAsia="zh-CN"/>
              </w:rPr>
              <w:t>300</w:t>
            </w:r>
            <w:r>
              <w:rPr>
                <w:rFonts w:hint="default" w:ascii="Times New Roman" w:hAnsi="Times New Roman" w:cs="Times New Roman"/>
                <w:bCs/>
                <w:color w:val="auto"/>
                <w:sz w:val="24"/>
                <w:szCs w:val="24"/>
              </w:rPr>
              <w:t>d</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日工作</w:t>
            </w:r>
            <w:r>
              <w:rPr>
                <w:rFonts w:hint="eastAsia" w:cs="Times New Roman"/>
                <w:bCs/>
                <w:color w:val="auto"/>
                <w:sz w:val="24"/>
                <w:szCs w:val="24"/>
                <w:lang w:val="en-US" w:eastAsia="zh-CN"/>
              </w:rPr>
              <w:t>6</w:t>
            </w:r>
            <w:r>
              <w:rPr>
                <w:rFonts w:hint="default" w:ascii="Times New Roman" w:hAnsi="Times New Roman" w:cs="Times New Roman"/>
                <w:bCs/>
                <w:color w:val="auto"/>
                <w:sz w:val="24"/>
                <w:szCs w:val="24"/>
              </w:rPr>
              <w:t>h，计算得该项目</w:t>
            </w: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t/h燃气锅炉年天然气使用量为</w:t>
            </w:r>
            <w:r>
              <w:rPr>
                <w:rFonts w:hint="eastAsia" w:cs="Times New Roman"/>
                <w:bCs/>
                <w:color w:val="auto"/>
                <w:sz w:val="24"/>
                <w:szCs w:val="24"/>
                <w:lang w:val="en-US" w:eastAsia="zh-CN"/>
              </w:rPr>
              <w:t>37.992</w:t>
            </w:r>
            <w:r>
              <w:rPr>
                <w:rFonts w:hint="default" w:ascii="Times New Roman" w:hAnsi="Times New Roman" w:cs="Times New Roman"/>
                <w:bCs/>
                <w:color w:val="auto"/>
                <w:sz w:val="24"/>
                <w:szCs w:val="24"/>
              </w:rPr>
              <w:t>万Nm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w:t>
            </w:r>
          </w:p>
          <w:p>
            <w:pPr>
              <w:keepNext w:val="0"/>
              <w:keepLines w:val="0"/>
              <w:pageBreakBefore w:val="0"/>
              <w:widowControl w:val="0"/>
              <w:tabs>
                <w:tab w:val="left" w:pos="0"/>
                <w:tab w:val="left" w:pos="8820"/>
              </w:tabs>
              <w:kinsoku/>
              <w:wordWrap/>
              <w:topLinePunct w:val="0"/>
              <w:autoSpaceDE/>
              <w:autoSpaceDN/>
              <w:bidi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本项目根据《排污许可证申请与核发技术规范 锅炉》中经验公式估算法计算燃天燃气锅炉基准烟气量以及表F.3燃气工业锅炉的废气产排污系数中燃天然气锅炉的产污系数，计算天然气燃烧废气中污染物排放情况。</w:t>
            </w:r>
          </w:p>
          <w:p>
            <w:pPr>
              <w:spacing w:line="360" w:lineRule="auto"/>
              <w:ind w:firstLine="480" w:firstLineChars="20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基准烟气量V</w:t>
            </w:r>
            <w:r>
              <w:rPr>
                <w:rFonts w:hint="default" w:ascii="Times New Roman" w:hAnsi="Times New Roman" w:cs="Times New Roman"/>
                <w:bCs/>
                <w:color w:val="auto"/>
                <w:sz w:val="24"/>
                <w:szCs w:val="24"/>
                <w:vertAlign w:val="subscript"/>
              </w:rPr>
              <w:t>gy</w:t>
            </w:r>
            <w:r>
              <w:rPr>
                <w:rFonts w:hint="default" w:ascii="Times New Roman" w:hAnsi="Times New Roman" w:cs="Times New Roman"/>
                <w:bCs/>
                <w:color w:val="auto"/>
                <w:sz w:val="24"/>
                <w:szCs w:val="24"/>
              </w:rPr>
              <w:t>=0.285Q</w:t>
            </w:r>
            <w:r>
              <w:rPr>
                <w:rFonts w:hint="default" w:ascii="Times New Roman" w:hAnsi="Times New Roman" w:cs="Times New Roman"/>
                <w:bCs/>
                <w:color w:val="auto"/>
                <w:sz w:val="24"/>
                <w:szCs w:val="24"/>
                <w:vertAlign w:val="subscript"/>
              </w:rPr>
              <w:t>net</w:t>
            </w:r>
            <w:r>
              <w:rPr>
                <w:rFonts w:hint="default" w:ascii="Times New Roman" w:hAnsi="Times New Roman" w:cs="Times New Roman"/>
                <w:bCs/>
                <w:color w:val="auto"/>
                <w:sz w:val="24"/>
                <w:szCs w:val="24"/>
              </w:rPr>
              <w:t>+0.343Nm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vertAlign w:val="subscript"/>
              </w:rPr>
              <w:t>燃料</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Q</w:t>
            </w:r>
            <w:r>
              <w:rPr>
                <w:rFonts w:hint="default" w:ascii="Times New Roman" w:hAnsi="Times New Roman" w:cs="Times New Roman"/>
                <w:bCs/>
                <w:color w:val="auto"/>
                <w:sz w:val="24"/>
                <w:szCs w:val="24"/>
                <w:vertAlign w:val="subscript"/>
              </w:rPr>
              <w:t>net</w:t>
            </w:r>
            <w:r>
              <w:rPr>
                <w:rFonts w:hint="default" w:ascii="Times New Roman" w:hAnsi="Times New Roman" w:cs="Times New Roman"/>
                <w:bCs/>
                <w:color w:val="auto"/>
                <w:sz w:val="24"/>
                <w:szCs w:val="24"/>
              </w:rPr>
              <w:t>----气体燃料低位发热量（MJ/m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），经查询建设单位所用天燃气的低位发热量为36.2MJ/m</w:t>
            </w:r>
            <w:r>
              <w:rPr>
                <w:rFonts w:hint="default" w:ascii="Times New Roman" w:hAnsi="Times New Roman" w:cs="Times New Roman"/>
                <w:bCs/>
                <w:color w:val="auto"/>
                <w:sz w:val="24"/>
                <w:szCs w:val="24"/>
                <w:vertAlign w:val="superscript"/>
              </w:rPr>
              <w:t>3</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则基准烟气量V</w:t>
            </w:r>
            <w:r>
              <w:rPr>
                <w:rFonts w:hint="default" w:ascii="Times New Roman" w:hAnsi="Times New Roman" w:cs="Times New Roman"/>
                <w:bCs/>
                <w:color w:val="auto"/>
                <w:sz w:val="24"/>
                <w:szCs w:val="24"/>
                <w:vertAlign w:val="subscript"/>
              </w:rPr>
              <w:t>gy</w:t>
            </w:r>
            <w:r>
              <w:rPr>
                <w:rFonts w:hint="default" w:ascii="Times New Roman" w:hAnsi="Times New Roman" w:cs="Times New Roman"/>
                <w:bCs/>
                <w:color w:val="auto"/>
                <w:sz w:val="24"/>
                <w:szCs w:val="24"/>
              </w:rPr>
              <w:t>=10.66 Nm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vertAlign w:val="subscript"/>
              </w:rPr>
              <w:t>燃料</w:t>
            </w:r>
          </w:p>
          <w:p>
            <w:pPr>
              <w:pageBreakBefore w:val="0"/>
              <w:kinsoku/>
              <w:overflowPunct w:val="0"/>
              <w:topLinePunct w:val="0"/>
              <w:bidi w:val="0"/>
              <w:spacing w:line="360" w:lineRule="auto"/>
              <w:ind w:firstLine="480" w:firstLineChars="200"/>
              <w:jc w:val="left"/>
              <w:rPr>
                <w:color w:val="000000"/>
                <w:sz w:val="24"/>
                <w:szCs w:val="24"/>
                <w:highlight w:val="none"/>
                <w:u w:val="none"/>
              </w:rPr>
            </w:pPr>
            <w:r>
              <w:rPr>
                <w:rFonts w:hint="eastAsia"/>
                <w:color w:val="000000"/>
                <w:sz w:val="24"/>
                <w:szCs w:val="24"/>
                <w:highlight w:val="none"/>
                <w:u w:val="none"/>
                <w:lang w:eastAsia="zh-CN" w:bidi="ar"/>
              </w:rPr>
              <w:t>污染物产生情况</w:t>
            </w:r>
            <w:r>
              <w:rPr>
                <w:color w:val="000000"/>
                <w:sz w:val="24"/>
                <w:szCs w:val="24"/>
                <w:highlight w:val="none"/>
                <w:u w:val="none"/>
                <w:lang w:bidi="ar"/>
              </w:rPr>
              <w:t>见</w:t>
            </w:r>
            <w:r>
              <w:rPr>
                <w:rFonts w:hint="eastAsia"/>
                <w:color w:val="000000"/>
                <w:sz w:val="24"/>
                <w:szCs w:val="24"/>
                <w:highlight w:val="none"/>
                <w:u w:val="none"/>
                <w:lang w:eastAsia="zh-CN" w:bidi="ar"/>
              </w:rPr>
              <w:t>下表</w:t>
            </w:r>
            <w:r>
              <w:rPr>
                <w:color w:val="000000"/>
                <w:sz w:val="24"/>
                <w:szCs w:val="24"/>
                <w:highlight w:val="none"/>
                <w:u w:val="none"/>
                <w:lang w:bidi="ar"/>
              </w:rPr>
              <w:t>。</w:t>
            </w:r>
          </w:p>
          <w:p>
            <w:pPr>
              <w:pageBreakBefore w:val="0"/>
              <w:widowControl/>
              <w:shd w:val="clear" w:color="auto" w:fill="auto"/>
              <w:kinsoku/>
              <w:overflowPunct w:val="0"/>
              <w:topLinePunct w:val="0"/>
              <w:bidi w:val="0"/>
              <w:jc w:val="center"/>
              <w:rPr>
                <w:b/>
                <w:color w:val="000000"/>
                <w:kern w:val="0"/>
                <w:highlight w:val="none"/>
                <w:u w:val="none"/>
              </w:rPr>
            </w:pPr>
            <w:r>
              <w:rPr>
                <w:b/>
                <w:color w:val="000000"/>
                <w:kern w:val="0"/>
                <w:highlight w:val="none"/>
                <w:u w:val="none"/>
              </w:rPr>
              <w:t>表</w:t>
            </w:r>
            <w:r>
              <w:rPr>
                <w:rFonts w:hint="eastAsia"/>
                <w:b/>
                <w:color w:val="000000"/>
                <w:kern w:val="0"/>
                <w:highlight w:val="none"/>
                <w:u w:val="none"/>
                <w:lang w:val="en-US" w:eastAsia="zh-CN"/>
              </w:rPr>
              <w:t>4</w:t>
            </w:r>
            <w:r>
              <w:rPr>
                <w:b/>
                <w:color w:val="000000"/>
                <w:kern w:val="0"/>
                <w:highlight w:val="none"/>
                <w:u w:val="none"/>
              </w:rPr>
              <w:t>-</w:t>
            </w:r>
            <w:r>
              <w:rPr>
                <w:rFonts w:hint="eastAsia"/>
                <w:b/>
                <w:color w:val="000000"/>
                <w:kern w:val="0"/>
                <w:highlight w:val="none"/>
                <w:u w:val="none"/>
                <w:lang w:val="en-US" w:eastAsia="zh-CN"/>
              </w:rPr>
              <w:t xml:space="preserve">1 </w:t>
            </w:r>
            <w:r>
              <w:rPr>
                <w:rFonts w:hint="eastAsia"/>
                <w:b/>
                <w:color w:val="000000"/>
                <w:kern w:val="0"/>
                <w:highlight w:val="none"/>
                <w:u w:val="none"/>
              </w:rPr>
              <w:t>污染物产生情况</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315"/>
              <w:gridCol w:w="2372"/>
              <w:gridCol w:w="1162"/>
              <w:gridCol w:w="1145"/>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原料名称</w:t>
                  </w:r>
                </w:p>
              </w:tc>
              <w:tc>
                <w:tcPr>
                  <w:tcW w:w="782"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污染物指标</w:t>
                  </w:r>
                </w:p>
              </w:tc>
              <w:tc>
                <w:tcPr>
                  <w:tcW w:w="141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单位</w:t>
                  </w:r>
                </w:p>
              </w:tc>
              <w:tc>
                <w:tcPr>
                  <w:tcW w:w="69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b/>
                      <w:bCs/>
                      <w:color w:val="000000"/>
                      <w:szCs w:val="21"/>
                      <w:highlight w:val="none"/>
                    </w:rPr>
                  </w:pPr>
                  <w:r>
                    <w:rPr>
                      <w:rFonts w:hint="eastAsia" w:eastAsia="宋体" w:cs="Times New Roman"/>
                      <w:b/>
                      <w:bCs/>
                      <w:color w:val="000000"/>
                      <w:szCs w:val="21"/>
                      <w:highlight w:val="none"/>
                      <w:lang w:eastAsia="zh-CN"/>
                    </w:rPr>
                    <w:t>产</w:t>
                  </w:r>
                  <w:r>
                    <w:rPr>
                      <w:rFonts w:hint="default" w:ascii="Times New Roman" w:hAnsi="Times New Roman" w:eastAsia="宋体" w:cs="Times New Roman"/>
                      <w:b/>
                      <w:bCs/>
                      <w:color w:val="000000"/>
                      <w:szCs w:val="21"/>
                      <w:highlight w:val="none"/>
                    </w:rPr>
                    <w:t>污系数</w:t>
                  </w:r>
                </w:p>
              </w:tc>
              <w:tc>
                <w:tcPr>
                  <w:tcW w:w="681" w:type="pct"/>
                  <w:tcBorders>
                    <w:tl2br w:val="nil"/>
                    <w:tr2bl w:val="nil"/>
                  </w:tcBorders>
                  <w:noWrap w:val="0"/>
                  <w:vAlign w:val="center"/>
                </w:tcPr>
                <w:p>
                  <w:pPr>
                    <w:pageBreakBefore w:val="0"/>
                    <w:widowControl/>
                    <w:kinsoku/>
                    <w:overflowPunct w:val="0"/>
                    <w:topLinePunct w:val="0"/>
                    <w:bidi w:val="0"/>
                    <w:jc w:val="center"/>
                    <w:textAlignment w:val="center"/>
                    <w:rPr>
                      <w:rFonts w:hint="eastAsia" w:ascii="Times New Roman" w:hAnsi="Times New Roman" w:eastAsia="宋体" w:cs="Times New Roman"/>
                      <w:b/>
                      <w:bCs/>
                      <w:color w:val="000000"/>
                      <w:kern w:val="2"/>
                      <w:sz w:val="21"/>
                      <w:szCs w:val="24"/>
                      <w:highlight w:val="none"/>
                      <w:u w:val="none"/>
                      <w:lang w:val="en-US" w:eastAsia="zh-CN" w:bidi="ar-SA"/>
                    </w:rPr>
                  </w:pPr>
                  <w:r>
                    <w:rPr>
                      <w:b/>
                      <w:bCs/>
                      <w:color w:val="000000"/>
                      <w:kern w:val="0"/>
                      <w:highlight w:val="none"/>
                      <w:u w:val="none"/>
                      <w:lang w:bidi="ar"/>
                    </w:rPr>
                    <w:t>产生浓度(mg/Nm</w:t>
                  </w:r>
                  <w:r>
                    <w:rPr>
                      <w:b/>
                      <w:bCs/>
                      <w:color w:val="000000"/>
                      <w:kern w:val="0"/>
                      <w:highlight w:val="none"/>
                      <w:u w:val="none"/>
                      <w:vertAlign w:val="superscript"/>
                      <w:lang w:bidi="ar"/>
                    </w:rPr>
                    <w:t>3</w:t>
                  </w:r>
                  <w:r>
                    <w:rPr>
                      <w:b/>
                      <w:bCs/>
                      <w:color w:val="000000"/>
                      <w:kern w:val="0"/>
                      <w:highlight w:val="none"/>
                      <w:u w:val="none"/>
                      <w:lang w:bidi="ar"/>
                    </w:rPr>
                    <w:t>)</w:t>
                  </w:r>
                </w:p>
              </w:tc>
              <w:tc>
                <w:tcPr>
                  <w:tcW w:w="934" w:type="pct"/>
                  <w:tcBorders>
                    <w:tl2br w:val="nil"/>
                    <w:tr2bl w:val="nil"/>
                  </w:tcBorders>
                  <w:noWrap w:val="0"/>
                  <w:vAlign w:val="center"/>
                </w:tcPr>
                <w:p>
                  <w:pPr>
                    <w:pageBreakBefore w:val="0"/>
                    <w:widowControl/>
                    <w:kinsoku/>
                    <w:overflowPunct w:val="0"/>
                    <w:topLinePunct w:val="0"/>
                    <w:bidi w:val="0"/>
                    <w:jc w:val="center"/>
                    <w:textAlignment w:val="center"/>
                    <w:rPr>
                      <w:rFonts w:hint="eastAsia" w:ascii="Times New Roman" w:hAnsi="Times New Roman" w:eastAsia="宋体" w:cs="Times New Roman"/>
                      <w:b/>
                      <w:bCs/>
                      <w:color w:val="000000"/>
                      <w:kern w:val="2"/>
                      <w:sz w:val="21"/>
                      <w:szCs w:val="24"/>
                      <w:highlight w:val="none"/>
                      <w:u w:val="none"/>
                      <w:lang w:val="en-US" w:eastAsia="zh-CN" w:bidi="ar-SA"/>
                    </w:rPr>
                  </w:pPr>
                  <w:r>
                    <w:rPr>
                      <w:b/>
                      <w:bCs/>
                      <w:color w:val="000000"/>
                      <w:kern w:val="0"/>
                      <w:highlight w:val="none"/>
                      <w:u w:val="none"/>
                      <w:lang w:bidi="ar"/>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vMerge w:val="restar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天然气</w:t>
                  </w:r>
                </w:p>
              </w:tc>
              <w:tc>
                <w:tcPr>
                  <w:tcW w:w="782"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工业废气量</w:t>
                  </w:r>
                </w:p>
              </w:tc>
              <w:tc>
                <w:tcPr>
                  <w:tcW w:w="141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eastAsia"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rPr>
                    <w:t>标立方米/</w:t>
                  </w:r>
                  <w:r>
                    <w:rPr>
                      <w:rFonts w:hint="eastAsia" w:ascii="Times New Roman" w:hAnsi="Times New Roman" w:eastAsia="宋体" w:cs="Times New Roman"/>
                      <w:color w:val="000000"/>
                      <w:szCs w:val="21"/>
                      <w:highlight w:val="none"/>
                      <w:lang w:val="en-US" w:eastAsia="zh-CN"/>
                    </w:rPr>
                    <w:t>立方米</w:t>
                  </w:r>
                  <w:r>
                    <w:rPr>
                      <w:rFonts w:hint="default" w:ascii="Times New Roman" w:hAnsi="Times New Roman" w:eastAsia="宋体" w:cs="Times New Roman"/>
                      <w:color w:val="000000"/>
                      <w:szCs w:val="21"/>
                      <w:highlight w:val="none"/>
                    </w:rPr>
                    <w:t>-</w:t>
                  </w:r>
                  <w:r>
                    <w:rPr>
                      <w:rFonts w:hint="eastAsia" w:cs="Times New Roman"/>
                      <w:color w:val="000000"/>
                      <w:szCs w:val="21"/>
                      <w:highlight w:val="none"/>
                      <w:lang w:eastAsia="zh-CN"/>
                    </w:rPr>
                    <w:t>燃料</w:t>
                  </w:r>
                </w:p>
              </w:tc>
              <w:tc>
                <w:tcPr>
                  <w:tcW w:w="69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10.66</w:t>
                  </w:r>
                </w:p>
              </w:tc>
              <w:tc>
                <w:tcPr>
                  <w:tcW w:w="681" w:type="pct"/>
                  <w:tcBorders>
                    <w:tl2br w:val="nil"/>
                    <w:tr2bl w:val="nil"/>
                  </w:tcBorders>
                  <w:noWrap w:val="0"/>
                  <w:vAlign w:val="center"/>
                </w:tcPr>
                <w:p>
                  <w:pPr>
                    <w:pageBreakBefore w:val="0"/>
                    <w:kinsoku/>
                    <w:overflowPunct w:val="0"/>
                    <w:topLinePunct w:val="0"/>
                    <w:bidi w:val="0"/>
                    <w:jc w:val="center"/>
                    <w:rPr>
                      <w:rFonts w:hint="eastAsia" w:cs="Times New Roman"/>
                      <w:color w:val="000000"/>
                      <w:szCs w:val="21"/>
                      <w:highlight w:val="none"/>
                      <w:lang w:val="en-US" w:eastAsia="zh-CN"/>
                    </w:rPr>
                  </w:pPr>
                  <w:r>
                    <w:rPr>
                      <w:color w:val="000000"/>
                      <w:highlight w:val="none"/>
                      <w:u w:val="none"/>
                    </w:rPr>
                    <w:t>/</w:t>
                  </w:r>
                </w:p>
              </w:tc>
              <w:tc>
                <w:tcPr>
                  <w:tcW w:w="1582" w:type="dxa"/>
                  <w:tcBorders>
                    <w:tl2br w:val="nil"/>
                    <w:tr2bl w:val="nil"/>
                  </w:tcBorders>
                  <w:noWrap w:val="0"/>
                  <w:vAlign w:val="center"/>
                </w:tcPr>
                <w:p>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4049947.2m</w:t>
                  </w:r>
                  <w:r>
                    <w:rPr>
                      <w:rFonts w:hint="default" w:ascii="Times New Roman" w:hAnsi="Times New Roman" w:eastAsia="宋体" w:cs="Times New Roman"/>
                      <w:i w:val="0"/>
                      <w:iCs w:val="0"/>
                      <w:color w:val="00000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vMerge w:val="continue"/>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p>
              </w:tc>
              <w:tc>
                <w:tcPr>
                  <w:tcW w:w="782"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二氧化硫</w:t>
                  </w:r>
                </w:p>
              </w:tc>
              <w:tc>
                <w:tcPr>
                  <w:tcW w:w="141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千克/</w:t>
                  </w:r>
                  <w:r>
                    <w:rPr>
                      <w:rFonts w:hint="eastAsia" w:ascii="Times New Roman" w:hAnsi="Times New Roman" w:eastAsia="宋体" w:cs="Times New Roman"/>
                      <w:color w:val="000000"/>
                      <w:szCs w:val="21"/>
                      <w:highlight w:val="none"/>
                      <w:lang w:val="en-US" w:eastAsia="zh-CN"/>
                    </w:rPr>
                    <w:t>万立方米</w:t>
                  </w:r>
                  <w:r>
                    <w:rPr>
                      <w:rFonts w:hint="default" w:ascii="Times New Roman" w:hAnsi="Times New Roman" w:eastAsia="宋体" w:cs="Times New Roman"/>
                      <w:color w:val="000000"/>
                      <w:szCs w:val="21"/>
                      <w:highlight w:val="none"/>
                    </w:rPr>
                    <w:t>-</w:t>
                  </w:r>
                  <w:r>
                    <w:rPr>
                      <w:rFonts w:hint="eastAsia" w:cs="Times New Roman"/>
                      <w:color w:val="000000"/>
                      <w:szCs w:val="21"/>
                      <w:highlight w:val="none"/>
                      <w:lang w:eastAsia="zh-CN"/>
                    </w:rPr>
                    <w:t>燃料</w:t>
                  </w:r>
                </w:p>
              </w:tc>
              <w:tc>
                <w:tcPr>
                  <w:tcW w:w="69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eastAsia" w:ascii="Times New Roman" w:hAnsi="Times New Roman" w:eastAsia="宋体" w:cs="Times New Roman"/>
                      <w:color w:val="000000"/>
                      <w:szCs w:val="21"/>
                      <w:highlight w:val="none"/>
                      <w:lang w:val="en-US" w:eastAsia="zh-CN"/>
                    </w:rPr>
                    <w:t>0.02</w:t>
                  </w:r>
                  <w:r>
                    <w:rPr>
                      <w:rFonts w:hint="default" w:ascii="Times New Roman" w:hAnsi="Times New Roman" w:eastAsia="宋体" w:cs="Times New Roman"/>
                      <w:color w:val="000000"/>
                      <w:szCs w:val="21"/>
                      <w:highlight w:val="none"/>
                    </w:rPr>
                    <w:t>S</w:t>
                  </w:r>
                </w:p>
              </w:tc>
              <w:tc>
                <w:tcPr>
                  <w:tcW w:w="11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yellow"/>
                      <w:u w:val="single"/>
                      <w:lang w:val="en-US" w:eastAsia="zh-CN"/>
                    </w:rPr>
                  </w:pPr>
                  <w:r>
                    <w:rPr>
                      <w:rFonts w:hint="eastAsia"/>
                      <w:color w:val="auto"/>
                      <w:highlight w:val="none"/>
                      <w:u w:val="single"/>
                      <w:lang w:val="en-US" w:eastAsia="zh-CN"/>
                    </w:rPr>
                    <w:t>37.04</w:t>
                  </w:r>
                </w:p>
              </w:tc>
              <w:tc>
                <w:tcPr>
                  <w:tcW w:w="158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vMerge w:val="continue"/>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p>
              </w:tc>
              <w:tc>
                <w:tcPr>
                  <w:tcW w:w="782"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eastAsia" w:ascii="Times New Roman" w:hAnsi="Times New Roman" w:eastAsia="宋体" w:cs="Times New Roman"/>
                      <w:color w:val="000000"/>
                      <w:szCs w:val="21"/>
                      <w:highlight w:val="none"/>
                      <w:lang w:eastAsia="zh-CN"/>
                    </w:rPr>
                  </w:pPr>
                  <w:r>
                    <w:rPr>
                      <w:rFonts w:hint="eastAsia" w:eastAsia="宋体" w:cs="Times New Roman"/>
                      <w:color w:val="000000"/>
                      <w:szCs w:val="21"/>
                      <w:highlight w:val="none"/>
                      <w:lang w:eastAsia="zh-CN"/>
                    </w:rPr>
                    <w:t>颗粒物</w:t>
                  </w:r>
                </w:p>
              </w:tc>
              <w:tc>
                <w:tcPr>
                  <w:tcW w:w="141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千克/</w:t>
                  </w:r>
                  <w:r>
                    <w:rPr>
                      <w:rFonts w:hint="eastAsia" w:ascii="Times New Roman" w:hAnsi="Times New Roman" w:eastAsia="宋体" w:cs="Times New Roman"/>
                      <w:color w:val="000000"/>
                      <w:szCs w:val="21"/>
                      <w:highlight w:val="none"/>
                      <w:lang w:val="en-US" w:eastAsia="zh-CN"/>
                    </w:rPr>
                    <w:t>万立方米</w:t>
                  </w:r>
                  <w:r>
                    <w:rPr>
                      <w:rFonts w:hint="default" w:ascii="Times New Roman" w:hAnsi="Times New Roman" w:eastAsia="宋体" w:cs="Times New Roman"/>
                      <w:color w:val="000000"/>
                      <w:szCs w:val="21"/>
                      <w:highlight w:val="none"/>
                    </w:rPr>
                    <w:t>-</w:t>
                  </w:r>
                  <w:r>
                    <w:rPr>
                      <w:rFonts w:hint="eastAsia" w:cs="Times New Roman"/>
                      <w:color w:val="000000"/>
                      <w:szCs w:val="21"/>
                      <w:highlight w:val="none"/>
                      <w:lang w:eastAsia="zh-CN"/>
                    </w:rPr>
                    <w:t>燃料</w:t>
                  </w:r>
                </w:p>
              </w:tc>
              <w:tc>
                <w:tcPr>
                  <w:tcW w:w="69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2.86</w:t>
                  </w:r>
                </w:p>
              </w:tc>
              <w:tc>
                <w:tcPr>
                  <w:tcW w:w="1161" w:type="dxa"/>
                  <w:tcBorders>
                    <w:tl2br w:val="nil"/>
                    <w:tr2bl w:val="nil"/>
                  </w:tcBorders>
                  <w:noWrap w:val="0"/>
                  <w:vAlign w:val="center"/>
                </w:tcPr>
                <w:p>
                  <w:pPr>
                    <w:keepNext w:val="0"/>
                    <w:keepLines w:val="0"/>
                    <w:widowControl/>
                    <w:suppressLineNumbers w:val="0"/>
                    <w:jc w:val="center"/>
                    <w:textAlignment w:val="center"/>
                    <w:rPr>
                      <w:rFonts w:hint="default" w:cs="Times New Roman"/>
                      <w:color w:val="auto"/>
                      <w:szCs w:val="21"/>
                      <w:highlight w:val="yellow"/>
                      <w:u w:val="single"/>
                      <w:lang w:val="en-US" w:eastAsia="zh-CN"/>
                    </w:rPr>
                  </w:pPr>
                  <w:r>
                    <w:rPr>
                      <w:rFonts w:hint="eastAsia"/>
                      <w:color w:val="auto"/>
                      <w:highlight w:val="none"/>
                      <w:u w:val="single"/>
                      <w:lang w:val="en-US" w:eastAsia="zh-CN"/>
                    </w:rPr>
                    <w:t>27.16</w:t>
                  </w:r>
                </w:p>
              </w:tc>
              <w:tc>
                <w:tcPr>
                  <w:tcW w:w="1582" w:type="dxa"/>
                  <w:tcBorders>
                    <w:tl2br w:val="nil"/>
                    <w:tr2bl w:val="nil"/>
                  </w:tcBorders>
                  <w:noWrap w:val="0"/>
                  <w:vAlign w:val="center"/>
                </w:tcPr>
                <w:p>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vMerge w:val="continue"/>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p>
              </w:tc>
              <w:tc>
                <w:tcPr>
                  <w:tcW w:w="782"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氮氧化物</w:t>
                  </w:r>
                </w:p>
              </w:tc>
              <w:tc>
                <w:tcPr>
                  <w:tcW w:w="141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千克/</w:t>
                  </w:r>
                  <w:r>
                    <w:rPr>
                      <w:rFonts w:hint="eastAsia" w:ascii="Times New Roman" w:hAnsi="Times New Roman" w:eastAsia="宋体" w:cs="Times New Roman"/>
                      <w:color w:val="000000"/>
                      <w:szCs w:val="21"/>
                      <w:highlight w:val="none"/>
                      <w:lang w:val="en-US" w:eastAsia="zh-CN"/>
                    </w:rPr>
                    <w:t>万立方米</w:t>
                  </w:r>
                  <w:r>
                    <w:rPr>
                      <w:rFonts w:hint="default" w:ascii="Times New Roman" w:hAnsi="Times New Roman" w:eastAsia="宋体" w:cs="Times New Roman"/>
                      <w:color w:val="000000"/>
                      <w:szCs w:val="21"/>
                      <w:highlight w:val="none"/>
                    </w:rPr>
                    <w:t>-</w:t>
                  </w:r>
                  <w:r>
                    <w:rPr>
                      <w:rFonts w:hint="eastAsia" w:cs="Times New Roman"/>
                      <w:color w:val="000000"/>
                      <w:szCs w:val="21"/>
                      <w:highlight w:val="none"/>
                      <w:lang w:eastAsia="zh-CN"/>
                    </w:rPr>
                    <w:t>燃料</w:t>
                  </w:r>
                </w:p>
              </w:tc>
              <w:tc>
                <w:tcPr>
                  <w:tcW w:w="691"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18.71</w:t>
                  </w:r>
                </w:p>
              </w:tc>
              <w:tc>
                <w:tcPr>
                  <w:tcW w:w="1161" w:type="dxa"/>
                  <w:tcBorders>
                    <w:tl2br w:val="nil"/>
                    <w:tr2bl w:val="nil"/>
                  </w:tcBorders>
                  <w:noWrap w:val="0"/>
                  <w:vAlign w:val="center"/>
                </w:tcPr>
                <w:p>
                  <w:pPr>
                    <w:keepNext w:val="0"/>
                    <w:keepLines w:val="0"/>
                    <w:widowControl/>
                    <w:suppressLineNumbers w:val="0"/>
                    <w:jc w:val="center"/>
                    <w:textAlignment w:val="center"/>
                    <w:rPr>
                      <w:rFonts w:hint="default" w:cs="Times New Roman"/>
                      <w:color w:val="auto"/>
                      <w:szCs w:val="21"/>
                      <w:highlight w:val="yellow"/>
                      <w:u w:val="single"/>
                      <w:lang w:val="en-US" w:eastAsia="zh-CN"/>
                    </w:rPr>
                  </w:pPr>
                  <w:r>
                    <w:rPr>
                      <w:rFonts w:hint="eastAsia"/>
                      <w:color w:val="auto"/>
                      <w:highlight w:val="none"/>
                      <w:u w:val="single"/>
                      <w:lang w:val="en-US" w:eastAsia="zh-CN"/>
                    </w:rPr>
                    <w:t>175.31</w:t>
                  </w:r>
                </w:p>
              </w:tc>
              <w:tc>
                <w:tcPr>
                  <w:tcW w:w="1582" w:type="dxa"/>
                  <w:tcBorders>
                    <w:tl2br w:val="nil"/>
                    <w:tr2bl w:val="nil"/>
                  </w:tcBorders>
                  <w:noWrap w:val="0"/>
                  <w:vAlign w:val="center"/>
                </w:tcPr>
                <w:p>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8" w:type="pct"/>
                  <w:tcBorders>
                    <w:tl2br w:val="nil"/>
                    <w:tr2bl w:val="nil"/>
                  </w:tcBorders>
                  <w:noWrap w:val="0"/>
                  <w:vAlign w:val="center"/>
                </w:tcPr>
                <w:p>
                  <w:pPr>
                    <w:pageBreakBefore w:val="0"/>
                    <w:kinsoku/>
                    <w:overflowPunct w:val="0"/>
                    <w:topLinePunct w:val="0"/>
                    <w:bidi w:val="0"/>
                    <w:adjustRightInd w:val="0"/>
                    <w:snapToGrid w:val="0"/>
                    <w:spacing w:line="320" w:lineRule="exact"/>
                    <w:jc w:val="center"/>
                    <w:rPr>
                      <w:rFonts w:hint="eastAsia" w:ascii="Times New Roman" w:hAnsi="Times New Roman" w:eastAsia="宋体" w:cs="Times New Roman"/>
                      <w:color w:val="000000"/>
                      <w:szCs w:val="21"/>
                      <w:highlight w:val="none"/>
                      <w:lang w:eastAsia="zh-CN"/>
                    </w:rPr>
                  </w:pPr>
                  <w:r>
                    <w:rPr>
                      <w:rFonts w:hint="eastAsia" w:cs="Times New Roman"/>
                      <w:color w:val="000000"/>
                      <w:szCs w:val="21"/>
                      <w:highlight w:val="none"/>
                      <w:lang w:eastAsia="zh-CN"/>
                    </w:rPr>
                    <w:t>备注</w:t>
                  </w:r>
                </w:p>
              </w:tc>
              <w:tc>
                <w:tcPr>
                  <w:tcW w:w="4501" w:type="pct"/>
                  <w:gridSpan w:val="5"/>
                  <w:tcBorders>
                    <w:tl2br w:val="nil"/>
                    <w:tr2bl w:val="nil"/>
                  </w:tcBorders>
                  <w:noWrap w:val="0"/>
                  <w:vAlign w:val="center"/>
                </w:tcPr>
                <w:p>
                  <w:pPr>
                    <w:pageBreakBefore w:val="0"/>
                    <w:kinsoku/>
                    <w:overflowPunct w:val="0"/>
                    <w:topLinePunct w:val="0"/>
                    <w:bidi w:val="0"/>
                    <w:jc w:val="left"/>
                    <w:rPr>
                      <w:rFonts w:hint="default"/>
                      <w:color w:val="000000"/>
                      <w:highlight w:val="none"/>
                      <w:u w:val="none"/>
                      <w:lang w:val="en-US" w:eastAsia="zh-CN"/>
                    </w:rPr>
                  </w:pPr>
                  <w:r>
                    <w:rPr>
                      <w:rFonts w:hint="eastAsia"/>
                      <w:color w:val="000000"/>
                      <w:highlight w:val="none"/>
                      <w:u w:val="none"/>
                      <w:lang w:val="en-US" w:eastAsia="zh-CN"/>
                    </w:rPr>
                    <w:t>S取200</w:t>
                  </w:r>
                </w:p>
              </w:tc>
            </w:tr>
          </w:tbl>
          <w:p>
            <w:pPr>
              <w:pStyle w:val="2"/>
              <w:overflowPunct w:val="0"/>
              <w:spacing w:before="0" w:after="0" w:line="360" w:lineRule="auto"/>
              <w:ind w:right="0" w:firstLine="480" w:firstLineChars="200"/>
              <w:rPr>
                <w:rFonts w:hint="default" w:ascii="Times New Roman" w:hAnsi="Times New Roman" w:eastAsia="宋体" w:cs="Times New Roman"/>
                <w:color w:val="auto"/>
                <w:sz w:val="24"/>
                <w:highlight w:val="none"/>
                <w:u w:val="none"/>
                <w:lang w:val="en-US"/>
              </w:rPr>
            </w:pPr>
            <w:r>
              <w:rPr>
                <w:rFonts w:hint="default" w:ascii="Times New Roman" w:hAnsi="Times New Roman" w:eastAsia="宋体" w:cs="Times New Roman"/>
                <w:color w:val="auto"/>
                <w:sz w:val="24"/>
                <w:highlight w:val="none"/>
                <w:u w:val="none"/>
                <w:lang w:val="en-US" w:eastAsia="zh-CN"/>
              </w:rPr>
              <w:t>⑤</w:t>
            </w:r>
            <w:r>
              <w:rPr>
                <w:rFonts w:hint="eastAsia" w:ascii="Times New Roman" w:hAnsi="Times New Roman" w:eastAsia="宋体" w:cs="Times New Roman"/>
                <w:color w:val="auto"/>
                <w:sz w:val="24"/>
                <w:highlight w:val="none"/>
                <w:u w:val="none"/>
                <w:lang w:val="en-US" w:eastAsia="zh-CN"/>
              </w:rPr>
              <w:t>食堂油烟</w:t>
            </w:r>
          </w:p>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000000"/>
                <w:kern w:val="0"/>
                <w:sz w:val="24"/>
                <w:szCs w:val="20"/>
                <w:highlight w:val="none"/>
                <w:u w:val="none"/>
                <w:vertAlign w:val="baseline"/>
                <w:lang w:val="en-US" w:eastAsia="zh-CN" w:bidi="ar-SA"/>
              </w:rPr>
            </w:pPr>
            <w:r>
              <w:rPr>
                <w:rFonts w:hint="eastAsia" w:ascii="Times New Roman" w:hAnsi="Times New Roman" w:eastAsia="宋体" w:cs="Times New Roman"/>
                <w:color w:val="000000"/>
                <w:kern w:val="0"/>
                <w:sz w:val="24"/>
                <w:szCs w:val="20"/>
                <w:highlight w:val="none"/>
                <w:u w:val="none"/>
                <w:vertAlign w:val="baseline"/>
                <w:lang w:val="en-US" w:eastAsia="zh-CN" w:bidi="ar-SA"/>
              </w:rPr>
              <w:t>食堂营业时间约</w:t>
            </w:r>
            <w:r>
              <w:rPr>
                <w:rFonts w:hint="eastAsia" w:cs="Times New Roman"/>
                <w:color w:val="000000"/>
                <w:kern w:val="0"/>
                <w:sz w:val="24"/>
                <w:szCs w:val="20"/>
                <w:highlight w:val="none"/>
                <w:u w:val="none"/>
                <w:vertAlign w:val="baseline"/>
                <w:lang w:val="en-US" w:eastAsia="zh-CN" w:bidi="ar-SA"/>
              </w:rPr>
              <w:t>4</w:t>
            </w:r>
            <w:r>
              <w:rPr>
                <w:rFonts w:hint="eastAsia" w:ascii="Times New Roman" w:hAnsi="Times New Roman" w:eastAsia="宋体" w:cs="Times New Roman"/>
                <w:color w:val="000000"/>
                <w:kern w:val="0"/>
                <w:sz w:val="24"/>
                <w:szCs w:val="20"/>
                <w:highlight w:val="none"/>
                <w:u w:val="none"/>
                <w:vertAlign w:val="baseline"/>
                <w:lang w:val="en-US" w:eastAsia="zh-CN" w:bidi="ar-SA"/>
              </w:rPr>
              <w:t>小时/d，年营运</w:t>
            </w:r>
            <w:r>
              <w:rPr>
                <w:rFonts w:hint="eastAsia" w:cs="Times New Roman"/>
                <w:color w:val="000000"/>
                <w:kern w:val="0"/>
                <w:sz w:val="24"/>
                <w:szCs w:val="20"/>
                <w:highlight w:val="none"/>
                <w:u w:val="none"/>
                <w:vertAlign w:val="baseline"/>
                <w:lang w:val="en-US" w:eastAsia="zh-CN" w:bidi="ar-SA"/>
              </w:rPr>
              <w:t>300</w:t>
            </w:r>
            <w:r>
              <w:rPr>
                <w:rFonts w:hint="eastAsia" w:ascii="Times New Roman" w:hAnsi="Times New Roman" w:eastAsia="宋体" w:cs="Times New Roman"/>
                <w:color w:val="000000"/>
                <w:kern w:val="0"/>
                <w:sz w:val="24"/>
                <w:szCs w:val="20"/>
                <w:highlight w:val="none"/>
                <w:u w:val="none"/>
                <w:vertAlign w:val="baseline"/>
                <w:lang w:val="en-US" w:eastAsia="zh-CN" w:bidi="ar-SA"/>
              </w:rPr>
              <w:t>天，提供职工</w:t>
            </w:r>
            <w:r>
              <w:rPr>
                <w:rFonts w:hint="eastAsia" w:cs="Times New Roman"/>
                <w:color w:val="000000"/>
                <w:kern w:val="0"/>
                <w:sz w:val="24"/>
                <w:szCs w:val="20"/>
                <w:highlight w:val="none"/>
                <w:u w:val="none"/>
                <w:vertAlign w:val="baseline"/>
                <w:lang w:val="en-US" w:eastAsia="zh-CN" w:bidi="ar-SA"/>
              </w:rPr>
              <w:t>30</w:t>
            </w:r>
            <w:r>
              <w:rPr>
                <w:rFonts w:hint="eastAsia" w:ascii="Times New Roman" w:hAnsi="Times New Roman" w:eastAsia="宋体" w:cs="Times New Roman"/>
                <w:color w:val="000000"/>
                <w:kern w:val="0"/>
                <w:sz w:val="24"/>
                <w:szCs w:val="20"/>
                <w:highlight w:val="none"/>
                <w:u w:val="none"/>
                <w:vertAlign w:val="baseline"/>
                <w:lang w:val="en-US" w:eastAsia="zh-CN" w:bidi="ar-SA"/>
              </w:rPr>
              <w:t>人的餐饮，参照《饮食业油烟排放标准（试行）》GB18483-2001其规模，设置1个灶头。根据对居民用油情况的类比调查，目前居民人均食用油用量约为30g/人·d，则项目年耗油量为</w:t>
            </w:r>
            <w:r>
              <w:rPr>
                <w:rFonts w:hint="eastAsia" w:cs="Times New Roman"/>
                <w:color w:val="000000"/>
                <w:kern w:val="0"/>
                <w:sz w:val="24"/>
                <w:szCs w:val="20"/>
                <w:highlight w:val="none"/>
                <w:u w:val="none"/>
                <w:vertAlign w:val="baseline"/>
                <w:lang w:val="en-US" w:eastAsia="zh-CN" w:bidi="ar-SA"/>
              </w:rPr>
              <w:t>328.5</w:t>
            </w:r>
            <w:r>
              <w:rPr>
                <w:rFonts w:hint="eastAsia" w:ascii="Times New Roman" w:hAnsi="Times New Roman" w:eastAsia="宋体" w:cs="Times New Roman"/>
                <w:color w:val="000000"/>
                <w:kern w:val="0"/>
                <w:sz w:val="24"/>
                <w:szCs w:val="20"/>
                <w:highlight w:val="none"/>
                <w:u w:val="none"/>
                <w:vertAlign w:val="baseline"/>
                <w:lang w:val="en-US" w:eastAsia="zh-CN" w:bidi="ar-SA"/>
              </w:rPr>
              <w:t>kg/a。油烟产生系数按照4%计，则食堂油烟产生量为</w:t>
            </w:r>
            <w:r>
              <w:rPr>
                <w:rFonts w:hint="eastAsia" w:cs="Times New Roman"/>
                <w:color w:val="000000"/>
                <w:kern w:val="0"/>
                <w:sz w:val="24"/>
                <w:szCs w:val="20"/>
                <w:highlight w:val="none"/>
                <w:u w:val="none"/>
                <w:vertAlign w:val="baseline"/>
                <w:lang w:val="en-US" w:eastAsia="zh-CN" w:bidi="ar-SA"/>
              </w:rPr>
              <w:t>13.14</w:t>
            </w:r>
            <w:r>
              <w:rPr>
                <w:rFonts w:hint="eastAsia" w:ascii="Times New Roman" w:hAnsi="Times New Roman" w:eastAsia="宋体" w:cs="Times New Roman"/>
                <w:color w:val="000000"/>
                <w:kern w:val="0"/>
                <w:sz w:val="24"/>
                <w:szCs w:val="20"/>
                <w:highlight w:val="none"/>
                <w:u w:val="none"/>
                <w:vertAlign w:val="baseline"/>
                <w:lang w:val="en-US" w:eastAsia="zh-CN" w:bidi="ar-SA"/>
              </w:rPr>
              <w:t>kg/a，项目灶头基准排风量为2000m</w:t>
            </w:r>
            <w:r>
              <w:rPr>
                <w:rFonts w:hint="eastAsia" w:ascii="Times New Roman" w:hAnsi="Times New Roman" w:eastAsia="宋体" w:cs="Times New Roman"/>
                <w:color w:val="000000"/>
                <w:kern w:val="0"/>
                <w:sz w:val="24"/>
                <w:szCs w:val="20"/>
                <w:highlight w:val="none"/>
                <w:u w:val="none"/>
                <w:vertAlign w:val="superscript"/>
                <w:lang w:val="en-US" w:eastAsia="zh-CN" w:bidi="ar-SA"/>
              </w:rPr>
              <w:t>3</w:t>
            </w:r>
            <w:r>
              <w:rPr>
                <w:rFonts w:hint="eastAsia" w:ascii="Times New Roman" w:hAnsi="Times New Roman" w:eastAsia="宋体" w:cs="Times New Roman"/>
                <w:color w:val="000000"/>
                <w:kern w:val="0"/>
                <w:sz w:val="24"/>
                <w:szCs w:val="20"/>
                <w:highlight w:val="none"/>
                <w:u w:val="none"/>
                <w:vertAlign w:val="baseline"/>
                <w:lang w:val="en-US" w:eastAsia="zh-CN" w:bidi="ar-SA"/>
              </w:rPr>
              <w:t>/h</w:t>
            </w:r>
            <w:r>
              <w:rPr>
                <w:rFonts w:hint="eastAsia" w:cs="Times New Roman"/>
                <w:color w:val="000000"/>
                <w:kern w:val="0"/>
                <w:sz w:val="24"/>
                <w:szCs w:val="20"/>
                <w:highlight w:val="none"/>
                <w:u w:val="none"/>
                <w:vertAlign w:val="baseline"/>
                <w:lang w:val="en-US" w:eastAsia="zh-CN" w:bidi="ar-SA"/>
              </w:rPr>
              <w:t>，</w:t>
            </w:r>
            <w:r>
              <w:rPr>
                <w:rFonts w:hint="eastAsia" w:ascii="Times New Roman" w:hAnsi="Times New Roman" w:eastAsia="宋体" w:cs="Times New Roman"/>
                <w:color w:val="000000"/>
                <w:kern w:val="0"/>
                <w:sz w:val="24"/>
                <w:szCs w:val="20"/>
                <w:highlight w:val="none"/>
                <w:u w:val="none"/>
                <w:vertAlign w:val="baseline"/>
                <w:lang w:val="en-US" w:eastAsia="zh-CN" w:bidi="ar-SA"/>
              </w:rPr>
              <w:t>拟采用静电油烟处理器，效率按</w:t>
            </w:r>
            <w:r>
              <w:rPr>
                <w:rFonts w:hint="eastAsia" w:cs="Times New Roman"/>
                <w:color w:val="000000"/>
                <w:kern w:val="0"/>
                <w:sz w:val="24"/>
                <w:szCs w:val="20"/>
                <w:highlight w:val="none"/>
                <w:u w:val="none"/>
                <w:vertAlign w:val="baseline"/>
                <w:lang w:val="en-US" w:eastAsia="zh-CN" w:bidi="ar-SA"/>
              </w:rPr>
              <w:t>8</w:t>
            </w:r>
            <w:r>
              <w:rPr>
                <w:rFonts w:hint="eastAsia" w:ascii="Times New Roman" w:hAnsi="Times New Roman" w:eastAsia="宋体" w:cs="Times New Roman"/>
                <w:color w:val="000000"/>
                <w:kern w:val="0"/>
                <w:sz w:val="24"/>
                <w:szCs w:val="20"/>
                <w:highlight w:val="none"/>
                <w:u w:val="none"/>
                <w:vertAlign w:val="baseline"/>
                <w:lang w:val="en-US" w:eastAsia="zh-CN" w:bidi="ar-SA"/>
              </w:rPr>
              <w:t>0%计算，</w:t>
            </w:r>
            <w:r>
              <w:rPr>
                <w:rFonts w:hint="eastAsia" w:cs="Times New Roman"/>
                <w:color w:val="000000"/>
                <w:kern w:val="0"/>
                <w:sz w:val="24"/>
                <w:szCs w:val="20"/>
                <w:highlight w:val="none"/>
                <w:u w:val="none"/>
                <w:vertAlign w:val="baseline"/>
                <w:lang w:val="en-US" w:eastAsia="zh-CN" w:bidi="ar-SA"/>
              </w:rPr>
              <w:t>则</w:t>
            </w:r>
            <w:r>
              <w:rPr>
                <w:rFonts w:hint="eastAsia" w:ascii="Times New Roman" w:hAnsi="Times New Roman" w:eastAsia="宋体" w:cs="Times New Roman"/>
                <w:color w:val="000000"/>
                <w:kern w:val="0"/>
                <w:sz w:val="24"/>
                <w:szCs w:val="20"/>
                <w:highlight w:val="none"/>
                <w:u w:val="none"/>
                <w:vertAlign w:val="baseline"/>
                <w:lang w:val="en-US" w:eastAsia="zh-CN" w:bidi="ar-SA"/>
              </w:rPr>
              <w:t>油烟排放</w:t>
            </w:r>
            <w:r>
              <w:rPr>
                <w:rFonts w:hint="eastAsia" w:cs="Times New Roman"/>
                <w:color w:val="000000"/>
                <w:kern w:val="0"/>
                <w:sz w:val="24"/>
                <w:szCs w:val="20"/>
                <w:highlight w:val="none"/>
                <w:u w:val="none"/>
                <w:vertAlign w:val="baseline"/>
                <w:lang w:val="en-US" w:eastAsia="zh-CN" w:bidi="ar-SA"/>
              </w:rPr>
              <w:t>量及排放</w:t>
            </w:r>
            <w:r>
              <w:rPr>
                <w:rFonts w:hint="eastAsia" w:ascii="Times New Roman" w:hAnsi="Times New Roman" w:eastAsia="宋体" w:cs="Times New Roman"/>
                <w:color w:val="000000"/>
                <w:kern w:val="0"/>
                <w:sz w:val="24"/>
                <w:szCs w:val="20"/>
                <w:highlight w:val="none"/>
                <w:u w:val="none"/>
                <w:vertAlign w:val="baseline"/>
                <w:lang w:val="en-US" w:eastAsia="zh-CN" w:bidi="ar-SA"/>
              </w:rPr>
              <w:t>浓度</w:t>
            </w:r>
            <w:r>
              <w:rPr>
                <w:rFonts w:hint="eastAsia" w:cs="Times New Roman"/>
                <w:color w:val="000000"/>
                <w:kern w:val="0"/>
                <w:sz w:val="24"/>
                <w:szCs w:val="20"/>
                <w:highlight w:val="none"/>
                <w:u w:val="none"/>
                <w:vertAlign w:val="baseline"/>
                <w:lang w:val="en-US" w:eastAsia="zh-CN" w:bidi="ar-SA"/>
              </w:rPr>
              <w:t>分别</w:t>
            </w:r>
            <w:r>
              <w:rPr>
                <w:rFonts w:hint="eastAsia" w:ascii="Times New Roman" w:hAnsi="Times New Roman" w:eastAsia="宋体" w:cs="Times New Roman"/>
                <w:color w:val="000000"/>
                <w:kern w:val="0"/>
                <w:sz w:val="24"/>
                <w:szCs w:val="20"/>
                <w:highlight w:val="none"/>
                <w:u w:val="none"/>
                <w:vertAlign w:val="baseline"/>
                <w:lang w:val="en-US" w:eastAsia="zh-CN" w:bidi="ar-SA"/>
              </w:rPr>
              <w:t>为</w:t>
            </w:r>
            <w:r>
              <w:rPr>
                <w:rFonts w:hint="eastAsia" w:cs="Times New Roman"/>
                <w:color w:val="000000"/>
                <w:kern w:val="0"/>
                <w:sz w:val="24"/>
                <w:szCs w:val="20"/>
                <w:highlight w:val="none"/>
                <w:u w:val="none"/>
                <w:vertAlign w:val="baseline"/>
                <w:lang w:val="en-US" w:eastAsia="zh-CN" w:bidi="ar-SA"/>
              </w:rPr>
              <w:t>2.628</w:t>
            </w:r>
            <w:r>
              <w:rPr>
                <w:rFonts w:hint="eastAsia" w:ascii="Times New Roman" w:hAnsi="Times New Roman" w:eastAsia="宋体" w:cs="Times New Roman"/>
                <w:color w:val="000000"/>
                <w:kern w:val="0"/>
                <w:sz w:val="24"/>
                <w:szCs w:val="20"/>
                <w:highlight w:val="none"/>
                <w:u w:val="none"/>
                <w:vertAlign w:val="baseline"/>
                <w:lang w:val="en-US" w:eastAsia="zh-CN" w:bidi="ar-SA"/>
              </w:rPr>
              <w:t>kg/a</w:t>
            </w:r>
            <w:r>
              <w:rPr>
                <w:rFonts w:hint="eastAsia" w:cs="Times New Roman"/>
                <w:color w:val="000000"/>
                <w:kern w:val="0"/>
                <w:sz w:val="24"/>
                <w:szCs w:val="20"/>
                <w:highlight w:val="none"/>
                <w:u w:val="none"/>
                <w:vertAlign w:val="baseline"/>
                <w:lang w:val="en-US" w:eastAsia="zh-CN" w:bidi="ar-SA"/>
              </w:rPr>
              <w:t>，1.10</w:t>
            </w:r>
            <w:r>
              <w:rPr>
                <w:rFonts w:hint="eastAsia" w:ascii="Times New Roman" w:hAnsi="Times New Roman" w:eastAsia="宋体" w:cs="Times New Roman"/>
                <w:color w:val="000000"/>
                <w:kern w:val="0"/>
                <w:sz w:val="24"/>
                <w:szCs w:val="20"/>
                <w:highlight w:val="none"/>
                <w:u w:val="none"/>
                <w:vertAlign w:val="baseline"/>
                <w:lang w:val="en-US" w:eastAsia="zh-CN" w:bidi="ar-SA"/>
              </w:rPr>
              <w:t>mg/m</w:t>
            </w:r>
            <w:r>
              <w:rPr>
                <w:rFonts w:hint="eastAsia" w:ascii="Times New Roman" w:hAnsi="Times New Roman" w:eastAsia="宋体" w:cs="Times New Roman"/>
                <w:color w:val="000000"/>
                <w:kern w:val="0"/>
                <w:sz w:val="24"/>
                <w:szCs w:val="20"/>
                <w:highlight w:val="none"/>
                <w:u w:val="none"/>
                <w:vertAlign w:val="superscript"/>
                <w:lang w:val="en-US" w:eastAsia="zh-CN" w:bidi="ar-SA"/>
              </w:rPr>
              <w:t>3</w:t>
            </w:r>
            <w:r>
              <w:rPr>
                <w:rFonts w:hint="eastAsia" w:ascii="Times New Roman" w:hAnsi="Times New Roman" w:eastAsia="宋体" w:cs="Times New Roman"/>
                <w:color w:val="000000"/>
                <w:kern w:val="0"/>
                <w:sz w:val="24"/>
                <w:szCs w:val="20"/>
                <w:highlight w:val="none"/>
                <w:u w:val="none"/>
                <w:vertAlign w:val="baseline"/>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0" w:right="0" w:rightChars="0" w:firstLine="422" w:firstLineChars="200"/>
              <w:jc w:val="center"/>
              <w:textAlignment w:val="auto"/>
              <w:rPr>
                <w:rFonts w:hint="eastAsia" w:ascii="Times New Roman" w:hAnsi="Times New Roman" w:eastAsia="宋体" w:cs="Times New Roman"/>
                <w:color w:val="000000"/>
                <w:kern w:val="0"/>
                <w:sz w:val="21"/>
                <w:szCs w:val="21"/>
                <w:highlight w:val="none"/>
                <w:u w:val="none"/>
                <w:vertAlign w:val="baseline"/>
                <w:lang w:val="en-US" w:eastAsia="zh-CN" w:bidi="ar-SA"/>
              </w:rPr>
            </w:pPr>
            <w:r>
              <w:rPr>
                <w:rFonts w:hint="eastAsia"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4-</w:t>
            </w:r>
            <w:r>
              <w:rPr>
                <w:rFonts w:hint="eastAsia" w:cs="Times New Roman"/>
                <w:b/>
                <w:color w:val="000000"/>
                <w:sz w:val="21"/>
                <w:szCs w:val="21"/>
                <w:highlight w:val="none"/>
                <w:lang w:val="en-US" w:eastAsia="zh-CN"/>
              </w:rPr>
              <w:t>2</w:t>
            </w:r>
            <w:r>
              <w:rPr>
                <w:rFonts w:hint="default" w:ascii="Times New Roman" w:hAnsi="Times New Roman" w:cs="Times New Roman"/>
                <w:b/>
                <w:color w:val="000000"/>
                <w:sz w:val="21"/>
                <w:szCs w:val="21"/>
                <w:highlight w:val="none"/>
                <w:lang w:val="en-US" w:eastAsia="zh-CN"/>
              </w:rPr>
              <w:t xml:space="preserve"> </w:t>
            </w:r>
            <w:r>
              <w:rPr>
                <w:rFonts w:hint="eastAsia" w:ascii="Times New Roman" w:hAnsi="Times New Roman" w:eastAsia="宋体" w:cs="Times New Roman"/>
                <w:b/>
                <w:color w:val="000000"/>
                <w:sz w:val="21"/>
                <w:szCs w:val="21"/>
                <w:highlight w:val="none"/>
                <w:lang w:eastAsia="zh-CN"/>
              </w:rPr>
              <w:t>油烟污染源强核算表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31"/>
              <w:gridCol w:w="989"/>
              <w:gridCol w:w="1004"/>
              <w:gridCol w:w="925"/>
              <w:gridCol w:w="893"/>
              <w:gridCol w:w="797"/>
              <w:gridCol w:w="96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69"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就餐人数/</w:t>
                  </w:r>
                  <w:r>
                    <w:rPr>
                      <w:rStyle w:val="42"/>
                      <w:b/>
                      <w:bCs/>
                      <w:color w:val="000000"/>
                      <w:sz w:val="21"/>
                      <w:szCs w:val="21"/>
                      <w:highlight w:val="none"/>
                      <w:lang w:val="en-US" w:eastAsia="zh-CN" w:bidi="ar"/>
                    </w:rPr>
                    <w:t>人</w:t>
                  </w:r>
                </w:p>
              </w:tc>
              <w:tc>
                <w:tcPr>
                  <w:tcW w:w="673"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eastAsia" w:ascii="宋体" w:hAnsi="宋体" w:eastAsia="宋体" w:cs="宋体"/>
                      <w:b/>
                      <w:bCs/>
                      <w:i w:val="0"/>
                      <w:iCs w:val="0"/>
                      <w:color w:val="000000"/>
                      <w:sz w:val="21"/>
                      <w:szCs w:val="21"/>
                      <w:highlight w:val="none"/>
                      <w:u w:val="none"/>
                    </w:rPr>
                  </w:pPr>
                  <w:r>
                    <w:rPr>
                      <w:rStyle w:val="42"/>
                      <w:b/>
                      <w:bCs/>
                      <w:color w:val="000000"/>
                      <w:sz w:val="21"/>
                      <w:szCs w:val="21"/>
                      <w:highlight w:val="none"/>
                      <w:lang w:val="en-US" w:eastAsia="zh-CN" w:bidi="ar"/>
                    </w:rPr>
                    <w:t>食用油消耗系数</w:t>
                  </w:r>
                  <w:r>
                    <w:rPr>
                      <w:rFonts w:hint="default" w:ascii="Times New Roman" w:hAnsi="Times New Roman" w:eastAsia="宋体" w:cs="Times New Roman"/>
                      <w:b/>
                      <w:bCs/>
                      <w:i w:val="0"/>
                      <w:iCs w:val="0"/>
                      <w:color w:val="000000"/>
                      <w:kern w:val="0"/>
                      <w:sz w:val="21"/>
                      <w:szCs w:val="21"/>
                      <w:highlight w:val="none"/>
                      <w:u w:val="none"/>
                      <w:lang w:val="en-US" w:eastAsia="zh-CN" w:bidi="ar"/>
                    </w:rPr>
                    <w:t>/g/</w:t>
                  </w:r>
                  <w:r>
                    <w:rPr>
                      <w:rStyle w:val="42"/>
                      <w:b/>
                      <w:bCs/>
                      <w:color w:val="000000"/>
                      <w:sz w:val="21"/>
                      <w:szCs w:val="21"/>
                      <w:highlight w:val="none"/>
                      <w:lang w:val="en-US" w:eastAsia="zh-CN" w:bidi="ar"/>
                    </w:rPr>
                    <w:t>人</w:t>
                  </w:r>
                  <w:r>
                    <w:rPr>
                      <w:rFonts w:hint="default" w:ascii="Times New Roman" w:hAnsi="Times New Roman" w:eastAsia="宋体" w:cs="Times New Roman"/>
                      <w:b/>
                      <w:bCs/>
                      <w:i w:val="0"/>
                      <w:iCs w:val="0"/>
                      <w:color w:val="000000"/>
                      <w:kern w:val="0"/>
                      <w:sz w:val="21"/>
                      <w:szCs w:val="21"/>
                      <w:highlight w:val="none"/>
                      <w:u w:val="none"/>
                      <w:lang w:val="en-US" w:eastAsia="zh-CN" w:bidi="ar"/>
                    </w:rPr>
                    <w:t>·d</w:t>
                  </w:r>
                </w:p>
              </w:tc>
              <w:tc>
                <w:tcPr>
                  <w:tcW w:w="588"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eastAsia" w:ascii="宋体" w:hAnsi="宋体" w:eastAsia="宋体" w:cs="宋体"/>
                      <w:b/>
                      <w:bCs/>
                      <w:i w:val="0"/>
                      <w:iCs w:val="0"/>
                      <w:color w:val="000000"/>
                      <w:sz w:val="21"/>
                      <w:szCs w:val="21"/>
                      <w:highlight w:val="none"/>
                      <w:u w:val="none"/>
                    </w:rPr>
                  </w:pPr>
                  <w:r>
                    <w:rPr>
                      <w:rStyle w:val="42"/>
                      <w:b/>
                      <w:bCs/>
                      <w:color w:val="000000"/>
                      <w:sz w:val="21"/>
                      <w:szCs w:val="21"/>
                      <w:highlight w:val="none"/>
                      <w:lang w:val="en-US" w:eastAsia="zh-CN" w:bidi="ar"/>
                    </w:rPr>
                    <w:t>食用油消耗量</w:t>
                  </w:r>
                  <w:r>
                    <w:rPr>
                      <w:rFonts w:hint="default" w:ascii="Times New Roman" w:hAnsi="Times New Roman" w:eastAsia="宋体" w:cs="Times New Roman"/>
                      <w:b/>
                      <w:bCs/>
                      <w:i w:val="0"/>
                      <w:iCs w:val="0"/>
                      <w:color w:val="000000"/>
                      <w:kern w:val="0"/>
                      <w:sz w:val="21"/>
                      <w:szCs w:val="21"/>
                      <w:highlight w:val="none"/>
                      <w:u w:val="none"/>
                      <w:lang w:val="en-US" w:eastAsia="zh-CN" w:bidi="ar"/>
                    </w:rPr>
                    <w:t>/kg/a</w:t>
                  </w:r>
                </w:p>
              </w:tc>
              <w:tc>
                <w:tcPr>
                  <w:tcW w:w="597"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油烟产生系数</w:t>
                  </w:r>
                </w:p>
              </w:tc>
              <w:tc>
                <w:tcPr>
                  <w:tcW w:w="550"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油烟产生量/kg/a</w:t>
                  </w:r>
                </w:p>
              </w:tc>
              <w:tc>
                <w:tcPr>
                  <w:tcW w:w="531"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净化效率/%</w:t>
                  </w:r>
                </w:p>
              </w:tc>
              <w:tc>
                <w:tcPr>
                  <w:tcW w:w="474"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风量/m</w:t>
                  </w:r>
                  <w:r>
                    <w:rPr>
                      <w:rFonts w:hint="default" w:ascii="Times New Roman" w:hAnsi="Times New Roman" w:eastAsia="宋体" w:cs="Times New Roman"/>
                      <w:b/>
                      <w:bCs/>
                      <w:i w:val="0"/>
                      <w:iCs w:val="0"/>
                      <w:color w:val="000000"/>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highlight w:val="none"/>
                      <w:u w:val="none"/>
                      <w:lang w:val="en-US" w:eastAsia="zh-CN" w:bidi="ar"/>
                    </w:rPr>
                    <w:t>/h</w:t>
                  </w:r>
                </w:p>
              </w:tc>
              <w:tc>
                <w:tcPr>
                  <w:tcW w:w="573"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油烟排放量/kg/a</w:t>
                  </w:r>
                </w:p>
              </w:tc>
              <w:tc>
                <w:tcPr>
                  <w:tcW w:w="541"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油烟排放浓度mg/m</w:t>
                  </w:r>
                  <w:r>
                    <w:rPr>
                      <w:rFonts w:hint="default" w:ascii="Times New Roman" w:hAnsi="Times New Roman" w:eastAsia="宋体" w:cs="Times New Roman"/>
                      <w:b/>
                      <w:bCs/>
                      <w:i w:val="0"/>
                      <w:iCs w:val="0"/>
                      <w:color w:val="000000"/>
                      <w:kern w:val="0"/>
                      <w:sz w:val="21"/>
                      <w:szCs w:val="21"/>
                      <w:highlight w:val="none"/>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9"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30</w:t>
                  </w:r>
                </w:p>
              </w:tc>
              <w:tc>
                <w:tcPr>
                  <w:tcW w:w="673"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c>
                <w:tcPr>
                  <w:tcW w:w="588"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328.5</w:t>
                  </w:r>
                </w:p>
              </w:tc>
              <w:tc>
                <w:tcPr>
                  <w:tcW w:w="597"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550"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13.14</w:t>
                  </w:r>
                </w:p>
              </w:tc>
              <w:tc>
                <w:tcPr>
                  <w:tcW w:w="531"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cs="Times New Roman"/>
                      <w:i w:val="0"/>
                      <w:iCs w:val="0"/>
                      <w:color w:val="000000"/>
                      <w:kern w:val="0"/>
                      <w:sz w:val="21"/>
                      <w:szCs w:val="21"/>
                      <w:highlight w:val="none"/>
                      <w:u w:val="none"/>
                      <w:lang w:val="en-US" w:eastAsia="zh-CN" w:bidi="ar"/>
                    </w:rPr>
                    <w:t>8</w:t>
                  </w: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474"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2000</w:t>
                  </w:r>
                </w:p>
              </w:tc>
              <w:tc>
                <w:tcPr>
                  <w:tcW w:w="573"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2.628</w:t>
                  </w:r>
                </w:p>
              </w:tc>
              <w:tc>
                <w:tcPr>
                  <w:tcW w:w="541" w:type="pct"/>
                  <w:tcBorders>
                    <w:tl2br w:val="nil"/>
                    <w:tr2bl w:val="nil"/>
                  </w:tcBorders>
                  <w:noWrap w:val="0"/>
                  <w:vAlign w:val="center"/>
                </w:tcPr>
                <w:p>
                  <w:pPr>
                    <w:keepNext w:val="0"/>
                    <w:keepLines w:val="0"/>
                    <w:pageBreakBefore w:val="0"/>
                    <w:widowControl/>
                    <w:suppressLineNumbers w:val="0"/>
                    <w:kinsoku/>
                    <w:overflowPunct w:val="0"/>
                    <w:topLinePunct w:val="0"/>
                    <w:bidi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1.10</w:t>
                  </w:r>
                </w:p>
              </w:tc>
            </w:tr>
          </w:tbl>
          <w:p>
            <w:pPr>
              <w:pStyle w:val="2"/>
              <w:widowControl w:val="0"/>
              <w:overflowPunct w:val="0"/>
              <w:snapToGrid/>
              <w:spacing w:before="0" w:after="0" w:line="360" w:lineRule="auto"/>
              <w:ind w:right="0" w:firstLine="480" w:firstLineChars="200"/>
              <w:rPr>
                <w:rFonts w:hint="eastAsia"/>
                <w:color w:val="auto"/>
                <w:sz w:val="24"/>
                <w:szCs w:val="24"/>
                <w:u w:val="none"/>
              </w:rPr>
            </w:pPr>
            <w:r>
              <w:rPr>
                <w:rFonts w:hint="eastAsia"/>
                <w:color w:val="auto"/>
                <w:sz w:val="24"/>
                <w:szCs w:val="24"/>
                <w:u w:val="none"/>
              </w:rPr>
              <w:t>综上，本项目废气污染源强核算结果详见下表。</w:t>
            </w:r>
          </w:p>
          <w:p>
            <w:pPr>
              <w:overflowPunct w:val="0"/>
              <w:adjustRightInd w:val="0"/>
              <w:snapToGrid w:val="0"/>
              <w:spacing w:line="360" w:lineRule="auto"/>
              <w:jc w:val="center"/>
              <w:rPr>
                <w:rFonts w:hint="eastAsia"/>
                <w:b/>
                <w:color w:val="auto"/>
                <w:szCs w:val="21"/>
                <w:u w:val="none"/>
              </w:rPr>
            </w:pPr>
            <w:r>
              <w:rPr>
                <w:rFonts w:hint="eastAsia"/>
                <w:b/>
                <w:color w:val="auto"/>
                <w:szCs w:val="21"/>
                <w:u w:val="none"/>
              </w:rPr>
              <w:t>表</w:t>
            </w:r>
            <w:r>
              <w:rPr>
                <w:b/>
                <w:color w:val="auto"/>
                <w:szCs w:val="21"/>
                <w:u w:val="none"/>
              </w:rPr>
              <w:t>4-</w:t>
            </w:r>
            <w:r>
              <w:rPr>
                <w:rFonts w:hint="eastAsia"/>
                <w:b/>
                <w:color w:val="auto"/>
                <w:szCs w:val="21"/>
                <w:u w:val="none"/>
              </w:rPr>
              <w:t>3</w:t>
            </w:r>
            <w:r>
              <w:rPr>
                <w:b/>
                <w:color w:val="auto"/>
                <w:szCs w:val="21"/>
                <w:u w:val="none"/>
              </w:rPr>
              <w:t xml:space="preserve"> </w:t>
            </w:r>
            <w:r>
              <w:rPr>
                <w:rFonts w:hint="eastAsia"/>
                <w:b/>
                <w:color w:val="auto"/>
                <w:szCs w:val="21"/>
                <w:u w:val="none"/>
              </w:rPr>
              <w:t>废气污染源强核算、处理、排放一览表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682"/>
              <w:gridCol w:w="797"/>
              <w:gridCol w:w="1105"/>
              <w:gridCol w:w="942"/>
              <w:gridCol w:w="672"/>
              <w:gridCol w:w="776"/>
              <w:gridCol w:w="797"/>
              <w:gridCol w:w="1105"/>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349" w:type="pct"/>
                  <w:vMerge w:val="restart"/>
                  <w:noWrap w:val="0"/>
                  <w:vAlign w:val="center"/>
                </w:tcPr>
                <w:p>
                  <w:pPr>
                    <w:overflowPunct w:val="0"/>
                    <w:jc w:val="center"/>
                    <w:rPr>
                      <w:rFonts w:hint="eastAsia" w:ascii="Calibri" w:hAnsi="Calibri"/>
                      <w:b/>
                      <w:bCs/>
                      <w:color w:val="auto"/>
                      <w:sz w:val="21"/>
                      <w:szCs w:val="21"/>
                      <w:highlight w:val="none"/>
                      <w:u w:val="none"/>
                    </w:rPr>
                  </w:pPr>
                  <w:r>
                    <w:rPr>
                      <w:rFonts w:hint="eastAsia"/>
                      <w:b/>
                      <w:bCs/>
                      <w:color w:val="auto"/>
                      <w:sz w:val="21"/>
                      <w:szCs w:val="21"/>
                      <w:highlight w:val="none"/>
                      <w:u w:val="none"/>
                    </w:rPr>
                    <w:t>工序</w:t>
                  </w:r>
                </w:p>
              </w:tc>
              <w:tc>
                <w:tcPr>
                  <w:tcW w:w="405" w:type="pct"/>
                  <w:vMerge w:val="restart"/>
                  <w:noWrap w:val="0"/>
                  <w:vAlign w:val="center"/>
                </w:tcPr>
                <w:p>
                  <w:pPr>
                    <w:overflowPunct w:val="0"/>
                    <w:jc w:val="center"/>
                    <w:rPr>
                      <w:rFonts w:hint="eastAsia" w:ascii="Calibri" w:hAnsi="Calibri"/>
                      <w:b/>
                      <w:bCs/>
                      <w:color w:val="auto"/>
                      <w:sz w:val="21"/>
                      <w:szCs w:val="21"/>
                      <w:highlight w:val="none"/>
                      <w:u w:val="none"/>
                    </w:rPr>
                  </w:pPr>
                  <w:r>
                    <w:rPr>
                      <w:rFonts w:hint="eastAsia"/>
                      <w:b/>
                      <w:bCs/>
                      <w:color w:val="auto"/>
                      <w:sz w:val="21"/>
                      <w:szCs w:val="21"/>
                      <w:highlight w:val="none"/>
                      <w:u w:val="none"/>
                    </w:rPr>
                    <w:t>污染物</w:t>
                  </w:r>
                </w:p>
              </w:tc>
              <w:tc>
                <w:tcPr>
                  <w:tcW w:w="1691" w:type="pct"/>
                  <w:gridSpan w:val="3"/>
                  <w:noWrap w:val="0"/>
                  <w:vAlign w:val="center"/>
                </w:tcPr>
                <w:p>
                  <w:pPr>
                    <w:overflowPunct w:val="0"/>
                    <w:jc w:val="center"/>
                    <w:rPr>
                      <w:rFonts w:hint="eastAsia"/>
                      <w:b/>
                      <w:bCs/>
                      <w:color w:val="auto"/>
                      <w:sz w:val="21"/>
                      <w:szCs w:val="21"/>
                      <w:highlight w:val="none"/>
                      <w:u w:val="none"/>
                    </w:rPr>
                  </w:pPr>
                  <w:r>
                    <w:rPr>
                      <w:rFonts w:hint="eastAsia"/>
                      <w:b/>
                      <w:bCs/>
                      <w:color w:val="auto"/>
                      <w:sz w:val="21"/>
                      <w:szCs w:val="21"/>
                      <w:highlight w:val="none"/>
                      <w:u w:val="none"/>
                    </w:rPr>
                    <w:t>污染物产生</w:t>
                  </w:r>
                </w:p>
              </w:tc>
              <w:tc>
                <w:tcPr>
                  <w:tcW w:w="861" w:type="pct"/>
                  <w:gridSpan w:val="2"/>
                  <w:noWrap w:val="0"/>
                  <w:vAlign w:val="center"/>
                </w:tcPr>
                <w:p>
                  <w:pPr>
                    <w:overflowPunct w:val="0"/>
                    <w:jc w:val="center"/>
                    <w:rPr>
                      <w:rFonts w:hint="eastAsia"/>
                      <w:b/>
                      <w:bCs/>
                      <w:color w:val="auto"/>
                      <w:sz w:val="21"/>
                      <w:szCs w:val="21"/>
                      <w:u w:val="none"/>
                    </w:rPr>
                  </w:pPr>
                  <w:r>
                    <w:rPr>
                      <w:rFonts w:hint="eastAsia"/>
                      <w:b/>
                      <w:bCs/>
                      <w:color w:val="auto"/>
                      <w:sz w:val="21"/>
                      <w:szCs w:val="21"/>
                      <w:u w:val="none"/>
                    </w:rPr>
                    <w:t>治理措施</w:t>
                  </w:r>
                </w:p>
              </w:tc>
              <w:tc>
                <w:tcPr>
                  <w:tcW w:w="1692" w:type="pct"/>
                  <w:gridSpan w:val="3"/>
                  <w:noWrap w:val="0"/>
                  <w:vAlign w:val="center"/>
                </w:tcPr>
                <w:p>
                  <w:pPr>
                    <w:overflowPunct w:val="0"/>
                    <w:jc w:val="center"/>
                    <w:rPr>
                      <w:rFonts w:hint="eastAsia"/>
                      <w:b/>
                      <w:bCs/>
                      <w:color w:val="auto"/>
                      <w:sz w:val="21"/>
                      <w:szCs w:val="21"/>
                      <w:u w:val="none"/>
                    </w:rPr>
                  </w:pPr>
                  <w:r>
                    <w:rPr>
                      <w:rFonts w:hint="eastAsia"/>
                      <w:b/>
                      <w:bCs/>
                      <w:color w:val="auto"/>
                      <w:sz w:val="21"/>
                      <w:szCs w:val="21"/>
                      <w:u w:val="none"/>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49" w:type="pct"/>
                  <w:vMerge w:val="continue"/>
                  <w:noWrap w:val="0"/>
                  <w:vAlign w:val="center"/>
                </w:tcPr>
                <w:p>
                  <w:pPr>
                    <w:overflowPunct w:val="0"/>
                    <w:jc w:val="center"/>
                    <w:rPr>
                      <w:rFonts w:hint="eastAsia" w:ascii="Calibri" w:hAnsi="Calibri"/>
                      <w:color w:val="auto"/>
                      <w:sz w:val="21"/>
                      <w:szCs w:val="21"/>
                      <w:highlight w:val="none"/>
                      <w:u w:val="none"/>
                    </w:rPr>
                  </w:pPr>
                </w:p>
              </w:tc>
              <w:tc>
                <w:tcPr>
                  <w:tcW w:w="405" w:type="pct"/>
                  <w:vMerge w:val="continue"/>
                  <w:noWrap w:val="0"/>
                  <w:vAlign w:val="center"/>
                </w:tcPr>
                <w:p>
                  <w:pPr>
                    <w:overflowPunct w:val="0"/>
                    <w:jc w:val="center"/>
                    <w:rPr>
                      <w:rFonts w:hint="eastAsia" w:ascii="Calibri" w:hAnsi="Calibri"/>
                      <w:color w:val="auto"/>
                      <w:sz w:val="21"/>
                      <w:szCs w:val="21"/>
                      <w:highlight w:val="none"/>
                      <w:u w:val="none"/>
                    </w:rPr>
                  </w:pPr>
                </w:p>
              </w:tc>
              <w:tc>
                <w:tcPr>
                  <w:tcW w:w="474" w:type="pct"/>
                  <w:noWrap w:val="0"/>
                  <w:vAlign w:val="center"/>
                </w:tcPr>
                <w:p>
                  <w:pPr>
                    <w:overflowPunct w:val="0"/>
                    <w:jc w:val="center"/>
                    <w:rPr>
                      <w:b/>
                      <w:bCs/>
                      <w:color w:val="auto"/>
                      <w:sz w:val="21"/>
                      <w:szCs w:val="21"/>
                      <w:highlight w:val="none"/>
                      <w:u w:val="none"/>
                    </w:rPr>
                  </w:pPr>
                  <w:r>
                    <w:rPr>
                      <w:rFonts w:hint="eastAsia"/>
                      <w:b/>
                      <w:bCs/>
                      <w:color w:val="auto"/>
                      <w:sz w:val="21"/>
                      <w:szCs w:val="21"/>
                      <w:highlight w:val="none"/>
                      <w:u w:val="none"/>
                    </w:rPr>
                    <w:t>废气产生量（t/a）</w:t>
                  </w:r>
                </w:p>
              </w:tc>
              <w:tc>
                <w:tcPr>
                  <w:tcW w:w="657" w:type="pct"/>
                  <w:noWrap w:val="0"/>
                  <w:vAlign w:val="center"/>
                </w:tcPr>
                <w:p>
                  <w:pPr>
                    <w:overflowPunct w:val="0"/>
                    <w:jc w:val="center"/>
                    <w:rPr>
                      <w:rFonts w:hint="eastAsia"/>
                      <w:b/>
                      <w:bCs/>
                      <w:color w:val="auto"/>
                      <w:sz w:val="21"/>
                      <w:szCs w:val="21"/>
                      <w:u w:val="none"/>
                    </w:rPr>
                  </w:pPr>
                  <w:r>
                    <w:rPr>
                      <w:rFonts w:hint="eastAsia"/>
                      <w:b/>
                      <w:bCs/>
                      <w:color w:val="auto"/>
                      <w:sz w:val="21"/>
                      <w:szCs w:val="21"/>
                      <w:u w:val="none"/>
                    </w:rPr>
                    <w:t>产生浓度（mg/m</w:t>
                  </w:r>
                  <w:r>
                    <w:rPr>
                      <w:rFonts w:hint="eastAsia"/>
                      <w:b/>
                      <w:bCs/>
                      <w:color w:val="auto"/>
                      <w:sz w:val="21"/>
                      <w:szCs w:val="21"/>
                      <w:u w:val="none"/>
                      <w:vertAlign w:val="superscript"/>
                    </w:rPr>
                    <w:t>3</w:t>
                  </w:r>
                  <w:r>
                    <w:rPr>
                      <w:rFonts w:hint="eastAsia"/>
                      <w:b/>
                      <w:bCs/>
                      <w:color w:val="auto"/>
                      <w:sz w:val="21"/>
                      <w:szCs w:val="21"/>
                      <w:u w:val="none"/>
                    </w:rPr>
                    <w:t>）</w:t>
                  </w:r>
                </w:p>
              </w:tc>
              <w:tc>
                <w:tcPr>
                  <w:tcW w:w="560" w:type="pct"/>
                  <w:noWrap w:val="0"/>
                  <w:vAlign w:val="center"/>
                </w:tcPr>
                <w:p>
                  <w:pPr>
                    <w:overflowPunct w:val="0"/>
                    <w:jc w:val="center"/>
                    <w:rPr>
                      <w:b/>
                      <w:bCs/>
                      <w:color w:val="auto"/>
                      <w:sz w:val="21"/>
                      <w:szCs w:val="21"/>
                      <w:u w:val="none"/>
                    </w:rPr>
                  </w:pPr>
                  <w:r>
                    <w:rPr>
                      <w:rFonts w:hint="eastAsia"/>
                      <w:b/>
                      <w:bCs/>
                      <w:color w:val="auto"/>
                      <w:sz w:val="21"/>
                      <w:szCs w:val="21"/>
                      <w:u w:val="none"/>
                    </w:rPr>
                    <w:t>产生速率（kg/h）</w:t>
                  </w:r>
                </w:p>
              </w:tc>
              <w:tc>
                <w:tcPr>
                  <w:tcW w:w="399" w:type="pct"/>
                  <w:noWrap w:val="0"/>
                  <w:vAlign w:val="center"/>
                </w:tcPr>
                <w:p>
                  <w:pPr>
                    <w:overflowPunct w:val="0"/>
                    <w:jc w:val="center"/>
                    <w:rPr>
                      <w:b/>
                      <w:bCs/>
                      <w:color w:val="auto"/>
                      <w:sz w:val="21"/>
                      <w:szCs w:val="21"/>
                      <w:u w:val="none"/>
                    </w:rPr>
                  </w:pPr>
                  <w:r>
                    <w:rPr>
                      <w:rFonts w:hint="eastAsia"/>
                      <w:b/>
                      <w:bCs/>
                      <w:color w:val="auto"/>
                      <w:sz w:val="21"/>
                      <w:szCs w:val="21"/>
                      <w:u w:val="none"/>
                    </w:rPr>
                    <w:t>工艺</w:t>
                  </w:r>
                </w:p>
              </w:tc>
              <w:tc>
                <w:tcPr>
                  <w:tcW w:w="461" w:type="pct"/>
                  <w:noWrap w:val="0"/>
                  <w:vAlign w:val="center"/>
                </w:tcPr>
                <w:p>
                  <w:pPr>
                    <w:overflowPunct w:val="0"/>
                    <w:jc w:val="center"/>
                    <w:rPr>
                      <w:b/>
                      <w:bCs/>
                      <w:color w:val="auto"/>
                      <w:sz w:val="21"/>
                      <w:szCs w:val="21"/>
                      <w:u w:val="none"/>
                    </w:rPr>
                  </w:pPr>
                  <w:r>
                    <w:rPr>
                      <w:rFonts w:hint="eastAsia"/>
                      <w:b/>
                      <w:bCs/>
                      <w:color w:val="auto"/>
                      <w:sz w:val="21"/>
                      <w:szCs w:val="21"/>
                      <w:u w:val="none"/>
                    </w:rPr>
                    <w:t>处理效率（%）</w:t>
                  </w:r>
                </w:p>
              </w:tc>
              <w:tc>
                <w:tcPr>
                  <w:tcW w:w="474" w:type="pct"/>
                  <w:noWrap w:val="0"/>
                  <w:vAlign w:val="center"/>
                </w:tcPr>
                <w:p>
                  <w:pPr>
                    <w:overflowPunct w:val="0"/>
                    <w:jc w:val="center"/>
                    <w:rPr>
                      <w:rFonts w:hint="eastAsia"/>
                      <w:b/>
                      <w:bCs/>
                      <w:color w:val="auto"/>
                      <w:sz w:val="21"/>
                      <w:szCs w:val="21"/>
                      <w:u w:val="none"/>
                    </w:rPr>
                  </w:pPr>
                  <w:r>
                    <w:rPr>
                      <w:rFonts w:hint="eastAsia"/>
                      <w:b/>
                      <w:bCs/>
                      <w:color w:val="auto"/>
                      <w:sz w:val="21"/>
                      <w:szCs w:val="21"/>
                      <w:u w:val="none"/>
                    </w:rPr>
                    <w:t>废气排放量（t/a）</w:t>
                  </w:r>
                </w:p>
              </w:tc>
              <w:tc>
                <w:tcPr>
                  <w:tcW w:w="657" w:type="pct"/>
                  <w:noWrap w:val="0"/>
                  <w:vAlign w:val="center"/>
                </w:tcPr>
                <w:p>
                  <w:pPr>
                    <w:overflowPunct w:val="0"/>
                    <w:jc w:val="center"/>
                    <w:rPr>
                      <w:rFonts w:hint="eastAsia"/>
                      <w:b/>
                      <w:bCs/>
                      <w:color w:val="auto"/>
                      <w:sz w:val="21"/>
                      <w:szCs w:val="21"/>
                      <w:u w:val="none"/>
                    </w:rPr>
                  </w:pPr>
                  <w:r>
                    <w:rPr>
                      <w:rFonts w:hint="eastAsia"/>
                      <w:b/>
                      <w:bCs/>
                      <w:color w:val="auto"/>
                      <w:sz w:val="21"/>
                      <w:szCs w:val="21"/>
                      <w:u w:val="none"/>
                    </w:rPr>
                    <w:t>排放浓度（mg/m</w:t>
                  </w:r>
                  <w:r>
                    <w:rPr>
                      <w:rFonts w:hint="eastAsia"/>
                      <w:b/>
                      <w:bCs/>
                      <w:color w:val="auto"/>
                      <w:sz w:val="21"/>
                      <w:szCs w:val="21"/>
                      <w:u w:val="none"/>
                      <w:vertAlign w:val="superscript"/>
                    </w:rPr>
                    <w:t>3</w:t>
                  </w:r>
                  <w:r>
                    <w:rPr>
                      <w:rFonts w:hint="eastAsia"/>
                      <w:b/>
                      <w:bCs/>
                      <w:color w:val="auto"/>
                      <w:sz w:val="21"/>
                      <w:szCs w:val="21"/>
                      <w:u w:val="none"/>
                    </w:rPr>
                    <w:t>）</w:t>
                  </w:r>
                </w:p>
              </w:tc>
              <w:tc>
                <w:tcPr>
                  <w:tcW w:w="560" w:type="pct"/>
                  <w:noWrap w:val="0"/>
                  <w:vAlign w:val="center"/>
                </w:tcPr>
                <w:p>
                  <w:pPr>
                    <w:overflowPunct w:val="0"/>
                    <w:jc w:val="center"/>
                    <w:rPr>
                      <w:b/>
                      <w:bCs/>
                      <w:color w:val="auto"/>
                      <w:sz w:val="21"/>
                      <w:szCs w:val="21"/>
                      <w:u w:val="none"/>
                    </w:rPr>
                  </w:pPr>
                  <w:r>
                    <w:rPr>
                      <w:rFonts w:hint="eastAsia"/>
                      <w:b/>
                      <w:bCs/>
                      <w:color w:val="auto"/>
                      <w:sz w:val="21"/>
                      <w:szCs w:val="21"/>
                      <w:u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1" w:hRule="atLeast"/>
                <w:jc w:val="center"/>
              </w:trPr>
              <w:tc>
                <w:tcPr>
                  <w:tcW w:w="349"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发泡、搅拌、熟化</w:t>
                  </w:r>
                </w:p>
              </w:tc>
              <w:tc>
                <w:tcPr>
                  <w:tcW w:w="405"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非甲烷总烃</w:t>
                  </w: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1.47</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122.5</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eastAsia="宋体"/>
                      <w:color w:val="auto"/>
                      <w:sz w:val="21"/>
                      <w:szCs w:val="21"/>
                      <w:highlight w:val="none"/>
                      <w:u w:val="none"/>
                      <w:lang w:val="en-US" w:eastAsia="zh-CN"/>
                    </w:rPr>
                    <w:t>0.</w:t>
                  </w:r>
                  <w:r>
                    <w:rPr>
                      <w:rFonts w:hint="eastAsia"/>
                      <w:color w:val="auto"/>
                      <w:sz w:val="21"/>
                      <w:szCs w:val="21"/>
                      <w:highlight w:val="none"/>
                      <w:u w:val="none"/>
                      <w:lang w:val="en-US" w:eastAsia="zh-CN"/>
                    </w:rPr>
                    <w:t>61</w:t>
                  </w:r>
                </w:p>
              </w:tc>
              <w:tc>
                <w:tcPr>
                  <w:tcW w:w="399" w:type="pct"/>
                  <w:vMerge w:val="restar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eastAsia="zh-CN"/>
                    </w:rPr>
                    <w:t>“UV 光解+活性炭吸附”</w:t>
                  </w:r>
                </w:p>
              </w:tc>
              <w:tc>
                <w:tcPr>
                  <w:tcW w:w="461" w:type="pct"/>
                  <w:vMerge w:val="restar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9</w:t>
                  </w:r>
                  <w:r>
                    <w:rPr>
                      <w:rFonts w:hint="eastAsia"/>
                      <w:color w:val="auto"/>
                      <w:sz w:val="21"/>
                      <w:szCs w:val="21"/>
                      <w:highlight w:val="none"/>
                      <w:u w:val="none"/>
                    </w:rPr>
                    <w:t>0</w:t>
                  </w: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0.14</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11.67</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rPr>
                    <w:t>0.</w:t>
                  </w:r>
                  <w:r>
                    <w:rPr>
                      <w:rFonts w:hint="eastAsia"/>
                      <w:color w:val="auto"/>
                      <w:sz w:val="21"/>
                      <w:szCs w:val="21"/>
                      <w:highlight w:val="none"/>
                      <w:u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49" w:type="pct"/>
                  <w:noWrap w:val="0"/>
                  <w:vAlign w:val="center"/>
                </w:tcPr>
                <w:p>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印刷</w:t>
                  </w:r>
                </w:p>
              </w:tc>
              <w:tc>
                <w:tcPr>
                  <w:tcW w:w="405"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VOCs</w:t>
                  </w: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0.27</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22.5</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0.11</w:t>
                  </w:r>
                </w:p>
              </w:tc>
              <w:tc>
                <w:tcPr>
                  <w:tcW w:w="399" w:type="pct"/>
                  <w:vMerge w:val="continue"/>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61" w:type="pct"/>
                  <w:vMerge w:val="continue"/>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0.03</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2.5</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9" w:type="pct"/>
                  <w:vMerge w:val="restart"/>
                  <w:noWrap w:val="0"/>
                  <w:vAlign w:val="center"/>
                </w:tcPr>
                <w:p>
                  <w:pPr>
                    <w:jc w:val="center"/>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热风炉</w:t>
                  </w:r>
                </w:p>
              </w:tc>
              <w:tc>
                <w:tcPr>
                  <w:tcW w:w="405" w:type="pct"/>
                  <w:noWrap w:val="0"/>
                  <w:vAlign w:val="center"/>
                </w:tcPr>
                <w:p>
                  <w:pPr>
                    <w:pageBreakBefore w:val="0"/>
                    <w:kinsoku/>
                    <w:overflowPunct w:val="0"/>
                    <w:topLinePunct w:val="0"/>
                    <w:bidi w:val="0"/>
                    <w:adjustRightInd w:val="0"/>
                    <w:snapToGrid w:val="0"/>
                    <w:spacing w:line="320" w:lineRule="exact"/>
                    <w:jc w:val="center"/>
                    <w:rPr>
                      <w:rFonts w:hint="default" w:eastAsia="宋体"/>
                      <w:color w:val="auto"/>
                      <w:sz w:val="21"/>
                      <w:szCs w:val="21"/>
                      <w:highlight w:val="none"/>
                      <w:u w:val="none"/>
                      <w:lang w:val="en-US" w:eastAsia="zh-CN"/>
                    </w:rPr>
                  </w:pP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p>
              </w:tc>
              <w:tc>
                <w:tcPr>
                  <w:tcW w:w="474" w:type="pct"/>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c>
                <w:tcPr>
                  <w:tcW w:w="1105" w:type="dxa"/>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single"/>
                      <w:lang w:val="en-US" w:eastAsia="zh-CN" w:bidi="ar-SA"/>
                    </w:rPr>
                  </w:pPr>
                  <w:r>
                    <w:rPr>
                      <w:rFonts w:hint="eastAsia"/>
                      <w:color w:val="auto"/>
                      <w:highlight w:val="none"/>
                      <w:u w:val="single"/>
                      <w:lang w:val="en-US" w:eastAsia="zh-CN"/>
                    </w:rPr>
                    <w:t>37.04</w:t>
                  </w:r>
                </w:p>
              </w:tc>
              <w:tc>
                <w:tcPr>
                  <w:tcW w:w="942" w:type="dxa"/>
                  <w:noWrap w:val="0"/>
                  <w:vAlign w:val="center"/>
                </w:tcPr>
                <w:p>
                  <w:pPr>
                    <w:keepNext w:val="0"/>
                    <w:keepLines w:val="0"/>
                    <w:widowControl/>
                    <w:suppressLineNumbers w:val="0"/>
                    <w:jc w:val="center"/>
                    <w:textAlignment w:val="center"/>
                    <w:rPr>
                      <w:rFonts w:hint="default" w:cs="Times New Roman"/>
                      <w:color w:val="auto"/>
                      <w:kern w:val="2"/>
                      <w:sz w:val="21"/>
                      <w:szCs w:val="21"/>
                      <w:highlight w:val="none"/>
                      <w:u w:val="single"/>
                      <w:lang w:val="en-US" w:eastAsia="zh-CN" w:bidi="ar-SA"/>
                    </w:rPr>
                  </w:pPr>
                  <w:r>
                    <w:rPr>
                      <w:rFonts w:hint="eastAsia"/>
                      <w:color w:val="auto"/>
                      <w:highlight w:val="none"/>
                      <w:u w:val="single"/>
                      <w:lang w:val="en-US" w:eastAsia="zh-CN"/>
                    </w:rPr>
                    <w:t>0.083</w:t>
                  </w:r>
                </w:p>
              </w:tc>
              <w:tc>
                <w:tcPr>
                  <w:tcW w:w="399"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61"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7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c>
                <w:tcPr>
                  <w:tcW w:w="11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37.04</w:t>
                  </w:r>
                </w:p>
              </w:tc>
              <w:tc>
                <w:tcPr>
                  <w:tcW w:w="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9" w:type="pct"/>
                  <w:vMerge w:val="continue"/>
                  <w:noWrap w:val="0"/>
                  <w:vAlign w:val="center"/>
                </w:tcPr>
                <w:p>
                  <w:pPr>
                    <w:jc w:val="center"/>
                    <w:rPr>
                      <w:rFonts w:hint="eastAsia" w:cs="Times New Roman"/>
                      <w:color w:val="auto"/>
                      <w:kern w:val="2"/>
                      <w:sz w:val="21"/>
                      <w:szCs w:val="21"/>
                      <w:highlight w:val="none"/>
                      <w:u w:val="none"/>
                      <w:lang w:val="en-US" w:eastAsia="zh-CN" w:bidi="ar-SA"/>
                    </w:rPr>
                  </w:pPr>
                </w:p>
              </w:tc>
              <w:tc>
                <w:tcPr>
                  <w:tcW w:w="405"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highlight w:val="none"/>
                      <w:u w:val="none"/>
                      <w:lang w:val="en-US" w:eastAsia="zh-CN"/>
                    </w:rPr>
                  </w:pPr>
                  <w:r>
                    <w:rPr>
                      <w:rFonts w:hint="eastAsia" w:eastAsia="宋体" w:cs="Times New Roman"/>
                      <w:color w:val="000000"/>
                      <w:sz w:val="21"/>
                      <w:szCs w:val="21"/>
                      <w:highlight w:val="none"/>
                      <w:lang w:eastAsia="zh-CN"/>
                    </w:rPr>
                    <w:t>颗粒物</w:t>
                  </w:r>
                </w:p>
              </w:tc>
              <w:tc>
                <w:tcPr>
                  <w:tcW w:w="474" w:type="pct"/>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0.11</w:t>
                  </w:r>
                </w:p>
              </w:tc>
              <w:tc>
                <w:tcPr>
                  <w:tcW w:w="1105" w:type="dxa"/>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single"/>
                      <w:lang w:val="en-US" w:eastAsia="zh-CN" w:bidi="ar-SA"/>
                    </w:rPr>
                  </w:pPr>
                  <w:r>
                    <w:rPr>
                      <w:rFonts w:hint="eastAsia"/>
                      <w:color w:val="auto"/>
                      <w:highlight w:val="none"/>
                      <w:u w:val="single"/>
                      <w:lang w:val="en-US" w:eastAsia="zh-CN"/>
                    </w:rPr>
                    <w:t>27.16</w:t>
                  </w:r>
                </w:p>
              </w:tc>
              <w:tc>
                <w:tcPr>
                  <w:tcW w:w="942" w:type="dxa"/>
                  <w:noWrap w:val="0"/>
                  <w:vAlign w:val="center"/>
                </w:tcPr>
                <w:p>
                  <w:pPr>
                    <w:keepNext w:val="0"/>
                    <w:keepLines w:val="0"/>
                    <w:widowControl/>
                    <w:suppressLineNumbers w:val="0"/>
                    <w:jc w:val="center"/>
                    <w:textAlignment w:val="center"/>
                    <w:rPr>
                      <w:rFonts w:hint="default" w:cs="Times New Roman"/>
                      <w:color w:val="auto"/>
                      <w:kern w:val="2"/>
                      <w:sz w:val="21"/>
                      <w:szCs w:val="21"/>
                      <w:highlight w:val="none"/>
                      <w:u w:val="single"/>
                      <w:lang w:val="en-US" w:eastAsia="zh-CN" w:bidi="ar-SA"/>
                    </w:rPr>
                  </w:pPr>
                  <w:r>
                    <w:rPr>
                      <w:rFonts w:hint="eastAsia"/>
                      <w:color w:val="auto"/>
                      <w:highlight w:val="none"/>
                      <w:u w:val="single"/>
                      <w:lang w:val="en-US" w:eastAsia="zh-CN"/>
                    </w:rPr>
                    <w:t>0.061</w:t>
                  </w:r>
                </w:p>
              </w:tc>
              <w:tc>
                <w:tcPr>
                  <w:tcW w:w="399"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61"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7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0.11</w:t>
                  </w:r>
                </w:p>
              </w:tc>
              <w:tc>
                <w:tcPr>
                  <w:tcW w:w="11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27.16</w:t>
                  </w:r>
                </w:p>
              </w:tc>
              <w:tc>
                <w:tcPr>
                  <w:tcW w:w="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9" w:type="pct"/>
                  <w:vMerge w:val="continue"/>
                  <w:noWrap w:val="0"/>
                  <w:vAlign w:val="center"/>
                </w:tcPr>
                <w:p>
                  <w:pPr>
                    <w:jc w:val="center"/>
                    <w:rPr>
                      <w:rFonts w:hint="eastAsia" w:cs="Times New Roman"/>
                      <w:color w:val="auto"/>
                      <w:kern w:val="2"/>
                      <w:sz w:val="21"/>
                      <w:szCs w:val="21"/>
                      <w:highlight w:val="none"/>
                      <w:u w:val="none"/>
                      <w:lang w:val="en-US" w:eastAsia="zh-CN" w:bidi="ar-SA"/>
                    </w:rPr>
                  </w:pPr>
                </w:p>
              </w:tc>
              <w:tc>
                <w:tcPr>
                  <w:tcW w:w="405" w:type="pct"/>
                  <w:noWrap w:val="0"/>
                  <w:vAlign w:val="center"/>
                </w:tcPr>
                <w:p>
                  <w:pPr>
                    <w:pageBreakBefore w:val="0"/>
                    <w:kinsoku/>
                    <w:overflowPunct w:val="0"/>
                    <w:topLinePunct w:val="0"/>
                    <w:bidi w:val="0"/>
                    <w:adjustRightInd w:val="0"/>
                    <w:snapToGrid w:val="0"/>
                    <w:spacing w:line="320" w:lineRule="exact"/>
                    <w:jc w:val="center"/>
                    <w:rPr>
                      <w:rFonts w:hint="default" w:eastAsia="宋体"/>
                      <w:color w:val="auto"/>
                      <w:sz w:val="21"/>
                      <w:szCs w:val="21"/>
                      <w:highlight w:val="none"/>
                      <w:u w:val="none"/>
                      <w:lang w:val="en-US" w:eastAsia="zh-CN"/>
                    </w:rPr>
                  </w:pPr>
                  <w:r>
                    <w:rPr>
                      <w:rFonts w:hint="eastAsia" w:cs="Times New Roman"/>
                      <w:color w:val="000000"/>
                      <w:sz w:val="21"/>
                      <w:szCs w:val="21"/>
                      <w:highlight w:val="none"/>
                      <w:lang w:val="en-US" w:eastAsia="zh-CN"/>
                    </w:rPr>
                    <w:t>NO</w:t>
                  </w:r>
                  <w:r>
                    <w:rPr>
                      <w:rFonts w:hint="eastAsia" w:cs="Times New Roman"/>
                      <w:color w:val="000000"/>
                      <w:sz w:val="21"/>
                      <w:szCs w:val="21"/>
                      <w:highlight w:val="none"/>
                      <w:vertAlign w:val="subscript"/>
                      <w:lang w:val="en-US" w:eastAsia="zh-CN"/>
                    </w:rPr>
                    <w:t>X</w:t>
                  </w:r>
                </w:p>
              </w:tc>
              <w:tc>
                <w:tcPr>
                  <w:tcW w:w="474" w:type="pct"/>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71</w:t>
                  </w:r>
                </w:p>
              </w:tc>
              <w:tc>
                <w:tcPr>
                  <w:tcW w:w="1105" w:type="dxa"/>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u w:val="single"/>
                      <w:lang w:val="en-US" w:eastAsia="zh-CN" w:bidi="ar-SA"/>
                    </w:rPr>
                  </w:pPr>
                  <w:r>
                    <w:rPr>
                      <w:rFonts w:hint="eastAsia"/>
                      <w:color w:val="auto"/>
                      <w:highlight w:val="none"/>
                      <w:u w:val="single"/>
                      <w:lang w:val="en-US" w:eastAsia="zh-CN"/>
                    </w:rPr>
                    <w:t>175.31</w:t>
                  </w:r>
                </w:p>
              </w:tc>
              <w:tc>
                <w:tcPr>
                  <w:tcW w:w="942" w:type="dxa"/>
                  <w:noWrap w:val="0"/>
                  <w:vAlign w:val="center"/>
                </w:tcPr>
                <w:p>
                  <w:pPr>
                    <w:keepNext w:val="0"/>
                    <w:keepLines w:val="0"/>
                    <w:widowControl/>
                    <w:suppressLineNumbers w:val="0"/>
                    <w:jc w:val="center"/>
                    <w:textAlignment w:val="center"/>
                    <w:rPr>
                      <w:rFonts w:hint="default" w:cs="Times New Roman"/>
                      <w:color w:val="auto"/>
                      <w:kern w:val="2"/>
                      <w:sz w:val="21"/>
                      <w:szCs w:val="21"/>
                      <w:highlight w:val="none"/>
                      <w:u w:val="single"/>
                      <w:lang w:val="en-US" w:eastAsia="zh-CN" w:bidi="ar-SA"/>
                    </w:rPr>
                  </w:pPr>
                  <w:r>
                    <w:rPr>
                      <w:rFonts w:hint="eastAsia"/>
                      <w:color w:val="auto"/>
                      <w:highlight w:val="none"/>
                      <w:u w:val="single"/>
                      <w:lang w:val="en-US" w:eastAsia="zh-CN"/>
                    </w:rPr>
                    <w:t>0.39</w:t>
                  </w:r>
                </w:p>
              </w:tc>
              <w:tc>
                <w:tcPr>
                  <w:tcW w:w="399"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61" w:type="pct"/>
                  <w:noWrap w:val="0"/>
                  <w:vAlign w:val="center"/>
                </w:tcPr>
                <w:p>
                  <w:pPr>
                    <w:overflowPunct w:val="0"/>
                    <w:jc w:val="center"/>
                    <w:rPr>
                      <w:rFonts w:hint="eastAsia"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kern w:val="2"/>
                      <w:sz w:val="21"/>
                      <w:szCs w:val="21"/>
                      <w:highlight w:val="none"/>
                      <w:u w:val="none"/>
                      <w:lang w:val="en-US" w:eastAsia="zh-CN" w:bidi="ar-SA"/>
                    </w:rPr>
                    <w:t>/</w:t>
                  </w:r>
                </w:p>
              </w:tc>
              <w:tc>
                <w:tcPr>
                  <w:tcW w:w="47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71</w:t>
                  </w:r>
                </w:p>
              </w:tc>
              <w:tc>
                <w:tcPr>
                  <w:tcW w:w="11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175.31</w:t>
                  </w:r>
                </w:p>
              </w:tc>
              <w:tc>
                <w:tcPr>
                  <w:tcW w:w="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u w:val="singl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49" w:type="pct"/>
                  <w:noWrap w:val="0"/>
                  <w:vAlign w:val="center"/>
                </w:tcPr>
                <w:p>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eastAsia="zh-CN"/>
                    </w:rPr>
                    <w:t>食堂</w:t>
                  </w:r>
                </w:p>
              </w:tc>
              <w:tc>
                <w:tcPr>
                  <w:tcW w:w="405"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eastAsia="zh-CN"/>
                    </w:rPr>
                    <w:t>油烟</w:t>
                  </w: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0.01</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olor w:val="auto"/>
                      <w:sz w:val="21"/>
                      <w:szCs w:val="21"/>
                      <w:highlight w:val="none"/>
                      <w:u w:val="none"/>
                      <w:lang w:val="en-US" w:eastAsia="zh-CN"/>
                    </w:rPr>
                    <w:t>4.17</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rPr>
                    <w:t>0.</w:t>
                  </w:r>
                  <w:r>
                    <w:rPr>
                      <w:rFonts w:hint="eastAsia"/>
                      <w:color w:val="auto"/>
                      <w:sz w:val="21"/>
                      <w:szCs w:val="21"/>
                      <w:highlight w:val="none"/>
                      <w:u w:val="none"/>
                      <w:lang w:val="en-US" w:eastAsia="zh-CN"/>
                    </w:rPr>
                    <w:t>008</w:t>
                  </w:r>
                </w:p>
              </w:tc>
              <w:tc>
                <w:tcPr>
                  <w:tcW w:w="399"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eastAsia="zh-CN"/>
                    </w:rPr>
                    <w:t>“</w:t>
                  </w:r>
                  <w:r>
                    <w:rPr>
                      <w:rFonts w:hint="eastAsia"/>
                      <w:color w:val="auto"/>
                      <w:sz w:val="21"/>
                      <w:szCs w:val="21"/>
                      <w:highlight w:val="none"/>
                      <w:u w:val="none"/>
                    </w:rPr>
                    <w:t>静电油烟处理器</w:t>
                  </w:r>
                  <w:r>
                    <w:rPr>
                      <w:rFonts w:hint="eastAsia"/>
                      <w:color w:val="auto"/>
                      <w:sz w:val="21"/>
                      <w:szCs w:val="21"/>
                      <w:highlight w:val="none"/>
                      <w:u w:val="none"/>
                      <w:lang w:eastAsia="zh-CN"/>
                    </w:rPr>
                    <w:t>”</w:t>
                  </w:r>
                </w:p>
              </w:tc>
              <w:tc>
                <w:tcPr>
                  <w:tcW w:w="461"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80</w:t>
                  </w:r>
                </w:p>
              </w:tc>
              <w:tc>
                <w:tcPr>
                  <w:tcW w:w="474"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0.002</w:t>
                  </w:r>
                </w:p>
              </w:tc>
              <w:tc>
                <w:tcPr>
                  <w:tcW w:w="657"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1.1</w:t>
                  </w:r>
                </w:p>
              </w:tc>
              <w:tc>
                <w:tcPr>
                  <w:tcW w:w="560" w:type="pct"/>
                  <w:noWrap w:val="0"/>
                  <w:vAlign w:val="center"/>
                </w:tcPr>
                <w:p>
                  <w:pPr>
                    <w:overflowPunct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rPr>
                    <w:t>0.0</w:t>
                  </w:r>
                  <w:r>
                    <w:rPr>
                      <w:rFonts w:hint="eastAsia"/>
                      <w:color w:val="auto"/>
                      <w:sz w:val="21"/>
                      <w:szCs w:val="21"/>
                      <w:highlight w:val="none"/>
                      <w:u w:val="none"/>
                      <w:lang w:val="en-US" w:eastAsia="zh-CN"/>
                    </w:rPr>
                    <w:t>02</w:t>
                  </w:r>
                </w:p>
              </w:tc>
            </w:tr>
          </w:tbl>
          <w:p>
            <w:pPr>
              <w:overflowPunct w:val="0"/>
              <w:adjustRightInd w:val="0"/>
              <w:snapToGrid w:val="0"/>
              <w:spacing w:line="360" w:lineRule="auto"/>
              <w:jc w:val="center"/>
              <w:rPr>
                <w:rFonts w:hint="eastAsia"/>
                <w:b/>
                <w:color w:val="auto"/>
                <w:szCs w:val="21"/>
                <w:highlight w:val="none"/>
                <w:u w:val="none"/>
              </w:rPr>
            </w:pPr>
            <w:r>
              <w:rPr>
                <w:rFonts w:hint="eastAsia"/>
                <w:b/>
                <w:color w:val="auto"/>
                <w:szCs w:val="21"/>
                <w:highlight w:val="none"/>
                <w:u w:val="none"/>
              </w:rPr>
              <w:t>表</w:t>
            </w:r>
            <w:r>
              <w:rPr>
                <w:b/>
                <w:color w:val="auto"/>
                <w:szCs w:val="21"/>
                <w:highlight w:val="none"/>
                <w:u w:val="none"/>
              </w:rPr>
              <w:t>4-</w:t>
            </w:r>
            <w:r>
              <w:rPr>
                <w:rFonts w:hint="eastAsia"/>
                <w:b/>
                <w:color w:val="auto"/>
                <w:szCs w:val="21"/>
                <w:highlight w:val="none"/>
                <w:u w:val="none"/>
                <w:lang w:val="en-US" w:eastAsia="zh-CN"/>
              </w:rPr>
              <w:t>4</w:t>
            </w:r>
            <w:r>
              <w:rPr>
                <w:b/>
                <w:color w:val="auto"/>
                <w:szCs w:val="21"/>
                <w:highlight w:val="none"/>
                <w:u w:val="none"/>
              </w:rPr>
              <w:t xml:space="preserve"> </w:t>
            </w:r>
            <w:r>
              <w:rPr>
                <w:rFonts w:hint="eastAsia"/>
                <w:b/>
                <w:color w:val="auto"/>
                <w:szCs w:val="21"/>
                <w:highlight w:val="none"/>
                <w:u w:val="none"/>
              </w:rPr>
              <w:t>无组织废气产生及排放情况一览表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014"/>
              <w:gridCol w:w="1512"/>
              <w:gridCol w:w="1325"/>
              <w:gridCol w:w="1478"/>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75" w:type="pct"/>
                  <w:noWrap w:val="0"/>
                  <w:vAlign w:val="center"/>
                </w:tcPr>
                <w:p>
                  <w:pPr>
                    <w:overflowPunct w:val="0"/>
                    <w:jc w:val="center"/>
                    <w:rPr>
                      <w:rFonts w:hint="eastAsia" w:ascii="Calibri" w:hAnsi="Calibri"/>
                      <w:b/>
                      <w:bCs/>
                      <w:color w:val="auto"/>
                      <w:sz w:val="21"/>
                      <w:szCs w:val="21"/>
                      <w:highlight w:val="none"/>
                      <w:u w:val="none"/>
                    </w:rPr>
                  </w:pPr>
                  <w:r>
                    <w:rPr>
                      <w:rFonts w:hint="eastAsia"/>
                      <w:b/>
                      <w:bCs/>
                      <w:color w:val="auto"/>
                      <w:sz w:val="21"/>
                      <w:szCs w:val="21"/>
                      <w:highlight w:val="none"/>
                      <w:u w:val="none"/>
                    </w:rPr>
                    <w:t>工序</w:t>
                  </w:r>
                </w:p>
              </w:tc>
              <w:tc>
                <w:tcPr>
                  <w:tcW w:w="603" w:type="pct"/>
                  <w:noWrap w:val="0"/>
                  <w:vAlign w:val="center"/>
                </w:tcPr>
                <w:p>
                  <w:pPr>
                    <w:overflowPunct w:val="0"/>
                    <w:jc w:val="center"/>
                    <w:rPr>
                      <w:rFonts w:hint="eastAsia" w:ascii="Calibri" w:hAnsi="Calibri"/>
                      <w:b/>
                      <w:bCs/>
                      <w:color w:val="auto"/>
                      <w:sz w:val="21"/>
                      <w:szCs w:val="21"/>
                      <w:highlight w:val="none"/>
                      <w:u w:val="none"/>
                    </w:rPr>
                  </w:pPr>
                  <w:r>
                    <w:rPr>
                      <w:rFonts w:hint="eastAsia"/>
                      <w:b/>
                      <w:bCs/>
                      <w:color w:val="auto"/>
                      <w:sz w:val="21"/>
                      <w:szCs w:val="21"/>
                      <w:highlight w:val="none"/>
                      <w:u w:val="none"/>
                    </w:rPr>
                    <w:t>污染物</w:t>
                  </w:r>
                </w:p>
              </w:tc>
              <w:tc>
                <w:tcPr>
                  <w:tcW w:w="899" w:type="pct"/>
                  <w:noWrap w:val="0"/>
                  <w:vAlign w:val="center"/>
                </w:tcPr>
                <w:p>
                  <w:pPr>
                    <w:overflowPunct w:val="0"/>
                    <w:jc w:val="center"/>
                    <w:rPr>
                      <w:b/>
                      <w:bCs/>
                      <w:color w:val="auto"/>
                      <w:sz w:val="21"/>
                      <w:szCs w:val="21"/>
                      <w:highlight w:val="none"/>
                      <w:u w:val="none"/>
                    </w:rPr>
                  </w:pPr>
                  <w:r>
                    <w:rPr>
                      <w:rFonts w:hint="eastAsia"/>
                      <w:b/>
                      <w:bCs/>
                      <w:color w:val="auto"/>
                      <w:sz w:val="21"/>
                      <w:szCs w:val="21"/>
                      <w:highlight w:val="none"/>
                      <w:u w:val="none"/>
                    </w:rPr>
                    <w:t>废气产生量（t/a）</w:t>
                  </w:r>
                </w:p>
              </w:tc>
              <w:tc>
                <w:tcPr>
                  <w:tcW w:w="788" w:type="pct"/>
                  <w:noWrap w:val="0"/>
                  <w:vAlign w:val="center"/>
                </w:tcPr>
                <w:p>
                  <w:pPr>
                    <w:overflowPunct w:val="0"/>
                    <w:jc w:val="center"/>
                    <w:rPr>
                      <w:b/>
                      <w:bCs/>
                      <w:color w:val="auto"/>
                      <w:sz w:val="21"/>
                      <w:szCs w:val="21"/>
                      <w:highlight w:val="none"/>
                      <w:u w:val="none"/>
                    </w:rPr>
                  </w:pPr>
                  <w:r>
                    <w:rPr>
                      <w:rFonts w:hint="eastAsia"/>
                      <w:b/>
                      <w:bCs/>
                      <w:color w:val="auto"/>
                      <w:sz w:val="21"/>
                      <w:szCs w:val="21"/>
                      <w:highlight w:val="none"/>
                      <w:u w:val="none"/>
                    </w:rPr>
                    <w:t>产生速率（kg/h）</w:t>
                  </w:r>
                </w:p>
              </w:tc>
              <w:tc>
                <w:tcPr>
                  <w:tcW w:w="879" w:type="pct"/>
                  <w:noWrap w:val="0"/>
                  <w:vAlign w:val="center"/>
                </w:tcPr>
                <w:p>
                  <w:pPr>
                    <w:overflowPunct w:val="0"/>
                    <w:jc w:val="center"/>
                    <w:rPr>
                      <w:rFonts w:hint="eastAsia"/>
                      <w:b/>
                      <w:bCs/>
                      <w:color w:val="auto"/>
                      <w:sz w:val="21"/>
                      <w:szCs w:val="21"/>
                      <w:highlight w:val="none"/>
                      <w:u w:val="none"/>
                    </w:rPr>
                  </w:pPr>
                  <w:r>
                    <w:rPr>
                      <w:rFonts w:hint="eastAsia"/>
                      <w:b/>
                      <w:bCs/>
                      <w:color w:val="auto"/>
                      <w:sz w:val="21"/>
                      <w:szCs w:val="21"/>
                      <w:highlight w:val="none"/>
                      <w:u w:val="none"/>
                    </w:rPr>
                    <w:t>废气排放量（t/a）</w:t>
                  </w:r>
                </w:p>
              </w:tc>
              <w:tc>
                <w:tcPr>
                  <w:tcW w:w="1054" w:type="pct"/>
                  <w:noWrap w:val="0"/>
                  <w:vAlign w:val="center"/>
                </w:tcPr>
                <w:p>
                  <w:pPr>
                    <w:overflowPunct w:val="0"/>
                    <w:jc w:val="center"/>
                    <w:rPr>
                      <w:b/>
                      <w:bCs/>
                      <w:color w:val="auto"/>
                      <w:sz w:val="21"/>
                      <w:szCs w:val="21"/>
                      <w:highlight w:val="none"/>
                      <w:u w:val="none"/>
                    </w:rPr>
                  </w:pPr>
                  <w:r>
                    <w:rPr>
                      <w:rFonts w:hint="eastAsia"/>
                      <w:b/>
                      <w:bCs/>
                      <w:color w:val="auto"/>
                      <w:sz w:val="21"/>
                      <w:szCs w:val="21"/>
                      <w:highlight w:val="none"/>
                      <w:u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775" w:type="pct"/>
                  <w:noWrap w:val="0"/>
                  <w:vAlign w:val="center"/>
                </w:tcPr>
                <w:p>
                  <w:pPr>
                    <w:overflowPunct w:val="0"/>
                    <w:jc w:val="center"/>
                    <w:rPr>
                      <w:rFonts w:hint="default" w:eastAsia="宋体"/>
                      <w:color w:val="auto"/>
                      <w:sz w:val="21"/>
                      <w:szCs w:val="21"/>
                      <w:u w:val="none"/>
                      <w:lang w:val="en-US" w:eastAsia="zh-CN"/>
                    </w:rPr>
                  </w:pPr>
                  <w:r>
                    <w:rPr>
                      <w:rFonts w:hint="eastAsia" w:cs="Times New Roman"/>
                      <w:color w:val="auto"/>
                      <w:kern w:val="2"/>
                      <w:sz w:val="21"/>
                      <w:szCs w:val="21"/>
                      <w:u w:val="none"/>
                      <w:lang w:val="en-US" w:eastAsia="zh-CN" w:bidi="ar-SA"/>
                    </w:rPr>
                    <w:t>发泡、搅拌、熟化</w:t>
                  </w:r>
                </w:p>
              </w:tc>
              <w:tc>
                <w:tcPr>
                  <w:tcW w:w="603" w:type="pct"/>
                  <w:noWrap w:val="0"/>
                  <w:vAlign w:val="center"/>
                </w:tcPr>
                <w:p>
                  <w:pPr>
                    <w:overflowPunct w:val="0"/>
                    <w:jc w:val="center"/>
                    <w:rPr>
                      <w:rFonts w:hint="eastAsia"/>
                      <w:color w:val="auto"/>
                      <w:sz w:val="21"/>
                      <w:szCs w:val="21"/>
                      <w:u w:val="none"/>
                    </w:rPr>
                  </w:pPr>
                  <w:r>
                    <w:rPr>
                      <w:rFonts w:hint="eastAsia"/>
                      <w:color w:val="auto"/>
                      <w:sz w:val="21"/>
                      <w:szCs w:val="21"/>
                      <w:u w:val="none"/>
                      <w:lang w:val="en-US" w:eastAsia="zh-CN"/>
                    </w:rPr>
                    <w:t>非甲烷总烃</w:t>
                  </w:r>
                </w:p>
              </w:tc>
              <w:tc>
                <w:tcPr>
                  <w:tcW w:w="899"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0.16</w:t>
                  </w:r>
                </w:p>
              </w:tc>
              <w:tc>
                <w:tcPr>
                  <w:tcW w:w="788"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0.067</w:t>
                  </w:r>
                </w:p>
              </w:tc>
              <w:tc>
                <w:tcPr>
                  <w:tcW w:w="879" w:type="pct"/>
                  <w:noWrap w:val="0"/>
                  <w:vAlign w:val="center"/>
                </w:tcPr>
                <w:p>
                  <w:pPr>
                    <w:overflowPunct w:val="0"/>
                    <w:jc w:val="center"/>
                    <w:rPr>
                      <w:rFonts w:hint="eastAsia" w:eastAsia="宋体"/>
                      <w:color w:val="auto"/>
                      <w:kern w:val="2"/>
                      <w:sz w:val="21"/>
                      <w:szCs w:val="21"/>
                      <w:highlight w:val="none"/>
                      <w:u w:val="none"/>
                      <w:lang w:val="en-US" w:eastAsia="zh-CN" w:bidi="ar-SA"/>
                    </w:rPr>
                  </w:pPr>
                  <w:r>
                    <w:rPr>
                      <w:rFonts w:hint="eastAsia"/>
                      <w:color w:val="auto"/>
                      <w:sz w:val="21"/>
                      <w:szCs w:val="21"/>
                      <w:highlight w:val="none"/>
                      <w:u w:val="none"/>
                      <w:lang w:val="en-US" w:eastAsia="zh-CN"/>
                    </w:rPr>
                    <w:t>0.16</w:t>
                  </w:r>
                </w:p>
              </w:tc>
              <w:tc>
                <w:tcPr>
                  <w:tcW w:w="1054" w:type="pct"/>
                  <w:noWrap w:val="0"/>
                  <w:vAlign w:val="center"/>
                </w:tcPr>
                <w:p>
                  <w:pPr>
                    <w:overflowPunct w:val="0"/>
                    <w:jc w:val="center"/>
                    <w:rPr>
                      <w:rFonts w:hint="default" w:eastAsia="宋体"/>
                      <w:color w:val="auto"/>
                      <w:kern w:val="2"/>
                      <w:sz w:val="21"/>
                      <w:szCs w:val="21"/>
                      <w:highlight w:val="none"/>
                      <w:u w:val="none"/>
                      <w:lang w:val="en-US" w:eastAsia="zh-CN" w:bidi="ar-SA"/>
                    </w:rPr>
                  </w:pPr>
                  <w:r>
                    <w:rPr>
                      <w:rFonts w:hint="eastAsia"/>
                      <w:color w:val="auto"/>
                      <w:sz w:val="21"/>
                      <w:szCs w:val="21"/>
                      <w:highlight w:val="none"/>
                      <w:u w:val="no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775" w:type="pct"/>
                  <w:noWrap w:val="0"/>
                  <w:vAlign w:val="center"/>
                </w:tcPr>
                <w:p>
                  <w:pPr>
                    <w:jc w:val="center"/>
                    <w:rPr>
                      <w:rFonts w:hint="eastAsia"/>
                      <w:color w:val="auto"/>
                      <w:sz w:val="21"/>
                      <w:szCs w:val="21"/>
                      <w:u w:val="none"/>
                    </w:rPr>
                  </w:pPr>
                  <w:r>
                    <w:rPr>
                      <w:rFonts w:hint="eastAsia" w:cs="Times New Roman"/>
                      <w:color w:val="auto"/>
                      <w:kern w:val="2"/>
                      <w:sz w:val="21"/>
                      <w:szCs w:val="21"/>
                      <w:u w:val="none"/>
                      <w:lang w:val="en-US" w:eastAsia="zh-CN" w:bidi="ar-SA"/>
                    </w:rPr>
                    <w:t>印刷</w:t>
                  </w:r>
                </w:p>
              </w:tc>
              <w:tc>
                <w:tcPr>
                  <w:tcW w:w="603" w:type="pct"/>
                  <w:noWrap w:val="0"/>
                  <w:vAlign w:val="center"/>
                </w:tcPr>
                <w:p>
                  <w:pPr>
                    <w:overflowPunct w:val="0"/>
                    <w:jc w:val="center"/>
                    <w:rPr>
                      <w:rFonts w:hint="eastAsia"/>
                      <w:color w:val="auto"/>
                      <w:sz w:val="21"/>
                      <w:szCs w:val="21"/>
                      <w:u w:val="none"/>
                    </w:rPr>
                  </w:pPr>
                  <w:r>
                    <w:rPr>
                      <w:rFonts w:hint="eastAsia"/>
                      <w:color w:val="auto"/>
                      <w:sz w:val="21"/>
                      <w:szCs w:val="21"/>
                      <w:u w:val="none"/>
                      <w:lang w:val="en-US" w:eastAsia="zh-CN"/>
                    </w:rPr>
                    <w:t>VOCs</w:t>
                  </w:r>
                </w:p>
              </w:tc>
              <w:tc>
                <w:tcPr>
                  <w:tcW w:w="899"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rPr>
                    <w:t>0.</w:t>
                  </w:r>
                  <w:r>
                    <w:rPr>
                      <w:rFonts w:hint="eastAsia"/>
                      <w:color w:val="auto"/>
                      <w:sz w:val="21"/>
                      <w:szCs w:val="21"/>
                      <w:highlight w:val="none"/>
                      <w:u w:val="none"/>
                      <w:lang w:val="en-US" w:eastAsia="zh-CN"/>
                    </w:rPr>
                    <w:t>03</w:t>
                  </w:r>
                </w:p>
              </w:tc>
              <w:tc>
                <w:tcPr>
                  <w:tcW w:w="788"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rPr>
                    <w:t>0.0</w:t>
                  </w:r>
                  <w:r>
                    <w:rPr>
                      <w:rFonts w:hint="eastAsia"/>
                      <w:color w:val="auto"/>
                      <w:sz w:val="21"/>
                      <w:szCs w:val="21"/>
                      <w:highlight w:val="none"/>
                      <w:u w:val="none"/>
                      <w:lang w:val="en-US" w:eastAsia="zh-CN"/>
                    </w:rPr>
                    <w:t>13</w:t>
                  </w:r>
                </w:p>
              </w:tc>
              <w:tc>
                <w:tcPr>
                  <w:tcW w:w="879" w:type="pct"/>
                  <w:noWrap w:val="0"/>
                  <w:vAlign w:val="center"/>
                </w:tcPr>
                <w:p>
                  <w:pPr>
                    <w:overflowPunct w:val="0"/>
                    <w:jc w:val="center"/>
                    <w:rPr>
                      <w:rFonts w:hint="eastAsia"/>
                      <w:color w:val="auto"/>
                      <w:sz w:val="21"/>
                      <w:szCs w:val="21"/>
                      <w:highlight w:val="yellow"/>
                      <w:u w:val="none"/>
                    </w:rPr>
                  </w:pPr>
                  <w:r>
                    <w:rPr>
                      <w:rFonts w:hint="eastAsia"/>
                      <w:color w:val="auto"/>
                      <w:sz w:val="21"/>
                      <w:szCs w:val="21"/>
                      <w:highlight w:val="none"/>
                      <w:u w:val="none"/>
                    </w:rPr>
                    <w:t>0.</w:t>
                  </w:r>
                  <w:r>
                    <w:rPr>
                      <w:rFonts w:hint="eastAsia"/>
                      <w:color w:val="auto"/>
                      <w:sz w:val="21"/>
                      <w:szCs w:val="21"/>
                      <w:highlight w:val="none"/>
                      <w:u w:val="none"/>
                      <w:lang w:val="en-US" w:eastAsia="zh-CN"/>
                    </w:rPr>
                    <w:t>03</w:t>
                  </w:r>
                </w:p>
              </w:tc>
              <w:tc>
                <w:tcPr>
                  <w:tcW w:w="1054" w:type="pct"/>
                  <w:noWrap w:val="0"/>
                  <w:vAlign w:val="center"/>
                </w:tcPr>
                <w:p>
                  <w:pPr>
                    <w:overflowPunct w:val="0"/>
                    <w:jc w:val="center"/>
                    <w:rPr>
                      <w:rFonts w:hint="eastAsia"/>
                      <w:color w:val="auto"/>
                      <w:sz w:val="21"/>
                      <w:szCs w:val="21"/>
                      <w:highlight w:val="yellow"/>
                      <w:u w:val="none"/>
                    </w:rPr>
                  </w:pPr>
                  <w:r>
                    <w:rPr>
                      <w:rFonts w:hint="eastAsia"/>
                      <w:color w:val="auto"/>
                      <w:sz w:val="21"/>
                      <w:szCs w:val="21"/>
                      <w:highlight w:val="none"/>
                      <w:u w:val="none"/>
                    </w:rPr>
                    <w:t>0.0</w:t>
                  </w:r>
                  <w:r>
                    <w:rPr>
                      <w:rFonts w:hint="eastAsia"/>
                      <w:color w:val="auto"/>
                      <w:sz w:val="21"/>
                      <w:szCs w:val="21"/>
                      <w:highlight w:val="none"/>
                      <w:u w:val="none"/>
                      <w:lang w:val="en-US" w:eastAsia="zh-CN"/>
                    </w:rPr>
                    <w:t>13</w:t>
                  </w:r>
                </w:p>
              </w:tc>
            </w:tr>
          </w:tbl>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kern w:val="0"/>
                <w:sz w:val="24"/>
                <w:szCs w:val="20"/>
                <w:u w:val="none"/>
              </w:rPr>
            </w:pPr>
            <w:r>
              <w:rPr>
                <w:rFonts w:hint="eastAsia"/>
                <w:color w:val="auto"/>
                <w:kern w:val="0"/>
                <w:sz w:val="24"/>
                <w:szCs w:val="20"/>
                <w:u w:val="none"/>
              </w:rPr>
              <w:t>本项目废气排放口基本信息见下表。</w:t>
            </w:r>
          </w:p>
          <w:p>
            <w:pPr>
              <w:overflowPunct w:val="0"/>
              <w:adjustRightInd w:val="0"/>
              <w:snapToGrid w:val="0"/>
              <w:spacing w:line="360" w:lineRule="auto"/>
              <w:jc w:val="center"/>
              <w:rPr>
                <w:rFonts w:hint="eastAsia"/>
                <w:b/>
                <w:color w:val="auto"/>
                <w:szCs w:val="21"/>
                <w:u w:val="none"/>
              </w:rPr>
            </w:pPr>
            <w:r>
              <w:rPr>
                <w:rFonts w:hint="eastAsia"/>
                <w:b/>
                <w:color w:val="auto"/>
                <w:szCs w:val="21"/>
                <w:u w:val="none"/>
              </w:rPr>
              <w:t>表</w:t>
            </w:r>
            <w:r>
              <w:rPr>
                <w:b/>
                <w:color w:val="auto"/>
                <w:szCs w:val="21"/>
                <w:u w:val="none"/>
              </w:rPr>
              <w:t>4-</w:t>
            </w:r>
            <w:r>
              <w:rPr>
                <w:rFonts w:hint="eastAsia"/>
                <w:b/>
                <w:color w:val="auto"/>
                <w:szCs w:val="21"/>
                <w:u w:val="none"/>
                <w:lang w:val="en-US" w:eastAsia="zh-CN"/>
              </w:rPr>
              <w:t>5</w:t>
            </w:r>
            <w:r>
              <w:rPr>
                <w:b/>
                <w:color w:val="auto"/>
                <w:szCs w:val="21"/>
                <w:u w:val="none"/>
              </w:rPr>
              <w:t xml:space="preserve"> </w:t>
            </w:r>
            <w:r>
              <w:rPr>
                <w:rFonts w:hint="eastAsia"/>
                <w:b/>
                <w:color w:val="auto"/>
                <w:szCs w:val="21"/>
                <w:u w:val="none"/>
              </w:rPr>
              <w:t>废气排放口基本信息情况表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35"/>
              <w:gridCol w:w="1126"/>
              <w:gridCol w:w="961"/>
              <w:gridCol w:w="1522"/>
              <w:gridCol w:w="1418"/>
              <w:gridCol w:w="641"/>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53" w:type="pct"/>
                  <w:vMerge w:val="restart"/>
                  <w:noWrap w:val="0"/>
                  <w:vAlign w:val="center"/>
                </w:tcPr>
                <w:p>
                  <w:pPr>
                    <w:overflowPunct w:val="0"/>
                    <w:jc w:val="center"/>
                    <w:rPr>
                      <w:rFonts w:hint="eastAsia"/>
                      <w:b/>
                      <w:bCs/>
                      <w:color w:val="auto"/>
                      <w:szCs w:val="21"/>
                      <w:u w:val="none"/>
                    </w:rPr>
                  </w:pPr>
                  <w:r>
                    <w:rPr>
                      <w:rFonts w:hint="eastAsia"/>
                      <w:b/>
                      <w:bCs/>
                      <w:color w:val="auto"/>
                      <w:szCs w:val="21"/>
                      <w:u w:val="none"/>
                    </w:rPr>
                    <w:t>序号</w:t>
                  </w:r>
                </w:p>
              </w:tc>
              <w:tc>
                <w:tcPr>
                  <w:tcW w:w="495" w:type="pct"/>
                  <w:vMerge w:val="restart"/>
                  <w:noWrap w:val="0"/>
                  <w:vAlign w:val="center"/>
                </w:tcPr>
                <w:p>
                  <w:pPr>
                    <w:overflowPunct w:val="0"/>
                    <w:jc w:val="center"/>
                    <w:rPr>
                      <w:rFonts w:hint="eastAsia"/>
                      <w:b/>
                      <w:bCs/>
                      <w:color w:val="auto"/>
                      <w:szCs w:val="21"/>
                      <w:u w:val="none"/>
                    </w:rPr>
                  </w:pPr>
                  <w:r>
                    <w:rPr>
                      <w:rFonts w:hint="eastAsia"/>
                      <w:b/>
                      <w:bCs/>
                      <w:color w:val="auto"/>
                      <w:szCs w:val="21"/>
                      <w:u w:val="none"/>
                    </w:rPr>
                    <w:t>排放口编号</w:t>
                  </w:r>
                </w:p>
              </w:tc>
              <w:tc>
                <w:tcPr>
                  <w:tcW w:w="671" w:type="pct"/>
                  <w:vMerge w:val="restart"/>
                  <w:noWrap w:val="0"/>
                  <w:vAlign w:val="center"/>
                </w:tcPr>
                <w:p>
                  <w:pPr>
                    <w:overflowPunct w:val="0"/>
                    <w:jc w:val="center"/>
                    <w:rPr>
                      <w:rFonts w:hint="eastAsia"/>
                      <w:b/>
                      <w:bCs/>
                      <w:color w:val="auto"/>
                      <w:szCs w:val="21"/>
                      <w:u w:val="none"/>
                    </w:rPr>
                  </w:pPr>
                  <w:r>
                    <w:rPr>
                      <w:rFonts w:hint="eastAsia"/>
                      <w:b/>
                      <w:bCs/>
                      <w:color w:val="auto"/>
                      <w:szCs w:val="21"/>
                      <w:u w:val="none"/>
                    </w:rPr>
                    <w:t>排放口</w:t>
                  </w:r>
                </w:p>
                <w:p>
                  <w:pPr>
                    <w:overflowPunct w:val="0"/>
                    <w:jc w:val="center"/>
                    <w:rPr>
                      <w:rFonts w:hint="eastAsia"/>
                      <w:b/>
                      <w:bCs/>
                      <w:color w:val="auto"/>
                      <w:szCs w:val="21"/>
                      <w:u w:val="none"/>
                    </w:rPr>
                  </w:pPr>
                  <w:r>
                    <w:rPr>
                      <w:rFonts w:hint="eastAsia"/>
                      <w:b/>
                      <w:bCs/>
                      <w:color w:val="auto"/>
                      <w:szCs w:val="21"/>
                      <w:u w:val="none"/>
                    </w:rPr>
                    <w:t>名称</w:t>
                  </w:r>
                </w:p>
              </w:tc>
              <w:tc>
                <w:tcPr>
                  <w:tcW w:w="572" w:type="pct"/>
                  <w:vMerge w:val="restart"/>
                  <w:noWrap w:val="0"/>
                  <w:vAlign w:val="center"/>
                </w:tcPr>
                <w:p>
                  <w:pPr>
                    <w:overflowPunct w:val="0"/>
                    <w:jc w:val="center"/>
                    <w:rPr>
                      <w:rFonts w:hint="eastAsia"/>
                      <w:b/>
                      <w:bCs/>
                      <w:color w:val="auto"/>
                      <w:szCs w:val="21"/>
                      <w:u w:val="none"/>
                    </w:rPr>
                  </w:pPr>
                  <w:r>
                    <w:rPr>
                      <w:rFonts w:hint="eastAsia"/>
                      <w:b/>
                      <w:bCs/>
                      <w:color w:val="auto"/>
                      <w:szCs w:val="21"/>
                      <w:u w:val="none"/>
                    </w:rPr>
                    <w:t>污染物种类</w:t>
                  </w:r>
                </w:p>
              </w:tc>
              <w:tc>
                <w:tcPr>
                  <w:tcW w:w="1746" w:type="pct"/>
                  <w:gridSpan w:val="2"/>
                  <w:noWrap w:val="0"/>
                  <w:vAlign w:val="center"/>
                </w:tcPr>
                <w:p>
                  <w:pPr>
                    <w:overflowPunct w:val="0"/>
                    <w:jc w:val="center"/>
                    <w:rPr>
                      <w:rFonts w:hint="eastAsia"/>
                      <w:b/>
                      <w:bCs/>
                      <w:color w:val="auto"/>
                      <w:szCs w:val="21"/>
                      <w:u w:val="none"/>
                    </w:rPr>
                  </w:pPr>
                  <w:r>
                    <w:rPr>
                      <w:rFonts w:hint="eastAsia"/>
                      <w:b/>
                      <w:bCs/>
                      <w:color w:val="auto"/>
                      <w:szCs w:val="21"/>
                      <w:u w:val="none"/>
                    </w:rPr>
                    <w:t>排放口地理位置</w:t>
                  </w:r>
                </w:p>
              </w:tc>
              <w:tc>
                <w:tcPr>
                  <w:tcW w:w="382" w:type="pct"/>
                  <w:vMerge w:val="restart"/>
                  <w:noWrap w:val="0"/>
                  <w:vAlign w:val="center"/>
                </w:tcPr>
                <w:p>
                  <w:pPr>
                    <w:overflowPunct w:val="0"/>
                    <w:jc w:val="center"/>
                    <w:rPr>
                      <w:b/>
                      <w:bCs/>
                      <w:color w:val="auto"/>
                      <w:szCs w:val="21"/>
                      <w:u w:val="none"/>
                    </w:rPr>
                  </w:pPr>
                  <w:r>
                    <w:rPr>
                      <w:rFonts w:hint="eastAsia"/>
                      <w:b/>
                      <w:bCs/>
                      <w:color w:val="auto"/>
                      <w:szCs w:val="21"/>
                      <w:u w:val="none"/>
                    </w:rPr>
                    <w:t>排气筒高度/m</w:t>
                  </w:r>
                </w:p>
              </w:tc>
              <w:tc>
                <w:tcPr>
                  <w:tcW w:w="439" w:type="pct"/>
                  <w:vMerge w:val="restart"/>
                  <w:noWrap w:val="0"/>
                  <w:vAlign w:val="center"/>
                </w:tcPr>
                <w:p>
                  <w:pPr>
                    <w:overflowPunct w:val="0"/>
                    <w:jc w:val="center"/>
                    <w:rPr>
                      <w:b/>
                      <w:bCs/>
                      <w:color w:val="auto"/>
                      <w:szCs w:val="21"/>
                      <w:u w:val="none"/>
                    </w:rPr>
                  </w:pPr>
                  <w:r>
                    <w:rPr>
                      <w:rFonts w:hint="eastAsia"/>
                      <w:b/>
                      <w:bCs/>
                      <w:color w:val="auto"/>
                      <w:szCs w:val="21"/>
                      <w:u w:val="none"/>
                    </w:rPr>
                    <w:t>排气筒出口内径/m</w:t>
                  </w:r>
                </w:p>
              </w:tc>
              <w:tc>
                <w:tcPr>
                  <w:tcW w:w="439" w:type="pct"/>
                  <w:vMerge w:val="restart"/>
                  <w:noWrap w:val="0"/>
                  <w:vAlign w:val="center"/>
                </w:tcPr>
                <w:p>
                  <w:pPr>
                    <w:overflowPunct w:val="0"/>
                    <w:jc w:val="center"/>
                    <w:rPr>
                      <w:rFonts w:hint="default" w:eastAsia="宋体"/>
                      <w:b/>
                      <w:bCs/>
                      <w:color w:val="auto"/>
                      <w:szCs w:val="21"/>
                      <w:u w:val="none"/>
                      <w:lang w:val="en-US" w:eastAsia="zh-CN"/>
                    </w:rPr>
                  </w:pPr>
                  <w:r>
                    <w:rPr>
                      <w:rFonts w:hint="eastAsia"/>
                      <w:b/>
                      <w:bCs/>
                      <w:color w:val="auto"/>
                      <w:szCs w:val="21"/>
                      <w:u w:val="no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53" w:type="pct"/>
                  <w:vMerge w:val="continue"/>
                  <w:noWrap w:val="0"/>
                  <w:vAlign w:val="center"/>
                </w:tcPr>
                <w:p>
                  <w:pPr>
                    <w:overflowPunct w:val="0"/>
                    <w:jc w:val="center"/>
                    <w:rPr>
                      <w:rFonts w:hint="eastAsia"/>
                      <w:color w:val="auto"/>
                      <w:szCs w:val="21"/>
                      <w:u w:val="none"/>
                    </w:rPr>
                  </w:pPr>
                </w:p>
              </w:tc>
              <w:tc>
                <w:tcPr>
                  <w:tcW w:w="495" w:type="pct"/>
                  <w:vMerge w:val="continue"/>
                  <w:noWrap w:val="0"/>
                  <w:vAlign w:val="center"/>
                </w:tcPr>
                <w:p>
                  <w:pPr>
                    <w:overflowPunct w:val="0"/>
                    <w:jc w:val="center"/>
                    <w:rPr>
                      <w:rFonts w:hint="eastAsia"/>
                      <w:color w:val="auto"/>
                      <w:szCs w:val="21"/>
                      <w:u w:val="none"/>
                    </w:rPr>
                  </w:pPr>
                </w:p>
              </w:tc>
              <w:tc>
                <w:tcPr>
                  <w:tcW w:w="671" w:type="pct"/>
                  <w:vMerge w:val="continue"/>
                  <w:noWrap w:val="0"/>
                  <w:vAlign w:val="center"/>
                </w:tcPr>
                <w:p>
                  <w:pPr>
                    <w:overflowPunct w:val="0"/>
                    <w:jc w:val="center"/>
                    <w:rPr>
                      <w:rFonts w:hint="eastAsia"/>
                      <w:color w:val="auto"/>
                      <w:szCs w:val="21"/>
                      <w:u w:val="none"/>
                    </w:rPr>
                  </w:pPr>
                </w:p>
              </w:tc>
              <w:tc>
                <w:tcPr>
                  <w:tcW w:w="572" w:type="pct"/>
                  <w:vMerge w:val="continue"/>
                  <w:noWrap w:val="0"/>
                  <w:vAlign w:val="center"/>
                </w:tcPr>
                <w:p>
                  <w:pPr>
                    <w:overflowPunct w:val="0"/>
                    <w:jc w:val="center"/>
                    <w:rPr>
                      <w:rFonts w:hint="eastAsia"/>
                      <w:color w:val="auto"/>
                      <w:szCs w:val="21"/>
                      <w:u w:val="none"/>
                    </w:rPr>
                  </w:pPr>
                </w:p>
              </w:tc>
              <w:tc>
                <w:tcPr>
                  <w:tcW w:w="902" w:type="pct"/>
                  <w:noWrap w:val="0"/>
                  <w:vAlign w:val="center"/>
                </w:tcPr>
                <w:p>
                  <w:pPr>
                    <w:overflowPunct w:val="0"/>
                    <w:jc w:val="center"/>
                    <w:rPr>
                      <w:rFonts w:hint="eastAsia"/>
                      <w:b/>
                      <w:bCs/>
                      <w:color w:val="auto"/>
                      <w:szCs w:val="21"/>
                      <w:u w:val="none"/>
                    </w:rPr>
                  </w:pPr>
                  <w:r>
                    <w:rPr>
                      <w:rFonts w:hint="eastAsia"/>
                      <w:b/>
                      <w:bCs/>
                      <w:color w:val="auto"/>
                      <w:szCs w:val="21"/>
                      <w:u w:val="none"/>
                    </w:rPr>
                    <w:t>经度</w:t>
                  </w:r>
                </w:p>
              </w:tc>
              <w:tc>
                <w:tcPr>
                  <w:tcW w:w="844" w:type="pct"/>
                  <w:noWrap w:val="0"/>
                  <w:vAlign w:val="center"/>
                </w:tcPr>
                <w:p>
                  <w:pPr>
                    <w:overflowPunct w:val="0"/>
                    <w:jc w:val="center"/>
                    <w:rPr>
                      <w:rFonts w:hint="eastAsia"/>
                      <w:b/>
                      <w:bCs/>
                      <w:color w:val="auto"/>
                      <w:szCs w:val="21"/>
                      <w:u w:val="none"/>
                    </w:rPr>
                  </w:pPr>
                  <w:r>
                    <w:rPr>
                      <w:rFonts w:hint="eastAsia"/>
                      <w:b/>
                      <w:bCs/>
                      <w:color w:val="auto"/>
                      <w:szCs w:val="21"/>
                      <w:u w:val="none"/>
                    </w:rPr>
                    <w:t>纬度</w:t>
                  </w:r>
                </w:p>
              </w:tc>
              <w:tc>
                <w:tcPr>
                  <w:tcW w:w="382" w:type="pct"/>
                  <w:vMerge w:val="continue"/>
                  <w:noWrap w:val="0"/>
                  <w:vAlign w:val="center"/>
                </w:tcPr>
                <w:p>
                  <w:pPr>
                    <w:overflowPunct w:val="0"/>
                    <w:jc w:val="center"/>
                    <w:rPr>
                      <w:rFonts w:hint="eastAsia"/>
                      <w:color w:val="auto"/>
                      <w:szCs w:val="21"/>
                      <w:u w:val="none"/>
                    </w:rPr>
                  </w:pPr>
                </w:p>
              </w:tc>
              <w:tc>
                <w:tcPr>
                  <w:tcW w:w="439" w:type="pct"/>
                  <w:vMerge w:val="continue"/>
                  <w:noWrap w:val="0"/>
                  <w:vAlign w:val="center"/>
                </w:tcPr>
                <w:p>
                  <w:pPr>
                    <w:overflowPunct w:val="0"/>
                    <w:jc w:val="center"/>
                    <w:rPr>
                      <w:rFonts w:hint="eastAsia"/>
                      <w:color w:val="auto"/>
                      <w:szCs w:val="21"/>
                      <w:u w:val="none"/>
                    </w:rPr>
                  </w:pPr>
                </w:p>
              </w:tc>
              <w:tc>
                <w:tcPr>
                  <w:tcW w:w="439" w:type="pct"/>
                  <w:vMerge w:val="continue"/>
                  <w:noWrap w:val="0"/>
                  <w:vAlign w:val="center"/>
                </w:tcPr>
                <w:p>
                  <w:pPr>
                    <w:overflowPunct w:val="0"/>
                    <w:jc w:val="center"/>
                    <w:rPr>
                      <w:rFonts w:hint="eastAsia"/>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3" w:type="pct"/>
                  <w:noWrap w:val="0"/>
                  <w:vAlign w:val="center"/>
                </w:tcPr>
                <w:p>
                  <w:pPr>
                    <w:overflowPunct w:val="0"/>
                    <w:jc w:val="center"/>
                    <w:rPr>
                      <w:rFonts w:hint="eastAsia"/>
                      <w:color w:val="auto"/>
                      <w:szCs w:val="21"/>
                      <w:u w:val="none"/>
                    </w:rPr>
                  </w:pPr>
                  <w:r>
                    <w:rPr>
                      <w:rFonts w:hint="eastAsia"/>
                      <w:color w:val="auto"/>
                      <w:szCs w:val="21"/>
                      <w:u w:val="none"/>
                    </w:rPr>
                    <w:t>1</w:t>
                  </w:r>
                </w:p>
              </w:tc>
              <w:tc>
                <w:tcPr>
                  <w:tcW w:w="495" w:type="pct"/>
                  <w:noWrap w:val="0"/>
                  <w:vAlign w:val="center"/>
                </w:tcPr>
                <w:p>
                  <w:pPr>
                    <w:overflowPunct w:val="0"/>
                    <w:jc w:val="center"/>
                    <w:rPr>
                      <w:rFonts w:hint="eastAsia"/>
                      <w:color w:val="auto"/>
                      <w:szCs w:val="21"/>
                      <w:u w:val="none"/>
                    </w:rPr>
                  </w:pPr>
                  <w:r>
                    <w:rPr>
                      <w:rFonts w:hint="eastAsia"/>
                      <w:color w:val="auto"/>
                      <w:szCs w:val="21"/>
                      <w:u w:val="none"/>
                    </w:rPr>
                    <w:t>DA001</w:t>
                  </w:r>
                </w:p>
              </w:tc>
              <w:tc>
                <w:tcPr>
                  <w:tcW w:w="671" w:type="pct"/>
                  <w:noWrap w:val="0"/>
                  <w:vAlign w:val="center"/>
                </w:tcPr>
                <w:p>
                  <w:pPr>
                    <w:overflowPunct w:val="0"/>
                    <w:jc w:val="center"/>
                    <w:rPr>
                      <w:rFonts w:hint="default"/>
                      <w:color w:val="auto"/>
                      <w:sz w:val="21"/>
                      <w:szCs w:val="21"/>
                      <w:u w:val="none"/>
                      <w:lang w:val="en-US"/>
                    </w:rPr>
                  </w:pPr>
                  <w:r>
                    <w:rPr>
                      <w:rFonts w:hint="eastAsia" w:cs="Times New Roman"/>
                      <w:color w:val="auto"/>
                      <w:kern w:val="2"/>
                      <w:sz w:val="21"/>
                      <w:szCs w:val="21"/>
                      <w:u w:val="none"/>
                      <w:lang w:val="en-US" w:eastAsia="zh-CN" w:bidi="ar-SA"/>
                    </w:rPr>
                    <w:t>发泡、搅拌废气、熟化废气、印刷废气</w:t>
                  </w:r>
                </w:p>
              </w:tc>
              <w:tc>
                <w:tcPr>
                  <w:tcW w:w="572" w:type="pct"/>
                  <w:noWrap w:val="0"/>
                  <w:vAlign w:val="center"/>
                </w:tcPr>
                <w:p>
                  <w:pPr>
                    <w:overflowPunct w:val="0"/>
                    <w:jc w:val="center"/>
                    <w:rPr>
                      <w:rFonts w:hint="eastAsia"/>
                      <w:color w:val="auto"/>
                      <w:sz w:val="21"/>
                      <w:szCs w:val="21"/>
                      <w:u w:val="none"/>
                    </w:rPr>
                  </w:pPr>
                  <w:r>
                    <w:rPr>
                      <w:rFonts w:hint="eastAsia"/>
                      <w:color w:val="auto"/>
                      <w:sz w:val="21"/>
                      <w:szCs w:val="21"/>
                      <w:u w:val="none"/>
                      <w:lang w:val="en-US" w:eastAsia="zh-CN"/>
                    </w:rPr>
                    <w:t>VOCs、非甲烷总烃</w:t>
                  </w:r>
                </w:p>
              </w:tc>
              <w:tc>
                <w:tcPr>
                  <w:tcW w:w="902"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112°11′56.137″</w:t>
                  </w:r>
                </w:p>
              </w:tc>
              <w:tc>
                <w:tcPr>
                  <w:tcW w:w="844"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25°53′7.415″</w:t>
                  </w:r>
                </w:p>
              </w:tc>
              <w:tc>
                <w:tcPr>
                  <w:tcW w:w="382" w:type="pct"/>
                  <w:noWrap w:val="0"/>
                  <w:vAlign w:val="center"/>
                </w:tcPr>
                <w:p>
                  <w:pPr>
                    <w:overflowPunct w:val="0"/>
                    <w:jc w:val="center"/>
                    <w:rPr>
                      <w:rFonts w:hint="eastAsia"/>
                      <w:color w:val="auto"/>
                      <w:sz w:val="21"/>
                      <w:szCs w:val="21"/>
                      <w:u w:val="none"/>
                    </w:rPr>
                  </w:pPr>
                  <w:r>
                    <w:rPr>
                      <w:rFonts w:hint="eastAsia"/>
                      <w:color w:val="auto"/>
                      <w:sz w:val="21"/>
                      <w:szCs w:val="21"/>
                      <w:u w:val="none"/>
                    </w:rPr>
                    <w:t>15</w:t>
                  </w:r>
                </w:p>
              </w:tc>
              <w:tc>
                <w:tcPr>
                  <w:tcW w:w="439" w:type="pct"/>
                  <w:noWrap w:val="0"/>
                  <w:vAlign w:val="center"/>
                </w:tcPr>
                <w:p>
                  <w:pPr>
                    <w:overflowPunct w:val="0"/>
                    <w:jc w:val="center"/>
                    <w:rPr>
                      <w:rFonts w:hint="eastAsia" w:eastAsia="宋体"/>
                      <w:color w:val="auto"/>
                      <w:szCs w:val="21"/>
                      <w:u w:val="none"/>
                      <w:lang w:val="en-US" w:eastAsia="zh-CN"/>
                    </w:rPr>
                  </w:pPr>
                  <w:r>
                    <w:rPr>
                      <w:rFonts w:hint="eastAsia"/>
                      <w:color w:val="auto"/>
                      <w:szCs w:val="21"/>
                      <w:u w:val="none"/>
                    </w:rPr>
                    <w:t>0.</w:t>
                  </w:r>
                  <w:r>
                    <w:rPr>
                      <w:rFonts w:hint="eastAsia"/>
                      <w:color w:val="auto"/>
                      <w:szCs w:val="21"/>
                      <w:u w:val="none"/>
                      <w:lang w:val="en-US" w:eastAsia="zh-CN"/>
                    </w:rPr>
                    <w:t>4</w:t>
                  </w:r>
                </w:p>
              </w:tc>
              <w:tc>
                <w:tcPr>
                  <w:tcW w:w="439" w:type="pct"/>
                  <w:noWrap w:val="0"/>
                  <w:vAlign w:val="center"/>
                </w:tcPr>
                <w:p>
                  <w:pPr>
                    <w:overflowPunct w:val="0"/>
                    <w:jc w:val="center"/>
                    <w:rPr>
                      <w:rFonts w:hint="default" w:eastAsia="宋体"/>
                      <w:color w:val="auto"/>
                      <w:szCs w:val="21"/>
                      <w:u w:val="none"/>
                      <w:lang w:val="en-US" w:eastAsia="zh-CN"/>
                    </w:rPr>
                  </w:pPr>
                  <w:r>
                    <w:rPr>
                      <w:rFonts w:hint="eastAsia"/>
                      <w:color w:val="auto"/>
                      <w:szCs w:val="21"/>
                      <w:u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noWrap w:val="0"/>
                  <w:vAlign w:val="center"/>
                </w:tcPr>
                <w:p>
                  <w:pPr>
                    <w:overflowPunct w:val="0"/>
                    <w:jc w:val="center"/>
                    <w:rPr>
                      <w:rFonts w:hint="eastAsia" w:eastAsia="宋体"/>
                      <w:color w:val="auto"/>
                      <w:szCs w:val="21"/>
                      <w:u w:val="none"/>
                      <w:lang w:val="en-US" w:eastAsia="zh-CN"/>
                    </w:rPr>
                  </w:pPr>
                  <w:r>
                    <w:rPr>
                      <w:rFonts w:hint="eastAsia"/>
                      <w:color w:val="auto"/>
                      <w:szCs w:val="21"/>
                      <w:u w:val="none"/>
                      <w:lang w:val="en-US" w:eastAsia="zh-CN"/>
                    </w:rPr>
                    <w:t>2</w:t>
                  </w:r>
                </w:p>
              </w:tc>
              <w:tc>
                <w:tcPr>
                  <w:tcW w:w="495" w:type="pct"/>
                  <w:noWrap w:val="0"/>
                  <w:vAlign w:val="center"/>
                </w:tcPr>
                <w:p>
                  <w:pPr>
                    <w:overflowPunct w:val="0"/>
                    <w:jc w:val="center"/>
                    <w:rPr>
                      <w:rFonts w:hint="eastAsia" w:eastAsia="宋体"/>
                      <w:color w:val="auto"/>
                      <w:szCs w:val="21"/>
                      <w:u w:val="none"/>
                      <w:lang w:eastAsia="zh-CN"/>
                    </w:rPr>
                  </w:pPr>
                  <w:r>
                    <w:rPr>
                      <w:rFonts w:hint="eastAsia"/>
                      <w:color w:val="auto"/>
                      <w:szCs w:val="21"/>
                      <w:u w:val="none"/>
                    </w:rPr>
                    <w:t>DA002</w:t>
                  </w:r>
                </w:p>
              </w:tc>
              <w:tc>
                <w:tcPr>
                  <w:tcW w:w="671" w:type="pct"/>
                  <w:noWrap w:val="0"/>
                  <w:vAlign w:val="center"/>
                </w:tcPr>
                <w:p>
                  <w:pPr>
                    <w:jc w:val="center"/>
                    <w:rPr>
                      <w:rFonts w:hint="eastAsia"/>
                      <w:color w:val="auto"/>
                      <w:sz w:val="21"/>
                      <w:szCs w:val="21"/>
                      <w:u w:val="none"/>
                    </w:rPr>
                  </w:pPr>
                  <w:r>
                    <w:rPr>
                      <w:rFonts w:hint="eastAsia" w:cs="Times New Roman"/>
                      <w:color w:val="auto"/>
                      <w:kern w:val="2"/>
                      <w:sz w:val="21"/>
                      <w:szCs w:val="21"/>
                      <w:u w:val="none"/>
                      <w:lang w:val="en-US" w:eastAsia="zh-CN" w:bidi="ar-SA"/>
                    </w:rPr>
                    <w:t>热风炉废气</w:t>
                  </w:r>
                </w:p>
              </w:tc>
              <w:tc>
                <w:tcPr>
                  <w:tcW w:w="572"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rPr>
                  </w:pPr>
                  <w:r>
                    <w:rPr>
                      <w:rFonts w:hint="eastAsia" w:eastAsia="宋体" w:cs="Times New Roman"/>
                      <w:color w:val="000000"/>
                      <w:sz w:val="21"/>
                      <w:szCs w:val="21"/>
                      <w:highlight w:val="none"/>
                      <w:lang w:eastAsia="zh-CN"/>
                    </w:rPr>
                    <w:t>颗粒物</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r>
                    <w:rPr>
                      <w:rFonts w:hint="eastAsia" w:cs="Times New Roman"/>
                      <w:color w:val="000000"/>
                      <w:sz w:val="21"/>
                      <w:szCs w:val="21"/>
                      <w:highlight w:val="none"/>
                      <w:vertAlign w:val="baseline"/>
                      <w:lang w:val="en-US" w:eastAsia="zh-CN"/>
                    </w:rPr>
                    <w:t>、</w:t>
                  </w:r>
                  <w:r>
                    <w:rPr>
                      <w:rFonts w:hint="eastAsia" w:cs="Times New Roman"/>
                      <w:color w:val="000000"/>
                      <w:sz w:val="21"/>
                      <w:szCs w:val="21"/>
                      <w:highlight w:val="none"/>
                      <w:lang w:val="en-US" w:eastAsia="zh-CN"/>
                    </w:rPr>
                    <w:t>NO</w:t>
                  </w:r>
                  <w:r>
                    <w:rPr>
                      <w:rFonts w:hint="eastAsia" w:cs="Times New Roman"/>
                      <w:color w:val="000000"/>
                      <w:sz w:val="21"/>
                      <w:szCs w:val="21"/>
                      <w:highlight w:val="none"/>
                      <w:vertAlign w:val="subscript"/>
                      <w:lang w:val="en-US" w:eastAsia="zh-CN"/>
                    </w:rPr>
                    <w:t>X</w:t>
                  </w:r>
                </w:p>
              </w:tc>
              <w:tc>
                <w:tcPr>
                  <w:tcW w:w="902"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112°11′54.36</w:t>
                  </w:r>
                  <w:r>
                    <w:rPr>
                      <w:rFonts w:hint="default"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rPr>
                    <w:t>″</w:t>
                  </w:r>
                </w:p>
              </w:tc>
              <w:tc>
                <w:tcPr>
                  <w:tcW w:w="844"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25°53′6.50</w:t>
                  </w:r>
                  <w:r>
                    <w:rPr>
                      <w:rFonts w:hint="default" w:ascii="Times New Roman" w:hAnsi="Times New Roman" w:cs="Times New Roman"/>
                      <w:color w:val="auto"/>
                      <w:sz w:val="21"/>
                      <w:szCs w:val="21"/>
                      <w:u w:val="none"/>
                      <w:lang w:val="en-US" w:eastAsia="zh-CN"/>
                    </w:rPr>
                    <w:t>8</w:t>
                  </w:r>
                  <w:r>
                    <w:rPr>
                      <w:rFonts w:hint="default" w:ascii="Times New Roman" w:hAnsi="Times New Roman" w:cs="Times New Roman"/>
                      <w:color w:val="auto"/>
                      <w:sz w:val="21"/>
                      <w:szCs w:val="21"/>
                      <w:u w:val="none"/>
                    </w:rPr>
                    <w:t>″</w:t>
                  </w:r>
                </w:p>
              </w:tc>
              <w:tc>
                <w:tcPr>
                  <w:tcW w:w="382" w:type="pct"/>
                  <w:noWrap w:val="0"/>
                  <w:vAlign w:val="center"/>
                </w:tcPr>
                <w:p>
                  <w:pPr>
                    <w:overflowPunct w:val="0"/>
                    <w:jc w:val="center"/>
                    <w:rPr>
                      <w:rFonts w:hint="default" w:eastAsia="宋体"/>
                      <w:color w:val="auto"/>
                      <w:sz w:val="21"/>
                      <w:szCs w:val="21"/>
                      <w:u w:val="none"/>
                      <w:lang w:val="en-US" w:eastAsia="zh-CN"/>
                    </w:rPr>
                  </w:pPr>
                  <w:r>
                    <w:rPr>
                      <w:rFonts w:hint="eastAsia"/>
                      <w:color w:val="auto"/>
                      <w:sz w:val="21"/>
                      <w:szCs w:val="21"/>
                      <w:u w:val="none"/>
                      <w:lang w:val="en-US" w:eastAsia="zh-CN"/>
                    </w:rPr>
                    <w:t>15</w:t>
                  </w:r>
                </w:p>
              </w:tc>
              <w:tc>
                <w:tcPr>
                  <w:tcW w:w="439" w:type="pct"/>
                  <w:noWrap w:val="0"/>
                  <w:vAlign w:val="center"/>
                </w:tcPr>
                <w:p>
                  <w:pPr>
                    <w:overflowPunct w:val="0"/>
                    <w:jc w:val="center"/>
                    <w:rPr>
                      <w:rFonts w:hint="default" w:eastAsia="宋体"/>
                      <w:color w:val="auto"/>
                      <w:szCs w:val="21"/>
                      <w:u w:val="none"/>
                      <w:lang w:val="en-US" w:eastAsia="zh-CN"/>
                    </w:rPr>
                  </w:pPr>
                  <w:r>
                    <w:rPr>
                      <w:rFonts w:hint="eastAsia"/>
                      <w:color w:val="auto"/>
                      <w:szCs w:val="21"/>
                      <w:u w:val="none"/>
                      <w:lang w:val="en-US" w:eastAsia="zh-CN"/>
                    </w:rPr>
                    <w:t>0.5</w:t>
                  </w:r>
                </w:p>
              </w:tc>
              <w:tc>
                <w:tcPr>
                  <w:tcW w:w="439" w:type="pct"/>
                  <w:noWrap w:val="0"/>
                  <w:vAlign w:val="center"/>
                </w:tcPr>
                <w:p>
                  <w:pPr>
                    <w:overflowPunct w:val="0"/>
                    <w:jc w:val="center"/>
                    <w:rPr>
                      <w:rFonts w:hint="eastAsia"/>
                      <w:color w:val="auto"/>
                      <w:szCs w:val="21"/>
                      <w:u w:val="none"/>
                      <w:lang w:val="en-US" w:eastAsia="zh-CN"/>
                    </w:rPr>
                  </w:pPr>
                  <w:r>
                    <w:rPr>
                      <w:rFonts w:hint="eastAsia"/>
                      <w:color w:val="auto"/>
                      <w:szCs w:val="21"/>
                      <w:u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noWrap w:val="0"/>
                  <w:vAlign w:val="center"/>
                </w:tcPr>
                <w:p>
                  <w:pPr>
                    <w:overflowPunct w:val="0"/>
                    <w:jc w:val="center"/>
                    <w:rPr>
                      <w:rFonts w:hint="default"/>
                      <w:color w:val="auto"/>
                      <w:szCs w:val="21"/>
                      <w:u w:val="none"/>
                      <w:lang w:val="en-US" w:eastAsia="zh-CN"/>
                    </w:rPr>
                  </w:pPr>
                  <w:r>
                    <w:rPr>
                      <w:rFonts w:hint="eastAsia"/>
                      <w:color w:val="auto"/>
                      <w:szCs w:val="21"/>
                      <w:u w:val="none"/>
                      <w:lang w:val="en-US" w:eastAsia="zh-CN"/>
                    </w:rPr>
                    <w:t>3</w:t>
                  </w:r>
                </w:p>
              </w:tc>
              <w:tc>
                <w:tcPr>
                  <w:tcW w:w="495" w:type="pct"/>
                  <w:noWrap w:val="0"/>
                  <w:vAlign w:val="center"/>
                </w:tcPr>
                <w:p>
                  <w:pPr>
                    <w:overflowPunct w:val="0"/>
                    <w:jc w:val="center"/>
                    <w:rPr>
                      <w:rFonts w:hint="eastAsia"/>
                      <w:color w:val="auto"/>
                      <w:szCs w:val="21"/>
                      <w:u w:val="none"/>
                    </w:rPr>
                  </w:pPr>
                  <w:r>
                    <w:rPr>
                      <w:rFonts w:hint="eastAsia"/>
                      <w:color w:val="auto"/>
                      <w:szCs w:val="21"/>
                      <w:u w:val="none"/>
                    </w:rPr>
                    <w:t>DA00</w:t>
                  </w:r>
                  <w:r>
                    <w:rPr>
                      <w:rFonts w:hint="eastAsia"/>
                      <w:color w:val="auto"/>
                      <w:szCs w:val="21"/>
                      <w:u w:val="none"/>
                      <w:lang w:val="en-US" w:eastAsia="zh-CN"/>
                    </w:rPr>
                    <w:t>3</w:t>
                  </w:r>
                </w:p>
              </w:tc>
              <w:tc>
                <w:tcPr>
                  <w:tcW w:w="671" w:type="pct"/>
                  <w:noWrap w:val="0"/>
                  <w:vAlign w:val="center"/>
                </w:tcPr>
                <w:p>
                  <w:pPr>
                    <w:jc w:val="center"/>
                    <w:rPr>
                      <w:rFonts w:hint="eastAsia"/>
                      <w:color w:val="auto"/>
                      <w:sz w:val="21"/>
                      <w:szCs w:val="21"/>
                      <w:u w:val="none"/>
                    </w:rPr>
                  </w:pPr>
                  <w:r>
                    <w:rPr>
                      <w:rFonts w:hint="eastAsia"/>
                      <w:color w:val="auto"/>
                      <w:sz w:val="21"/>
                      <w:szCs w:val="21"/>
                      <w:u w:val="none"/>
                      <w:lang w:eastAsia="zh-CN"/>
                    </w:rPr>
                    <w:t>食堂</w:t>
                  </w:r>
                  <w:r>
                    <w:rPr>
                      <w:rFonts w:hint="eastAsia" w:cs="Times New Roman"/>
                      <w:color w:val="auto"/>
                      <w:kern w:val="2"/>
                      <w:sz w:val="21"/>
                      <w:szCs w:val="21"/>
                      <w:u w:val="none"/>
                      <w:lang w:val="en-US" w:eastAsia="zh-CN" w:bidi="ar-SA"/>
                    </w:rPr>
                    <w:t>废气</w:t>
                  </w:r>
                </w:p>
              </w:tc>
              <w:tc>
                <w:tcPr>
                  <w:tcW w:w="572"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rPr>
                  </w:pPr>
                  <w:r>
                    <w:rPr>
                      <w:rFonts w:hint="eastAsia"/>
                      <w:color w:val="auto"/>
                      <w:sz w:val="21"/>
                      <w:szCs w:val="21"/>
                      <w:highlight w:val="none"/>
                      <w:u w:val="none"/>
                      <w:lang w:eastAsia="zh-CN"/>
                    </w:rPr>
                    <w:t>油烟</w:t>
                  </w:r>
                </w:p>
              </w:tc>
              <w:tc>
                <w:tcPr>
                  <w:tcW w:w="902"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112°11′55.96</w:t>
                  </w:r>
                  <w:r>
                    <w:rPr>
                      <w:rFonts w:hint="default" w:ascii="Times New Roman" w:hAnsi="Times New Roman" w:cs="Times New Roman"/>
                      <w:color w:val="auto"/>
                      <w:sz w:val="21"/>
                      <w:szCs w:val="21"/>
                      <w:u w:val="none"/>
                      <w:lang w:val="en-US" w:eastAsia="zh-CN"/>
                    </w:rPr>
                    <w:t>4</w:t>
                  </w:r>
                  <w:r>
                    <w:rPr>
                      <w:rFonts w:hint="default" w:ascii="Times New Roman" w:hAnsi="Times New Roman" w:cs="Times New Roman"/>
                      <w:color w:val="auto"/>
                      <w:sz w:val="21"/>
                      <w:szCs w:val="21"/>
                      <w:u w:val="none"/>
                    </w:rPr>
                    <w:t>″</w:t>
                  </w:r>
                </w:p>
              </w:tc>
              <w:tc>
                <w:tcPr>
                  <w:tcW w:w="844" w:type="pct"/>
                  <w:noWrap w:val="0"/>
                  <w:vAlign w:val="center"/>
                </w:tcPr>
                <w:p>
                  <w:pPr>
                    <w:overflowPunct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25°53′5.71</w:t>
                  </w:r>
                  <w:r>
                    <w:rPr>
                      <w:rFonts w:hint="default" w:ascii="Times New Roman" w:hAnsi="Times New Roman" w:cs="Times New Roman"/>
                      <w:color w:val="auto"/>
                      <w:sz w:val="21"/>
                      <w:szCs w:val="21"/>
                      <w:u w:val="none"/>
                      <w:lang w:val="en-US" w:eastAsia="zh-CN"/>
                    </w:rPr>
                    <w:t>6</w:t>
                  </w:r>
                  <w:r>
                    <w:rPr>
                      <w:rFonts w:hint="default" w:ascii="Times New Roman" w:hAnsi="Times New Roman" w:cs="Times New Roman"/>
                      <w:color w:val="auto"/>
                      <w:sz w:val="21"/>
                      <w:szCs w:val="21"/>
                      <w:u w:val="none"/>
                    </w:rPr>
                    <w:t>″</w:t>
                  </w:r>
                </w:p>
              </w:tc>
              <w:tc>
                <w:tcPr>
                  <w:tcW w:w="382" w:type="pct"/>
                  <w:noWrap w:val="0"/>
                  <w:vAlign w:val="center"/>
                </w:tcPr>
                <w:p>
                  <w:pPr>
                    <w:overflowPunct w:val="0"/>
                    <w:jc w:val="center"/>
                    <w:rPr>
                      <w:rFonts w:hint="eastAsia"/>
                      <w:color w:val="auto"/>
                      <w:sz w:val="21"/>
                      <w:szCs w:val="21"/>
                      <w:u w:val="none"/>
                    </w:rPr>
                  </w:pPr>
                  <w:r>
                    <w:rPr>
                      <w:rFonts w:hint="eastAsia"/>
                      <w:color w:val="auto"/>
                      <w:sz w:val="21"/>
                      <w:szCs w:val="21"/>
                      <w:u w:val="none"/>
                      <w:lang w:val="en-US" w:eastAsia="zh-CN"/>
                    </w:rPr>
                    <w:t>15</w:t>
                  </w:r>
                </w:p>
              </w:tc>
              <w:tc>
                <w:tcPr>
                  <w:tcW w:w="439" w:type="pct"/>
                  <w:noWrap w:val="0"/>
                  <w:vAlign w:val="center"/>
                </w:tcPr>
                <w:p>
                  <w:pPr>
                    <w:overflowPunct w:val="0"/>
                    <w:jc w:val="center"/>
                    <w:rPr>
                      <w:rFonts w:hint="default" w:eastAsia="宋体"/>
                      <w:color w:val="auto"/>
                      <w:szCs w:val="21"/>
                      <w:u w:val="none"/>
                      <w:lang w:val="en-US" w:eastAsia="zh-CN"/>
                    </w:rPr>
                  </w:pPr>
                  <w:r>
                    <w:rPr>
                      <w:rFonts w:hint="eastAsia"/>
                      <w:color w:val="auto"/>
                      <w:szCs w:val="21"/>
                      <w:u w:val="none"/>
                      <w:lang w:val="en-US" w:eastAsia="zh-CN"/>
                    </w:rPr>
                    <w:t>0.5</w:t>
                  </w:r>
                </w:p>
              </w:tc>
              <w:tc>
                <w:tcPr>
                  <w:tcW w:w="439" w:type="pct"/>
                  <w:noWrap w:val="0"/>
                  <w:vAlign w:val="center"/>
                </w:tcPr>
                <w:p>
                  <w:pPr>
                    <w:overflowPunct w:val="0"/>
                    <w:jc w:val="center"/>
                    <w:rPr>
                      <w:rFonts w:hint="eastAsia"/>
                      <w:color w:val="auto"/>
                      <w:szCs w:val="21"/>
                      <w:u w:val="none"/>
                      <w:lang w:val="en-US" w:eastAsia="zh-CN"/>
                    </w:rPr>
                  </w:pPr>
                  <w:r>
                    <w:rPr>
                      <w:rFonts w:hint="eastAsia"/>
                      <w:color w:val="auto"/>
                      <w:szCs w:val="21"/>
                      <w:u w:val="none"/>
                      <w:lang w:val="en-US" w:eastAsia="zh-CN"/>
                    </w:rPr>
                    <w:t>一般排放口</w:t>
                  </w:r>
                </w:p>
              </w:tc>
            </w:tr>
          </w:tbl>
          <w:p>
            <w:pPr>
              <w:overflowPunct w:val="0"/>
              <w:spacing w:line="360" w:lineRule="auto"/>
              <w:ind w:firstLine="482" w:firstLineChars="200"/>
              <w:rPr>
                <w:rFonts w:hint="eastAsia"/>
                <w:color w:val="auto"/>
                <w:kern w:val="0"/>
                <w:sz w:val="24"/>
                <w:u w:val="none"/>
              </w:rPr>
            </w:pPr>
            <w:r>
              <w:rPr>
                <w:rFonts w:hint="eastAsia"/>
                <w:b/>
                <w:bCs/>
                <w:color w:val="auto"/>
                <w:kern w:val="0"/>
                <w:sz w:val="24"/>
                <w:u w:val="none"/>
              </w:rPr>
              <w:t>（2）废气污染治理可行性分析</w:t>
            </w:r>
          </w:p>
          <w:p>
            <w:pPr>
              <w:overflowPunct w:val="0"/>
              <w:spacing w:line="360" w:lineRule="auto"/>
              <w:ind w:firstLine="482" w:firstLineChars="200"/>
              <w:rPr>
                <w:rFonts w:hint="eastAsia"/>
                <w:b/>
                <w:bCs/>
                <w:color w:val="auto"/>
                <w:sz w:val="24"/>
                <w:highlight w:val="none"/>
                <w:u w:val="none"/>
              </w:rPr>
            </w:pPr>
            <w:r>
              <w:rPr>
                <w:rFonts w:hint="eastAsia"/>
                <w:b/>
                <w:bCs/>
                <w:color w:val="auto"/>
                <w:sz w:val="24"/>
                <w:highlight w:val="none"/>
                <w:u w:val="none"/>
              </w:rPr>
              <w:t>A、有组织废气治理措施</w:t>
            </w:r>
          </w:p>
          <w:p>
            <w:pPr>
              <w:pStyle w:val="2"/>
              <w:overflowPunct w:val="0"/>
              <w:spacing w:after="0" w:line="360" w:lineRule="auto"/>
              <w:ind w:firstLine="480" w:firstLineChars="200"/>
              <w:rPr>
                <w:rFonts w:hint="eastAsia" w:eastAsia="宋体"/>
                <w:color w:val="auto"/>
                <w:sz w:val="24"/>
                <w:highlight w:val="none"/>
                <w:u w:val="none"/>
                <w:lang w:eastAsia="zh-CN"/>
              </w:rPr>
            </w:pPr>
            <w:r>
              <w:rPr>
                <w:rFonts w:hint="eastAsia"/>
                <w:color w:val="auto"/>
                <w:sz w:val="24"/>
                <w:szCs w:val="24"/>
                <w:highlight w:val="none"/>
                <w:u w:val="none"/>
              </w:rPr>
              <w:t>（1）</w:t>
            </w:r>
            <w:r>
              <w:rPr>
                <w:rFonts w:hint="eastAsia" w:ascii="宋体" w:hAnsi="宋体" w:cs="宋体"/>
                <w:color w:val="auto"/>
                <w:sz w:val="24"/>
                <w:highlight w:val="none"/>
                <w:u w:val="none"/>
              </w:rPr>
              <w:t>发泡、</w:t>
            </w:r>
            <w:r>
              <w:rPr>
                <w:rFonts w:hint="eastAsia" w:ascii="宋体" w:hAnsi="宋体" w:cs="宋体"/>
                <w:color w:val="auto"/>
                <w:sz w:val="24"/>
                <w:highlight w:val="none"/>
                <w:u w:val="none"/>
                <w:lang w:eastAsia="zh-CN"/>
              </w:rPr>
              <w:t>搅拌废气、</w:t>
            </w:r>
            <w:r>
              <w:rPr>
                <w:rFonts w:hint="eastAsia" w:ascii="宋体" w:hAnsi="宋体" w:cs="宋体"/>
                <w:color w:val="auto"/>
                <w:sz w:val="24"/>
                <w:highlight w:val="none"/>
                <w:u w:val="none"/>
              </w:rPr>
              <w:t>熟化废气、印刷废气</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eastAsia"/>
                <w:color w:val="auto"/>
                <w:sz w:val="24"/>
                <w:highlight w:val="none"/>
                <w:u w:val="single"/>
              </w:rPr>
            </w:pPr>
            <w:r>
              <w:rPr>
                <w:rFonts w:hint="eastAsia"/>
                <w:color w:val="auto"/>
                <w:sz w:val="24"/>
                <w:highlight w:val="none"/>
                <w:u w:val="single"/>
              </w:rPr>
              <w:t>本项目</w:t>
            </w:r>
            <w:r>
              <w:rPr>
                <w:rFonts w:hint="eastAsia" w:ascii="宋体" w:hAnsi="宋体" w:cs="宋体"/>
                <w:color w:val="auto"/>
                <w:sz w:val="24"/>
                <w:highlight w:val="none"/>
                <w:u w:val="single"/>
              </w:rPr>
              <w:t>发泡、</w:t>
            </w:r>
            <w:r>
              <w:rPr>
                <w:rFonts w:hint="eastAsia" w:ascii="宋体" w:hAnsi="宋体" w:cs="宋体"/>
                <w:color w:val="auto"/>
                <w:sz w:val="24"/>
                <w:highlight w:val="none"/>
                <w:u w:val="single"/>
                <w:lang w:eastAsia="zh-CN"/>
              </w:rPr>
              <w:t>搅拌废气、</w:t>
            </w:r>
            <w:r>
              <w:rPr>
                <w:rFonts w:hint="eastAsia" w:ascii="宋体" w:hAnsi="宋体" w:cs="宋体"/>
                <w:color w:val="auto"/>
                <w:sz w:val="24"/>
                <w:highlight w:val="none"/>
                <w:u w:val="single"/>
              </w:rPr>
              <w:t>熟化废气、印刷废气</w:t>
            </w:r>
            <w:r>
              <w:rPr>
                <w:rFonts w:hint="eastAsia"/>
                <w:color w:val="auto"/>
                <w:sz w:val="24"/>
                <w:highlight w:val="none"/>
                <w:u w:val="single"/>
              </w:rPr>
              <w:t>拟采用</w:t>
            </w:r>
            <w:r>
              <w:rPr>
                <w:rFonts w:hint="eastAsia"/>
                <w:color w:val="auto"/>
                <w:sz w:val="24"/>
                <w:highlight w:val="none"/>
                <w:u w:val="single"/>
                <w:lang w:eastAsia="zh-CN"/>
              </w:rPr>
              <w:t>“UV 光解+活性炭吸附”</w:t>
            </w:r>
            <w:r>
              <w:rPr>
                <w:rFonts w:hint="eastAsia"/>
                <w:color w:val="auto"/>
                <w:sz w:val="24"/>
                <w:highlight w:val="none"/>
                <w:u w:val="single"/>
              </w:rPr>
              <w:t>进行处理</w:t>
            </w:r>
            <w:r>
              <w:rPr>
                <w:color w:val="auto"/>
                <w:sz w:val="24"/>
                <w:highlight w:val="none"/>
                <w:u w:val="single"/>
              </w:rPr>
              <w:t>。</w:t>
            </w:r>
            <w:r>
              <w:rPr>
                <w:color w:val="auto"/>
                <w:sz w:val="24"/>
                <w:u w:val="single"/>
              </w:rPr>
              <w:t>经处</w:t>
            </w:r>
            <w:r>
              <w:rPr>
                <w:color w:val="auto"/>
                <w:sz w:val="24"/>
                <w:highlight w:val="none"/>
                <w:u w:val="single"/>
              </w:rPr>
              <w:t>理后，</w:t>
            </w:r>
            <w:r>
              <w:rPr>
                <w:rFonts w:hint="eastAsia"/>
                <w:color w:val="auto"/>
                <w:sz w:val="24"/>
                <w:highlight w:val="none"/>
                <w:u w:val="single"/>
              </w:rPr>
              <w:t>非甲烷总烃</w:t>
            </w:r>
            <w:r>
              <w:rPr>
                <w:color w:val="auto"/>
                <w:sz w:val="24"/>
                <w:highlight w:val="none"/>
                <w:u w:val="single"/>
              </w:rPr>
              <w:t>有组织排放</w:t>
            </w:r>
            <w:r>
              <w:rPr>
                <w:rFonts w:hint="eastAsia"/>
                <w:color w:val="auto"/>
                <w:sz w:val="24"/>
                <w:highlight w:val="none"/>
                <w:u w:val="single"/>
              </w:rPr>
              <w:t>满足《合成树脂工业污染物排放标准》（GB31732-2015）表 5大气污染物特别排放限值</w:t>
            </w:r>
            <w:r>
              <w:rPr>
                <w:color w:val="auto"/>
                <w:sz w:val="24"/>
                <w:highlight w:val="none"/>
                <w:u w:val="single"/>
              </w:rPr>
              <w:t>。</w:t>
            </w:r>
            <w:r>
              <w:rPr>
                <w:rFonts w:hint="eastAsia"/>
                <w:color w:val="auto"/>
                <w:sz w:val="24"/>
                <w:highlight w:val="none"/>
                <w:u w:val="single"/>
              </w:rPr>
              <w:t>印刷工序VOCs</w:t>
            </w:r>
            <w:r>
              <w:rPr>
                <w:rFonts w:hint="eastAsia"/>
                <w:color w:val="auto"/>
                <w:sz w:val="24"/>
                <w:highlight w:val="none"/>
                <w:u w:val="single"/>
                <w:lang w:val="en-US" w:eastAsia="zh-CN"/>
              </w:rPr>
              <w:t>满足</w:t>
            </w:r>
            <w:r>
              <w:rPr>
                <w:rFonts w:hint="eastAsia"/>
                <w:color w:val="auto"/>
                <w:sz w:val="24"/>
                <w:highlight w:val="none"/>
                <w:u w:val="single"/>
              </w:rPr>
              <w:t>湖南省地方标准《印刷业挥发性有机物排放标准》(DB43/1357-2017) 表1排气筒挥发性有机物排放浓度限值。根据上文分析，</w:t>
            </w:r>
            <w:r>
              <w:rPr>
                <w:rFonts w:hint="eastAsia"/>
                <w:color w:val="auto"/>
                <w:sz w:val="24"/>
                <w:highlight w:val="none"/>
                <w:u w:val="single"/>
                <w:lang w:val="en-US" w:eastAsia="zh-CN"/>
              </w:rPr>
              <w:t>本项目废气通过处理后能达标排放，</w:t>
            </w:r>
            <w:r>
              <w:rPr>
                <w:rFonts w:hint="eastAsia"/>
                <w:color w:val="auto"/>
                <w:sz w:val="24"/>
                <w:highlight w:val="none"/>
                <w:u w:val="single"/>
              </w:rPr>
              <w:t>对周围环境影响不大。</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eastAsia" w:eastAsia="宋体"/>
                <w:b/>
                <w:color w:val="auto"/>
                <w:szCs w:val="21"/>
                <w:highlight w:val="none"/>
                <w:u w:val="none"/>
                <w:lang w:eastAsia="zh-CN"/>
              </w:rPr>
            </w:pPr>
            <w:r>
              <w:rPr>
                <w:rFonts w:hint="eastAsia"/>
                <w:color w:val="auto"/>
                <w:sz w:val="24"/>
                <w:highlight w:val="none"/>
                <w:u w:val="none"/>
                <w:lang w:eastAsia="zh-CN"/>
              </w:rPr>
              <w:t>参考</w:t>
            </w:r>
            <w:r>
              <w:rPr>
                <w:rFonts w:hint="eastAsia"/>
                <w:color w:val="auto"/>
                <w:sz w:val="24"/>
                <w:highlight w:val="none"/>
                <w:u w:val="none"/>
              </w:rPr>
              <w:t>《排污许可证申请与核发技术规范 制鞋工业》（HJ1123-2020）表 F.1 中要求：挥发性有机物使用吸附法与光催化氧化法组合使用属于可行技术</w:t>
            </w:r>
            <w:r>
              <w:rPr>
                <w:rFonts w:hint="eastAsia"/>
                <w:color w:val="auto"/>
                <w:sz w:val="24"/>
                <w:highlight w:val="none"/>
                <w:u w:val="none"/>
                <w:lang w:eastAsia="zh-CN"/>
              </w:rPr>
              <w:t>。另外，</w:t>
            </w:r>
            <w:r>
              <w:rPr>
                <w:color w:val="auto"/>
                <w:sz w:val="24"/>
                <w:highlight w:val="none"/>
                <w:u w:val="none"/>
              </w:rPr>
              <w:t>根据《湖南省包装印刷行业VOC</w:t>
            </w:r>
            <w:r>
              <w:rPr>
                <w:color w:val="auto"/>
                <w:sz w:val="24"/>
                <w:highlight w:val="none"/>
                <w:u w:val="none"/>
                <w:vertAlign w:val="subscript"/>
              </w:rPr>
              <w:t>S</w:t>
            </w:r>
            <w:r>
              <w:rPr>
                <w:color w:val="auto"/>
                <w:sz w:val="24"/>
                <w:highlight w:val="none"/>
                <w:u w:val="none"/>
              </w:rPr>
              <w:t>排放量测算技术指南（试行）》中表2常见治理设施处理效率可知，</w:t>
            </w:r>
            <w:r>
              <w:rPr>
                <w:rFonts w:hint="eastAsia"/>
                <w:color w:val="auto"/>
                <w:sz w:val="24"/>
                <w:highlight w:val="none"/>
                <w:u w:val="none"/>
              </w:rPr>
              <w:t>“活性炭吸附+UV 光解”</w:t>
            </w:r>
            <w:r>
              <w:rPr>
                <w:color w:val="auto"/>
                <w:sz w:val="24"/>
                <w:highlight w:val="none"/>
                <w:u w:val="none"/>
              </w:rPr>
              <w:t>处理效率为</w:t>
            </w:r>
            <w:r>
              <w:rPr>
                <w:rFonts w:hint="eastAsia"/>
                <w:color w:val="auto"/>
                <w:sz w:val="24"/>
                <w:highlight w:val="none"/>
                <w:u w:val="none"/>
                <w:lang w:val="en-US" w:eastAsia="zh-CN"/>
              </w:rPr>
              <w:t>94</w:t>
            </w:r>
            <w:r>
              <w:rPr>
                <w:color w:val="auto"/>
                <w:sz w:val="24"/>
                <w:highlight w:val="none"/>
                <w:u w:val="none"/>
              </w:rPr>
              <w:t>%</w:t>
            </w:r>
            <w:r>
              <w:rPr>
                <w:rFonts w:hint="eastAsia"/>
                <w:color w:val="auto"/>
                <w:sz w:val="24"/>
                <w:highlight w:val="none"/>
                <w:u w:val="none"/>
                <w:lang w:eastAsia="zh-CN"/>
              </w:rPr>
              <w:t>，本次计算按</w:t>
            </w:r>
            <w:r>
              <w:rPr>
                <w:rFonts w:hint="eastAsia"/>
                <w:color w:val="auto"/>
                <w:sz w:val="24"/>
                <w:highlight w:val="none"/>
                <w:u w:val="none"/>
                <w:lang w:val="en-US" w:eastAsia="zh-CN"/>
              </w:rPr>
              <w:t>90%计</w:t>
            </w:r>
            <w:r>
              <w:rPr>
                <w:rFonts w:hint="eastAsia"/>
                <w:color w:val="auto"/>
                <w:sz w:val="24"/>
                <w:highlight w:val="none"/>
                <w:u w:val="none"/>
              </w:rPr>
              <w:t>。</w:t>
            </w:r>
          </w:p>
          <w:p>
            <w:pPr>
              <w:overflowPunct w:val="0"/>
              <w:spacing w:line="360" w:lineRule="auto"/>
              <w:ind w:firstLine="480" w:firstLineChars="200"/>
              <w:jc w:val="left"/>
              <w:rPr>
                <w:rFonts w:hint="default" w:eastAsia="宋体"/>
                <w:color w:val="auto"/>
                <w:sz w:val="24"/>
                <w:highlight w:val="none"/>
                <w:u w:val="none"/>
                <w:lang w:val="en-US" w:eastAsia="zh-CN"/>
              </w:rPr>
            </w:pPr>
            <w:r>
              <w:rPr>
                <w:rFonts w:hint="eastAsia"/>
                <w:color w:val="auto"/>
                <w:sz w:val="24"/>
                <w:highlight w:val="none"/>
                <w:u w:val="none"/>
              </w:rPr>
              <w:t>原理如下：</w:t>
            </w:r>
          </w:p>
          <w:p>
            <w:pPr>
              <w:overflowPunct w:val="0"/>
              <w:spacing w:line="360" w:lineRule="auto"/>
              <w:ind w:firstLine="480" w:firstLineChars="200"/>
              <w:rPr>
                <w:rFonts w:hint="eastAsia"/>
                <w:b w:val="0"/>
                <w:bCs w:val="0"/>
                <w:color w:val="auto"/>
                <w:sz w:val="24"/>
                <w:highlight w:val="none"/>
                <w:u w:val="none"/>
              </w:rPr>
            </w:pPr>
            <w:r>
              <w:rPr>
                <w:rFonts w:hint="eastAsia"/>
                <w:b w:val="0"/>
                <w:bCs w:val="0"/>
                <w:color w:val="auto"/>
                <w:sz w:val="24"/>
                <w:highlight w:val="none"/>
                <w:u w:val="none"/>
              </w:rPr>
              <w:t>活性炭吸附法：活性炭是一种多孔性的含炭</w:t>
            </w:r>
            <w:r>
              <w:rPr>
                <w:rFonts w:hint="eastAsia"/>
                <w:b w:val="0"/>
                <w:bCs w:val="0"/>
                <w:color w:val="auto"/>
                <w:sz w:val="24"/>
                <w:u w:val="none"/>
              </w:rPr>
              <w:t>物质，它具有高度发达的孔隙构造，活性炭的多孔结构为其提供了大量的表面积，能与气体（杂质）</w:t>
            </w:r>
            <w:r>
              <w:rPr>
                <w:rFonts w:hint="eastAsia"/>
                <w:b w:val="0"/>
                <w:bCs w:val="0"/>
                <w:color w:val="auto"/>
                <w:sz w:val="24"/>
                <w:highlight w:val="none"/>
                <w:u w:val="none"/>
              </w:rPr>
              <w:t>充分接触，从而赋予了活性炭所特有的吸附性能，使其非常容易达到吸收收集杂质的目的。就像磁力一样，所有的分子之间都具有相互引力。正因为如此，活性炭孔壁上的大量的分子可以产生强大的引力，从而达到将有害的杂质吸引到孔径中的目的。具有吸附率高、适用面广、维护方便等优点，能同时处理多种混合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u w:val="none"/>
                <w:lang w:val="en-US" w:eastAsia="zh-CN"/>
              </w:rPr>
            </w:pPr>
            <w:r>
              <w:rPr>
                <w:rFonts w:hint="eastAsia"/>
                <w:b w:val="0"/>
                <w:bCs w:val="0"/>
                <w:color w:val="auto"/>
                <w:sz w:val="24"/>
                <w:szCs w:val="24"/>
                <w:u w:val="none"/>
                <w:lang w:val="en-US" w:eastAsia="zh-CN"/>
              </w:rPr>
              <w:t>UV光解法：是利用特制的高能高臭氧 UV 紫外线光束照射有机气体及空气中的氧分子，</w:t>
            </w:r>
            <w:r>
              <w:rPr>
                <w:rFonts w:hint="eastAsia"/>
                <w:color w:val="auto"/>
                <w:sz w:val="24"/>
                <w:szCs w:val="24"/>
                <w:u w:val="none"/>
                <w:lang w:val="en-US" w:eastAsia="zh-CN"/>
              </w:rPr>
              <w:t>裂解有机气体的分子键，并分解空气中的氧分子产生游离氧，即活性氧，UV＋O</w:t>
            </w:r>
            <w:r>
              <w:rPr>
                <w:rFonts w:hint="eastAsia"/>
                <w:color w:val="auto"/>
                <w:sz w:val="24"/>
                <w:szCs w:val="24"/>
                <w:u w:val="none"/>
                <w:vertAlign w:val="subscript"/>
                <w:lang w:val="en-US" w:eastAsia="zh-CN"/>
              </w:rPr>
              <w:t>2</w:t>
            </w:r>
            <w:r>
              <w:rPr>
                <w:rFonts w:hint="eastAsia"/>
                <w:color w:val="auto"/>
                <w:sz w:val="24"/>
                <w:szCs w:val="24"/>
                <w:u w:val="none"/>
                <w:lang w:val="en-US" w:eastAsia="zh-CN"/>
              </w:rPr>
              <w:t>→O-+O＊(活性氧)O+O</w:t>
            </w:r>
            <w:r>
              <w:rPr>
                <w:rFonts w:hint="eastAsia"/>
                <w:color w:val="auto"/>
                <w:sz w:val="24"/>
                <w:szCs w:val="24"/>
                <w:u w:val="none"/>
                <w:vertAlign w:val="subscript"/>
                <w:lang w:val="en-US" w:eastAsia="zh-CN"/>
              </w:rPr>
              <w:t>2</w:t>
            </w:r>
            <w:r>
              <w:rPr>
                <w:rFonts w:hint="eastAsia"/>
                <w:color w:val="auto"/>
                <w:sz w:val="24"/>
                <w:szCs w:val="24"/>
                <w:u w:val="none"/>
                <w:lang w:val="en-US" w:eastAsia="zh-CN"/>
              </w:rPr>
              <w:t>→O</w:t>
            </w:r>
            <w:r>
              <w:rPr>
                <w:rFonts w:hint="eastAsia"/>
                <w:color w:val="auto"/>
                <w:sz w:val="24"/>
                <w:szCs w:val="24"/>
                <w:u w:val="none"/>
                <w:vertAlign w:val="subscript"/>
                <w:lang w:val="en-US" w:eastAsia="zh-CN"/>
              </w:rPr>
              <w:t>3</w:t>
            </w:r>
            <w:r>
              <w:rPr>
                <w:rFonts w:hint="eastAsia"/>
                <w:color w:val="auto"/>
                <w:sz w:val="24"/>
                <w:szCs w:val="24"/>
                <w:u w:val="none"/>
                <w:lang w:val="en-US" w:eastAsia="zh-CN"/>
              </w:rPr>
              <w:t xml:space="preserve"> (臭氧)。游离状态的污染物分子与臭氧氧化结合成小分子无害或低害的化合物，如CO</w:t>
            </w:r>
            <w:r>
              <w:rPr>
                <w:rFonts w:hint="eastAsia"/>
                <w:color w:val="auto"/>
                <w:sz w:val="24"/>
                <w:szCs w:val="24"/>
                <w:u w:val="none"/>
                <w:vertAlign w:val="subscript"/>
                <w:lang w:val="en-US" w:eastAsia="zh-CN"/>
              </w:rPr>
              <w:t>2</w:t>
            </w:r>
            <w:r>
              <w:rPr>
                <w:rFonts w:hint="eastAsia"/>
                <w:color w:val="auto"/>
                <w:sz w:val="24"/>
                <w:szCs w:val="24"/>
                <w:u w:val="none"/>
                <w:lang w:val="en-US" w:eastAsia="zh-CN"/>
              </w:rPr>
              <w:t>、H</w:t>
            </w:r>
            <w:r>
              <w:rPr>
                <w:rFonts w:hint="eastAsia"/>
                <w:color w:val="auto"/>
                <w:sz w:val="24"/>
                <w:szCs w:val="24"/>
                <w:u w:val="none"/>
                <w:vertAlign w:val="subscript"/>
                <w:lang w:val="en-US" w:eastAsia="zh-CN"/>
              </w:rPr>
              <w:t>2</w:t>
            </w:r>
            <w:r>
              <w:rPr>
                <w:rFonts w:hint="eastAsia"/>
                <w:color w:val="auto"/>
                <w:sz w:val="24"/>
                <w:szCs w:val="24"/>
                <w:u w:val="none"/>
                <w:lang w:val="en-US" w:eastAsia="zh-CN"/>
              </w:rPr>
              <w:t>O等，从而达到净化气体的效果。UV光解法对恶臭的去除率可达99%以上，适用于低浓度、大风量、有一定恶臭源的废气处理。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综上</w:t>
            </w:r>
            <w:r>
              <w:rPr>
                <w:rFonts w:hint="eastAsia" w:ascii="Times New Roman" w:hAnsi="Times New Roman" w:eastAsia="宋体" w:cs="Times New Roman"/>
                <w:color w:val="auto"/>
                <w:sz w:val="24"/>
                <w:szCs w:val="24"/>
                <w:highlight w:val="none"/>
                <w:u w:val="none"/>
                <w:lang w:val="en-US" w:eastAsia="zh-CN"/>
              </w:rPr>
              <w:t>所述</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此项技术可行。</w:t>
            </w:r>
          </w:p>
          <w:p>
            <w:pPr>
              <w:keepNext w:val="0"/>
              <w:keepLines w:val="0"/>
              <w:pageBreakBefore w:val="0"/>
              <w:widowControl w:val="0"/>
              <w:numPr>
                <w:ilvl w:val="0"/>
                <w:numId w:val="5"/>
              </w:numPr>
              <w:kinsoku/>
              <w:wordWrap/>
              <w:overflowPunct w:val="0"/>
              <w:topLinePunct w:val="0"/>
              <w:autoSpaceDE/>
              <w:autoSpaceDN/>
              <w:bidi w:val="0"/>
              <w:adjustRightInd/>
              <w:snapToGrid/>
              <w:spacing w:line="360" w:lineRule="auto"/>
              <w:ind w:left="0" w:leftChars="0"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油烟废气</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0"/>
                <w:highlight w:val="none"/>
                <w:u w:val="none"/>
                <w:vertAlign w:val="baseli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本项目食堂油烟拟采用</w:t>
            </w:r>
            <w:r>
              <w:rPr>
                <w:rFonts w:hint="eastAsia" w:ascii="Times New Roman" w:hAnsi="Times New Roman" w:eastAsia="宋体" w:cs="Times New Roman"/>
                <w:color w:val="000000"/>
                <w:kern w:val="0"/>
                <w:sz w:val="24"/>
                <w:szCs w:val="20"/>
                <w:highlight w:val="none"/>
                <w:u w:val="none"/>
                <w:vertAlign w:val="baseline"/>
                <w:lang w:val="en-US" w:eastAsia="zh-CN" w:bidi="ar-SA"/>
              </w:rPr>
              <w:t>静电油</w:t>
            </w:r>
            <w:r>
              <w:rPr>
                <w:rFonts w:hint="default" w:ascii="Times New Roman" w:hAnsi="Times New Roman" w:eastAsia="宋体" w:cs="Times New Roman"/>
                <w:color w:val="000000"/>
                <w:kern w:val="0"/>
                <w:sz w:val="24"/>
                <w:szCs w:val="20"/>
                <w:highlight w:val="none"/>
                <w:u w:val="none"/>
                <w:vertAlign w:val="baseline"/>
                <w:lang w:val="en-US" w:eastAsia="zh-CN" w:bidi="ar-SA"/>
              </w:rPr>
              <w:t>烟处理器，</w:t>
            </w:r>
            <w:r>
              <w:rPr>
                <w:rFonts w:hint="default" w:ascii="Times New Roman" w:hAnsi="Times New Roman" w:eastAsia="宋体" w:cs="Times New Roman"/>
                <w:color w:val="000000"/>
                <w:kern w:val="2"/>
                <w:sz w:val="24"/>
                <w:szCs w:val="24"/>
                <w:highlight w:val="none"/>
                <w:lang w:val="en-US" w:eastAsia="zh-CN" w:bidi="ar-SA"/>
              </w:rPr>
              <w:t>经处理后能达到</w:t>
            </w:r>
            <w:r>
              <w:rPr>
                <w:rFonts w:hint="default" w:ascii="Times New Roman" w:hAnsi="Times New Roman" w:cs="Times New Roman"/>
                <w:b w:val="0"/>
                <w:bCs w:val="0"/>
                <w:color w:val="000000"/>
                <w:sz w:val="24"/>
                <w:szCs w:val="24"/>
                <w:highlight w:val="none"/>
                <w:lang w:val="en-US" w:eastAsia="zh-CN"/>
              </w:rPr>
              <w:t>《饮食业油烟排放标准》（GB18483-2001）表</w:t>
            </w:r>
            <w:r>
              <w:rPr>
                <w:rFonts w:hint="eastAsia"/>
                <w:b w:val="0"/>
                <w:bCs w:val="0"/>
                <w:color w:val="000000"/>
                <w:sz w:val="24"/>
                <w:szCs w:val="24"/>
                <w:highlight w:val="none"/>
                <w:lang w:val="en-US" w:eastAsia="zh-CN"/>
              </w:rPr>
              <w:t>2标准。</w:t>
            </w:r>
            <w:r>
              <w:rPr>
                <w:rFonts w:hint="eastAsia"/>
                <w:color w:val="000000"/>
                <w:sz w:val="24"/>
                <w:highlight w:val="none"/>
                <w:u w:val="none"/>
                <w:lang w:eastAsia="zh-CN"/>
              </w:rPr>
              <w:t>参考</w:t>
            </w:r>
            <w:r>
              <w:rPr>
                <w:color w:val="000000"/>
                <w:sz w:val="24"/>
                <w:highlight w:val="none"/>
                <w:u w:val="none"/>
              </w:rPr>
              <w:t>《</w:t>
            </w:r>
            <w:r>
              <w:rPr>
                <w:rFonts w:hint="eastAsia"/>
                <w:color w:val="000000"/>
                <w:sz w:val="24"/>
                <w:highlight w:val="none"/>
                <w:u w:val="none"/>
                <w:lang w:eastAsia="zh-CN"/>
              </w:rPr>
              <w:t>排污许可证申请与核发技术规范食品制造工业</w:t>
            </w:r>
            <w:r>
              <w:rPr>
                <w:rFonts w:hint="eastAsia"/>
                <w:color w:val="000000"/>
                <w:sz w:val="24"/>
                <w:highlight w:val="none"/>
                <w:u w:val="none"/>
                <w:lang w:val="en-US" w:eastAsia="zh-CN"/>
              </w:rPr>
              <w:t>-方便食品及饲料添加</w:t>
            </w:r>
            <w:r>
              <w:rPr>
                <w:rFonts w:hint="eastAsia" w:ascii="Times New Roman" w:hAnsi="Times New Roman" w:eastAsia="宋体" w:cs="Times New Roman"/>
                <w:color w:val="000000"/>
                <w:kern w:val="0"/>
                <w:sz w:val="24"/>
                <w:szCs w:val="20"/>
                <w:highlight w:val="none"/>
                <w:u w:val="none"/>
                <w:vertAlign w:val="baseline"/>
                <w:lang w:val="en-US" w:eastAsia="zh-CN" w:bidi="ar-SA"/>
              </w:rPr>
              <w:t>剂制造工业</w:t>
            </w:r>
            <w:r>
              <w:rPr>
                <w:rFonts w:hint="default" w:ascii="Times New Roman" w:hAnsi="Times New Roman" w:eastAsia="宋体" w:cs="Times New Roman"/>
                <w:color w:val="000000"/>
                <w:kern w:val="0"/>
                <w:sz w:val="24"/>
                <w:szCs w:val="20"/>
                <w:highlight w:val="none"/>
                <w:u w:val="none"/>
                <w:vertAlign w:val="baseline"/>
                <w:lang w:val="en-US" w:eastAsia="zh-CN" w:bidi="ar-SA"/>
              </w:rPr>
              <w:t>》</w:t>
            </w:r>
            <w:r>
              <w:rPr>
                <w:rFonts w:hint="eastAsia" w:ascii="Times New Roman" w:hAnsi="Times New Roman" w:eastAsia="宋体" w:cs="Times New Roman"/>
                <w:color w:val="000000"/>
                <w:kern w:val="0"/>
                <w:sz w:val="24"/>
                <w:szCs w:val="20"/>
                <w:highlight w:val="none"/>
                <w:u w:val="none"/>
                <w:vertAlign w:val="baseline"/>
                <w:lang w:val="en-US" w:eastAsia="zh-CN" w:bidi="ar-SA"/>
              </w:rPr>
              <w:t>（HJ-1030.3-2019），附录B中油烟处理技术可行中包含静电油</w:t>
            </w:r>
            <w:r>
              <w:rPr>
                <w:rFonts w:hint="default" w:ascii="Times New Roman" w:hAnsi="Times New Roman" w:eastAsia="宋体" w:cs="Times New Roman"/>
                <w:color w:val="000000"/>
                <w:kern w:val="0"/>
                <w:sz w:val="24"/>
                <w:szCs w:val="20"/>
                <w:highlight w:val="none"/>
                <w:u w:val="none"/>
                <w:vertAlign w:val="baseline"/>
                <w:lang w:val="en-US" w:eastAsia="zh-CN" w:bidi="ar-SA"/>
              </w:rPr>
              <w:t>烟处理器</w:t>
            </w:r>
            <w:r>
              <w:rPr>
                <w:rFonts w:hint="eastAsia" w:ascii="Times New Roman" w:hAnsi="Times New Roman" w:eastAsia="宋体" w:cs="Times New Roman"/>
                <w:color w:val="000000"/>
                <w:kern w:val="0"/>
                <w:sz w:val="24"/>
                <w:szCs w:val="20"/>
                <w:highlight w:val="none"/>
                <w:u w:val="none"/>
                <w:vertAlign w:val="baseline"/>
                <w:lang w:val="en-US" w:eastAsia="zh-CN" w:bidi="ar-SA"/>
              </w:rPr>
              <w:t>。故此项技术可行。</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综上可知，此项技术可行。</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本项目废气有组织排放源及达标排放情况详见下表。</w:t>
            </w:r>
          </w:p>
          <w:p>
            <w:pPr>
              <w:overflowPunct w:val="0"/>
              <w:adjustRightInd w:val="0"/>
              <w:snapToGrid w:val="0"/>
              <w:jc w:val="center"/>
              <w:rPr>
                <w:rFonts w:hint="eastAsia"/>
                <w:b/>
                <w:color w:val="auto"/>
                <w:szCs w:val="21"/>
                <w:u w:val="none"/>
              </w:rPr>
            </w:pPr>
            <w:r>
              <w:rPr>
                <w:rFonts w:hint="eastAsia"/>
                <w:b/>
                <w:color w:val="auto"/>
                <w:szCs w:val="21"/>
                <w:u w:val="none"/>
              </w:rPr>
              <w:t>表</w:t>
            </w:r>
            <w:r>
              <w:rPr>
                <w:b/>
                <w:color w:val="auto"/>
                <w:szCs w:val="21"/>
                <w:u w:val="none"/>
              </w:rPr>
              <w:t>4-</w:t>
            </w:r>
            <w:r>
              <w:rPr>
                <w:rFonts w:hint="eastAsia"/>
                <w:b/>
                <w:color w:val="auto"/>
                <w:szCs w:val="21"/>
                <w:u w:val="none"/>
                <w:lang w:val="en-US" w:eastAsia="zh-CN"/>
              </w:rPr>
              <w:t>6</w:t>
            </w:r>
            <w:r>
              <w:rPr>
                <w:b/>
                <w:color w:val="auto"/>
                <w:szCs w:val="21"/>
                <w:u w:val="none"/>
              </w:rPr>
              <w:t xml:space="preserve"> </w:t>
            </w:r>
            <w:r>
              <w:rPr>
                <w:rFonts w:hint="eastAsia"/>
                <w:b/>
                <w:color w:val="auto"/>
                <w:szCs w:val="21"/>
                <w:u w:val="none"/>
              </w:rPr>
              <w:t>废气有组织排放源及达标情况</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571"/>
              <w:gridCol w:w="661"/>
              <w:gridCol w:w="414"/>
              <w:gridCol w:w="909"/>
              <w:gridCol w:w="1065"/>
              <w:gridCol w:w="909"/>
              <w:gridCol w:w="1065"/>
              <w:gridCol w:w="1678"/>
              <w:gridCol w:w="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 w:type="pct"/>
                  <w:vMerge w:val="restart"/>
                  <w:noWrap w:val="0"/>
                  <w:vAlign w:val="center"/>
                </w:tcPr>
                <w:p>
                  <w:pPr>
                    <w:overflowPunct w:val="0"/>
                    <w:jc w:val="center"/>
                    <w:rPr>
                      <w:b/>
                      <w:bCs/>
                      <w:color w:val="auto"/>
                      <w:sz w:val="21"/>
                      <w:szCs w:val="21"/>
                      <w:u w:val="none"/>
                    </w:rPr>
                  </w:pPr>
                  <w:r>
                    <w:rPr>
                      <w:rFonts w:hint="eastAsia"/>
                      <w:b/>
                      <w:bCs/>
                      <w:color w:val="auto"/>
                      <w:sz w:val="21"/>
                      <w:szCs w:val="21"/>
                      <w:u w:val="none"/>
                    </w:rPr>
                    <w:t>排放口编号</w:t>
                  </w:r>
                </w:p>
              </w:tc>
              <w:tc>
                <w:tcPr>
                  <w:tcW w:w="339" w:type="pct"/>
                  <w:vMerge w:val="restart"/>
                  <w:noWrap w:val="0"/>
                  <w:vAlign w:val="center"/>
                </w:tcPr>
                <w:p>
                  <w:pPr>
                    <w:overflowPunct w:val="0"/>
                    <w:jc w:val="center"/>
                    <w:rPr>
                      <w:rFonts w:hint="eastAsia" w:eastAsia="宋体"/>
                      <w:b/>
                      <w:bCs/>
                      <w:color w:val="auto"/>
                      <w:sz w:val="21"/>
                      <w:szCs w:val="21"/>
                      <w:u w:val="none"/>
                      <w:lang w:val="en-US" w:eastAsia="zh-CN"/>
                    </w:rPr>
                  </w:pPr>
                  <w:r>
                    <w:rPr>
                      <w:rFonts w:hint="eastAsia"/>
                      <w:b/>
                      <w:bCs/>
                      <w:color w:val="auto"/>
                      <w:sz w:val="21"/>
                      <w:szCs w:val="21"/>
                      <w:u w:val="none"/>
                      <w:lang w:val="en-US" w:eastAsia="zh-CN"/>
                    </w:rPr>
                    <w:t>工序</w:t>
                  </w:r>
                </w:p>
              </w:tc>
              <w:tc>
                <w:tcPr>
                  <w:tcW w:w="393" w:type="pct"/>
                  <w:vMerge w:val="restart"/>
                  <w:noWrap w:val="0"/>
                  <w:vAlign w:val="center"/>
                </w:tcPr>
                <w:p>
                  <w:pPr>
                    <w:overflowPunct w:val="0"/>
                    <w:jc w:val="center"/>
                    <w:rPr>
                      <w:b/>
                      <w:bCs/>
                      <w:color w:val="auto"/>
                      <w:sz w:val="21"/>
                      <w:szCs w:val="21"/>
                      <w:u w:val="none"/>
                    </w:rPr>
                  </w:pPr>
                  <w:r>
                    <w:rPr>
                      <w:rFonts w:hint="eastAsia"/>
                      <w:b/>
                      <w:bCs/>
                      <w:color w:val="auto"/>
                      <w:sz w:val="21"/>
                      <w:szCs w:val="21"/>
                      <w:u w:val="none"/>
                    </w:rPr>
                    <w:t>污染物</w:t>
                  </w:r>
                </w:p>
              </w:tc>
              <w:tc>
                <w:tcPr>
                  <w:tcW w:w="246" w:type="pct"/>
                  <w:vMerge w:val="restart"/>
                  <w:noWrap w:val="0"/>
                  <w:vAlign w:val="center"/>
                </w:tcPr>
                <w:p>
                  <w:pPr>
                    <w:overflowPunct w:val="0"/>
                    <w:jc w:val="center"/>
                    <w:rPr>
                      <w:b/>
                      <w:bCs/>
                      <w:color w:val="auto"/>
                      <w:sz w:val="21"/>
                      <w:szCs w:val="21"/>
                      <w:u w:val="none"/>
                    </w:rPr>
                  </w:pPr>
                  <w:r>
                    <w:rPr>
                      <w:rFonts w:hint="eastAsia"/>
                      <w:b/>
                      <w:bCs/>
                      <w:color w:val="auto"/>
                      <w:sz w:val="21"/>
                      <w:szCs w:val="21"/>
                      <w:u w:val="none"/>
                    </w:rPr>
                    <w:t>排气筒高度/m</w:t>
                  </w:r>
                </w:p>
              </w:tc>
              <w:tc>
                <w:tcPr>
                  <w:tcW w:w="1174" w:type="pct"/>
                  <w:gridSpan w:val="2"/>
                  <w:noWrap w:val="0"/>
                  <w:vAlign w:val="center"/>
                </w:tcPr>
                <w:p>
                  <w:pPr>
                    <w:overflowPunct w:val="0"/>
                    <w:jc w:val="center"/>
                    <w:rPr>
                      <w:rFonts w:hint="eastAsia"/>
                      <w:b/>
                      <w:bCs/>
                      <w:color w:val="auto"/>
                      <w:sz w:val="21"/>
                      <w:szCs w:val="21"/>
                      <w:u w:val="none"/>
                    </w:rPr>
                  </w:pPr>
                  <w:r>
                    <w:rPr>
                      <w:rFonts w:hint="eastAsia"/>
                      <w:b/>
                      <w:bCs/>
                      <w:color w:val="auto"/>
                      <w:sz w:val="21"/>
                      <w:szCs w:val="21"/>
                      <w:u w:val="none"/>
                    </w:rPr>
                    <w:t>排放情况</w:t>
                  </w:r>
                </w:p>
              </w:tc>
              <w:tc>
                <w:tcPr>
                  <w:tcW w:w="1174" w:type="pct"/>
                  <w:gridSpan w:val="2"/>
                  <w:noWrap w:val="0"/>
                  <w:vAlign w:val="center"/>
                </w:tcPr>
                <w:p>
                  <w:pPr>
                    <w:overflowPunct w:val="0"/>
                    <w:jc w:val="center"/>
                    <w:rPr>
                      <w:b/>
                      <w:bCs/>
                      <w:color w:val="auto"/>
                      <w:sz w:val="21"/>
                      <w:szCs w:val="21"/>
                      <w:u w:val="none"/>
                    </w:rPr>
                  </w:pPr>
                  <w:r>
                    <w:rPr>
                      <w:rFonts w:hint="eastAsia"/>
                      <w:b/>
                      <w:bCs/>
                      <w:color w:val="auto"/>
                      <w:sz w:val="21"/>
                      <w:szCs w:val="21"/>
                      <w:u w:val="none"/>
                    </w:rPr>
                    <w:t>标准限值</w:t>
                  </w:r>
                </w:p>
              </w:tc>
              <w:tc>
                <w:tcPr>
                  <w:tcW w:w="997" w:type="pct"/>
                  <w:vMerge w:val="restart"/>
                  <w:noWrap w:val="0"/>
                  <w:vAlign w:val="center"/>
                </w:tcPr>
                <w:p>
                  <w:pPr>
                    <w:overflowPunct w:val="0"/>
                    <w:jc w:val="center"/>
                    <w:rPr>
                      <w:b/>
                      <w:bCs/>
                      <w:color w:val="auto"/>
                      <w:sz w:val="21"/>
                      <w:szCs w:val="21"/>
                      <w:u w:val="none"/>
                    </w:rPr>
                  </w:pPr>
                  <w:r>
                    <w:rPr>
                      <w:rFonts w:hint="eastAsia"/>
                      <w:b/>
                      <w:bCs/>
                      <w:color w:val="auto"/>
                      <w:sz w:val="21"/>
                      <w:szCs w:val="21"/>
                      <w:u w:val="none"/>
                    </w:rPr>
                    <w:t>执行标准</w:t>
                  </w:r>
                </w:p>
              </w:tc>
              <w:tc>
                <w:tcPr>
                  <w:tcW w:w="234" w:type="pct"/>
                  <w:vMerge w:val="restart"/>
                  <w:noWrap w:val="0"/>
                  <w:vAlign w:val="center"/>
                </w:tcPr>
                <w:p>
                  <w:pPr>
                    <w:overflowPunct w:val="0"/>
                    <w:jc w:val="center"/>
                    <w:rPr>
                      <w:b/>
                      <w:bCs/>
                      <w:color w:val="auto"/>
                      <w:sz w:val="21"/>
                      <w:szCs w:val="21"/>
                      <w:u w:val="none"/>
                    </w:rPr>
                  </w:pPr>
                  <w:r>
                    <w:rPr>
                      <w:rFonts w:hint="eastAsia"/>
                      <w:b/>
                      <w:bCs/>
                      <w:color w:val="auto"/>
                      <w:sz w:val="21"/>
                      <w:szCs w:val="21"/>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 w:type="pct"/>
                  <w:vMerge w:val="continue"/>
                  <w:noWrap w:val="0"/>
                  <w:vAlign w:val="center"/>
                </w:tcPr>
                <w:p>
                  <w:pPr>
                    <w:overflowPunct w:val="0"/>
                    <w:jc w:val="center"/>
                    <w:rPr>
                      <w:b/>
                      <w:bCs/>
                      <w:color w:val="auto"/>
                      <w:sz w:val="21"/>
                      <w:szCs w:val="21"/>
                      <w:u w:val="none"/>
                    </w:rPr>
                  </w:pPr>
                </w:p>
              </w:tc>
              <w:tc>
                <w:tcPr>
                  <w:tcW w:w="339" w:type="pct"/>
                  <w:vMerge w:val="continue"/>
                  <w:noWrap w:val="0"/>
                  <w:vAlign w:val="center"/>
                </w:tcPr>
                <w:p>
                  <w:pPr>
                    <w:overflowPunct w:val="0"/>
                    <w:jc w:val="center"/>
                    <w:rPr>
                      <w:b/>
                      <w:bCs/>
                      <w:color w:val="auto"/>
                      <w:sz w:val="21"/>
                      <w:szCs w:val="21"/>
                      <w:u w:val="none"/>
                    </w:rPr>
                  </w:pPr>
                </w:p>
              </w:tc>
              <w:tc>
                <w:tcPr>
                  <w:tcW w:w="393" w:type="pct"/>
                  <w:vMerge w:val="continue"/>
                  <w:noWrap w:val="0"/>
                  <w:vAlign w:val="center"/>
                </w:tcPr>
                <w:p>
                  <w:pPr>
                    <w:overflowPunct w:val="0"/>
                    <w:jc w:val="center"/>
                    <w:rPr>
                      <w:b/>
                      <w:bCs/>
                      <w:color w:val="auto"/>
                      <w:sz w:val="21"/>
                      <w:szCs w:val="21"/>
                      <w:u w:val="none"/>
                    </w:rPr>
                  </w:pPr>
                </w:p>
              </w:tc>
              <w:tc>
                <w:tcPr>
                  <w:tcW w:w="246" w:type="pct"/>
                  <w:vMerge w:val="continue"/>
                  <w:noWrap w:val="0"/>
                  <w:vAlign w:val="center"/>
                </w:tcPr>
                <w:p>
                  <w:pPr>
                    <w:overflowPunct w:val="0"/>
                    <w:jc w:val="center"/>
                    <w:rPr>
                      <w:b/>
                      <w:bCs/>
                      <w:color w:val="auto"/>
                      <w:sz w:val="21"/>
                      <w:szCs w:val="21"/>
                      <w:u w:val="none"/>
                    </w:rPr>
                  </w:pPr>
                </w:p>
              </w:tc>
              <w:tc>
                <w:tcPr>
                  <w:tcW w:w="540" w:type="pct"/>
                  <w:noWrap w:val="0"/>
                  <w:vAlign w:val="center"/>
                </w:tcPr>
                <w:p>
                  <w:pPr>
                    <w:overflowPunct w:val="0"/>
                    <w:jc w:val="center"/>
                    <w:rPr>
                      <w:rFonts w:hint="eastAsia"/>
                      <w:b/>
                      <w:bCs/>
                      <w:color w:val="auto"/>
                      <w:sz w:val="21"/>
                      <w:szCs w:val="21"/>
                      <w:u w:val="none"/>
                    </w:rPr>
                  </w:pPr>
                  <w:r>
                    <w:rPr>
                      <w:rFonts w:hint="eastAsia"/>
                      <w:b/>
                      <w:bCs/>
                      <w:color w:val="auto"/>
                      <w:sz w:val="21"/>
                      <w:szCs w:val="21"/>
                      <w:u w:val="none"/>
                    </w:rPr>
                    <w:t>速率（kg/h）</w:t>
                  </w:r>
                </w:p>
              </w:tc>
              <w:tc>
                <w:tcPr>
                  <w:tcW w:w="633" w:type="pct"/>
                  <w:noWrap w:val="0"/>
                  <w:vAlign w:val="center"/>
                </w:tcPr>
                <w:p>
                  <w:pPr>
                    <w:overflowPunct w:val="0"/>
                    <w:jc w:val="center"/>
                    <w:rPr>
                      <w:rFonts w:hint="eastAsia"/>
                      <w:b/>
                      <w:bCs/>
                      <w:color w:val="auto"/>
                      <w:sz w:val="21"/>
                      <w:szCs w:val="21"/>
                      <w:u w:val="none"/>
                    </w:rPr>
                  </w:pPr>
                  <w:r>
                    <w:rPr>
                      <w:rFonts w:hint="eastAsia"/>
                      <w:b/>
                      <w:bCs/>
                      <w:color w:val="auto"/>
                      <w:sz w:val="21"/>
                      <w:szCs w:val="21"/>
                      <w:u w:val="none"/>
                    </w:rPr>
                    <w:t>浓度（mg/m</w:t>
                  </w:r>
                  <w:r>
                    <w:rPr>
                      <w:rFonts w:hint="eastAsia"/>
                      <w:b/>
                      <w:bCs/>
                      <w:color w:val="auto"/>
                      <w:sz w:val="21"/>
                      <w:szCs w:val="21"/>
                      <w:u w:val="none"/>
                      <w:vertAlign w:val="superscript"/>
                    </w:rPr>
                    <w:t>3</w:t>
                  </w:r>
                  <w:r>
                    <w:rPr>
                      <w:rFonts w:hint="eastAsia"/>
                      <w:b/>
                      <w:bCs/>
                      <w:color w:val="auto"/>
                      <w:sz w:val="21"/>
                      <w:szCs w:val="21"/>
                      <w:u w:val="none"/>
                    </w:rPr>
                    <w:t>）</w:t>
                  </w:r>
                </w:p>
              </w:tc>
              <w:tc>
                <w:tcPr>
                  <w:tcW w:w="540" w:type="pct"/>
                  <w:noWrap w:val="0"/>
                  <w:vAlign w:val="center"/>
                </w:tcPr>
                <w:p>
                  <w:pPr>
                    <w:overflowPunct w:val="0"/>
                    <w:jc w:val="center"/>
                    <w:rPr>
                      <w:b/>
                      <w:bCs/>
                      <w:color w:val="auto"/>
                      <w:sz w:val="21"/>
                      <w:szCs w:val="21"/>
                      <w:u w:val="none"/>
                    </w:rPr>
                  </w:pPr>
                  <w:r>
                    <w:rPr>
                      <w:rFonts w:hint="eastAsia"/>
                      <w:b/>
                      <w:bCs/>
                      <w:color w:val="auto"/>
                      <w:sz w:val="21"/>
                      <w:szCs w:val="21"/>
                      <w:u w:val="none"/>
                    </w:rPr>
                    <w:t>速率（kg/h）</w:t>
                  </w:r>
                </w:p>
              </w:tc>
              <w:tc>
                <w:tcPr>
                  <w:tcW w:w="633" w:type="pct"/>
                  <w:noWrap w:val="0"/>
                  <w:vAlign w:val="center"/>
                </w:tcPr>
                <w:p>
                  <w:pPr>
                    <w:overflowPunct w:val="0"/>
                    <w:jc w:val="center"/>
                    <w:rPr>
                      <w:b/>
                      <w:bCs/>
                      <w:color w:val="auto"/>
                      <w:sz w:val="21"/>
                      <w:szCs w:val="21"/>
                      <w:u w:val="none"/>
                    </w:rPr>
                  </w:pPr>
                  <w:r>
                    <w:rPr>
                      <w:rFonts w:hint="eastAsia"/>
                      <w:b/>
                      <w:bCs/>
                      <w:color w:val="auto"/>
                      <w:sz w:val="21"/>
                      <w:szCs w:val="21"/>
                      <w:u w:val="none"/>
                    </w:rPr>
                    <w:t>浓度（mg/m</w:t>
                  </w:r>
                  <w:r>
                    <w:rPr>
                      <w:rFonts w:hint="eastAsia"/>
                      <w:b/>
                      <w:bCs/>
                      <w:color w:val="auto"/>
                      <w:sz w:val="21"/>
                      <w:szCs w:val="21"/>
                      <w:u w:val="none"/>
                      <w:vertAlign w:val="superscript"/>
                    </w:rPr>
                    <w:t>3</w:t>
                  </w:r>
                  <w:r>
                    <w:rPr>
                      <w:rFonts w:hint="eastAsia"/>
                      <w:b/>
                      <w:bCs/>
                      <w:color w:val="auto"/>
                      <w:sz w:val="21"/>
                      <w:szCs w:val="21"/>
                      <w:u w:val="none"/>
                    </w:rPr>
                    <w:t>）</w:t>
                  </w:r>
                </w:p>
              </w:tc>
              <w:tc>
                <w:tcPr>
                  <w:tcW w:w="997" w:type="pct"/>
                  <w:vMerge w:val="continue"/>
                  <w:noWrap w:val="0"/>
                  <w:vAlign w:val="center"/>
                </w:tcPr>
                <w:p>
                  <w:pPr>
                    <w:overflowPunct w:val="0"/>
                    <w:jc w:val="center"/>
                    <w:rPr>
                      <w:b/>
                      <w:bCs/>
                      <w:color w:val="auto"/>
                      <w:sz w:val="21"/>
                      <w:szCs w:val="21"/>
                      <w:u w:val="none"/>
                    </w:rPr>
                  </w:pPr>
                </w:p>
              </w:tc>
              <w:tc>
                <w:tcPr>
                  <w:tcW w:w="234" w:type="pct"/>
                  <w:vMerge w:val="continue"/>
                  <w:noWrap w:val="0"/>
                  <w:vAlign w:val="center"/>
                </w:tcPr>
                <w:p>
                  <w:pPr>
                    <w:overflowPunct w:val="0"/>
                    <w:jc w:val="center"/>
                    <w:rPr>
                      <w:b/>
                      <w:bCs/>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 w:type="pct"/>
                  <w:vMerge w:val="restart"/>
                  <w:noWrap w:val="0"/>
                  <w:vAlign w:val="center"/>
                </w:tcPr>
                <w:p>
                  <w:pPr>
                    <w:overflowPunct w:val="0"/>
                    <w:jc w:val="center"/>
                    <w:rPr>
                      <w:color w:val="auto"/>
                      <w:sz w:val="21"/>
                      <w:szCs w:val="21"/>
                      <w:u w:val="none"/>
                    </w:rPr>
                  </w:pPr>
                  <w:r>
                    <w:rPr>
                      <w:rFonts w:hint="eastAsia"/>
                      <w:color w:val="auto"/>
                      <w:sz w:val="21"/>
                      <w:szCs w:val="21"/>
                      <w:u w:val="none"/>
                    </w:rPr>
                    <w:t>DA001</w:t>
                  </w:r>
                </w:p>
              </w:tc>
              <w:tc>
                <w:tcPr>
                  <w:tcW w:w="339" w:type="pct"/>
                  <w:noWrap w:val="0"/>
                  <w:vAlign w:val="center"/>
                </w:tcPr>
                <w:p>
                  <w:pPr>
                    <w:overflowPunct w:val="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发泡、搅拌、熟化</w:t>
                  </w:r>
                </w:p>
              </w:tc>
              <w:tc>
                <w:tcPr>
                  <w:tcW w:w="393" w:type="pct"/>
                  <w:noWrap w:val="0"/>
                  <w:vAlign w:val="center"/>
                </w:tcPr>
                <w:p>
                  <w:pPr>
                    <w:overflowPunct w:val="0"/>
                    <w:jc w:val="center"/>
                    <w:rPr>
                      <w:color w:val="auto"/>
                      <w:sz w:val="21"/>
                      <w:szCs w:val="21"/>
                      <w:u w:val="none"/>
                    </w:rPr>
                  </w:pPr>
                  <w:r>
                    <w:rPr>
                      <w:rFonts w:hint="eastAsia"/>
                      <w:color w:val="auto"/>
                      <w:sz w:val="21"/>
                      <w:szCs w:val="21"/>
                      <w:u w:val="none"/>
                      <w:lang w:val="en-US" w:eastAsia="zh-CN"/>
                    </w:rPr>
                    <w:t>非甲烷总烃</w:t>
                  </w:r>
                </w:p>
              </w:tc>
              <w:tc>
                <w:tcPr>
                  <w:tcW w:w="246" w:type="pct"/>
                  <w:vMerge w:val="restart"/>
                  <w:noWrap w:val="0"/>
                  <w:vAlign w:val="center"/>
                </w:tcPr>
                <w:p>
                  <w:pPr>
                    <w:overflowPunct w:val="0"/>
                    <w:jc w:val="center"/>
                    <w:rPr>
                      <w:color w:val="auto"/>
                      <w:sz w:val="21"/>
                      <w:szCs w:val="21"/>
                      <w:u w:val="none"/>
                    </w:rPr>
                  </w:pPr>
                  <w:r>
                    <w:rPr>
                      <w:rFonts w:hint="eastAsia"/>
                      <w:color w:val="auto"/>
                      <w:sz w:val="21"/>
                      <w:szCs w:val="21"/>
                      <w:u w:val="none"/>
                    </w:rPr>
                    <w:t>15</w:t>
                  </w:r>
                </w:p>
              </w:tc>
              <w:tc>
                <w:tcPr>
                  <w:tcW w:w="540" w:type="pct"/>
                  <w:noWrap w:val="0"/>
                  <w:vAlign w:val="center"/>
                </w:tcPr>
                <w:p>
                  <w:pPr>
                    <w:overflowPunct w:val="0"/>
                    <w:jc w:val="center"/>
                    <w:rPr>
                      <w:rFonts w:hint="eastAsia" w:eastAsia="宋体"/>
                      <w:color w:val="auto"/>
                      <w:kern w:val="2"/>
                      <w:sz w:val="21"/>
                      <w:szCs w:val="21"/>
                      <w:highlight w:val="none"/>
                      <w:u w:val="none"/>
                      <w:lang w:val="en-US" w:eastAsia="zh-CN" w:bidi="ar-SA"/>
                    </w:rPr>
                  </w:pPr>
                  <w:r>
                    <w:rPr>
                      <w:rFonts w:hint="eastAsia"/>
                      <w:color w:val="auto"/>
                      <w:sz w:val="21"/>
                      <w:szCs w:val="21"/>
                      <w:highlight w:val="none"/>
                      <w:u w:val="none"/>
                    </w:rPr>
                    <w:t>0.</w:t>
                  </w:r>
                  <w:r>
                    <w:rPr>
                      <w:rFonts w:hint="eastAsia"/>
                      <w:color w:val="auto"/>
                      <w:sz w:val="21"/>
                      <w:szCs w:val="21"/>
                      <w:highlight w:val="none"/>
                      <w:u w:val="none"/>
                      <w:lang w:val="en-US" w:eastAsia="zh-CN"/>
                    </w:rPr>
                    <w:t>058</w:t>
                  </w:r>
                </w:p>
              </w:tc>
              <w:tc>
                <w:tcPr>
                  <w:tcW w:w="633" w:type="pct"/>
                  <w:noWrap w:val="0"/>
                  <w:vAlign w:val="center"/>
                </w:tcPr>
                <w:p>
                  <w:pPr>
                    <w:overflowPunct w:val="0"/>
                    <w:jc w:val="center"/>
                    <w:rPr>
                      <w:rFonts w:hint="default" w:eastAsia="宋体"/>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14.58</w:t>
                  </w:r>
                </w:p>
              </w:tc>
              <w:tc>
                <w:tcPr>
                  <w:tcW w:w="540" w:type="pct"/>
                  <w:noWrap w:val="0"/>
                  <w:vAlign w:val="center"/>
                </w:tcPr>
                <w:p>
                  <w:pPr>
                    <w:overflowPunct w:val="0"/>
                    <w:jc w:val="center"/>
                    <w:rPr>
                      <w:color w:val="auto"/>
                      <w:sz w:val="21"/>
                      <w:szCs w:val="21"/>
                      <w:highlight w:val="yellow"/>
                      <w:u w:val="none"/>
                    </w:rPr>
                  </w:pPr>
                  <w:r>
                    <w:rPr>
                      <w:rFonts w:hint="eastAsia"/>
                      <w:color w:val="000000"/>
                      <w:sz w:val="21"/>
                      <w:szCs w:val="21"/>
                      <w:highlight w:val="none"/>
                      <w:lang w:val="en-US" w:eastAsia="zh-CN"/>
                    </w:rPr>
                    <w:t>/</w:t>
                  </w:r>
                </w:p>
              </w:tc>
              <w:tc>
                <w:tcPr>
                  <w:tcW w:w="633" w:type="pct"/>
                  <w:noWrap w:val="0"/>
                  <w:vAlign w:val="center"/>
                </w:tcPr>
                <w:p>
                  <w:pPr>
                    <w:overflowPunct w:val="0"/>
                    <w:jc w:val="center"/>
                    <w:rPr>
                      <w:color w:val="auto"/>
                      <w:sz w:val="21"/>
                      <w:szCs w:val="21"/>
                      <w:highlight w:val="none"/>
                      <w:u w:val="none"/>
                    </w:rPr>
                  </w:pPr>
                  <w:r>
                    <w:rPr>
                      <w:rFonts w:hint="eastAsia"/>
                      <w:color w:val="auto"/>
                      <w:sz w:val="21"/>
                      <w:szCs w:val="21"/>
                      <w:highlight w:val="none"/>
                      <w:u w:val="none"/>
                      <w:lang w:val="en-US" w:eastAsia="zh-CN"/>
                    </w:rPr>
                    <w:t>6</w:t>
                  </w:r>
                  <w:r>
                    <w:rPr>
                      <w:rFonts w:hint="eastAsia"/>
                      <w:color w:val="auto"/>
                      <w:sz w:val="21"/>
                      <w:szCs w:val="21"/>
                      <w:highlight w:val="none"/>
                      <w:u w:val="none"/>
                    </w:rPr>
                    <w:t>0</w:t>
                  </w:r>
                </w:p>
              </w:tc>
              <w:tc>
                <w:tcPr>
                  <w:tcW w:w="997" w:type="pct"/>
                  <w:noWrap w:val="0"/>
                  <w:vAlign w:val="center"/>
                </w:tcPr>
                <w:p>
                  <w:pPr>
                    <w:overflowPunct w:val="0"/>
                    <w:jc w:val="both"/>
                    <w:rPr>
                      <w:color w:val="auto"/>
                      <w:sz w:val="21"/>
                      <w:szCs w:val="21"/>
                      <w:highlight w:val="none"/>
                      <w:u w:val="none"/>
                    </w:rPr>
                  </w:pPr>
                  <w:r>
                    <w:rPr>
                      <w:rFonts w:hint="eastAsia"/>
                      <w:color w:val="auto"/>
                      <w:sz w:val="21"/>
                      <w:szCs w:val="21"/>
                      <w:highlight w:val="none"/>
                      <w:u w:val="none"/>
                    </w:rPr>
                    <w:t>《合成树脂工业污染物排放标准》（GB31732-2015）表 5大气污染物特别排放限值</w:t>
                  </w:r>
                </w:p>
              </w:tc>
              <w:tc>
                <w:tcPr>
                  <w:tcW w:w="234" w:type="pct"/>
                  <w:noWrap w:val="0"/>
                  <w:vAlign w:val="center"/>
                </w:tcPr>
                <w:p>
                  <w:pPr>
                    <w:overflowPunct w:val="0"/>
                    <w:jc w:val="center"/>
                    <w:rPr>
                      <w:color w:val="auto"/>
                      <w:sz w:val="21"/>
                      <w:szCs w:val="21"/>
                      <w:u w:val="none"/>
                    </w:rPr>
                  </w:pPr>
                  <w:r>
                    <w:rPr>
                      <w:rFonts w:hint="eastAsia"/>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noWrap w:val="0"/>
                  <w:vAlign w:val="center"/>
                </w:tcPr>
                <w:p>
                  <w:pPr>
                    <w:overflowPunct w:val="0"/>
                    <w:jc w:val="center"/>
                    <w:rPr>
                      <w:rFonts w:hint="eastAsia"/>
                      <w:color w:val="auto"/>
                      <w:sz w:val="21"/>
                      <w:szCs w:val="21"/>
                      <w:u w:val="none"/>
                    </w:rPr>
                  </w:pPr>
                </w:p>
              </w:tc>
              <w:tc>
                <w:tcPr>
                  <w:tcW w:w="339" w:type="pct"/>
                  <w:noWrap w:val="0"/>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印刷</w:t>
                  </w:r>
                </w:p>
              </w:tc>
              <w:tc>
                <w:tcPr>
                  <w:tcW w:w="393" w:type="pct"/>
                  <w:noWrap w:val="0"/>
                  <w:vAlign w:val="center"/>
                </w:tcPr>
                <w:p>
                  <w:pPr>
                    <w:overflowPunct w:val="0"/>
                    <w:jc w:val="center"/>
                    <w:rPr>
                      <w:rFonts w:hint="eastAsia"/>
                      <w:color w:val="auto"/>
                      <w:sz w:val="21"/>
                      <w:szCs w:val="21"/>
                      <w:u w:val="none"/>
                      <w:lang w:val="en-US" w:eastAsia="zh-CN"/>
                    </w:rPr>
                  </w:pPr>
                  <w:r>
                    <w:rPr>
                      <w:rFonts w:hint="eastAsia"/>
                      <w:color w:val="auto"/>
                      <w:sz w:val="21"/>
                      <w:szCs w:val="21"/>
                      <w:u w:val="none"/>
                      <w:lang w:val="en-US" w:eastAsia="zh-CN"/>
                    </w:rPr>
                    <w:t>VOCs</w:t>
                  </w:r>
                </w:p>
              </w:tc>
              <w:tc>
                <w:tcPr>
                  <w:tcW w:w="246" w:type="pct"/>
                  <w:vMerge w:val="continue"/>
                  <w:noWrap w:val="0"/>
                  <w:vAlign w:val="center"/>
                </w:tcPr>
                <w:p>
                  <w:pPr>
                    <w:overflowPunct w:val="0"/>
                    <w:jc w:val="center"/>
                    <w:rPr>
                      <w:rFonts w:hint="eastAsia"/>
                      <w:color w:val="auto"/>
                      <w:sz w:val="21"/>
                      <w:szCs w:val="21"/>
                      <w:u w:val="none"/>
                    </w:rPr>
                  </w:pPr>
                </w:p>
              </w:tc>
              <w:tc>
                <w:tcPr>
                  <w:tcW w:w="540"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0.01</w:t>
                  </w:r>
                </w:p>
              </w:tc>
              <w:tc>
                <w:tcPr>
                  <w:tcW w:w="633" w:type="pct"/>
                  <w:noWrap w:val="0"/>
                  <w:vAlign w:val="center"/>
                </w:tcPr>
                <w:p>
                  <w:pPr>
                    <w:overflowPunct w:val="0"/>
                    <w:jc w:val="center"/>
                    <w:rPr>
                      <w:rFonts w:hint="default"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3.13</w:t>
                  </w:r>
                </w:p>
              </w:tc>
              <w:tc>
                <w:tcPr>
                  <w:tcW w:w="540" w:type="pct"/>
                  <w:noWrap w:val="0"/>
                  <w:vAlign w:val="center"/>
                </w:tcPr>
                <w:p>
                  <w:pPr>
                    <w:overflowPunct w:val="0"/>
                    <w:jc w:val="center"/>
                    <w:rPr>
                      <w:rFonts w:hint="eastAsia"/>
                      <w:color w:val="auto"/>
                      <w:sz w:val="21"/>
                      <w:szCs w:val="21"/>
                      <w:highlight w:val="yellow"/>
                      <w:u w:val="none"/>
                    </w:rPr>
                  </w:pPr>
                  <w:r>
                    <w:rPr>
                      <w:rFonts w:hint="eastAsia"/>
                      <w:color w:val="000000"/>
                      <w:sz w:val="21"/>
                      <w:szCs w:val="21"/>
                      <w:highlight w:val="none"/>
                      <w:lang w:val="en-US" w:eastAsia="zh-CN"/>
                    </w:rPr>
                    <w:t>4</w:t>
                  </w:r>
                </w:p>
              </w:tc>
              <w:tc>
                <w:tcPr>
                  <w:tcW w:w="633"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100</w:t>
                  </w:r>
                </w:p>
              </w:tc>
              <w:tc>
                <w:tcPr>
                  <w:tcW w:w="997" w:type="pct"/>
                  <w:noWrap w:val="0"/>
                  <w:vAlign w:val="center"/>
                </w:tcPr>
                <w:p>
                  <w:pPr>
                    <w:overflowPunct w:val="0"/>
                    <w:jc w:val="both"/>
                    <w:rPr>
                      <w:color w:val="auto"/>
                      <w:sz w:val="21"/>
                      <w:szCs w:val="21"/>
                      <w:highlight w:val="none"/>
                      <w:u w:val="none"/>
                    </w:rPr>
                  </w:pPr>
                  <w:r>
                    <w:rPr>
                      <w:rFonts w:hint="eastAsia"/>
                      <w:color w:val="auto"/>
                      <w:sz w:val="21"/>
                      <w:szCs w:val="21"/>
                      <w:highlight w:val="none"/>
                      <w:u w:val="none"/>
                    </w:rPr>
                    <w:t>《印刷业挥发性有机物排放标准》(DB43/1357-2017) 表1排气筒挥发性有机物排放浓度限值</w:t>
                  </w:r>
                </w:p>
              </w:tc>
              <w:tc>
                <w:tcPr>
                  <w:tcW w:w="234" w:type="pct"/>
                  <w:noWrap w:val="0"/>
                  <w:vAlign w:val="center"/>
                </w:tcPr>
                <w:p>
                  <w:pPr>
                    <w:overflowPunct w:val="0"/>
                    <w:jc w:val="center"/>
                    <w:rPr>
                      <w:rFonts w:hint="eastAsia"/>
                      <w:color w:val="auto"/>
                      <w:sz w:val="21"/>
                      <w:szCs w:val="21"/>
                      <w:u w:val="none"/>
                    </w:rPr>
                  </w:pPr>
                  <w:r>
                    <w:rPr>
                      <w:rFonts w:hint="eastAsia"/>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0" w:type="pct"/>
                  <w:vMerge w:val="restart"/>
                  <w:noWrap w:val="0"/>
                  <w:vAlign w:val="center"/>
                </w:tcPr>
                <w:p>
                  <w:pPr>
                    <w:overflowPunct w:val="0"/>
                    <w:jc w:val="center"/>
                    <w:rPr>
                      <w:rFonts w:hint="eastAsia"/>
                      <w:color w:val="auto"/>
                      <w:sz w:val="21"/>
                      <w:szCs w:val="21"/>
                      <w:u w:val="none"/>
                    </w:rPr>
                  </w:pPr>
                  <w:r>
                    <w:rPr>
                      <w:rFonts w:hint="eastAsia"/>
                      <w:color w:val="auto"/>
                      <w:sz w:val="21"/>
                      <w:szCs w:val="21"/>
                      <w:u w:val="none"/>
                    </w:rPr>
                    <w:t>DA002</w:t>
                  </w:r>
                </w:p>
              </w:tc>
              <w:tc>
                <w:tcPr>
                  <w:tcW w:w="339" w:type="pct"/>
                  <w:vMerge w:val="restart"/>
                  <w:noWrap w:val="0"/>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热风炉</w:t>
                  </w:r>
                </w:p>
              </w:tc>
              <w:tc>
                <w:tcPr>
                  <w:tcW w:w="393"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rPr>
                  </w:pP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p>
              </w:tc>
              <w:tc>
                <w:tcPr>
                  <w:tcW w:w="246" w:type="pct"/>
                  <w:vMerge w:val="restart"/>
                  <w:noWrap w:val="0"/>
                  <w:vAlign w:val="center"/>
                </w:tcPr>
                <w:p>
                  <w:pPr>
                    <w:overflowPunct w:val="0"/>
                    <w:jc w:val="center"/>
                    <w:rPr>
                      <w:rFonts w:hint="eastAsia"/>
                      <w:color w:val="auto"/>
                      <w:sz w:val="21"/>
                      <w:szCs w:val="21"/>
                      <w:u w:val="none"/>
                    </w:rPr>
                  </w:pPr>
                  <w:r>
                    <w:rPr>
                      <w:rFonts w:hint="eastAsia"/>
                      <w:color w:val="auto"/>
                      <w:sz w:val="21"/>
                      <w:szCs w:val="21"/>
                      <w:u w:val="none"/>
                    </w:rPr>
                    <w:t>15</w:t>
                  </w:r>
                </w:p>
              </w:tc>
              <w:tc>
                <w:tcPr>
                  <w:tcW w:w="9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0.083</w:t>
                  </w:r>
                </w:p>
              </w:tc>
              <w:tc>
                <w:tcPr>
                  <w:tcW w:w="1065" w:type="dxa"/>
                  <w:noWrap w:val="0"/>
                  <w:vAlign w:val="center"/>
                </w:tcPr>
                <w:p>
                  <w:pPr>
                    <w:keepNext w:val="0"/>
                    <w:keepLines w:val="0"/>
                    <w:widowControl/>
                    <w:suppressLineNumbers w:val="0"/>
                    <w:jc w:val="center"/>
                    <w:textAlignment w:val="center"/>
                    <w:rPr>
                      <w:color w:val="auto"/>
                      <w:sz w:val="21"/>
                      <w:szCs w:val="21"/>
                      <w:u w:val="single"/>
                    </w:rPr>
                  </w:pPr>
                  <w:r>
                    <w:rPr>
                      <w:rFonts w:hint="eastAsia"/>
                      <w:color w:val="auto"/>
                      <w:highlight w:val="none"/>
                      <w:u w:val="single"/>
                      <w:lang w:val="en-US" w:eastAsia="zh-CN"/>
                    </w:rPr>
                    <w:t>37.04</w:t>
                  </w:r>
                </w:p>
              </w:tc>
              <w:tc>
                <w:tcPr>
                  <w:tcW w:w="540" w:type="pct"/>
                  <w:noWrap w:val="0"/>
                  <w:vAlign w:val="center"/>
                </w:tcPr>
                <w:p>
                  <w:pPr>
                    <w:overflowPunct w:val="0"/>
                    <w:jc w:val="center"/>
                    <w:rPr>
                      <w:color w:val="auto"/>
                      <w:sz w:val="21"/>
                      <w:szCs w:val="21"/>
                      <w:highlight w:val="none"/>
                      <w:u w:val="none"/>
                    </w:rPr>
                  </w:pPr>
                  <w:r>
                    <w:rPr>
                      <w:rFonts w:hint="eastAsia"/>
                      <w:color w:val="000000"/>
                      <w:sz w:val="21"/>
                      <w:szCs w:val="21"/>
                      <w:highlight w:val="none"/>
                      <w:lang w:val="en-US" w:eastAsia="zh-CN"/>
                    </w:rPr>
                    <w:t>/</w:t>
                  </w:r>
                </w:p>
              </w:tc>
              <w:tc>
                <w:tcPr>
                  <w:tcW w:w="633" w:type="pct"/>
                  <w:noWrap w:val="0"/>
                  <w:vAlign w:val="center"/>
                </w:tcPr>
                <w:p>
                  <w:pPr>
                    <w:overflowPunct w:val="0"/>
                    <w:jc w:val="center"/>
                    <w:rPr>
                      <w:color w:val="auto"/>
                      <w:sz w:val="21"/>
                      <w:szCs w:val="21"/>
                      <w:highlight w:val="none"/>
                      <w:u w:val="none"/>
                    </w:rPr>
                  </w:pPr>
                  <w:r>
                    <w:rPr>
                      <w:rFonts w:hint="eastAsia"/>
                      <w:color w:val="auto"/>
                      <w:sz w:val="21"/>
                      <w:szCs w:val="21"/>
                      <w:highlight w:val="none"/>
                      <w:u w:val="none"/>
                      <w:lang w:val="en-US" w:eastAsia="zh-CN"/>
                    </w:rPr>
                    <w:t>20</w:t>
                  </w:r>
                  <w:r>
                    <w:rPr>
                      <w:rFonts w:hint="eastAsia"/>
                      <w:color w:val="auto"/>
                      <w:sz w:val="21"/>
                      <w:szCs w:val="21"/>
                      <w:highlight w:val="none"/>
                      <w:u w:val="none"/>
                    </w:rPr>
                    <w:t>0</w:t>
                  </w:r>
                </w:p>
              </w:tc>
              <w:tc>
                <w:tcPr>
                  <w:tcW w:w="997" w:type="pct"/>
                  <w:vMerge w:val="restart"/>
                  <w:noWrap w:val="0"/>
                  <w:vAlign w:val="center"/>
                </w:tcPr>
                <w:p>
                  <w:pPr>
                    <w:overflowPunct w:val="0"/>
                    <w:jc w:val="both"/>
                    <w:rPr>
                      <w:color w:val="auto"/>
                      <w:sz w:val="21"/>
                      <w:szCs w:val="21"/>
                      <w:highlight w:val="none"/>
                      <w:u w:val="none"/>
                    </w:rPr>
                  </w:pPr>
                  <w:r>
                    <w:rPr>
                      <w:rFonts w:hint="eastAsia"/>
                      <w:color w:val="auto"/>
                      <w:sz w:val="21"/>
                      <w:szCs w:val="21"/>
                      <w:highlight w:val="none"/>
                      <w:u w:val="none"/>
                    </w:rPr>
                    <w:t>《工业炉窑大气污染排放标准》（GB9078-1996）和《工业炉窑大气污染综合治理方案》（环大气〔2019〕56号）</w:t>
                  </w:r>
                </w:p>
              </w:tc>
              <w:tc>
                <w:tcPr>
                  <w:tcW w:w="234" w:type="pct"/>
                  <w:noWrap w:val="0"/>
                  <w:vAlign w:val="center"/>
                </w:tcPr>
                <w:p>
                  <w:pPr>
                    <w:overflowPunct w:val="0"/>
                    <w:jc w:val="center"/>
                    <w:rPr>
                      <w:rFonts w:hint="eastAsia"/>
                      <w:color w:val="auto"/>
                      <w:sz w:val="21"/>
                      <w:szCs w:val="21"/>
                      <w:highlight w:val="none"/>
                      <w:u w:val="none"/>
                    </w:rPr>
                  </w:pPr>
                  <w:r>
                    <w:rPr>
                      <w:rFonts w:hint="eastAsia"/>
                      <w:color w:val="auto"/>
                      <w:sz w:val="21"/>
                      <w:szCs w:val="21"/>
                      <w:highlight w:val="none"/>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noWrap w:val="0"/>
                  <w:vAlign w:val="center"/>
                </w:tcPr>
                <w:p>
                  <w:pPr>
                    <w:overflowPunct w:val="0"/>
                    <w:jc w:val="center"/>
                    <w:rPr>
                      <w:rFonts w:hint="eastAsia"/>
                      <w:color w:val="auto"/>
                      <w:sz w:val="21"/>
                      <w:szCs w:val="21"/>
                      <w:u w:val="none"/>
                    </w:rPr>
                  </w:pPr>
                </w:p>
              </w:tc>
              <w:tc>
                <w:tcPr>
                  <w:tcW w:w="339" w:type="pct"/>
                  <w:vMerge w:val="continue"/>
                  <w:noWrap w:val="0"/>
                  <w:vAlign w:val="center"/>
                </w:tcPr>
                <w:p>
                  <w:pPr>
                    <w:overflowPunct w:val="0"/>
                    <w:jc w:val="center"/>
                    <w:rPr>
                      <w:rFonts w:hint="eastAsia"/>
                      <w:color w:val="auto"/>
                      <w:sz w:val="21"/>
                      <w:szCs w:val="21"/>
                      <w:u w:val="none"/>
                    </w:rPr>
                  </w:pPr>
                </w:p>
              </w:tc>
              <w:tc>
                <w:tcPr>
                  <w:tcW w:w="393" w:type="pct"/>
                  <w:noWrap w:val="0"/>
                  <w:vAlign w:val="center"/>
                </w:tcPr>
                <w:p>
                  <w:pPr>
                    <w:pageBreakBefore w:val="0"/>
                    <w:kinsoku/>
                    <w:overflowPunct w:val="0"/>
                    <w:topLinePunct w:val="0"/>
                    <w:bidi w:val="0"/>
                    <w:adjustRightInd w:val="0"/>
                    <w:snapToGrid w:val="0"/>
                    <w:spacing w:line="320" w:lineRule="exact"/>
                    <w:jc w:val="center"/>
                    <w:rPr>
                      <w:rFonts w:hint="eastAsia" w:eastAsia="宋体" w:cs="Times New Roman"/>
                      <w:color w:val="000000"/>
                      <w:sz w:val="21"/>
                      <w:szCs w:val="21"/>
                      <w:highlight w:val="none"/>
                      <w:lang w:eastAsia="zh-CN"/>
                    </w:rPr>
                  </w:pPr>
                  <w:r>
                    <w:rPr>
                      <w:rFonts w:hint="eastAsia" w:eastAsia="宋体" w:cs="Times New Roman"/>
                      <w:color w:val="000000"/>
                      <w:sz w:val="21"/>
                      <w:szCs w:val="21"/>
                      <w:highlight w:val="none"/>
                      <w:lang w:eastAsia="zh-CN"/>
                    </w:rPr>
                    <w:t>颗粒物</w:t>
                  </w:r>
                </w:p>
              </w:tc>
              <w:tc>
                <w:tcPr>
                  <w:tcW w:w="246" w:type="pct"/>
                  <w:vMerge w:val="continue"/>
                  <w:noWrap w:val="0"/>
                  <w:vAlign w:val="center"/>
                </w:tcPr>
                <w:p>
                  <w:pPr>
                    <w:overflowPunct w:val="0"/>
                    <w:jc w:val="center"/>
                    <w:rPr>
                      <w:rFonts w:hint="eastAsia"/>
                      <w:color w:val="auto"/>
                      <w:sz w:val="21"/>
                      <w:szCs w:val="21"/>
                      <w:u w:val="none"/>
                    </w:rPr>
                  </w:pPr>
                </w:p>
              </w:tc>
              <w:tc>
                <w:tcPr>
                  <w:tcW w:w="9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0.061</w:t>
                  </w:r>
                </w:p>
              </w:tc>
              <w:tc>
                <w:tcPr>
                  <w:tcW w:w="1065" w:type="dxa"/>
                  <w:noWrap w:val="0"/>
                  <w:vAlign w:val="center"/>
                </w:tcPr>
                <w:p>
                  <w:pPr>
                    <w:keepNext w:val="0"/>
                    <w:keepLines w:val="0"/>
                    <w:widowControl/>
                    <w:suppressLineNumbers w:val="0"/>
                    <w:jc w:val="center"/>
                    <w:textAlignment w:val="center"/>
                    <w:rPr>
                      <w:rFonts w:hint="eastAsia"/>
                      <w:color w:val="auto"/>
                      <w:sz w:val="21"/>
                      <w:szCs w:val="21"/>
                      <w:u w:val="single"/>
                    </w:rPr>
                  </w:pPr>
                  <w:r>
                    <w:rPr>
                      <w:rFonts w:hint="eastAsia"/>
                      <w:color w:val="auto"/>
                      <w:highlight w:val="none"/>
                      <w:u w:val="single"/>
                      <w:lang w:val="en-US" w:eastAsia="zh-CN"/>
                    </w:rPr>
                    <w:t>27.16</w:t>
                  </w:r>
                </w:p>
              </w:tc>
              <w:tc>
                <w:tcPr>
                  <w:tcW w:w="540" w:type="pct"/>
                  <w:noWrap w:val="0"/>
                  <w:vAlign w:val="center"/>
                </w:tcPr>
                <w:p>
                  <w:pPr>
                    <w:overflowPunct w:val="0"/>
                    <w:jc w:val="center"/>
                    <w:rPr>
                      <w:rFonts w:hint="eastAsia"/>
                      <w:color w:val="auto"/>
                      <w:sz w:val="21"/>
                      <w:szCs w:val="21"/>
                      <w:highlight w:val="none"/>
                      <w:u w:val="none"/>
                    </w:rPr>
                  </w:pPr>
                  <w:r>
                    <w:rPr>
                      <w:rFonts w:hint="eastAsia"/>
                      <w:color w:val="000000"/>
                      <w:sz w:val="21"/>
                      <w:szCs w:val="21"/>
                      <w:highlight w:val="none"/>
                      <w:lang w:val="en-US" w:eastAsia="zh-CN"/>
                    </w:rPr>
                    <w:t>/</w:t>
                  </w:r>
                </w:p>
              </w:tc>
              <w:tc>
                <w:tcPr>
                  <w:tcW w:w="633"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30</w:t>
                  </w:r>
                </w:p>
              </w:tc>
              <w:tc>
                <w:tcPr>
                  <w:tcW w:w="997" w:type="pct"/>
                  <w:vMerge w:val="continue"/>
                  <w:noWrap w:val="0"/>
                  <w:vAlign w:val="center"/>
                </w:tcPr>
                <w:p>
                  <w:pPr>
                    <w:overflowPunct w:val="0"/>
                    <w:jc w:val="both"/>
                    <w:rPr>
                      <w:color w:val="auto"/>
                      <w:sz w:val="21"/>
                      <w:szCs w:val="21"/>
                      <w:highlight w:val="none"/>
                      <w:u w:val="none"/>
                    </w:rPr>
                  </w:pPr>
                </w:p>
              </w:tc>
              <w:tc>
                <w:tcPr>
                  <w:tcW w:w="234" w:type="pct"/>
                  <w:noWrap w:val="0"/>
                  <w:vAlign w:val="center"/>
                </w:tcPr>
                <w:p>
                  <w:pPr>
                    <w:overflowPunct w:val="0"/>
                    <w:jc w:val="center"/>
                    <w:rPr>
                      <w:rFonts w:hint="eastAsia"/>
                      <w:color w:val="auto"/>
                      <w:sz w:val="21"/>
                      <w:szCs w:val="21"/>
                      <w:highlight w:val="none"/>
                      <w:u w:val="none"/>
                    </w:rPr>
                  </w:pPr>
                  <w:r>
                    <w:rPr>
                      <w:rFonts w:hint="eastAsia"/>
                      <w:color w:val="auto"/>
                      <w:sz w:val="21"/>
                      <w:szCs w:val="21"/>
                      <w:highlight w:val="none"/>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vMerge w:val="continue"/>
                  <w:noWrap w:val="0"/>
                  <w:vAlign w:val="center"/>
                </w:tcPr>
                <w:p>
                  <w:pPr>
                    <w:overflowPunct w:val="0"/>
                    <w:jc w:val="center"/>
                    <w:rPr>
                      <w:rFonts w:hint="eastAsia"/>
                      <w:color w:val="auto"/>
                      <w:sz w:val="21"/>
                      <w:szCs w:val="21"/>
                      <w:u w:val="none"/>
                    </w:rPr>
                  </w:pPr>
                </w:p>
              </w:tc>
              <w:tc>
                <w:tcPr>
                  <w:tcW w:w="339" w:type="pct"/>
                  <w:vMerge w:val="continue"/>
                  <w:noWrap w:val="0"/>
                  <w:vAlign w:val="center"/>
                </w:tcPr>
                <w:p>
                  <w:pPr>
                    <w:overflowPunct w:val="0"/>
                    <w:jc w:val="center"/>
                    <w:rPr>
                      <w:rFonts w:hint="eastAsia"/>
                      <w:color w:val="auto"/>
                      <w:sz w:val="21"/>
                      <w:szCs w:val="21"/>
                      <w:u w:val="none"/>
                    </w:rPr>
                  </w:pPr>
                </w:p>
              </w:tc>
              <w:tc>
                <w:tcPr>
                  <w:tcW w:w="393" w:type="pct"/>
                  <w:noWrap w:val="0"/>
                  <w:vAlign w:val="center"/>
                </w:tcPr>
                <w:p>
                  <w:pPr>
                    <w:pageBreakBefore w:val="0"/>
                    <w:kinsoku/>
                    <w:overflowPunct w:val="0"/>
                    <w:topLinePunct w:val="0"/>
                    <w:bidi w:val="0"/>
                    <w:adjustRightInd w:val="0"/>
                    <w:snapToGrid w:val="0"/>
                    <w:spacing w:line="320" w:lineRule="exact"/>
                    <w:jc w:val="center"/>
                    <w:rPr>
                      <w:rFonts w:hint="eastAsia" w:eastAsia="宋体" w:cs="Times New Roman"/>
                      <w:color w:val="000000"/>
                      <w:sz w:val="21"/>
                      <w:szCs w:val="21"/>
                      <w:highlight w:val="none"/>
                      <w:lang w:eastAsia="zh-CN"/>
                    </w:rPr>
                  </w:pPr>
                  <w:r>
                    <w:rPr>
                      <w:rFonts w:hint="eastAsia" w:cs="Times New Roman"/>
                      <w:color w:val="000000"/>
                      <w:sz w:val="21"/>
                      <w:szCs w:val="21"/>
                      <w:highlight w:val="none"/>
                      <w:lang w:val="en-US" w:eastAsia="zh-CN"/>
                    </w:rPr>
                    <w:t>NO</w:t>
                  </w:r>
                  <w:r>
                    <w:rPr>
                      <w:rFonts w:hint="eastAsia" w:cs="Times New Roman"/>
                      <w:color w:val="000000"/>
                      <w:sz w:val="21"/>
                      <w:szCs w:val="21"/>
                      <w:highlight w:val="none"/>
                      <w:vertAlign w:val="subscript"/>
                      <w:lang w:val="en-US" w:eastAsia="zh-CN"/>
                    </w:rPr>
                    <w:t>X</w:t>
                  </w:r>
                </w:p>
              </w:tc>
              <w:tc>
                <w:tcPr>
                  <w:tcW w:w="246" w:type="pct"/>
                  <w:vMerge w:val="continue"/>
                  <w:noWrap w:val="0"/>
                  <w:vAlign w:val="center"/>
                </w:tcPr>
                <w:p>
                  <w:pPr>
                    <w:overflowPunct w:val="0"/>
                    <w:jc w:val="center"/>
                    <w:rPr>
                      <w:rFonts w:hint="eastAsia"/>
                      <w:color w:val="auto"/>
                      <w:sz w:val="21"/>
                      <w:szCs w:val="21"/>
                      <w:u w:val="none"/>
                    </w:rPr>
                  </w:pPr>
                </w:p>
              </w:tc>
              <w:tc>
                <w:tcPr>
                  <w:tcW w:w="9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0.39</w:t>
                  </w:r>
                </w:p>
              </w:tc>
              <w:tc>
                <w:tcPr>
                  <w:tcW w:w="1065" w:type="dxa"/>
                  <w:noWrap w:val="0"/>
                  <w:vAlign w:val="center"/>
                </w:tcPr>
                <w:p>
                  <w:pPr>
                    <w:keepNext w:val="0"/>
                    <w:keepLines w:val="0"/>
                    <w:widowControl/>
                    <w:suppressLineNumbers w:val="0"/>
                    <w:jc w:val="center"/>
                    <w:textAlignment w:val="center"/>
                    <w:rPr>
                      <w:rFonts w:hint="eastAsia"/>
                      <w:color w:val="auto"/>
                      <w:sz w:val="21"/>
                      <w:szCs w:val="21"/>
                      <w:u w:val="single"/>
                    </w:rPr>
                  </w:pPr>
                  <w:r>
                    <w:rPr>
                      <w:rFonts w:hint="eastAsia"/>
                      <w:color w:val="auto"/>
                      <w:highlight w:val="none"/>
                      <w:u w:val="single"/>
                      <w:lang w:val="en-US" w:eastAsia="zh-CN"/>
                    </w:rPr>
                    <w:t>175.31</w:t>
                  </w:r>
                </w:p>
              </w:tc>
              <w:tc>
                <w:tcPr>
                  <w:tcW w:w="540" w:type="pct"/>
                  <w:noWrap w:val="0"/>
                  <w:vAlign w:val="center"/>
                </w:tcPr>
                <w:p>
                  <w:pPr>
                    <w:overflowPunct w:val="0"/>
                    <w:jc w:val="center"/>
                    <w:rPr>
                      <w:rFonts w:hint="eastAsia"/>
                      <w:color w:val="auto"/>
                      <w:sz w:val="21"/>
                      <w:szCs w:val="21"/>
                      <w:highlight w:val="none"/>
                      <w:u w:val="none"/>
                    </w:rPr>
                  </w:pPr>
                  <w:r>
                    <w:rPr>
                      <w:rFonts w:hint="eastAsia"/>
                      <w:color w:val="000000"/>
                      <w:sz w:val="21"/>
                      <w:szCs w:val="21"/>
                      <w:highlight w:val="none"/>
                      <w:lang w:val="en-US" w:eastAsia="zh-CN"/>
                    </w:rPr>
                    <w:t>/</w:t>
                  </w:r>
                </w:p>
              </w:tc>
              <w:tc>
                <w:tcPr>
                  <w:tcW w:w="633"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300</w:t>
                  </w:r>
                </w:p>
              </w:tc>
              <w:tc>
                <w:tcPr>
                  <w:tcW w:w="997" w:type="pct"/>
                  <w:vMerge w:val="continue"/>
                  <w:noWrap w:val="0"/>
                  <w:vAlign w:val="center"/>
                </w:tcPr>
                <w:p>
                  <w:pPr>
                    <w:overflowPunct w:val="0"/>
                    <w:jc w:val="both"/>
                    <w:rPr>
                      <w:color w:val="auto"/>
                      <w:sz w:val="21"/>
                      <w:szCs w:val="21"/>
                      <w:highlight w:val="none"/>
                      <w:u w:val="none"/>
                    </w:rPr>
                  </w:pPr>
                </w:p>
              </w:tc>
              <w:tc>
                <w:tcPr>
                  <w:tcW w:w="234" w:type="pct"/>
                  <w:noWrap w:val="0"/>
                  <w:vAlign w:val="center"/>
                </w:tcPr>
                <w:p>
                  <w:pPr>
                    <w:overflowPunct w:val="0"/>
                    <w:jc w:val="center"/>
                    <w:rPr>
                      <w:rFonts w:hint="eastAsia"/>
                      <w:color w:val="auto"/>
                      <w:sz w:val="21"/>
                      <w:szCs w:val="21"/>
                      <w:highlight w:val="none"/>
                      <w:u w:val="none"/>
                    </w:rPr>
                  </w:pPr>
                  <w:r>
                    <w:rPr>
                      <w:rFonts w:hint="eastAsia"/>
                      <w:color w:val="auto"/>
                      <w:sz w:val="21"/>
                      <w:szCs w:val="21"/>
                      <w:highlight w:val="none"/>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noWrap w:val="0"/>
                  <w:vAlign w:val="center"/>
                </w:tcPr>
                <w:p>
                  <w:pPr>
                    <w:overflowPunct w:val="0"/>
                    <w:jc w:val="center"/>
                    <w:rPr>
                      <w:rFonts w:hint="eastAsia"/>
                      <w:color w:val="auto"/>
                      <w:sz w:val="21"/>
                      <w:szCs w:val="21"/>
                      <w:u w:val="none"/>
                    </w:rPr>
                  </w:pPr>
                  <w:r>
                    <w:rPr>
                      <w:rFonts w:hint="eastAsia"/>
                      <w:color w:val="auto"/>
                      <w:sz w:val="21"/>
                      <w:szCs w:val="21"/>
                      <w:u w:val="none"/>
                    </w:rPr>
                    <w:t>DA00</w:t>
                  </w:r>
                  <w:r>
                    <w:rPr>
                      <w:rFonts w:hint="eastAsia"/>
                      <w:color w:val="auto"/>
                      <w:sz w:val="21"/>
                      <w:szCs w:val="21"/>
                      <w:u w:val="none"/>
                      <w:lang w:val="en-US" w:eastAsia="zh-CN"/>
                    </w:rPr>
                    <w:t>3</w:t>
                  </w:r>
                </w:p>
              </w:tc>
              <w:tc>
                <w:tcPr>
                  <w:tcW w:w="339" w:type="pct"/>
                  <w:noWrap w:val="0"/>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 w:val="21"/>
                      <w:szCs w:val="21"/>
                      <w:u w:val="none"/>
                      <w:lang w:eastAsia="zh-CN"/>
                    </w:rPr>
                    <w:t>食堂</w:t>
                  </w:r>
                </w:p>
              </w:tc>
              <w:tc>
                <w:tcPr>
                  <w:tcW w:w="393"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none"/>
                    </w:rPr>
                  </w:pPr>
                  <w:r>
                    <w:rPr>
                      <w:rFonts w:hint="eastAsia"/>
                      <w:color w:val="auto"/>
                      <w:sz w:val="21"/>
                      <w:szCs w:val="21"/>
                      <w:highlight w:val="none"/>
                      <w:u w:val="none"/>
                      <w:lang w:eastAsia="zh-CN"/>
                    </w:rPr>
                    <w:t>油烟</w:t>
                  </w:r>
                </w:p>
              </w:tc>
              <w:tc>
                <w:tcPr>
                  <w:tcW w:w="246" w:type="pct"/>
                  <w:noWrap w:val="0"/>
                  <w:vAlign w:val="center"/>
                </w:tcPr>
                <w:p>
                  <w:pPr>
                    <w:overflowPunct w:val="0"/>
                    <w:jc w:val="center"/>
                    <w:rPr>
                      <w:rFonts w:hint="eastAsia"/>
                      <w:color w:val="auto"/>
                      <w:sz w:val="21"/>
                      <w:szCs w:val="21"/>
                      <w:u w:val="none"/>
                    </w:rPr>
                  </w:pPr>
                  <w:r>
                    <w:rPr>
                      <w:rFonts w:hint="eastAsia"/>
                      <w:color w:val="auto"/>
                      <w:sz w:val="21"/>
                      <w:szCs w:val="21"/>
                      <w:u w:val="none"/>
                    </w:rPr>
                    <w:t>15</w:t>
                  </w:r>
                </w:p>
              </w:tc>
              <w:tc>
                <w:tcPr>
                  <w:tcW w:w="540"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rPr>
                    <w:t>0.0</w:t>
                  </w:r>
                  <w:r>
                    <w:rPr>
                      <w:rFonts w:hint="eastAsia"/>
                      <w:color w:val="auto"/>
                      <w:sz w:val="21"/>
                      <w:szCs w:val="21"/>
                      <w:highlight w:val="none"/>
                      <w:u w:val="none"/>
                      <w:lang w:val="en-US" w:eastAsia="zh-CN"/>
                    </w:rPr>
                    <w:t>02</w:t>
                  </w:r>
                </w:p>
              </w:tc>
              <w:tc>
                <w:tcPr>
                  <w:tcW w:w="633" w:type="pct"/>
                  <w:noWrap w:val="0"/>
                  <w:vAlign w:val="center"/>
                </w:tcPr>
                <w:p>
                  <w:pPr>
                    <w:overflowPunct w:val="0"/>
                    <w:jc w:val="center"/>
                    <w:rPr>
                      <w:rFonts w:hint="eastAsia"/>
                      <w:color w:val="auto"/>
                      <w:sz w:val="21"/>
                      <w:szCs w:val="21"/>
                      <w:u w:val="none"/>
                    </w:rPr>
                  </w:pPr>
                  <w:r>
                    <w:rPr>
                      <w:rFonts w:hint="eastAsia"/>
                      <w:color w:val="auto"/>
                      <w:sz w:val="21"/>
                      <w:szCs w:val="21"/>
                      <w:highlight w:val="none"/>
                      <w:u w:val="none"/>
                      <w:lang w:val="en-US" w:eastAsia="zh-CN"/>
                    </w:rPr>
                    <w:t>1.1</w:t>
                  </w:r>
                </w:p>
              </w:tc>
              <w:tc>
                <w:tcPr>
                  <w:tcW w:w="540" w:type="pct"/>
                  <w:noWrap w:val="0"/>
                  <w:vAlign w:val="center"/>
                </w:tcPr>
                <w:p>
                  <w:pPr>
                    <w:overflowPunct w:val="0"/>
                    <w:jc w:val="center"/>
                    <w:rPr>
                      <w:rFonts w:hint="eastAsia"/>
                      <w:color w:val="auto"/>
                      <w:sz w:val="21"/>
                      <w:szCs w:val="21"/>
                      <w:u w:val="none"/>
                    </w:rPr>
                  </w:pPr>
                  <w:r>
                    <w:rPr>
                      <w:rFonts w:hint="eastAsia"/>
                      <w:color w:val="000000"/>
                      <w:sz w:val="21"/>
                      <w:szCs w:val="21"/>
                      <w:highlight w:val="none"/>
                      <w:lang w:val="en-US" w:eastAsia="zh-CN"/>
                    </w:rPr>
                    <w:t>/</w:t>
                  </w:r>
                </w:p>
              </w:tc>
              <w:tc>
                <w:tcPr>
                  <w:tcW w:w="633" w:type="pct"/>
                  <w:noWrap w:val="0"/>
                  <w:vAlign w:val="center"/>
                </w:tcPr>
                <w:p>
                  <w:pPr>
                    <w:overflowPunct w:val="0"/>
                    <w:jc w:val="center"/>
                    <w:rPr>
                      <w:rFonts w:hint="eastAsia" w:eastAsia="宋体"/>
                      <w:color w:val="auto"/>
                      <w:sz w:val="21"/>
                      <w:szCs w:val="21"/>
                      <w:u w:val="none"/>
                      <w:lang w:val="en-US" w:eastAsia="zh-CN"/>
                    </w:rPr>
                  </w:pPr>
                  <w:r>
                    <w:rPr>
                      <w:rFonts w:hint="eastAsia"/>
                      <w:color w:val="auto"/>
                      <w:sz w:val="21"/>
                      <w:szCs w:val="21"/>
                      <w:u w:val="none"/>
                      <w:lang w:val="en-US" w:eastAsia="zh-CN"/>
                    </w:rPr>
                    <w:t>2</w:t>
                  </w:r>
                </w:p>
              </w:tc>
              <w:tc>
                <w:tcPr>
                  <w:tcW w:w="997" w:type="pct"/>
                  <w:noWrap w:val="0"/>
                  <w:vAlign w:val="center"/>
                </w:tcPr>
                <w:p>
                  <w:pPr>
                    <w:overflowPunct w:val="0"/>
                    <w:jc w:val="center"/>
                    <w:rPr>
                      <w:color w:val="auto"/>
                      <w:sz w:val="21"/>
                      <w:szCs w:val="21"/>
                      <w:highlight w:val="none"/>
                      <w:u w:val="none"/>
                    </w:rPr>
                  </w:pPr>
                  <w:r>
                    <w:rPr>
                      <w:rFonts w:hint="default" w:ascii="Times New Roman" w:hAnsi="Times New Roman" w:cs="Times New Roman"/>
                      <w:color w:val="000000"/>
                      <w:sz w:val="21"/>
                      <w:szCs w:val="21"/>
                      <w:highlight w:val="none"/>
                      <w:lang w:val="en-US" w:eastAsia="zh-CN"/>
                    </w:rPr>
                    <w:t>《饮食业油烟排放标准》（GB18483-2001）表2标准</w:t>
                  </w:r>
                </w:p>
              </w:tc>
              <w:tc>
                <w:tcPr>
                  <w:tcW w:w="234" w:type="pct"/>
                  <w:noWrap w:val="0"/>
                  <w:vAlign w:val="center"/>
                </w:tcPr>
                <w:p>
                  <w:pPr>
                    <w:overflowPunct w:val="0"/>
                    <w:jc w:val="center"/>
                    <w:rPr>
                      <w:rFonts w:hint="eastAsia"/>
                      <w:color w:val="auto"/>
                      <w:sz w:val="21"/>
                      <w:szCs w:val="21"/>
                      <w:u w:val="none"/>
                    </w:rPr>
                  </w:pPr>
                  <w:r>
                    <w:rPr>
                      <w:rFonts w:hint="eastAsia"/>
                      <w:color w:val="auto"/>
                      <w:sz w:val="21"/>
                      <w:szCs w:val="21"/>
                      <w:u w:val="none"/>
                    </w:rPr>
                    <w:t>达标</w:t>
                  </w:r>
                </w:p>
              </w:tc>
            </w:tr>
          </w:tbl>
          <w:p>
            <w:pPr>
              <w:overflowPunct w:val="0"/>
              <w:spacing w:line="360" w:lineRule="auto"/>
              <w:ind w:firstLine="482" w:firstLineChars="200"/>
              <w:rPr>
                <w:rFonts w:hint="eastAsia"/>
                <w:b/>
                <w:bCs/>
                <w:color w:val="auto"/>
                <w:sz w:val="24"/>
                <w:u w:val="none"/>
              </w:rPr>
            </w:pPr>
            <w:r>
              <w:rPr>
                <w:rFonts w:hint="eastAsia"/>
                <w:b/>
                <w:bCs/>
                <w:color w:val="auto"/>
                <w:sz w:val="24"/>
                <w:u w:val="none"/>
              </w:rPr>
              <w:t>B、无组织废气治理措施</w:t>
            </w:r>
          </w:p>
          <w:p>
            <w:pPr>
              <w:overflowPunct w:val="0"/>
              <w:spacing w:line="360" w:lineRule="auto"/>
              <w:ind w:firstLine="480" w:firstLineChars="200"/>
              <w:rPr>
                <w:rFonts w:hint="eastAsia"/>
                <w:color w:val="auto"/>
                <w:sz w:val="24"/>
                <w:u w:val="none"/>
              </w:rPr>
            </w:pPr>
            <w:r>
              <w:rPr>
                <w:rFonts w:hint="eastAsia"/>
                <w:color w:val="auto"/>
                <w:sz w:val="24"/>
                <w:u w:val="none"/>
              </w:rPr>
              <w:t>项目加强车间通风，无组织废气可有效降低其浓度，挥发出的废气对周边环境影响甚微。</w:t>
            </w:r>
          </w:p>
          <w:p>
            <w:pPr>
              <w:overflowPunct w:val="0"/>
              <w:spacing w:line="360" w:lineRule="auto"/>
              <w:ind w:firstLine="482" w:firstLineChars="200"/>
              <w:rPr>
                <w:b/>
                <w:bCs/>
                <w:color w:val="auto"/>
                <w:kern w:val="0"/>
                <w:sz w:val="24"/>
                <w:highlight w:val="none"/>
                <w:u w:val="single"/>
              </w:rPr>
            </w:pPr>
            <w:r>
              <w:rPr>
                <w:rFonts w:hint="eastAsia"/>
                <w:b/>
                <w:bCs/>
                <w:color w:val="auto"/>
                <w:kern w:val="0"/>
                <w:sz w:val="24"/>
                <w:highlight w:val="none"/>
                <w:u w:val="single"/>
              </w:rPr>
              <w:t>（</w:t>
            </w:r>
            <w:r>
              <w:rPr>
                <w:rFonts w:hint="eastAsia"/>
                <w:b/>
                <w:bCs/>
                <w:color w:val="auto"/>
                <w:kern w:val="0"/>
                <w:sz w:val="24"/>
                <w:highlight w:val="none"/>
                <w:u w:val="single"/>
                <w:lang w:val="en-US" w:eastAsia="zh-CN"/>
              </w:rPr>
              <w:t>3</w:t>
            </w:r>
            <w:r>
              <w:rPr>
                <w:rFonts w:hint="eastAsia"/>
                <w:b/>
                <w:bCs/>
                <w:color w:val="auto"/>
                <w:kern w:val="0"/>
                <w:sz w:val="24"/>
                <w:highlight w:val="none"/>
                <w:u w:val="single"/>
              </w:rPr>
              <w:t>）热风炉废气直排可行性分析</w:t>
            </w:r>
          </w:p>
          <w:p>
            <w:pPr>
              <w:overflowPunct w:val="0"/>
              <w:spacing w:line="360" w:lineRule="auto"/>
              <w:ind w:firstLine="480" w:firstLineChars="200"/>
              <w:rPr>
                <w:rFonts w:hint="default"/>
                <w:color w:val="auto"/>
                <w:sz w:val="24"/>
                <w:u w:val="single"/>
                <w:lang w:val="en-US" w:eastAsia="zh-CN"/>
              </w:rPr>
            </w:pPr>
            <w:r>
              <w:rPr>
                <w:rFonts w:hint="eastAsia"/>
                <w:color w:val="auto"/>
                <w:sz w:val="24"/>
                <w:u w:val="single"/>
                <w:lang w:val="en-US" w:eastAsia="zh-CN"/>
              </w:rPr>
              <w:t>本项目热风炉的燃料使用清洁能源：天然气，经计算本项目热风炉废气直排能满足《工业炉窑大气污染排放标准》（GB9078-1996）和《工业炉窑大气污染综合治理方案》（环大气〔2019〕56号）标准限值，具体情况详见下表。</w:t>
            </w:r>
          </w:p>
          <w:p>
            <w:pPr>
              <w:overflowPunct w:val="0"/>
              <w:adjustRightInd w:val="0"/>
              <w:snapToGrid w:val="0"/>
              <w:jc w:val="center"/>
              <w:rPr>
                <w:rFonts w:hint="eastAsia"/>
                <w:b/>
                <w:color w:val="auto"/>
                <w:szCs w:val="21"/>
                <w:u w:val="single"/>
              </w:rPr>
            </w:pPr>
            <w:r>
              <w:rPr>
                <w:rFonts w:hint="eastAsia"/>
                <w:b/>
                <w:color w:val="auto"/>
                <w:szCs w:val="21"/>
                <w:u w:val="single"/>
              </w:rPr>
              <w:t>表</w:t>
            </w:r>
            <w:r>
              <w:rPr>
                <w:b/>
                <w:color w:val="auto"/>
                <w:szCs w:val="21"/>
                <w:u w:val="single"/>
              </w:rPr>
              <w:t>4-</w:t>
            </w:r>
            <w:r>
              <w:rPr>
                <w:rFonts w:hint="eastAsia"/>
                <w:b/>
                <w:color w:val="auto"/>
                <w:szCs w:val="21"/>
                <w:u w:val="single"/>
                <w:lang w:val="en-US" w:eastAsia="zh-CN"/>
              </w:rPr>
              <w:t>7</w:t>
            </w:r>
            <w:r>
              <w:rPr>
                <w:b/>
                <w:color w:val="auto"/>
                <w:szCs w:val="21"/>
                <w:u w:val="single"/>
              </w:rPr>
              <w:t xml:space="preserve"> </w:t>
            </w:r>
            <w:r>
              <w:rPr>
                <w:rFonts w:hint="eastAsia"/>
                <w:b/>
                <w:color w:val="auto"/>
                <w:szCs w:val="21"/>
                <w:u w:val="single"/>
              </w:rPr>
              <w:t>废气排放源及达标情况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972"/>
              <w:gridCol w:w="979"/>
              <w:gridCol w:w="1209"/>
              <w:gridCol w:w="1426"/>
              <w:gridCol w:w="1197"/>
              <w:gridCol w:w="1342"/>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noWrap w:val="0"/>
                  <w:vAlign w:val="center"/>
                </w:tcPr>
                <w:p>
                  <w:pPr>
                    <w:overflowPunct w:val="0"/>
                    <w:jc w:val="center"/>
                    <w:rPr>
                      <w:rFonts w:hint="eastAsia" w:eastAsia="宋体"/>
                      <w:b/>
                      <w:bCs/>
                      <w:color w:val="auto"/>
                      <w:sz w:val="21"/>
                      <w:szCs w:val="21"/>
                      <w:u w:val="single"/>
                      <w:lang w:val="en-US" w:eastAsia="zh-CN"/>
                    </w:rPr>
                  </w:pPr>
                  <w:r>
                    <w:rPr>
                      <w:rFonts w:hint="eastAsia"/>
                      <w:b/>
                      <w:bCs/>
                      <w:color w:val="auto"/>
                      <w:sz w:val="21"/>
                      <w:szCs w:val="21"/>
                      <w:u w:val="single"/>
                      <w:lang w:val="en-US" w:eastAsia="zh-CN"/>
                    </w:rPr>
                    <w:t>工序</w:t>
                  </w:r>
                </w:p>
              </w:tc>
              <w:tc>
                <w:tcPr>
                  <w:tcW w:w="578" w:type="pct"/>
                  <w:vMerge w:val="restart"/>
                  <w:noWrap w:val="0"/>
                  <w:vAlign w:val="center"/>
                </w:tcPr>
                <w:p>
                  <w:pPr>
                    <w:overflowPunct w:val="0"/>
                    <w:jc w:val="center"/>
                    <w:rPr>
                      <w:b/>
                      <w:bCs/>
                      <w:color w:val="auto"/>
                      <w:sz w:val="21"/>
                      <w:szCs w:val="21"/>
                      <w:u w:val="single"/>
                    </w:rPr>
                  </w:pPr>
                  <w:r>
                    <w:rPr>
                      <w:rFonts w:hint="eastAsia"/>
                      <w:b/>
                      <w:bCs/>
                      <w:color w:val="auto"/>
                      <w:sz w:val="21"/>
                      <w:szCs w:val="21"/>
                      <w:u w:val="single"/>
                    </w:rPr>
                    <w:t>污染物</w:t>
                  </w:r>
                </w:p>
              </w:tc>
              <w:tc>
                <w:tcPr>
                  <w:tcW w:w="582" w:type="pct"/>
                  <w:vMerge w:val="restart"/>
                  <w:noWrap w:val="0"/>
                  <w:vAlign w:val="center"/>
                </w:tcPr>
                <w:p>
                  <w:pPr>
                    <w:overflowPunct w:val="0"/>
                    <w:jc w:val="center"/>
                    <w:rPr>
                      <w:b/>
                      <w:bCs/>
                      <w:color w:val="auto"/>
                      <w:sz w:val="21"/>
                      <w:szCs w:val="21"/>
                      <w:u w:val="single"/>
                    </w:rPr>
                  </w:pPr>
                  <w:r>
                    <w:rPr>
                      <w:rFonts w:hint="eastAsia"/>
                      <w:b/>
                      <w:bCs/>
                      <w:color w:val="auto"/>
                      <w:sz w:val="21"/>
                      <w:szCs w:val="21"/>
                      <w:u w:val="single"/>
                    </w:rPr>
                    <w:t>排气筒高度/m</w:t>
                  </w:r>
                </w:p>
              </w:tc>
              <w:tc>
                <w:tcPr>
                  <w:tcW w:w="1567" w:type="pct"/>
                  <w:gridSpan w:val="2"/>
                  <w:noWrap w:val="0"/>
                  <w:vAlign w:val="center"/>
                </w:tcPr>
                <w:p>
                  <w:pPr>
                    <w:overflowPunct w:val="0"/>
                    <w:jc w:val="center"/>
                    <w:rPr>
                      <w:rFonts w:hint="eastAsia"/>
                      <w:b/>
                      <w:bCs/>
                      <w:color w:val="auto"/>
                      <w:sz w:val="21"/>
                      <w:szCs w:val="21"/>
                      <w:u w:val="single"/>
                    </w:rPr>
                  </w:pPr>
                  <w:r>
                    <w:rPr>
                      <w:rFonts w:hint="eastAsia"/>
                      <w:b/>
                      <w:bCs/>
                      <w:color w:val="auto"/>
                      <w:sz w:val="21"/>
                      <w:szCs w:val="21"/>
                      <w:u w:val="single"/>
                    </w:rPr>
                    <w:t>排放情况</w:t>
                  </w:r>
                </w:p>
              </w:tc>
              <w:tc>
                <w:tcPr>
                  <w:tcW w:w="1510" w:type="pct"/>
                  <w:gridSpan w:val="2"/>
                  <w:noWrap w:val="0"/>
                  <w:vAlign w:val="center"/>
                </w:tcPr>
                <w:p>
                  <w:pPr>
                    <w:overflowPunct w:val="0"/>
                    <w:jc w:val="center"/>
                    <w:rPr>
                      <w:b/>
                      <w:bCs/>
                      <w:color w:val="auto"/>
                      <w:sz w:val="21"/>
                      <w:szCs w:val="21"/>
                      <w:u w:val="single"/>
                    </w:rPr>
                  </w:pPr>
                  <w:r>
                    <w:rPr>
                      <w:rFonts w:hint="eastAsia"/>
                      <w:b/>
                      <w:bCs/>
                      <w:color w:val="auto"/>
                      <w:sz w:val="21"/>
                      <w:szCs w:val="21"/>
                      <w:u w:val="single"/>
                    </w:rPr>
                    <w:t>标准限值</w:t>
                  </w:r>
                </w:p>
              </w:tc>
              <w:tc>
                <w:tcPr>
                  <w:tcW w:w="437" w:type="pct"/>
                  <w:vMerge w:val="restart"/>
                  <w:noWrap w:val="0"/>
                  <w:vAlign w:val="center"/>
                </w:tcPr>
                <w:p>
                  <w:pPr>
                    <w:overflowPunct w:val="0"/>
                    <w:jc w:val="center"/>
                    <w:rPr>
                      <w:b/>
                      <w:bCs/>
                      <w:color w:val="auto"/>
                      <w:sz w:val="21"/>
                      <w:szCs w:val="21"/>
                      <w:u w:val="single"/>
                    </w:rPr>
                  </w:pPr>
                  <w:r>
                    <w:rPr>
                      <w:rFonts w:hint="eastAsia"/>
                      <w:b/>
                      <w:bCs/>
                      <w:color w:val="auto"/>
                      <w:sz w:val="21"/>
                      <w:szCs w:val="21"/>
                      <w:u w:val="singl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pPr>
                    <w:overflowPunct w:val="0"/>
                    <w:jc w:val="center"/>
                    <w:rPr>
                      <w:b/>
                      <w:bCs/>
                      <w:color w:val="auto"/>
                      <w:sz w:val="21"/>
                      <w:szCs w:val="21"/>
                      <w:u w:val="single"/>
                    </w:rPr>
                  </w:pPr>
                </w:p>
              </w:tc>
              <w:tc>
                <w:tcPr>
                  <w:tcW w:w="578" w:type="pct"/>
                  <w:vMerge w:val="continue"/>
                  <w:noWrap w:val="0"/>
                  <w:vAlign w:val="center"/>
                </w:tcPr>
                <w:p>
                  <w:pPr>
                    <w:overflowPunct w:val="0"/>
                    <w:jc w:val="center"/>
                    <w:rPr>
                      <w:b/>
                      <w:bCs/>
                      <w:color w:val="auto"/>
                      <w:sz w:val="21"/>
                      <w:szCs w:val="21"/>
                      <w:u w:val="single"/>
                    </w:rPr>
                  </w:pPr>
                </w:p>
              </w:tc>
              <w:tc>
                <w:tcPr>
                  <w:tcW w:w="582" w:type="pct"/>
                  <w:vMerge w:val="continue"/>
                  <w:noWrap w:val="0"/>
                  <w:vAlign w:val="center"/>
                </w:tcPr>
                <w:p>
                  <w:pPr>
                    <w:overflowPunct w:val="0"/>
                    <w:jc w:val="center"/>
                    <w:rPr>
                      <w:b/>
                      <w:bCs/>
                      <w:color w:val="auto"/>
                      <w:sz w:val="21"/>
                      <w:szCs w:val="21"/>
                      <w:u w:val="single"/>
                    </w:rPr>
                  </w:pPr>
                </w:p>
              </w:tc>
              <w:tc>
                <w:tcPr>
                  <w:tcW w:w="719" w:type="pct"/>
                  <w:noWrap w:val="0"/>
                  <w:vAlign w:val="center"/>
                </w:tcPr>
                <w:p>
                  <w:pPr>
                    <w:overflowPunct w:val="0"/>
                    <w:jc w:val="center"/>
                    <w:rPr>
                      <w:rFonts w:hint="eastAsia"/>
                      <w:b/>
                      <w:bCs/>
                      <w:color w:val="auto"/>
                      <w:sz w:val="21"/>
                      <w:szCs w:val="21"/>
                      <w:u w:val="single"/>
                    </w:rPr>
                  </w:pPr>
                  <w:r>
                    <w:rPr>
                      <w:rFonts w:hint="eastAsia"/>
                      <w:b/>
                      <w:bCs/>
                      <w:color w:val="auto"/>
                      <w:sz w:val="21"/>
                      <w:szCs w:val="21"/>
                      <w:u w:val="single"/>
                    </w:rPr>
                    <w:t>速率（kg/h）</w:t>
                  </w:r>
                </w:p>
              </w:tc>
              <w:tc>
                <w:tcPr>
                  <w:tcW w:w="848" w:type="pct"/>
                  <w:noWrap w:val="0"/>
                  <w:vAlign w:val="center"/>
                </w:tcPr>
                <w:p>
                  <w:pPr>
                    <w:overflowPunct w:val="0"/>
                    <w:jc w:val="center"/>
                    <w:rPr>
                      <w:rFonts w:hint="eastAsia"/>
                      <w:b/>
                      <w:bCs/>
                      <w:color w:val="auto"/>
                      <w:sz w:val="21"/>
                      <w:szCs w:val="21"/>
                      <w:u w:val="single"/>
                    </w:rPr>
                  </w:pPr>
                  <w:r>
                    <w:rPr>
                      <w:rFonts w:hint="eastAsia"/>
                      <w:b/>
                      <w:bCs/>
                      <w:color w:val="auto"/>
                      <w:sz w:val="21"/>
                      <w:szCs w:val="21"/>
                      <w:u w:val="single"/>
                    </w:rPr>
                    <w:t>浓度（mg/m</w:t>
                  </w:r>
                  <w:r>
                    <w:rPr>
                      <w:rFonts w:hint="eastAsia"/>
                      <w:b/>
                      <w:bCs/>
                      <w:color w:val="auto"/>
                      <w:sz w:val="21"/>
                      <w:szCs w:val="21"/>
                      <w:u w:val="single"/>
                      <w:vertAlign w:val="superscript"/>
                    </w:rPr>
                    <w:t>3</w:t>
                  </w:r>
                  <w:r>
                    <w:rPr>
                      <w:rFonts w:hint="eastAsia"/>
                      <w:b/>
                      <w:bCs/>
                      <w:color w:val="auto"/>
                      <w:sz w:val="21"/>
                      <w:szCs w:val="21"/>
                      <w:u w:val="single"/>
                    </w:rPr>
                    <w:t>）</w:t>
                  </w:r>
                </w:p>
              </w:tc>
              <w:tc>
                <w:tcPr>
                  <w:tcW w:w="712" w:type="pct"/>
                  <w:noWrap w:val="0"/>
                  <w:vAlign w:val="center"/>
                </w:tcPr>
                <w:p>
                  <w:pPr>
                    <w:overflowPunct w:val="0"/>
                    <w:jc w:val="center"/>
                    <w:rPr>
                      <w:b/>
                      <w:bCs/>
                      <w:color w:val="auto"/>
                      <w:sz w:val="21"/>
                      <w:szCs w:val="21"/>
                      <w:u w:val="single"/>
                    </w:rPr>
                  </w:pPr>
                  <w:r>
                    <w:rPr>
                      <w:rFonts w:hint="eastAsia"/>
                      <w:b/>
                      <w:bCs/>
                      <w:color w:val="auto"/>
                      <w:sz w:val="21"/>
                      <w:szCs w:val="21"/>
                      <w:u w:val="single"/>
                    </w:rPr>
                    <w:t>速率（kg/h）</w:t>
                  </w:r>
                </w:p>
              </w:tc>
              <w:tc>
                <w:tcPr>
                  <w:tcW w:w="798" w:type="pct"/>
                  <w:noWrap w:val="0"/>
                  <w:vAlign w:val="center"/>
                </w:tcPr>
                <w:p>
                  <w:pPr>
                    <w:overflowPunct w:val="0"/>
                    <w:jc w:val="center"/>
                    <w:rPr>
                      <w:b/>
                      <w:bCs/>
                      <w:color w:val="auto"/>
                      <w:sz w:val="21"/>
                      <w:szCs w:val="21"/>
                      <w:u w:val="single"/>
                    </w:rPr>
                  </w:pPr>
                  <w:r>
                    <w:rPr>
                      <w:rFonts w:hint="eastAsia"/>
                      <w:b/>
                      <w:bCs/>
                      <w:color w:val="auto"/>
                      <w:sz w:val="21"/>
                      <w:szCs w:val="21"/>
                      <w:u w:val="single"/>
                    </w:rPr>
                    <w:t>浓度（mg/m</w:t>
                  </w:r>
                  <w:r>
                    <w:rPr>
                      <w:rFonts w:hint="eastAsia"/>
                      <w:b/>
                      <w:bCs/>
                      <w:color w:val="auto"/>
                      <w:sz w:val="21"/>
                      <w:szCs w:val="21"/>
                      <w:u w:val="single"/>
                      <w:vertAlign w:val="superscript"/>
                    </w:rPr>
                    <w:t>3</w:t>
                  </w:r>
                  <w:r>
                    <w:rPr>
                      <w:rFonts w:hint="eastAsia"/>
                      <w:b/>
                      <w:bCs/>
                      <w:color w:val="auto"/>
                      <w:sz w:val="21"/>
                      <w:szCs w:val="21"/>
                      <w:u w:val="single"/>
                    </w:rPr>
                    <w:t>）</w:t>
                  </w:r>
                </w:p>
              </w:tc>
              <w:tc>
                <w:tcPr>
                  <w:tcW w:w="437" w:type="pct"/>
                  <w:vMerge w:val="continue"/>
                  <w:noWrap w:val="0"/>
                  <w:vAlign w:val="center"/>
                </w:tcPr>
                <w:p>
                  <w:pPr>
                    <w:overflowPunct w:val="0"/>
                    <w:jc w:val="center"/>
                    <w:rPr>
                      <w:b/>
                      <w:bCs/>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restart"/>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热风炉</w:t>
                  </w:r>
                </w:p>
              </w:tc>
              <w:tc>
                <w:tcPr>
                  <w:tcW w:w="578"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u w:val="single"/>
                    </w:rPr>
                  </w:pPr>
                  <w:r>
                    <w:rPr>
                      <w:rFonts w:hint="eastAsia" w:cs="Times New Roman"/>
                      <w:color w:val="000000"/>
                      <w:sz w:val="21"/>
                      <w:szCs w:val="21"/>
                      <w:highlight w:val="none"/>
                      <w:u w:val="single"/>
                      <w:lang w:val="en-US" w:eastAsia="zh-CN"/>
                    </w:rPr>
                    <w:t>SO</w:t>
                  </w:r>
                  <w:r>
                    <w:rPr>
                      <w:rFonts w:hint="eastAsia" w:cs="Times New Roman"/>
                      <w:color w:val="000000"/>
                      <w:sz w:val="21"/>
                      <w:szCs w:val="21"/>
                      <w:highlight w:val="none"/>
                      <w:u w:val="single"/>
                      <w:vertAlign w:val="subscript"/>
                      <w:lang w:val="en-US" w:eastAsia="zh-CN"/>
                    </w:rPr>
                    <w:t>2</w:t>
                  </w:r>
                </w:p>
              </w:tc>
              <w:tc>
                <w:tcPr>
                  <w:tcW w:w="582" w:type="pct"/>
                  <w:vMerge w:val="restart"/>
                  <w:noWrap w:val="0"/>
                  <w:vAlign w:val="center"/>
                </w:tcPr>
                <w:p>
                  <w:pPr>
                    <w:overflowPunct w:val="0"/>
                    <w:jc w:val="center"/>
                    <w:rPr>
                      <w:rFonts w:hint="eastAsia"/>
                      <w:color w:val="auto"/>
                      <w:sz w:val="21"/>
                      <w:szCs w:val="21"/>
                      <w:u w:val="single"/>
                    </w:rPr>
                  </w:pPr>
                  <w:r>
                    <w:rPr>
                      <w:rFonts w:hint="eastAsia"/>
                      <w:color w:val="auto"/>
                      <w:sz w:val="21"/>
                      <w:szCs w:val="21"/>
                      <w:u w:val="single"/>
                    </w:rPr>
                    <w:t>15</w:t>
                  </w:r>
                </w:p>
              </w:tc>
              <w:tc>
                <w:tcPr>
                  <w:tcW w:w="71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0.083</w:t>
                  </w:r>
                </w:p>
              </w:tc>
              <w:tc>
                <w:tcPr>
                  <w:tcW w:w="848" w:type="pct"/>
                  <w:noWrap w:val="0"/>
                  <w:vAlign w:val="center"/>
                </w:tcPr>
                <w:p>
                  <w:pPr>
                    <w:keepNext w:val="0"/>
                    <w:keepLines w:val="0"/>
                    <w:widowControl/>
                    <w:suppressLineNumbers w:val="0"/>
                    <w:jc w:val="center"/>
                    <w:textAlignment w:val="center"/>
                    <w:rPr>
                      <w:color w:val="auto"/>
                      <w:sz w:val="21"/>
                      <w:szCs w:val="21"/>
                      <w:u w:val="single"/>
                    </w:rPr>
                  </w:pPr>
                  <w:r>
                    <w:rPr>
                      <w:rFonts w:hint="eastAsia"/>
                      <w:color w:val="auto"/>
                      <w:highlight w:val="none"/>
                      <w:u w:val="single"/>
                      <w:lang w:val="en-US" w:eastAsia="zh-CN"/>
                    </w:rPr>
                    <w:t>37.04</w:t>
                  </w:r>
                </w:p>
              </w:tc>
              <w:tc>
                <w:tcPr>
                  <w:tcW w:w="712" w:type="pct"/>
                  <w:noWrap w:val="0"/>
                  <w:vAlign w:val="center"/>
                </w:tcPr>
                <w:p>
                  <w:pPr>
                    <w:overflowPunct w:val="0"/>
                    <w:jc w:val="center"/>
                    <w:rPr>
                      <w:color w:val="auto"/>
                      <w:sz w:val="21"/>
                      <w:szCs w:val="21"/>
                      <w:highlight w:val="none"/>
                      <w:u w:val="single"/>
                    </w:rPr>
                  </w:pPr>
                  <w:r>
                    <w:rPr>
                      <w:rFonts w:hint="eastAsia"/>
                      <w:color w:val="000000"/>
                      <w:sz w:val="21"/>
                      <w:szCs w:val="21"/>
                      <w:highlight w:val="none"/>
                      <w:u w:val="single"/>
                      <w:lang w:val="en-US" w:eastAsia="zh-CN"/>
                    </w:rPr>
                    <w:t>/</w:t>
                  </w:r>
                </w:p>
              </w:tc>
              <w:tc>
                <w:tcPr>
                  <w:tcW w:w="798" w:type="pct"/>
                  <w:noWrap w:val="0"/>
                  <w:vAlign w:val="center"/>
                </w:tcPr>
                <w:p>
                  <w:pPr>
                    <w:overflowPunct w:val="0"/>
                    <w:jc w:val="center"/>
                    <w:rPr>
                      <w:color w:val="auto"/>
                      <w:sz w:val="21"/>
                      <w:szCs w:val="21"/>
                      <w:highlight w:val="none"/>
                      <w:u w:val="single"/>
                    </w:rPr>
                  </w:pPr>
                  <w:r>
                    <w:rPr>
                      <w:rFonts w:hint="eastAsia"/>
                      <w:color w:val="auto"/>
                      <w:sz w:val="21"/>
                      <w:szCs w:val="21"/>
                      <w:highlight w:val="none"/>
                      <w:u w:val="single"/>
                      <w:lang w:val="en-US" w:eastAsia="zh-CN"/>
                    </w:rPr>
                    <w:t>20</w:t>
                  </w:r>
                  <w:r>
                    <w:rPr>
                      <w:rFonts w:hint="eastAsia"/>
                      <w:color w:val="auto"/>
                      <w:sz w:val="21"/>
                      <w:szCs w:val="21"/>
                      <w:highlight w:val="none"/>
                      <w:u w:val="single"/>
                    </w:rPr>
                    <w:t>0</w:t>
                  </w:r>
                </w:p>
              </w:tc>
              <w:tc>
                <w:tcPr>
                  <w:tcW w:w="437" w:type="pct"/>
                  <w:noWrap w:val="0"/>
                  <w:vAlign w:val="center"/>
                </w:tcPr>
                <w:p>
                  <w:pPr>
                    <w:overflowPunct w:val="0"/>
                    <w:jc w:val="center"/>
                    <w:rPr>
                      <w:rFonts w:hint="eastAsia"/>
                      <w:color w:val="auto"/>
                      <w:sz w:val="21"/>
                      <w:szCs w:val="21"/>
                      <w:highlight w:val="none"/>
                      <w:u w:val="single"/>
                    </w:rPr>
                  </w:pPr>
                  <w:r>
                    <w:rPr>
                      <w:rFonts w:hint="eastAsia"/>
                      <w:color w:val="auto"/>
                      <w:sz w:val="21"/>
                      <w:szCs w:val="21"/>
                      <w:highlight w:val="none"/>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 w:type="pct"/>
                  <w:vMerge w:val="continue"/>
                  <w:noWrap w:val="0"/>
                  <w:vAlign w:val="center"/>
                </w:tcPr>
                <w:p>
                  <w:pPr>
                    <w:overflowPunct w:val="0"/>
                    <w:jc w:val="center"/>
                    <w:rPr>
                      <w:rFonts w:hint="eastAsia"/>
                      <w:color w:val="auto"/>
                      <w:sz w:val="21"/>
                      <w:szCs w:val="21"/>
                      <w:u w:val="single"/>
                    </w:rPr>
                  </w:pPr>
                </w:p>
              </w:tc>
              <w:tc>
                <w:tcPr>
                  <w:tcW w:w="578" w:type="pct"/>
                  <w:noWrap w:val="0"/>
                  <w:vAlign w:val="center"/>
                </w:tcPr>
                <w:p>
                  <w:pPr>
                    <w:pageBreakBefore w:val="0"/>
                    <w:kinsoku/>
                    <w:overflowPunct w:val="0"/>
                    <w:topLinePunct w:val="0"/>
                    <w:bidi w:val="0"/>
                    <w:adjustRightInd w:val="0"/>
                    <w:snapToGrid w:val="0"/>
                    <w:spacing w:line="320" w:lineRule="exact"/>
                    <w:jc w:val="center"/>
                    <w:rPr>
                      <w:rFonts w:hint="eastAsia" w:eastAsia="宋体" w:cs="Times New Roman"/>
                      <w:color w:val="000000"/>
                      <w:sz w:val="21"/>
                      <w:szCs w:val="21"/>
                      <w:highlight w:val="none"/>
                      <w:u w:val="single"/>
                      <w:lang w:eastAsia="zh-CN"/>
                    </w:rPr>
                  </w:pPr>
                  <w:r>
                    <w:rPr>
                      <w:rFonts w:hint="eastAsia" w:eastAsia="宋体" w:cs="Times New Roman"/>
                      <w:color w:val="000000"/>
                      <w:sz w:val="21"/>
                      <w:szCs w:val="21"/>
                      <w:highlight w:val="none"/>
                      <w:u w:val="single"/>
                      <w:lang w:eastAsia="zh-CN"/>
                    </w:rPr>
                    <w:t>颗粒物</w:t>
                  </w:r>
                </w:p>
              </w:tc>
              <w:tc>
                <w:tcPr>
                  <w:tcW w:w="582" w:type="pct"/>
                  <w:vMerge w:val="continue"/>
                  <w:noWrap w:val="0"/>
                  <w:vAlign w:val="center"/>
                </w:tcPr>
                <w:p>
                  <w:pPr>
                    <w:overflowPunct w:val="0"/>
                    <w:jc w:val="center"/>
                    <w:rPr>
                      <w:rFonts w:hint="eastAsia"/>
                      <w:color w:val="auto"/>
                      <w:sz w:val="21"/>
                      <w:szCs w:val="21"/>
                      <w:u w:val="single"/>
                    </w:rPr>
                  </w:pPr>
                </w:p>
              </w:tc>
              <w:tc>
                <w:tcPr>
                  <w:tcW w:w="71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0.061</w:t>
                  </w:r>
                </w:p>
              </w:tc>
              <w:tc>
                <w:tcPr>
                  <w:tcW w:w="848" w:type="pct"/>
                  <w:noWrap w:val="0"/>
                  <w:vAlign w:val="center"/>
                </w:tcPr>
                <w:p>
                  <w:pPr>
                    <w:keepNext w:val="0"/>
                    <w:keepLines w:val="0"/>
                    <w:widowControl/>
                    <w:suppressLineNumbers w:val="0"/>
                    <w:jc w:val="center"/>
                    <w:textAlignment w:val="center"/>
                    <w:rPr>
                      <w:rFonts w:hint="eastAsia"/>
                      <w:color w:val="auto"/>
                      <w:sz w:val="21"/>
                      <w:szCs w:val="21"/>
                      <w:u w:val="single"/>
                    </w:rPr>
                  </w:pPr>
                  <w:r>
                    <w:rPr>
                      <w:rFonts w:hint="eastAsia"/>
                      <w:color w:val="auto"/>
                      <w:highlight w:val="none"/>
                      <w:u w:val="single"/>
                      <w:lang w:val="en-US" w:eastAsia="zh-CN"/>
                    </w:rPr>
                    <w:t>27.16</w:t>
                  </w:r>
                </w:p>
              </w:tc>
              <w:tc>
                <w:tcPr>
                  <w:tcW w:w="712" w:type="pct"/>
                  <w:noWrap w:val="0"/>
                  <w:vAlign w:val="center"/>
                </w:tcPr>
                <w:p>
                  <w:pPr>
                    <w:overflowPunct w:val="0"/>
                    <w:jc w:val="center"/>
                    <w:rPr>
                      <w:rFonts w:hint="eastAsia"/>
                      <w:color w:val="auto"/>
                      <w:sz w:val="21"/>
                      <w:szCs w:val="21"/>
                      <w:highlight w:val="none"/>
                      <w:u w:val="single"/>
                    </w:rPr>
                  </w:pPr>
                  <w:r>
                    <w:rPr>
                      <w:rFonts w:hint="eastAsia"/>
                      <w:color w:val="000000"/>
                      <w:sz w:val="21"/>
                      <w:szCs w:val="21"/>
                      <w:highlight w:val="none"/>
                      <w:u w:val="single"/>
                      <w:lang w:val="en-US" w:eastAsia="zh-CN"/>
                    </w:rPr>
                    <w:t>/</w:t>
                  </w:r>
                </w:p>
              </w:tc>
              <w:tc>
                <w:tcPr>
                  <w:tcW w:w="798" w:type="pct"/>
                  <w:noWrap w:val="0"/>
                  <w:vAlign w:val="center"/>
                </w:tcPr>
                <w:p>
                  <w:pPr>
                    <w:overflowPunct w:val="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30</w:t>
                  </w:r>
                </w:p>
              </w:tc>
              <w:tc>
                <w:tcPr>
                  <w:tcW w:w="437" w:type="pct"/>
                  <w:noWrap w:val="0"/>
                  <w:vAlign w:val="center"/>
                </w:tcPr>
                <w:p>
                  <w:pPr>
                    <w:overflowPunct w:val="0"/>
                    <w:jc w:val="center"/>
                    <w:rPr>
                      <w:rFonts w:hint="eastAsia"/>
                      <w:color w:val="auto"/>
                      <w:sz w:val="21"/>
                      <w:szCs w:val="21"/>
                      <w:highlight w:val="none"/>
                      <w:u w:val="single"/>
                    </w:rPr>
                  </w:pPr>
                  <w:r>
                    <w:rPr>
                      <w:rFonts w:hint="eastAsia"/>
                      <w:color w:val="auto"/>
                      <w:sz w:val="21"/>
                      <w:szCs w:val="21"/>
                      <w:highlight w:val="none"/>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noWrap w:val="0"/>
                  <w:vAlign w:val="center"/>
                </w:tcPr>
                <w:p>
                  <w:pPr>
                    <w:overflowPunct w:val="0"/>
                    <w:jc w:val="center"/>
                    <w:rPr>
                      <w:rFonts w:hint="eastAsia"/>
                      <w:color w:val="auto"/>
                      <w:sz w:val="21"/>
                      <w:szCs w:val="21"/>
                      <w:u w:val="single"/>
                    </w:rPr>
                  </w:pPr>
                </w:p>
              </w:tc>
              <w:tc>
                <w:tcPr>
                  <w:tcW w:w="578" w:type="pct"/>
                  <w:noWrap w:val="0"/>
                  <w:vAlign w:val="center"/>
                </w:tcPr>
                <w:p>
                  <w:pPr>
                    <w:pageBreakBefore w:val="0"/>
                    <w:kinsoku/>
                    <w:overflowPunct w:val="0"/>
                    <w:topLinePunct w:val="0"/>
                    <w:bidi w:val="0"/>
                    <w:adjustRightInd w:val="0"/>
                    <w:snapToGrid w:val="0"/>
                    <w:spacing w:line="320" w:lineRule="exact"/>
                    <w:jc w:val="center"/>
                    <w:rPr>
                      <w:rFonts w:hint="eastAsia" w:eastAsia="宋体" w:cs="Times New Roman"/>
                      <w:color w:val="000000"/>
                      <w:sz w:val="21"/>
                      <w:szCs w:val="21"/>
                      <w:highlight w:val="none"/>
                      <w:u w:val="single"/>
                      <w:lang w:eastAsia="zh-CN"/>
                    </w:rPr>
                  </w:pPr>
                  <w:r>
                    <w:rPr>
                      <w:rFonts w:hint="eastAsia" w:cs="Times New Roman"/>
                      <w:color w:val="000000"/>
                      <w:sz w:val="21"/>
                      <w:szCs w:val="21"/>
                      <w:highlight w:val="none"/>
                      <w:u w:val="single"/>
                      <w:lang w:val="en-US" w:eastAsia="zh-CN"/>
                    </w:rPr>
                    <w:t>NO</w:t>
                  </w:r>
                  <w:r>
                    <w:rPr>
                      <w:rFonts w:hint="eastAsia" w:cs="Times New Roman"/>
                      <w:color w:val="000000"/>
                      <w:sz w:val="21"/>
                      <w:szCs w:val="21"/>
                      <w:highlight w:val="none"/>
                      <w:u w:val="single"/>
                      <w:vertAlign w:val="subscript"/>
                      <w:lang w:val="en-US" w:eastAsia="zh-CN"/>
                    </w:rPr>
                    <w:t>X</w:t>
                  </w:r>
                </w:p>
              </w:tc>
              <w:tc>
                <w:tcPr>
                  <w:tcW w:w="582" w:type="pct"/>
                  <w:vMerge w:val="continue"/>
                  <w:noWrap w:val="0"/>
                  <w:vAlign w:val="center"/>
                </w:tcPr>
                <w:p>
                  <w:pPr>
                    <w:overflowPunct w:val="0"/>
                    <w:jc w:val="center"/>
                    <w:rPr>
                      <w:rFonts w:hint="eastAsia"/>
                      <w:color w:val="auto"/>
                      <w:sz w:val="21"/>
                      <w:szCs w:val="21"/>
                      <w:u w:val="single"/>
                    </w:rPr>
                  </w:pPr>
                </w:p>
              </w:tc>
              <w:tc>
                <w:tcPr>
                  <w:tcW w:w="71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0.39</w:t>
                  </w:r>
                </w:p>
              </w:tc>
              <w:tc>
                <w:tcPr>
                  <w:tcW w:w="848" w:type="pct"/>
                  <w:noWrap w:val="0"/>
                  <w:vAlign w:val="center"/>
                </w:tcPr>
                <w:p>
                  <w:pPr>
                    <w:keepNext w:val="0"/>
                    <w:keepLines w:val="0"/>
                    <w:widowControl/>
                    <w:suppressLineNumbers w:val="0"/>
                    <w:jc w:val="center"/>
                    <w:textAlignment w:val="center"/>
                    <w:rPr>
                      <w:rFonts w:hint="eastAsia"/>
                      <w:color w:val="auto"/>
                      <w:sz w:val="21"/>
                      <w:szCs w:val="21"/>
                      <w:u w:val="single"/>
                    </w:rPr>
                  </w:pPr>
                  <w:r>
                    <w:rPr>
                      <w:rFonts w:hint="eastAsia"/>
                      <w:color w:val="auto"/>
                      <w:highlight w:val="none"/>
                      <w:u w:val="single"/>
                      <w:lang w:val="en-US" w:eastAsia="zh-CN"/>
                    </w:rPr>
                    <w:t>175.31</w:t>
                  </w:r>
                </w:p>
              </w:tc>
              <w:tc>
                <w:tcPr>
                  <w:tcW w:w="712" w:type="pct"/>
                  <w:noWrap w:val="0"/>
                  <w:vAlign w:val="center"/>
                </w:tcPr>
                <w:p>
                  <w:pPr>
                    <w:overflowPunct w:val="0"/>
                    <w:jc w:val="center"/>
                    <w:rPr>
                      <w:rFonts w:hint="eastAsia"/>
                      <w:color w:val="auto"/>
                      <w:sz w:val="21"/>
                      <w:szCs w:val="21"/>
                      <w:highlight w:val="none"/>
                      <w:u w:val="single"/>
                    </w:rPr>
                  </w:pPr>
                  <w:r>
                    <w:rPr>
                      <w:rFonts w:hint="eastAsia"/>
                      <w:color w:val="000000"/>
                      <w:sz w:val="21"/>
                      <w:szCs w:val="21"/>
                      <w:highlight w:val="none"/>
                      <w:u w:val="single"/>
                      <w:lang w:val="en-US" w:eastAsia="zh-CN"/>
                    </w:rPr>
                    <w:t>/</w:t>
                  </w:r>
                </w:p>
              </w:tc>
              <w:tc>
                <w:tcPr>
                  <w:tcW w:w="798" w:type="pct"/>
                  <w:noWrap w:val="0"/>
                  <w:vAlign w:val="center"/>
                </w:tcPr>
                <w:p>
                  <w:pPr>
                    <w:overflowPunct w:val="0"/>
                    <w:jc w:val="center"/>
                    <w:rPr>
                      <w:rFonts w:hint="default" w:eastAsia="宋体"/>
                      <w:color w:val="auto"/>
                      <w:sz w:val="21"/>
                      <w:szCs w:val="21"/>
                      <w:highlight w:val="none"/>
                      <w:u w:val="single"/>
                      <w:lang w:val="en-US" w:eastAsia="zh-CN"/>
                    </w:rPr>
                  </w:pPr>
                  <w:r>
                    <w:rPr>
                      <w:rFonts w:hint="eastAsia"/>
                      <w:color w:val="auto"/>
                      <w:sz w:val="21"/>
                      <w:szCs w:val="21"/>
                      <w:highlight w:val="none"/>
                      <w:u w:val="single"/>
                      <w:lang w:val="en-US" w:eastAsia="zh-CN"/>
                    </w:rPr>
                    <w:t>300</w:t>
                  </w:r>
                </w:p>
              </w:tc>
              <w:tc>
                <w:tcPr>
                  <w:tcW w:w="437" w:type="pct"/>
                  <w:noWrap w:val="0"/>
                  <w:vAlign w:val="center"/>
                </w:tcPr>
                <w:p>
                  <w:pPr>
                    <w:overflowPunct w:val="0"/>
                    <w:jc w:val="center"/>
                    <w:rPr>
                      <w:rFonts w:hint="eastAsia"/>
                      <w:color w:val="auto"/>
                      <w:sz w:val="21"/>
                      <w:szCs w:val="21"/>
                      <w:highlight w:val="none"/>
                      <w:u w:val="single"/>
                    </w:rPr>
                  </w:pPr>
                  <w:r>
                    <w:rPr>
                      <w:rFonts w:hint="eastAsia"/>
                      <w:color w:val="auto"/>
                      <w:sz w:val="21"/>
                      <w:szCs w:val="21"/>
                      <w:highlight w:val="none"/>
                      <w:u w:val="single"/>
                    </w:rPr>
                    <w:t>达标</w:t>
                  </w:r>
                </w:p>
              </w:tc>
            </w:tr>
          </w:tbl>
          <w:p>
            <w:pPr>
              <w:overflowPunct w:val="0"/>
              <w:spacing w:line="360" w:lineRule="auto"/>
              <w:ind w:firstLine="482" w:firstLineChars="200"/>
              <w:rPr>
                <w:rFonts w:hint="eastAsia"/>
                <w:b/>
                <w:bCs/>
                <w:color w:val="auto"/>
                <w:kern w:val="0"/>
                <w:sz w:val="24"/>
                <w:u w:val="none"/>
              </w:rPr>
            </w:pPr>
            <w:r>
              <w:rPr>
                <w:rFonts w:hint="eastAsia"/>
                <w:b/>
                <w:bCs/>
                <w:color w:val="auto"/>
                <w:kern w:val="0"/>
                <w:sz w:val="24"/>
                <w:u w:val="none"/>
              </w:rPr>
              <w:t>（</w:t>
            </w:r>
            <w:r>
              <w:rPr>
                <w:rFonts w:hint="eastAsia"/>
                <w:b/>
                <w:bCs/>
                <w:color w:val="auto"/>
                <w:kern w:val="0"/>
                <w:sz w:val="24"/>
                <w:u w:val="none"/>
                <w:lang w:val="en-US" w:eastAsia="zh-CN"/>
              </w:rPr>
              <w:t>4</w:t>
            </w:r>
            <w:r>
              <w:rPr>
                <w:rFonts w:hint="eastAsia"/>
                <w:b/>
                <w:bCs/>
                <w:color w:val="auto"/>
                <w:kern w:val="0"/>
                <w:sz w:val="24"/>
                <w:u w:val="none"/>
              </w:rPr>
              <w:t>）污染物非正常情况源强分析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color w:val="auto"/>
                <w:sz w:val="24"/>
                <w:u w:val="none"/>
              </w:rPr>
            </w:pPr>
            <w:r>
              <w:rPr>
                <w:rFonts w:hint="eastAsia"/>
                <w:color w:val="auto"/>
                <w:sz w:val="24"/>
                <w:u w:val="none"/>
              </w:rPr>
              <w:t>污染物非正常排放主要由生产工艺设备或环保设备故障引起。根据本项目特点，本环评大气污染物非正常排放源强按照废气处理设备效率为零进行核算，核算数值见下表：</w:t>
            </w:r>
          </w:p>
          <w:p>
            <w:pPr>
              <w:pStyle w:val="2"/>
              <w:keepNext w:val="0"/>
              <w:keepLines w:val="0"/>
              <w:pageBreakBefore w:val="0"/>
              <w:widowControl w:val="0"/>
              <w:kinsoku/>
              <w:wordWrap/>
              <w:overflowPunct w:val="0"/>
              <w:topLinePunct w:val="0"/>
              <w:autoSpaceDE/>
              <w:autoSpaceDN/>
              <w:bidi w:val="0"/>
              <w:adjustRightInd/>
              <w:snapToGrid/>
              <w:spacing w:before="0" w:after="0" w:line="240" w:lineRule="auto"/>
              <w:ind w:right="0" w:firstLine="0" w:firstLineChars="0"/>
              <w:jc w:val="center"/>
              <w:textAlignment w:val="auto"/>
              <w:rPr>
                <w:b/>
                <w:bCs/>
                <w:color w:val="auto"/>
                <w:sz w:val="21"/>
                <w:szCs w:val="21"/>
                <w:u w:val="none"/>
              </w:rPr>
            </w:pPr>
            <w:r>
              <w:rPr>
                <w:b/>
                <w:color w:val="auto"/>
                <w:kern w:val="2"/>
                <w:sz w:val="21"/>
                <w:szCs w:val="21"/>
                <w:u w:val="none"/>
              </w:rPr>
              <w:t>表4-</w:t>
            </w:r>
            <w:r>
              <w:rPr>
                <w:rFonts w:hint="eastAsia"/>
                <w:b/>
                <w:color w:val="auto"/>
                <w:kern w:val="2"/>
                <w:sz w:val="21"/>
                <w:szCs w:val="21"/>
                <w:u w:val="none"/>
                <w:lang w:val="en-US" w:eastAsia="zh-CN"/>
              </w:rPr>
              <w:t>8</w:t>
            </w:r>
            <w:r>
              <w:rPr>
                <w:rFonts w:hint="eastAsia"/>
                <w:b/>
                <w:color w:val="auto"/>
                <w:kern w:val="2"/>
                <w:sz w:val="21"/>
                <w:szCs w:val="21"/>
                <w:u w:val="none"/>
              </w:rPr>
              <w:t xml:space="preserve"> 污染物非正常排放情况表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472"/>
              <w:gridCol w:w="1358"/>
              <w:gridCol w:w="1253"/>
              <w:gridCol w:w="1129"/>
              <w:gridCol w:w="1114"/>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38" w:type="pct"/>
                  <w:noWrap w:val="0"/>
                  <w:vAlign w:val="center"/>
                </w:tcPr>
                <w:p>
                  <w:pPr>
                    <w:overflowPunct w:val="0"/>
                    <w:jc w:val="center"/>
                    <w:rPr>
                      <w:b/>
                      <w:color w:val="auto"/>
                      <w:sz w:val="21"/>
                      <w:szCs w:val="21"/>
                      <w:u w:val="none"/>
                    </w:rPr>
                  </w:pPr>
                  <w:r>
                    <w:rPr>
                      <w:rFonts w:hint="eastAsia"/>
                      <w:b/>
                      <w:color w:val="auto"/>
                      <w:sz w:val="21"/>
                      <w:szCs w:val="21"/>
                      <w:u w:val="none"/>
                    </w:rPr>
                    <w:t>污染源</w:t>
                  </w:r>
                </w:p>
              </w:tc>
              <w:tc>
                <w:tcPr>
                  <w:tcW w:w="875" w:type="pct"/>
                  <w:noWrap w:val="0"/>
                  <w:vAlign w:val="center"/>
                </w:tcPr>
                <w:p>
                  <w:pPr>
                    <w:overflowPunct w:val="0"/>
                    <w:jc w:val="center"/>
                    <w:rPr>
                      <w:b/>
                      <w:color w:val="auto"/>
                      <w:sz w:val="21"/>
                      <w:szCs w:val="21"/>
                      <w:u w:val="none"/>
                    </w:rPr>
                  </w:pPr>
                  <w:r>
                    <w:rPr>
                      <w:rFonts w:hint="eastAsia"/>
                      <w:b/>
                      <w:color w:val="auto"/>
                      <w:sz w:val="21"/>
                      <w:szCs w:val="21"/>
                      <w:u w:val="none"/>
                    </w:rPr>
                    <w:t>非正常排放原因</w:t>
                  </w:r>
                </w:p>
              </w:tc>
              <w:tc>
                <w:tcPr>
                  <w:tcW w:w="807" w:type="pct"/>
                  <w:noWrap w:val="0"/>
                  <w:vAlign w:val="center"/>
                </w:tcPr>
                <w:p>
                  <w:pPr>
                    <w:overflowPunct w:val="0"/>
                    <w:jc w:val="center"/>
                    <w:rPr>
                      <w:b/>
                      <w:color w:val="auto"/>
                      <w:sz w:val="21"/>
                      <w:szCs w:val="21"/>
                      <w:u w:val="none"/>
                    </w:rPr>
                  </w:pPr>
                  <w:r>
                    <w:rPr>
                      <w:rFonts w:hint="eastAsia"/>
                      <w:b/>
                      <w:color w:val="auto"/>
                      <w:sz w:val="21"/>
                      <w:szCs w:val="21"/>
                      <w:u w:val="none"/>
                    </w:rPr>
                    <w:t>污染物</w:t>
                  </w:r>
                </w:p>
              </w:tc>
              <w:tc>
                <w:tcPr>
                  <w:tcW w:w="745" w:type="pct"/>
                  <w:noWrap w:val="0"/>
                  <w:vAlign w:val="center"/>
                </w:tcPr>
                <w:p>
                  <w:pPr>
                    <w:overflowPunct w:val="0"/>
                    <w:jc w:val="center"/>
                    <w:rPr>
                      <w:b/>
                      <w:color w:val="auto"/>
                      <w:sz w:val="21"/>
                      <w:szCs w:val="21"/>
                      <w:u w:val="none"/>
                    </w:rPr>
                  </w:pPr>
                  <w:r>
                    <w:rPr>
                      <w:rFonts w:hint="eastAsia"/>
                      <w:b/>
                      <w:color w:val="auto"/>
                      <w:sz w:val="21"/>
                      <w:szCs w:val="21"/>
                      <w:u w:val="none"/>
                    </w:rPr>
                    <w:t>非正常排放浓度（mg/m</w:t>
                  </w:r>
                  <w:r>
                    <w:rPr>
                      <w:rFonts w:hint="eastAsia"/>
                      <w:b/>
                      <w:color w:val="auto"/>
                      <w:sz w:val="21"/>
                      <w:szCs w:val="21"/>
                      <w:u w:val="none"/>
                      <w:vertAlign w:val="superscript"/>
                    </w:rPr>
                    <w:t>3</w:t>
                  </w:r>
                  <w:r>
                    <w:rPr>
                      <w:rFonts w:hint="eastAsia"/>
                      <w:b/>
                      <w:color w:val="auto"/>
                      <w:sz w:val="21"/>
                      <w:szCs w:val="21"/>
                      <w:u w:val="none"/>
                    </w:rPr>
                    <w:t>）</w:t>
                  </w:r>
                </w:p>
              </w:tc>
              <w:tc>
                <w:tcPr>
                  <w:tcW w:w="671" w:type="pct"/>
                  <w:noWrap w:val="0"/>
                  <w:vAlign w:val="center"/>
                </w:tcPr>
                <w:p>
                  <w:pPr>
                    <w:overflowPunct w:val="0"/>
                    <w:jc w:val="center"/>
                    <w:rPr>
                      <w:rFonts w:hint="eastAsia"/>
                      <w:b/>
                      <w:color w:val="auto"/>
                      <w:sz w:val="21"/>
                      <w:szCs w:val="21"/>
                      <w:u w:val="none"/>
                    </w:rPr>
                  </w:pPr>
                  <w:r>
                    <w:rPr>
                      <w:rFonts w:hint="eastAsia"/>
                      <w:b/>
                      <w:color w:val="auto"/>
                      <w:sz w:val="21"/>
                      <w:szCs w:val="21"/>
                      <w:u w:val="none"/>
                    </w:rPr>
                    <w:t>非正常排放速率（kg/h）</w:t>
                  </w:r>
                </w:p>
              </w:tc>
              <w:tc>
                <w:tcPr>
                  <w:tcW w:w="662" w:type="pct"/>
                  <w:noWrap w:val="0"/>
                  <w:vAlign w:val="center"/>
                </w:tcPr>
                <w:p>
                  <w:pPr>
                    <w:overflowPunct w:val="0"/>
                    <w:jc w:val="center"/>
                    <w:rPr>
                      <w:rFonts w:hint="eastAsia"/>
                      <w:b/>
                      <w:color w:val="auto"/>
                      <w:sz w:val="21"/>
                      <w:szCs w:val="21"/>
                      <w:u w:val="none"/>
                    </w:rPr>
                  </w:pPr>
                  <w:r>
                    <w:rPr>
                      <w:rFonts w:hint="eastAsia"/>
                      <w:b/>
                      <w:color w:val="auto"/>
                      <w:sz w:val="21"/>
                      <w:szCs w:val="21"/>
                      <w:u w:val="none"/>
                    </w:rPr>
                    <w:t>单次持续时间（h）</w:t>
                  </w:r>
                </w:p>
              </w:tc>
              <w:tc>
                <w:tcPr>
                  <w:tcW w:w="697" w:type="pct"/>
                  <w:noWrap w:val="0"/>
                  <w:vAlign w:val="center"/>
                </w:tcPr>
                <w:p>
                  <w:pPr>
                    <w:overflowPunct w:val="0"/>
                    <w:jc w:val="center"/>
                    <w:rPr>
                      <w:rFonts w:hint="eastAsia"/>
                      <w:b/>
                      <w:color w:val="auto"/>
                      <w:sz w:val="21"/>
                      <w:szCs w:val="21"/>
                      <w:u w:val="none"/>
                    </w:rPr>
                  </w:pPr>
                  <w:r>
                    <w:rPr>
                      <w:rFonts w:hint="eastAsia"/>
                      <w:b/>
                      <w:color w:val="auto"/>
                      <w:sz w:val="21"/>
                      <w:szCs w:val="21"/>
                      <w:u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38" w:type="pct"/>
                  <w:vMerge w:val="restart"/>
                  <w:noWrap w:val="0"/>
                  <w:vAlign w:val="center"/>
                </w:tcPr>
                <w:p>
                  <w:pPr>
                    <w:overflowPunct w:val="0"/>
                    <w:jc w:val="center"/>
                    <w:rPr>
                      <w:color w:val="auto"/>
                      <w:sz w:val="21"/>
                      <w:szCs w:val="21"/>
                      <w:u w:val="none"/>
                    </w:rPr>
                  </w:pPr>
                  <w:r>
                    <w:rPr>
                      <w:rFonts w:hint="eastAsia"/>
                      <w:color w:val="auto"/>
                      <w:sz w:val="20"/>
                      <w:szCs w:val="20"/>
                      <w:u w:val="none"/>
                    </w:rPr>
                    <w:t>DA001</w:t>
                  </w:r>
                </w:p>
              </w:tc>
              <w:tc>
                <w:tcPr>
                  <w:tcW w:w="875" w:type="pct"/>
                  <w:vMerge w:val="restart"/>
                  <w:noWrap w:val="0"/>
                  <w:vAlign w:val="center"/>
                </w:tcPr>
                <w:p>
                  <w:pPr>
                    <w:overflowPunct w:val="0"/>
                    <w:jc w:val="both"/>
                    <w:rPr>
                      <w:color w:val="auto"/>
                      <w:sz w:val="21"/>
                      <w:szCs w:val="21"/>
                      <w:u w:val="none"/>
                    </w:rPr>
                  </w:pPr>
                  <w:r>
                    <w:rPr>
                      <w:rFonts w:hint="eastAsia" w:ascii="宋体" w:hAnsi="宋体" w:eastAsia="宋体" w:cs="宋体"/>
                      <w:color w:val="000000"/>
                      <w:kern w:val="0"/>
                      <w:sz w:val="21"/>
                      <w:szCs w:val="21"/>
                      <w:u w:val="none"/>
                      <w:lang w:val="en-US" w:eastAsia="zh-CN" w:bidi="ar"/>
                    </w:rPr>
                    <w:t>紫外灯管、活性炭达到满负荷运作、设备故障</w:t>
                  </w:r>
                </w:p>
              </w:tc>
              <w:tc>
                <w:tcPr>
                  <w:tcW w:w="807" w:type="pct"/>
                  <w:noWrap w:val="0"/>
                  <w:vAlign w:val="center"/>
                </w:tcPr>
                <w:p>
                  <w:pPr>
                    <w:overflowPunct w:val="0"/>
                    <w:jc w:val="center"/>
                    <w:rPr>
                      <w:color w:val="auto"/>
                      <w:sz w:val="21"/>
                      <w:szCs w:val="21"/>
                      <w:u w:val="none"/>
                    </w:rPr>
                  </w:pPr>
                  <w:r>
                    <w:rPr>
                      <w:rFonts w:hint="eastAsia"/>
                      <w:color w:val="auto"/>
                      <w:sz w:val="21"/>
                      <w:szCs w:val="21"/>
                      <w:u w:val="none"/>
                      <w:lang w:val="en-US" w:eastAsia="zh-CN"/>
                    </w:rPr>
                    <w:t>非甲烷总烃</w:t>
                  </w:r>
                </w:p>
              </w:tc>
              <w:tc>
                <w:tcPr>
                  <w:tcW w:w="745" w:type="pct"/>
                  <w:noWrap w:val="0"/>
                  <w:vAlign w:val="center"/>
                </w:tcPr>
                <w:p>
                  <w:pPr>
                    <w:overflowPunct w:val="0"/>
                    <w:jc w:val="center"/>
                    <w:rPr>
                      <w:rFonts w:hint="default"/>
                      <w:color w:val="auto"/>
                      <w:sz w:val="21"/>
                      <w:szCs w:val="21"/>
                      <w:highlight w:val="none"/>
                      <w:u w:val="none"/>
                      <w:lang w:val="en-US"/>
                    </w:rPr>
                  </w:pPr>
                  <w:r>
                    <w:rPr>
                      <w:rFonts w:hint="eastAsia"/>
                      <w:color w:val="auto"/>
                      <w:sz w:val="21"/>
                      <w:szCs w:val="21"/>
                      <w:highlight w:val="none"/>
                      <w:u w:val="none"/>
                      <w:lang w:val="en-US" w:eastAsia="zh-CN"/>
                    </w:rPr>
                    <w:t>122.5</w:t>
                  </w:r>
                </w:p>
              </w:tc>
              <w:tc>
                <w:tcPr>
                  <w:tcW w:w="671" w:type="pct"/>
                  <w:noWrap w:val="0"/>
                  <w:vAlign w:val="center"/>
                </w:tcPr>
                <w:p>
                  <w:pPr>
                    <w:overflowPunct w:val="0"/>
                    <w:jc w:val="center"/>
                    <w:rPr>
                      <w:color w:val="auto"/>
                      <w:sz w:val="21"/>
                      <w:szCs w:val="21"/>
                      <w:highlight w:val="none"/>
                      <w:u w:val="none"/>
                    </w:rPr>
                  </w:pPr>
                  <w:r>
                    <w:rPr>
                      <w:rFonts w:hint="eastAsia" w:eastAsia="宋体"/>
                      <w:color w:val="auto"/>
                      <w:sz w:val="21"/>
                      <w:szCs w:val="21"/>
                      <w:highlight w:val="none"/>
                      <w:u w:val="none"/>
                      <w:lang w:val="en-US" w:eastAsia="zh-CN"/>
                    </w:rPr>
                    <w:t>0.</w:t>
                  </w:r>
                  <w:r>
                    <w:rPr>
                      <w:rFonts w:hint="eastAsia"/>
                      <w:color w:val="auto"/>
                      <w:sz w:val="21"/>
                      <w:szCs w:val="21"/>
                      <w:highlight w:val="none"/>
                      <w:u w:val="none"/>
                      <w:lang w:val="en-US" w:eastAsia="zh-CN"/>
                    </w:rPr>
                    <w:t>61</w:t>
                  </w:r>
                </w:p>
              </w:tc>
              <w:tc>
                <w:tcPr>
                  <w:tcW w:w="662" w:type="pct"/>
                  <w:vMerge w:val="restart"/>
                  <w:noWrap w:val="0"/>
                  <w:vAlign w:val="center"/>
                </w:tcPr>
                <w:p>
                  <w:pPr>
                    <w:overflowPunct w:val="0"/>
                    <w:jc w:val="center"/>
                    <w:rPr>
                      <w:color w:val="auto"/>
                      <w:sz w:val="21"/>
                      <w:szCs w:val="21"/>
                      <w:u w:val="none"/>
                    </w:rPr>
                  </w:pPr>
                  <w:r>
                    <w:rPr>
                      <w:rFonts w:hint="eastAsia"/>
                      <w:color w:val="auto"/>
                      <w:sz w:val="21"/>
                      <w:szCs w:val="21"/>
                      <w:u w:val="none"/>
                    </w:rPr>
                    <w:t>0.5</w:t>
                  </w:r>
                </w:p>
              </w:tc>
              <w:tc>
                <w:tcPr>
                  <w:tcW w:w="697" w:type="pct"/>
                  <w:vMerge w:val="restart"/>
                  <w:noWrap w:val="0"/>
                  <w:vAlign w:val="center"/>
                </w:tcPr>
                <w:p>
                  <w:pPr>
                    <w:keepNext w:val="0"/>
                    <w:keepLines w:val="0"/>
                    <w:widowControl/>
                    <w:suppressLineNumbers w:val="0"/>
                    <w:jc w:val="center"/>
                    <w:rPr>
                      <w:color w:val="auto"/>
                      <w:sz w:val="21"/>
                      <w:szCs w:val="21"/>
                      <w:u w:val="none"/>
                    </w:rPr>
                  </w:pPr>
                  <w:r>
                    <w:rPr>
                      <w:rFonts w:hint="eastAsia" w:ascii="宋体" w:hAnsi="宋体" w:eastAsia="宋体" w:cs="宋体"/>
                      <w:color w:val="000000"/>
                      <w:kern w:val="0"/>
                      <w:sz w:val="21"/>
                      <w:szCs w:val="21"/>
                      <w:u w:val="none"/>
                      <w:lang w:val="en-US" w:eastAsia="zh-CN" w:bidi="ar"/>
                    </w:rPr>
                    <w:t>停产检修， 查明原因， 更换或修理废气处理设备</w:t>
                  </w:r>
                  <w:r>
                    <w:rPr>
                      <w:rFonts w:hint="eastAsia"/>
                      <w:color w:val="auto"/>
                      <w:sz w:val="21"/>
                      <w:szCs w:val="21"/>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38" w:type="pct"/>
                  <w:vMerge w:val="continue"/>
                  <w:noWrap w:val="0"/>
                  <w:vAlign w:val="center"/>
                </w:tcPr>
                <w:p>
                  <w:pPr>
                    <w:overflowPunct w:val="0"/>
                    <w:jc w:val="center"/>
                    <w:rPr>
                      <w:rFonts w:hint="eastAsia"/>
                      <w:color w:val="auto"/>
                      <w:sz w:val="20"/>
                      <w:szCs w:val="20"/>
                      <w:u w:val="none"/>
                    </w:rPr>
                  </w:pPr>
                </w:p>
              </w:tc>
              <w:tc>
                <w:tcPr>
                  <w:tcW w:w="875" w:type="pct"/>
                  <w:vMerge w:val="continue"/>
                  <w:noWrap w:val="0"/>
                  <w:vAlign w:val="center"/>
                </w:tcPr>
                <w:p>
                  <w:pPr>
                    <w:overflowPunct w:val="0"/>
                    <w:jc w:val="center"/>
                    <w:rPr>
                      <w:rFonts w:hint="eastAsia" w:ascii="宋体" w:hAnsi="宋体" w:eastAsia="宋体" w:cs="宋体"/>
                      <w:color w:val="000000"/>
                      <w:kern w:val="0"/>
                      <w:sz w:val="21"/>
                      <w:szCs w:val="21"/>
                      <w:u w:val="none"/>
                      <w:lang w:val="en-US" w:eastAsia="zh-CN" w:bidi="ar"/>
                    </w:rPr>
                  </w:pPr>
                </w:p>
              </w:tc>
              <w:tc>
                <w:tcPr>
                  <w:tcW w:w="807" w:type="pct"/>
                  <w:noWrap w:val="0"/>
                  <w:vAlign w:val="center"/>
                </w:tcPr>
                <w:p>
                  <w:pPr>
                    <w:overflowPunct w:val="0"/>
                    <w:jc w:val="center"/>
                    <w:rPr>
                      <w:rFonts w:hint="eastAsia"/>
                      <w:color w:val="auto"/>
                      <w:sz w:val="21"/>
                      <w:szCs w:val="21"/>
                      <w:u w:val="none"/>
                    </w:rPr>
                  </w:pPr>
                  <w:r>
                    <w:rPr>
                      <w:rFonts w:hint="eastAsia"/>
                      <w:color w:val="auto"/>
                      <w:sz w:val="21"/>
                      <w:szCs w:val="21"/>
                      <w:u w:val="none"/>
                      <w:lang w:val="en-US" w:eastAsia="zh-CN"/>
                    </w:rPr>
                    <w:t>VOCs</w:t>
                  </w:r>
                </w:p>
              </w:tc>
              <w:tc>
                <w:tcPr>
                  <w:tcW w:w="745" w:type="pct"/>
                  <w:noWrap w:val="0"/>
                  <w:vAlign w:val="center"/>
                </w:tcPr>
                <w:p>
                  <w:pPr>
                    <w:overflowPunct w:val="0"/>
                    <w:jc w:val="center"/>
                    <w:rPr>
                      <w:rFonts w:hint="default" w:eastAsia="宋体"/>
                      <w:color w:val="auto"/>
                      <w:sz w:val="21"/>
                      <w:szCs w:val="21"/>
                      <w:highlight w:val="none"/>
                      <w:u w:val="none"/>
                      <w:lang w:val="en-US" w:eastAsia="zh-CN"/>
                    </w:rPr>
                  </w:pPr>
                  <w:r>
                    <w:rPr>
                      <w:rFonts w:hint="eastAsia" w:cs="Times New Roman"/>
                      <w:color w:val="auto"/>
                      <w:kern w:val="2"/>
                      <w:sz w:val="21"/>
                      <w:szCs w:val="21"/>
                      <w:highlight w:val="none"/>
                      <w:u w:val="none"/>
                      <w:lang w:val="en-US" w:eastAsia="zh-CN" w:bidi="ar-SA"/>
                    </w:rPr>
                    <w:t>22.5</w:t>
                  </w:r>
                </w:p>
              </w:tc>
              <w:tc>
                <w:tcPr>
                  <w:tcW w:w="671" w:type="pct"/>
                  <w:noWrap w:val="0"/>
                  <w:vAlign w:val="center"/>
                </w:tcPr>
                <w:p>
                  <w:pPr>
                    <w:overflowPunct w:val="0"/>
                    <w:jc w:val="center"/>
                    <w:rPr>
                      <w:rFonts w:hint="eastAsia" w:eastAsia="宋体"/>
                      <w:color w:val="auto"/>
                      <w:sz w:val="21"/>
                      <w:szCs w:val="21"/>
                      <w:highlight w:val="none"/>
                      <w:u w:val="none"/>
                      <w:lang w:val="en-US" w:eastAsia="zh-CN"/>
                    </w:rPr>
                  </w:pPr>
                  <w:r>
                    <w:rPr>
                      <w:rFonts w:hint="eastAsia" w:cs="Times New Roman"/>
                      <w:color w:val="auto"/>
                      <w:kern w:val="2"/>
                      <w:sz w:val="21"/>
                      <w:szCs w:val="21"/>
                      <w:highlight w:val="none"/>
                      <w:u w:val="none"/>
                      <w:lang w:val="en-US" w:eastAsia="zh-CN" w:bidi="ar-SA"/>
                    </w:rPr>
                    <w:t>0.11</w:t>
                  </w:r>
                </w:p>
              </w:tc>
              <w:tc>
                <w:tcPr>
                  <w:tcW w:w="662" w:type="pct"/>
                  <w:vMerge w:val="continue"/>
                  <w:noWrap w:val="0"/>
                  <w:vAlign w:val="center"/>
                </w:tcPr>
                <w:p>
                  <w:pPr>
                    <w:overflowPunct w:val="0"/>
                    <w:jc w:val="center"/>
                    <w:rPr>
                      <w:rFonts w:hint="eastAsia"/>
                      <w:color w:val="auto"/>
                      <w:sz w:val="21"/>
                      <w:szCs w:val="21"/>
                      <w:u w:val="none"/>
                    </w:rPr>
                  </w:pPr>
                </w:p>
              </w:tc>
              <w:tc>
                <w:tcPr>
                  <w:tcW w:w="697" w:type="pct"/>
                  <w:vMerge w:val="continue"/>
                  <w:noWrap w:val="0"/>
                  <w:vAlign w:val="center"/>
                </w:tcPr>
                <w:p>
                  <w:pPr>
                    <w:keepNext w:val="0"/>
                    <w:keepLines w:val="0"/>
                    <w:widowControl/>
                    <w:suppressLineNumbers w:val="0"/>
                    <w:jc w:val="center"/>
                    <w:rPr>
                      <w:rFonts w:hint="eastAsia" w:ascii="宋体" w:hAnsi="宋体" w:eastAsia="宋体" w:cs="宋体"/>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8" w:type="pct"/>
                  <w:noWrap w:val="0"/>
                  <w:vAlign w:val="center"/>
                </w:tcPr>
                <w:p>
                  <w:pPr>
                    <w:overflowPunct w:val="0"/>
                    <w:jc w:val="center"/>
                    <w:rPr>
                      <w:rFonts w:hint="eastAsia"/>
                      <w:color w:val="auto"/>
                      <w:sz w:val="21"/>
                      <w:szCs w:val="21"/>
                      <w:u w:val="none"/>
                    </w:rPr>
                  </w:pPr>
                  <w:r>
                    <w:rPr>
                      <w:rFonts w:hint="eastAsia"/>
                      <w:color w:val="auto"/>
                      <w:sz w:val="20"/>
                      <w:szCs w:val="20"/>
                      <w:u w:val="none"/>
                    </w:rPr>
                    <w:t>DA00</w:t>
                  </w:r>
                  <w:r>
                    <w:rPr>
                      <w:rFonts w:hint="eastAsia"/>
                      <w:color w:val="auto"/>
                      <w:sz w:val="20"/>
                      <w:szCs w:val="20"/>
                      <w:u w:val="none"/>
                      <w:lang w:val="en-US" w:eastAsia="zh-CN"/>
                    </w:rPr>
                    <w:t>3</w:t>
                  </w:r>
                </w:p>
              </w:tc>
              <w:tc>
                <w:tcPr>
                  <w:tcW w:w="875" w:type="pct"/>
                  <w:noWrap w:val="0"/>
                  <w:vAlign w:val="center"/>
                </w:tcPr>
                <w:p>
                  <w:pPr>
                    <w:overflowPunct w:val="0"/>
                    <w:jc w:val="center"/>
                    <w:rPr>
                      <w:rFonts w:hint="eastAsia"/>
                      <w:color w:val="auto"/>
                      <w:sz w:val="21"/>
                      <w:szCs w:val="21"/>
                      <w:u w:val="none"/>
                    </w:rPr>
                  </w:pPr>
                  <w:r>
                    <w:rPr>
                      <w:rFonts w:hint="eastAsia" w:cs="Times New Roman"/>
                      <w:color w:val="000000"/>
                      <w:kern w:val="2"/>
                      <w:sz w:val="21"/>
                      <w:szCs w:val="21"/>
                      <w:highlight w:val="none"/>
                      <w:u w:val="none"/>
                      <w:lang w:val="en-US" w:eastAsia="zh-CN" w:bidi="ar-SA"/>
                    </w:rPr>
                    <w:t>处理设备故障</w:t>
                  </w:r>
                </w:p>
              </w:tc>
              <w:tc>
                <w:tcPr>
                  <w:tcW w:w="807" w:type="pct"/>
                  <w:noWrap w:val="0"/>
                  <w:vAlign w:val="center"/>
                </w:tcPr>
                <w:p>
                  <w:pPr>
                    <w:overflowPunct w:val="0"/>
                    <w:jc w:val="center"/>
                    <w:rPr>
                      <w:rFonts w:hint="eastAsia"/>
                      <w:color w:val="auto"/>
                      <w:sz w:val="21"/>
                      <w:szCs w:val="21"/>
                      <w:u w:val="none"/>
                    </w:rPr>
                  </w:pPr>
                  <w:r>
                    <w:rPr>
                      <w:rFonts w:hint="eastAsia" w:cs="Times New Roman"/>
                      <w:color w:val="000000"/>
                      <w:kern w:val="2"/>
                      <w:sz w:val="21"/>
                      <w:szCs w:val="21"/>
                      <w:highlight w:val="none"/>
                      <w:u w:val="none"/>
                      <w:lang w:val="en-US" w:eastAsia="zh-CN" w:bidi="ar-SA"/>
                    </w:rPr>
                    <w:t>油烟</w:t>
                  </w:r>
                </w:p>
              </w:tc>
              <w:tc>
                <w:tcPr>
                  <w:tcW w:w="745" w:type="pct"/>
                  <w:noWrap w:val="0"/>
                  <w:vAlign w:val="center"/>
                </w:tcPr>
                <w:p>
                  <w:pPr>
                    <w:overflowPunct w:val="0"/>
                    <w:jc w:val="center"/>
                    <w:rPr>
                      <w:rFonts w:hint="eastAsia"/>
                      <w:color w:val="auto"/>
                      <w:sz w:val="21"/>
                      <w:szCs w:val="21"/>
                      <w:u w:val="none"/>
                    </w:rPr>
                  </w:pPr>
                  <w:r>
                    <w:rPr>
                      <w:rFonts w:hint="eastAsia"/>
                      <w:color w:val="auto"/>
                      <w:sz w:val="21"/>
                      <w:szCs w:val="21"/>
                      <w:highlight w:val="none"/>
                      <w:u w:val="none"/>
                      <w:lang w:val="en-US" w:eastAsia="zh-CN"/>
                    </w:rPr>
                    <w:t>4.17</w:t>
                  </w:r>
                </w:p>
              </w:tc>
              <w:tc>
                <w:tcPr>
                  <w:tcW w:w="671" w:type="pct"/>
                  <w:noWrap w:val="0"/>
                  <w:vAlign w:val="center"/>
                </w:tcPr>
                <w:p>
                  <w:pPr>
                    <w:overflowPunct w:val="0"/>
                    <w:jc w:val="center"/>
                    <w:rPr>
                      <w:rFonts w:hint="eastAsia"/>
                      <w:color w:val="auto"/>
                      <w:sz w:val="21"/>
                      <w:szCs w:val="21"/>
                      <w:u w:val="none"/>
                    </w:rPr>
                  </w:pPr>
                  <w:r>
                    <w:rPr>
                      <w:rFonts w:hint="eastAsia"/>
                      <w:color w:val="auto"/>
                      <w:sz w:val="21"/>
                      <w:szCs w:val="21"/>
                      <w:highlight w:val="none"/>
                      <w:u w:val="none"/>
                    </w:rPr>
                    <w:t>0.</w:t>
                  </w:r>
                  <w:r>
                    <w:rPr>
                      <w:rFonts w:hint="eastAsia"/>
                      <w:color w:val="auto"/>
                      <w:sz w:val="21"/>
                      <w:szCs w:val="21"/>
                      <w:highlight w:val="none"/>
                      <w:u w:val="none"/>
                      <w:lang w:val="en-US" w:eastAsia="zh-CN"/>
                    </w:rPr>
                    <w:t>008</w:t>
                  </w:r>
                </w:p>
              </w:tc>
              <w:tc>
                <w:tcPr>
                  <w:tcW w:w="662" w:type="pct"/>
                  <w:noWrap w:val="0"/>
                  <w:vAlign w:val="center"/>
                </w:tcPr>
                <w:p>
                  <w:pPr>
                    <w:overflowPunct w:val="0"/>
                    <w:jc w:val="center"/>
                    <w:rPr>
                      <w:rFonts w:hint="eastAsia"/>
                      <w:color w:val="auto"/>
                      <w:sz w:val="21"/>
                      <w:szCs w:val="21"/>
                      <w:u w:val="none"/>
                    </w:rPr>
                  </w:pPr>
                  <w:r>
                    <w:rPr>
                      <w:rFonts w:hint="eastAsia"/>
                      <w:color w:val="auto"/>
                      <w:sz w:val="21"/>
                      <w:szCs w:val="21"/>
                      <w:u w:val="none"/>
                    </w:rPr>
                    <w:t>0.5</w:t>
                  </w:r>
                </w:p>
              </w:tc>
              <w:tc>
                <w:tcPr>
                  <w:tcW w:w="697" w:type="pct"/>
                  <w:noWrap w:val="0"/>
                  <w:vAlign w:val="center"/>
                </w:tcPr>
                <w:p>
                  <w:pPr>
                    <w:overflowPunct w:val="0"/>
                    <w:jc w:val="center"/>
                    <w:rPr>
                      <w:rFonts w:hint="eastAsia"/>
                      <w:color w:val="auto"/>
                      <w:sz w:val="21"/>
                      <w:szCs w:val="21"/>
                      <w:u w:val="none"/>
                    </w:rPr>
                  </w:pPr>
                  <w:r>
                    <w:rPr>
                      <w:rFonts w:hint="eastAsia" w:cs="Times New Roman"/>
                      <w:color w:val="000000"/>
                      <w:kern w:val="2"/>
                      <w:sz w:val="21"/>
                      <w:szCs w:val="21"/>
                      <w:highlight w:val="none"/>
                      <w:u w:val="none"/>
                      <w:lang w:val="en-US" w:eastAsia="zh-CN" w:bidi="ar-SA"/>
                    </w:rPr>
                    <w:t>停止使用</w:t>
                  </w:r>
                </w:p>
              </w:tc>
            </w:tr>
          </w:tbl>
          <w:p>
            <w:pPr>
              <w:overflowPunct w:val="0"/>
              <w:spacing w:line="360" w:lineRule="auto"/>
              <w:ind w:firstLine="482" w:firstLineChars="200"/>
              <w:rPr>
                <w:b/>
                <w:bCs/>
                <w:color w:val="auto"/>
                <w:kern w:val="0"/>
                <w:sz w:val="24"/>
                <w:highlight w:val="none"/>
                <w:u w:val="none"/>
              </w:rPr>
            </w:pPr>
            <w:r>
              <w:rPr>
                <w:rFonts w:hint="eastAsia"/>
                <w:b/>
                <w:bCs/>
                <w:color w:val="auto"/>
                <w:kern w:val="0"/>
                <w:sz w:val="24"/>
                <w:highlight w:val="none"/>
                <w:u w:val="none"/>
              </w:rPr>
              <w:t>（</w:t>
            </w:r>
            <w:r>
              <w:rPr>
                <w:rFonts w:hint="eastAsia"/>
                <w:b/>
                <w:bCs/>
                <w:color w:val="auto"/>
                <w:kern w:val="0"/>
                <w:sz w:val="24"/>
                <w:highlight w:val="none"/>
                <w:u w:val="none"/>
                <w:lang w:val="en-US" w:eastAsia="zh-CN"/>
              </w:rPr>
              <w:t>5</w:t>
            </w:r>
            <w:r>
              <w:rPr>
                <w:rFonts w:hint="eastAsia"/>
                <w:b/>
                <w:bCs/>
                <w:color w:val="auto"/>
                <w:kern w:val="0"/>
                <w:sz w:val="24"/>
                <w:highlight w:val="none"/>
                <w:u w:val="none"/>
              </w:rPr>
              <w:t>）</w:t>
            </w:r>
            <w:r>
              <w:rPr>
                <w:b/>
                <w:bCs/>
                <w:color w:val="auto"/>
                <w:kern w:val="0"/>
                <w:sz w:val="24"/>
                <w:highlight w:val="none"/>
                <w:u w:val="none"/>
              </w:rPr>
              <w:t>监测计划</w:t>
            </w:r>
          </w:p>
          <w:p>
            <w:pPr>
              <w:overflowPunct w:val="0"/>
              <w:spacing w:line="360" w:lineRule="auto"/>
              <w:ind w:firstLine="480" w:firstLineChars="200"/>
              <w:rPr>
                <w:b/>
                <w:bCs/>
                <w:color w:val="auto"/>
                <w:kern w:val="0"/>
                <w:sz w:val="24"/>
                <w:highlight w:val="none"/>
                <w:u w:val="none"/>
              </w:rPr>
            </w:pPr>
            <w:r>
              <w:rPr>
                <w:snapToGrid w:val="0"/>
                <w:color w:val="auto"/>
                <w:kern w:val="0"/>
                <w:sz w:val="24"/>
                <w:highlight w:val="none"/>
                <w:u w:val="none"/>
              </w:rPr>
              <w:t>建设项目应按《排污单位自行监测技术指南 总则》（HJ819-2017）中相关要求，开展大气污染源监测，大气污染源监测计划见表4-</w:t>
            </w:r>
            <w:r>
              <w:rPr>
                <w:rFonts w:hint="eastAsia"/>
                <w:snapToGrid w:val="0"/>
                <w:color w:val="auto"/>
                <w:kern w:val="0"/>
                <w:sz w:val="24"/>
                <w:highlight w:val="none"/>
                <w:u w:val="none"/>
              </w:rPr>
              <w:t>8</w:t>
            </w:r>
            <w:r>
              <w:rPr>
                <w:snapToGrid w:val="0"/>
                <w:color w:val="auto"/>
                <w:kern w:val="0"/>
                <w:sz w:val="24"/>
                <w:highlight w:val="none"/>
                <w:u w:val="none"/>
              </w:rPr>
              <w:t>。</w:t>
            </w:r>
          </w:p>
          <w:p>
            <w:pPr>
              <w:pStyle w:val="2"/>
              <w:keepNext w:val="0"/>
              <w:keepLines w:val="0"/>
              <w:pageBreakBefore w:val="0"/>
              <w:widowControl w:val="0"/>
              <w:kinsoku/>
              <w:wordWrap/>
              <w:overflowPunct w:val="0"/>
              <w:topLinePunct w:val="0"/>
              <w:autoSpaceDE/>
              <w:autoSpaceDN/>
              <w:bidi w:val="0"/>
              <w:adjustRightInd/>
              <w:snapToGrid/>
              <w:spacing w:before="0" w:after="0" w:line="240" w:lineRule="auto"/>
              <w:ind w:right="0"/>
              <w:jc w:val="center"/>
              <w:textAlignment w:val="auto"/>
              <w:rPr>
                <w:b/>
                <w:bCs/>
                <w:color w:val="auto"/>
                <w:sz w:val="21"/>
                <w:szCs w:val="21"/>
                <w:highlight w:val="none"/>
                <w:u w:val="none"/>
              </w:rPr>
            </w:pPr>
            <w:r>
              <w:rPr>
                <w:b/>
                <w:color w:val="auto"/>
                <w:kern w:val="2"/>
                <w:sz w:val="21"/>
                <w:szCs w:val="21"/>
                <w:highlight w:val="none"/>
                <w:u w:val="none"/>
              </w:rPr>
              <w:t>表4-</w:t>
            </w:r>
            <w:r>
              <w:rPr>
                <w:rFonts w:hint="eastAsia"/>
                <w:b/>
                <w:color w:val="auto"/>
                <w:kern w:val="2"/>
                <w:sz w:val="21"/>
                <w:szCs w:val="21"/>
                <w:highlight w:val="none"/>
                <w:u w:val="none"/>
                <w:lang w:val="en-US" w:eastAsia="zh-CN"/>
              </w:rPr>
              <w:t>9</w:t>
            </w:r>
            <w:r>
              <w:rPr>
                <w:rFonts w:hint="eastAsia"/>
                <w:b/>
                <w:color w:val="auto"/>
                <w:kern w:val="2"/>
                <w:sz w:val="21"/>
                <w:szCs w:val="21"/>
                <w:highlight w:val="none"/>
                <w:u w:val="none"/>
              </w:rPr>
              <w:t xml:space="preserve"> </w:t>
            </w:r>
            <w:r>
              <w:rPr>
                <w:b/>
                <w:color w:val="auto"/>
                <w:kern w:val="2"/>
                <w:sz w:val="21"/>
                <w:szCs w:val="21"/>
                <w:highlight w:val="none"/>
                <w:u w:val="none"/>
              </w:rPr>
              <w:t>大气污染源监测计划</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75"/>
              <w:gridCol w:w="997"/>
              <w:gridCol w:w="1306"/>
              <w:gridCol w:w="1061"/>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
                      <w:color w:val="auto"/>
                      <w:sz w:val="21"/>
                      <w:szCs w:val="21"/>
                      <w:u w:val="single"/>
                    </w:rPr>
                  </w:pPr>
                  <w:r>
                    <w:rPr>
                      <w:b/>
                      <w:color w:val="auto"/>
                      <w:sz w:val="21"/>
                      <w:szCs w:val="21"/>
                      <w:u w:val="single"/>
                    </w:rPr>
                    <w:t>监测项目</w:t>
                  </w:r>
                </w:p>
              </w:tc>
              <w:tc>
                <w:tcPr>
                  <w:tcW w:w="935" w:type="pct"/>
                  <w:gridSpan w:val="2"/>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
                      <w:color w:val="auto"/>
                      <w:sz w:val="21"/>
                      <w:szCs w:val="21"/>
                      <w:u w:val="single"/>
                    </w:rPr>
                  </w:pPr>
                  <w:r>
                    <w:rPr>
                      <w:b/>
                      <w:color w:val="auto"/>
                      <w:sz w:val="21"/>
                      <w:szCs w:val="21"/>
                      <w:u w:val="single"/>
                    </w:rPr>
                    <w:t>监测点</w:t>
                  </w: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
                      <w:color w:val="auto"/>
                      <w:sz w:val="21"/>
                      <w:szCs w:val="21"/>
                      <w:u w:val="single"/>
                    </w:rPr>
                  </w:pPr>
                  <w:r>
                    <w:rPr>
                      <w:b/>
                      <w:color w:val="auto"/>
                      <w:sz w:val="21"/>
                      <w:szCs w:val="21"/>
                      <w:u w:val="single"/>
                    </w:rPr>
                    <w:t>监测因子</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
                      <w:color w:val="auto"/>
                      <w:sz w:val="21"/>
                      <w:szCs w:val="21"/>
                      <w:u w:val="single"/>
                    </w:rPr>
                  </w:pPr>
                  <w:r>
                    <w:rPr>
                      <w:b/>
                      <w:color w:val="auto"/>
                      <w:sz w:val="21"/>
                      <w:szCs w:val="21"/>
                      <w:u w:val="single"/>
                    </w:rPr>
                    <w:t>监测频率</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
                      <w:color w:val="auto"/>
                      <w:sz w:val="21"/>
                      <w:szCs w:val="21"/>
                      <w:u w:val="single"/>
                    </w:rPr>
                  </w:pPr>
                  <w:r>
                    <w:rPr>
                      <w:b/>
                      <w:color w:val="auto"/>
                      <w:sz w:val="21"/>
                      <w:szCs w:val="21"/>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Cs/>
                      <w:color w:val="auto"/>
                      <w:sz w:val="21"/>
                      <w:szCs w:val="21"/>
                      <w:u w:val="single"/>
                    </w:rPr>
                  </w:pPr>
                  <w:r>
                    <w:rPr>
                      <w:rFonts w:hint="eastAsia"/>
                      <w:bCs/>
                      <w:color w:val="auto"/>
                      <w:sz w:val="21"/>
                      <w:szCs w:val="21"/>
                      <w:u w:val="single"/>
                    </w:rPr>
                    <w:t>废气</w:t>
                  </w:r>
                </w:p>
              </w:tc>
              <w:tc>
                <w:tcPr>
                  <w:tcW w:w="342" w:type="pct"/>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r>
                    <w:rPr>
                      <w:rFonts w:hint="eastAsia"/>
                      <w:color w:val="auto"/>
                      <w:sz w:val="21"/>
                      <w:szCs w:val="21"/>
                      <w:u w:val="single"/>
                    </w:rPr>
                    <w:t>有组织</w:t>
                  </w:r>
                </w:p>
              </w:tc>
              <w:tc>
                <w:tcPr>
                  <w:tcW w:w="593" w:type="pct"/>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u w:val="single"/>
                    </w:rPr>
                  </w:pPr>
                  <w:r>
                    <w:rPr>
                      <w:rFonts w:hint="eastAsia"/>
                      <w:color w:val="auto"/>
                      <w:sz w:val="21"/>
                      <w:szCs w:val="21"/>
                      <w:u w:val="single"/>
                    </w:rPr>
                    <w:t>DA001排气筒</w:t>
                  </w: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sz w:val="21"/>
                      <w:szCs w:val="21"/>
                      <w:u w:val="single"/>
                      <w:lang w:eastAsia="zh-CN"/>
                    </w:rPr>
                  </w:pPr>
                  <w:r>
                    <w:rPr>
                      <w:rFonts w:hint="eastAsia"/>
                      <w:color w:val="auto"/>
                      <w:sz w:val="21"/>
                      <w:szCs w:val="21"/>
                      <w:u w:val="single"/>
                    </w:rPr>
                    <w:t>非甲烷总烃</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highlight w:val="none"/>
                      <w:u w:val="single"/>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highlight w:val="none"/>
                      <w:u w:val="single"/>
                    </w:rPr>
                  </w:pPr>
                  <w:r>
                    <w:rPr>
                      <w:rFonts w:hint="eastAsia"/>
                      <w:color w:val="auto"/>
                      <w:sz w:val="21"/>
                      <w:szCs w:val="21"/>
                      <w:highlight w:val="none"/>
                      <w:u w:val="single"/>
                    </w:rPr>
                    <w:t>《合成树脂工业污染物排放标准》（GB31732-2015）表 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bCs/>
                      <w:color w:val="auto"/>
                      <w:sz w:val="21"/>
                      <w:szCs w:val="21"/>
                      <w:u w:val="single"/>
                    </w:rPr>
                  </w:pPr>
                </w:p>
              </w:tc>
              <w:tc>
                <w:tcPr>
                  <w:tcW w:w="342"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p>
              </w:tc>
              <w:tc>
                <w:tcPr>
                  <w:tcW w:w="593"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r>
                    <w:rPr>
                      <w:rFonts w:hint="eastAsia"/>
                      <w:color w:val="auto"/>
                      <w:sz w:val="21"/>
                      <w:szCs w:val="21"/>
                      <w:u w:val="single"/>
                      <w:lang w:val="en-US" w:eastAsia="zh-CN"/>
                    </w:rPr>
                    <w:t>VOCs</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Cs/>
                      <w:color w:val="auto"/>
                      <w:sz w:val="21"/>
                      <w:szCs w:val="21"/>
                      <w:highlight w:val="none"/>
                      <w:u w:val="single"/>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highlight w:val="yellow"/>
                      <w:u w:val="single"/>
                    </w:rPr>
                  </w:pPr>
                  <w:r>
                    <w:rPr>
                      <w:rFonts w:hint="eastAsia"/>
                      <w:color w:val="auto"/>
                      <w:sz w:val="21"/>
                      <w:szCs w:val="21"/>
                      <w:highlight w:val="none"/>
                      <w:u w:val="single"/>
                    </w:rPr>
                    <w:t>湖南省地方标准《印刷业挥发性有机物排放标准》(DB43/1357-2017) 表1排气筒挥发性有机物排放浓度限值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textAlignment w:val="auto"/>
                    <w:rPr>
                      <w:color w:val="auto"/>
                      <w:sz w:val="21"/>
                      <w:szCs w:val="21"/>
                      <w:u w:val="single"/>
                    </w:rPr>
                  </w:pPr>
                </w:p>
              </w:tc>
              <w:tc>
                <w:tcPr>
                  <w:tcW w:w="342"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p>
              </w:tc>
              <w:tc>
                <w:tcPr>
                  <w:tcW w:w="593"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r>
                    <w:rPr>
                      <w:rFonts w:hint="eastAsia"/>
                      <w:color w:val="auto"/>
                      <w:sz w:val="21"/>
                      <w:szCs w:val="21"/>
                      <w:u w:val="single"/>
                    </w:rPr>
                    <w:t>DA002排气筒</w:t>
                  </w:r>
                </w:p>
              </w:tc>
              <w:tc>
                <w:tcPr>
                  <w:tcW w:w="777" w:type="pct"/>
                  <w:noWrap w:val="0"/>
                  <w:vAlign w:val="center"/>
                </w:tcPr>
                <w:p>
                  <w:pPr>
                    <w:pageBreakBefore w:val="0"/>
                    <w:kinsoku/>
                    <w:overflowPunct w:val="0"/>
                    <w:topLinePunct w:val="0"/>
                    <w:bidi w:val="0"/>
                    <w:adjustRightInd w:val="0"/>
                    <w:snapToGrid w:val="0"/>
                    <w:spacing w:line="320" w:lineRule="exact"/>
                    <w:jc w:val="center"/>
                    <w:rPr>
                      <w:bCs/>
                      <w:color w:val="auto"/>
                      <w:sz w:val="21"/>
                      <w:szCs w:val="21"/>
                      <w:u w:val="single"/>
                    </w:rPr>
                  </w:pPr>
                  <w:r>
                    <w:rPr>
                      <w:rFonts w:hint="eastAsia" w:eastAsia="宋体" w:cs="Times New Roman"/>
                      <w:color w:val="000000"/>
                      <w:sz w:val="21"/>
                      <w:szCs w:val="21"/>
                      <w:highlight w:val="none"/>
                      <w:u w:val="single"/>
                      <w:lang w:eastAsia="zh-CN"/>
                    </w:rPr>
                    <w:t>颗粒物</w:t>
                  </w:r>
                  <w:r>
                    <w:rPr>
                      <w:rFonts w:hint="eastAsia" w:cs="Times New Roman"/>
                      <w:color w:val="000000"/>
                      <w:sz w:val="21"/>
                      <w:szCs w:val="21"/>
                      <w:highlight w:val="none"/>
                      <w:u w:val="single"/>
                      <w:lang w:eastAsia="zh-CN"/>
                    </w:rPr>
                    <w:t>、</w:t>
                  </w:r>
                  <w:r>
                    <w:rPr>
                      <w:rFonts w:hint="eastAsia" w:cs="Times New Roman"/>
                      <w:color w:val="000000"/>
                      <w:sz w:val="21"/>
                      <w:szCs w:val="21"/>
                      <w:highlight w:val="none"/>
                      <w:u w:val="single"/>
                      <w:lang w:val="en-US" w:eastAsia="zh-CN"/>
                    </w:rPr>
                    <w:t>SO</w:t>
                  </w:r>
                  <w:r>
                    <w:rPr>
                      <w:rFonts w:hint="eastAsia" w:cs="Times New Roman"/>
                      <w:color w:val="000000"/>
                      <w:sz w:val="21"/>
                      <w:szCs w:val="21"/>
                      <w:highlight w:val="none"/>
                      <w:u w:val="single"/>
                      <w:vertAlign w:val="subscript"/>
                      <w:lang w:val="en-US" w:eastAsia="zh-CN"/>
                    </w:rPr>
                    <w:t>2</w:t>
                  </w:r>
                  <w:r>
                    <w:rPr>
                      <w:rFonts w:hint="eastAsia" w:cs="Times New Roman"/>
                      <w:color w:val="000000"/>
                      <w:sz w:val="21"/>
                      <w:szCs w:val="21"/>
                      <w:highlight w:val="none"/>
                      <w:u w:val="single"/>
                      <w:vertAlign w:val="baseline"/>
                      <w:lang w:val="en-US" w:eastAsia="zh-CN"/>
                    </w:rPr>
                    <w:t>、</w:t>
                  </w:r>
                  <w:r>
                    <w:rPr>
                      <w:rFonts w:hint="eastAsia" w:cs="Times New Roman"/>
                      <w:color w:val="000000"/>
                      <w:sz w:val="21"/>
                      <w:szCs w:val="21"/>
                      <w:highlight w:val="none"/>
                      <w:u w:val="single"/>
                      <w:lang w:val="en-US" w:eastAsia="zh-CN"/>
                    </w:rPr>
                    <w:t>NO</w:t>
                  </w:r>
                  <w:r>
                    <w:rPr>
                      <w:rFonts w:hint="eastAsia" w:cs="Times New Roman"/>
                      <w:color w:val="000000"/>
                      <w:sz w:val="21"/>
                      <w:szCs w:val="21"/>
                      <w:highlight w:val="none"/>
                      <w:u w:val="single"/>
                      <w:vertAlign w:val="subscript"/>
                      <w:lang w:val="en-US" w:eastAsia="zh-CN"/>
                    </w:rPr>
                    <w:t>X</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Cs/>
                      <w:color w:val="auto"/>
                      <w:sz w:val="21"/>
                      <w:szCs w:val="21"/>
                      <w:highlight w:val="none"/>
                      <w:u w:val="single"/>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both"/>
                    <w:textAlignment w:val="auto"/>
                    <w:rPr>
                      <w:color w:val="auto"/>
                      <w:sz w:val="21"/>
                      <w:szCs w:val="21"/>
                      <w:highlight w:val="yellow"/>
                      <w:u w:val="single"/>
                    </w:rPr>
                  </w:pPr>
                  <w:r>
                    <w:rPr>
                      <w:rFonts w:hint="eastAsia"/>
                      <w:color w:val="auto"/>
                      <w:sz w:val="21"/>
                      <w:szCs w:val="21"/>
                      <w:highlight w:val="none"/>
                      <w:u w:val="single"/>
                    </w:rPr>
                    <w:t>《工业炉窑大气污染排放标准》（GB 9078-1996）和《工业炉窑大气污染综合治理方案》（环大气〔2019〕56号）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textAlignment w:val="auto"/>
                    <w:rPr>
                      <w:color w:val="auto"/>
                      <w:sz w:val="21"/>
                      <w:szCs w:val="21"/>
                      <w:u w:val="single"/>
                    </w:rPr>
                  </w:pPr>
                </w:p>
              </w:tc>
              <w:tc>
                <w:tcPr>
                  <w:tcW w:w="342"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p>
              </w:tc>
              <w:tc>
                <w:tcPr>
                  <w:tcW w:w="593"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u w:val="single"/>
                    </w:rPr>
                  </w:pPr>
                  <w:r>
                    <w:rPr>
                      <w:rFonts w:hint="eastAsia"/>
                      <w:color w:val="auto"/>
                      <w:sz w:val="21"/>
                      <w:szCs w:val="21"/>
                      <w:u w:val="single"/>
                    </w:rPr>
                    <w:t>DA00</w:t>
                  </w:r>
                  <w:r>
                    <w:rPr>
                      <w:rFonts w:hint="eastAsia"/>
                      <w:color w:val="auto"/>
                      <w:sz w:val="21"/>
                      <w:szCs w:val="21"/>
                      <w:u w:val="single"/>
                      <w:lang w:val="en-US" w:eastAsia="zh-CN"/>
                    </w:rPr>
                    <w:t>3</w:t>
                  </w:r>
                  <w:r>
                    <w:rPr>
                      <w:rFonts w:hint="eastAsia"/>
                      <w:color w:val="auto"/>
                      <w:sz w:val="21"/>
                      <w:szCs w:val="21"/>
                      <w:u w:val="single"/>
                    </w:rPr>
                    <w:t>排气筒</w:t>
                  </w:r>
                </w:p>
              </w:tc>
              <w:tc>
                <w:tcPr>
                  <w:tcW w:w="777" w:type="pct"/>
                  <w:noWrap w:val="0"/>
                  <w:vAlign w:val="center"/>
                </w:tcPr>
                <w:p>
                  <w:pPr>
                    <w:pageBreakBefore w:val="0"/>
                    <w:kinsoku/>
                    <w:overflowPunct w:val="0"/>
                    <w:topLinePunct w:val="0"/>
                    <w:bidi w:val="0"/>
                    <w:adjustRightInd w:val="0"/>
                    <w:snapToGrid w:val="0"/>
                    <w:spacing w:line="320" w:lineRule="exact"/>
                    <w:jc w:val="center"/>
                    <w:rPr>
                      <w:rFonts w:hint="eastAsia"/>
                      <w:color w:val="auto"/>
                      <w:sz w:val="21"/>
                      <w:szCs w:val="21"/>
                      <w:highlight w:val="none"/>
                      <w:u w:val="single"/>
                    </w:rPr>
                  </w:pPr>
                  <w:r>
                    <w:rPr>
                      <w:rFonts w:hint="eastAsia"/>
                      <w:color w:val="auto"/>
                      <w:sz w:val="21"/>
                      <w:szCs w:val="21"/>
                      <w:highlight w:val="none"/>
                      <w:u w:val="single"/>
                      <w:lang w:eastAsia="zh-CN"/>
                    </w:rPr>
                    <w:t>油烟</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Cs/>
                      <w:color w:val="auto"/>
                      <w:sz w:val="21"/>
                      <w:szCs w:val="21"/>
                      <w:highlight w:val="none"/>
                      <w:u w:val="single"/>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highlight w:val="yellow"/>
                      <w:u w:val="single"/>
                    </w:rPr>
                  </w:pPr>
                  <w:r>
                    <w:rPr>
                      <w:rFonts w:hint="default" w:ascii="Times New Roman" w:hAnsi="Times New Roman" w:eastAsia="宋体" w:cs="Times New Roman"/>
                      <w:color w:val="000000"/>
                      <w:sz w:val="21"/>
                      <w:szCs w:val="21"/>
                      <w:highlight w:val="none"/>
                      <w:u w:val="single"/>
                    </w:rPr>
                    <w:t>《饮食业油烟排放标准》（GB18483-2001）</w:t>
                  </w:r>
                  <w:r>
                    <w:rPr>
                      <w:rFonts w:hint="eastAsia" w:cs="Times New Roman"/>
                      <w:color w:val="000000"/>
                      <w:sz w:val="21"/>
                      <w:szCs w:val="21"/>
                      <w:highlight w:val="none"/>
                      <w:u w:val="single"/>
                      <w:lang w:eastAsia="zh-CN"/>
                    </w:rPr>
                    <w:t>表</w:t>
                  </w:r>
                  <w:r>
                    <w:rPr>
                      <w:rFonts w:hint="eastAsia" w:cs="Times New Roman"/>
                      <w:color w:val="000000"/>
                      <w:sz w:val="21"/>
                      <w:szCs w:val="21"/>
                      <w:highlight w:val="none"/>
                      <w:u w:val="single"/>
                      <w:lang w:val="en-US" w:eastAsia="zh-CN"/>
                    </w:rPr>
                    <w:t>2中标准限制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u w:val="single"/>
                    </w:rPr>
                  </w:pPr>
                </w:p>
              </w:tc>
              <w:tc>
                <w:tcPr>
                  <w:tcW w:w="342" w:type="pct"/>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highlight w:val="none"/>
                      <w:u w:val="single"/>
                    </w:rPr>
                  </w:pPr>
                  <w:r>
                    <w:rPr>
                      <w:rFonts w:hint="eastAsia"/>
                      <w:color w:val="auto"/>
                      <w:sz w:val="21"/>
                      <w:szCs w:val="21"/>
                      <w:highlight w:val="none"/>
                      <w:u w:val="single"/>
                    </w:rPr>
                    <w:t>无组织</w:t>
                  </w:r>
                </w:p>
              </w:tc>
              <w:tc>
                <w:tcPr>
                  <w:tcW w:w="593"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highlight w:val="none"/>
                      <w:u w:val="single"/>
                    </w:rPr>
                  </w:pPr>
                  <w:r>
                    <w:rPr>
                      <w:rFonts w:hint="eastAsia"/>
                      <w:color w:val="auto"/>
                      <w:sz w:val="21"/>
                      <w:szCs w:val="21"/>
                      <w:highlight w:val="none"/>
                      <w:u w:val="single"/>
                    </w:rPr>
                    <w:t>厂界</w:t>
                  </w: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bCs/>
                      <w:color w:val="auto"/>
                      <w:sz w:val="21"/>
                      <w:szCs w:val="21"/>
                      <w:highlight w:val="none"/>
                      <w:u w:val="single"/>
                    </w:rPr>
                  </w:pPr>
                  <w:r>
                    <w:rPr>
                      <w:rFonts w:hint="eastAsia"/>
                      <w:color w:val="auto"/>
                      <w:sz w:val="21"/>
                      <w:szCs w:val="21"/>
                      <w:highlight w:val="none"/>
                      <w:u w:val="single"/>
                    </w:rPr>
                    <w:t>非甲烷总烃</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bCs/>
                      <w:color w:val="auto"/>
                      <w:sz w:val="21"/>
                      <w:szCs w:val="21"/>
                      <w:highlight w:val="none"/>
                      <w:u w:val="single"/>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highlight w:val="yellow"/>
                      <w:u w:val="single"/>
                    </w:rPr>
                  </w:pPr>
                  <w:r>
                    <w:rPr>
                      <w:rFonts w:hint="eastAsia"/>
                      <w:color w:val="auto"/>
                      <w:sz w:val="21"/>
                      <w:szCs w:val="21"/>
                      <w:highlight w:val="none"/>
                      <w:u w:val="single"/>
                      <w:lang w:eastAsia="zh-CN"/>
                    </w:rPr>
                    <w:t>《合成树脂工业污染物排放标准》（GB31572-2015）表 9 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u w:val="single"/>
                    </w:rPr>
                  </w:pPr>
                </w:p>
              </w:tc>
              <w:tc>
                <w:tcPr>
                  <w:tcW w:w="342"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highlight w:val="none"/>
                      <w:u w:val="single"/>
                      <w:lang w:val="en-US" w:eastAsia="zh-CN" w:bidi="ar-SA"/>
                    </w:rPr>
                  </w:pPr>
                </w:p>
              </w:tc>
              <w:tc>
                <w:tcPr>
                  <w:tcW w:w="593"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1"/>
                      <w:szCs w:val="21"/>
                      <w:highlight w:val="none"/>
                      <w:u w:val="single"/>
                      <w:lang w:val="en-US" w:eastAsia="zh-CN" w:bidi="ar-SA"/>
                    </w:rPr>
                  </w:pPr>
                  <w:r>
                    <w:rPr>
                      <w:rFonts w:hint="eastAsia" w:cs="Times New Roman"/>
                      <w:color w:val="000000"/>
                      <w:sz w:val="21"/>
                      <w:szCs w:val="21"/>
                      <w:highlight w:val="none"/>
                      <w:u w:val="single"/>
                      <w:lang w:val="en-US" w:eastAsia="zh-CN"/>
                    </w:rPr>
                    <w:t>厂区</w:t>
                  </w: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000000"/>
                      <w:kern w:val="2"/>
                      <w:sz w:val="21"/>
                      <w:szCs w:val="21"/>
                      <w:highlight w:val="none"/>
                      <w:u w:val="single"/>
                      <w:lang w:val="en-US" w:eastAsia="zh-CN" w:bidi="ar-SA"/>
                    </w:rPr>
                  </w:pPr>
                  <w:r>
                    <w:rPr>
                      <w:rFonts w:hint="eastAsia"/>
                      <w:color w:val="auto"/>
                      <w:sz w:val="21"/>
                      <w:szCs w:val="21"/>
                      <w:highlight w:val="none"/>
                      <w:u w:val="single"/>
                    </w:rPr>
                    <w:t>非甲烷总烃</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kern w:val="2"/>
                      <w:sz w:val="21"/>
                      <w:szCs w:val="21"/>
                      <w:highlight w:val="none"/>
                      <w:u w:val="single"/>
                      <w:lang w:val="en-US" w:eastAsia="zh-CN" w:bidi="ar-SA"/>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1"/>
                      <w:szCs w:val="21"/>
                      <w:highlight w:val="none"/>
                      <w:u w:val="single"/>
                      <w:lang w:eastAsia="zh-CN"/>
                    </w:rPr>
                  </w:pPr>
                  <w:r>
                    <w:rPr>
                      <w:rFonts w:hint="eastAsia" w:cs="Times New Roman"/>
                      <w:color w:val="000000"/>
                      <w:sz w:val="21"/>
                      <w:szCs w:val="21"/>
                      <w:highlight w:val="none"/>
                      <w:u w:val="single"/>
                      <w:lang w:eastAsia="zh-CN"/>
                    </w:rPr>
                    <w:t>《挥发性有机物无组织排放控制标准》（</w:t>
                  </w:r>
                  <w:r>
                    <w:rPr>
                      <w:rFonts w:hint="eastAsia" w:cs="Times New Roman"/>
                      <w:color w:val="000000"/>
                      <w:sz w:val="21"/>
                      <w:szCs w:val="21"/>
                      <w:highlight w:val="none"/>
                      <w:u w:val="single"/>
                      <w:lang w:val="en-US" w:eastAsia="zh-CN"/>
                    </w:rPr>
                    <w:t>GB3722-2019</w:t>
                  </w:r>
                  <w:r>
                    <w:rPr>
                      <w:rFonts w:hint="eastAsia" w:cs="Times New Roman"/>
                      <w:color w:val="000000"/>
                      <w:sz w:val="21"/>
                      <w:szCs w:val="21"/>
                      <w:highlight w:val="none"/>
                      <w:u w:val="single"/>
                      <w:lang w:eastAsia="zh-CN"/>
                    </w:rPr>
                    <w:t>）表</w:t>
                  </w:r>
                  <w:r>
                    <w:rPr>
                      <w:rFonts w:hint="eastAsia" w:cs="Times New Roman"/>
                      <w:color w:val="000000"/>
                      <w:sz w:val="21"/>
                      <w:szCs w:val="21"/>
                      <w:highlight w:val="none"/>
                      <w:u w:val="single"/>
                      <w:lang w:val="en-US" w:eastAsia="zh-CN"/>
                    </w:rPr>
                    <w:t>A.1排放限值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1"/>
                      <w:szCs w:val="21"/>
                      <w:u w:val="single"/>
                    </w:rPr>
                  </w:pPr>
                </w:p>
              </w:tc>
              <w:tc>
                <w:tcPr>
                  <w:tcW w:w="342" w:type="pct"/>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p>
              </w:tc>
              <w:tc>
                <w:tcPr>
                  <w:tcW w:w="593"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rPr>
                    <w:t>厂界</w:t>
                  </w:r>
                  <w:r>
                    <w:rPr>
                      <w:rFonts w:hint="eastAsia"/>
                      <w:color w:val="auto"/>
                      <w:sz w:val="21"/>
                      <w:szCs w:val="21"/>
                      <w:highlight w:val="none"/>
                      <w:u w:val="single"/>
                      <w:lang w:eastAsia="zh-CN"/>
                    </w:rPr>
                    <w:t>、</w:t>
                  </w:r>
                  <w:r>
                    <w:rPr>
                      <w:rFonts w:hint="eastAsia" w:cs="Times New Roman"/>
                      <w:color w:val="000000"/>
                      <w:sz w:val="21"/>
                      <w:szCs w:val="21"/>
                      <w:highlight w:val="none"/>
                      <w:u w:val="single"/>
                      <w:lang w:val="en-US" w:eastAsia="zh-CN"/>
                    </w:rPr>
                    <w:t>厂区</w:t>
                  </w:r>
                </w:p>
              </w:tc>
              <w:tc>
                <w:tcPr>
                  <w:tcW w:w="777"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ascii="Times New Roman" w:hAnsi="Times New Roman" w:eastAsia="宋体" w:cs="Times New Roman"/>
                      <w:bCs/>
                      <w:color w:val="auto"/>
                      <w:kern w:val="2"/>
                      <w:sz w:val="21"/>
                      <w:szCs w:val="21"/>
                      <w:highlight w:val="none"/>
                      <w:u w:val="single"/>
                      <w:lang w:val="en-US" w:eastAsia="zh-CN" w:bidi="ar-SA"/>
                    </w:rPr>
                  </w:pPr>
                  <w:r>
                    <w:rPr>
                      <w:rFonts w:hint="eastAsia" w:cs="Times New Roman"/>
                      <w:bCs/>
                      <w:color w:val="000000"/>
                      <w:sz w:val="21"/>
                      <w:szCs w:val="21"/>
                      <w:highlight w:val="none"/>
                      <w:u w:val="single"/>
                      <w:lang w:val="en-US" w:eastAsia="zh-CN"/>
                    </w:rPr>
                    <w:t>VOC</w:t>
                  </w:r>
                  <w:r>
                    <w:rPr>
                      <w:rFonts w:hint="eastAsia" w:cs="Times New Roman"/>
                      <w:bCs/>
                      <w:color w:val="000000"/>
                      <w:sz w:val="21"/>
                      <w:szCs w:val="21"/>
                      <w:highlight w:val="none"/>
                      <w:u w:val="single"/>
                      <w:vertAlign w:val="subscript"/>
                      <w:lang w:val="en-US" w:eastAsia="zh-CN"/>
                    </w:rPr>
                    <w:t>S</w:t>
                  </w:r>
                </w:p>
              </w:tc>
              <w:tc>
                <w:tcPr>
                  <w:tcW w:w="631"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ascii="Times New Roman" w:hAnsi="Times New Roman" w:eastAsia="宋体" w:cs="Times New Roman"/>
                      <w:bCs/>
                      <w:color w:val="auto"/>
                      <w:kern w:val="2"/>
                      <w:sz w:val="21"/>
                      <w:szCs w:val="21"/>
                      <w:highlight w:val="none"/>
                      <w:u w:val="single"/>
                      <w:lang w:val="en-US" w:eastAsia="zh-CN" w:bidi="ar-SA"/>
                    </w:rPr>
                  </w:pPr>
                  <w:r>
                    <w:rPr>
                      <w:rFonts w:hint="eastAsia" w:ascii="Times New Roman" w:hAnsi="Times New Roman" w:cs="Times New Roman"/>
                      <w:bCs/>
                      <w:color w:val="000000"/>
                      <w:sz w:val="21"/>
                      <w:szCs w:val="21"/>
                      <w:highlight w:val="none"/>
                      <w:u w:val="single"/>
                      <w:lang w:val="en-US" w:eastAsia="zh-CN"/>
                    </w:rPr>
                    <w:t>半</w:t>
                  </w:r>
                  <w:r>
                    <w:rPr>
                      <w:rFonts w:hint="eastAsia" w:ascii="Times New Roman" w:hAnsi="Times New Roman" w:eastAsia="宋体" w:cs="Times New Roman"/>
                      <w:bCs/>
                      <w:color w:val="000000"/>
                      <w:sz w:val="21"/>
                      <w:szCs w:val="21"/>
                      <w:highlight w:val="none"/>
                      <w:u w:val="single"/>
                      <w:lang w:val="en-US" w:eastAsia="zh-CN"/>
                    </w:rPr>
                    <w:t>年</w:t>
                  </w:r>
                  <w:r>
                    <w:rPr>
                      <w:rFonts w:hint="default" w:ascii="Times New Roman" w:hAnsi="Times New Roman" w:eastAsia="宋体" w:cs="Times New Roman"/>
                      <w:bCs/>
                      <w:color w:val="000000"/>
                      <w:sz w:val="21"/>
                      <w:szCs w:val="21"/>
                      <w:highlight w:val="none"/>
                      <w:u w:val="single"/>
                    </w:rPr>
                    <w:t>一次</w:t>
                  </w:r>
                </w:p>
              </w:tc>
              <w:tc>
                <w:tcPr>
                  <w:tcW w:w="2228" w:type="pct"/>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ascii="Times New Roman" w:hAnsi="Times New Roman" w:eastAsia="宋体" w:cs="Times New Roman"/>
                      <w:color w:val="auto"/>
                      <w:kern w:val="2"/>
                      <w:sz w:val="21"/>
                      <w:szCs w:val="21"/>
                      <w:highlight w:val="none"/>
                      <w:u w:val="single"/>
                      <w:lang w:val="en-US" w:eastAsia="zh-CN" w:bidi="ar-SA"/>
                    </w:rPr>
                  </w:pPr>
                  <w:r>
                    <w:rPr>
                      <w:rFonts w:hint="eastAsia"/>
                      <w:color w:val="auto"/>
                      <w:sz w:val="21"/>
                      <w:szCs w:val="21"/>
                      <w:highlight w:val="none"/>
                      <w:u w:val="single"/>
                    </w:rPr>
                    <w:t>湖南省地方标准《印刷业挥发性有机物排放标准》(DB43/1357-2017) 表2无组织监控点挥发性有机物浓度限值相关要求</w:t>
                  </w:r>
                </w:p>
              </w:tc>
            </w:tr>
          </w:tbl>
          <w:p>
            <w:pPr>
              <w:pStyle w:val="2"/>
              <w:numPr>
                <w:ilvl w:val="0"/>
                <w:numId w:val="4"/>
              </w:numPr>
              <w:overflowPunct w:val="0"/>
              <w:spacing w:after="0" w:line="360" w:lineRule="auto"/>
              <w:ind w:firstLine="482" w:firstLineChars="200"/>
              <w:rPr>
                <w:b/>
                <w:bCs/>
                <w:color w:val="auto"/>
                <w:sz w:val="24"/>
                <w:highlight w:val="none"/>
                <w:u w:val="none"/>
              </w:rPr>
            </w:pPr>
            <w:r>
              <w:rPr>
                <w:b/>
                <w:bCs/>
                <w:color w:val="auto"/>
                <w:sz w:val="24"/>
                <w:highlight w:val="none"/>
                <w:u w:val="none"/>
              </w:rPr>
              <w:t>废水</w:t>
            </w:r>
          </w:p>
          <w:p>
            <w:pPr>
              <w:pStyle w:val="2"/>
              <w:overflowPunct w:val="0"/>
              <w:spacing w:after="0" w:line="360" w:lineRule="auto"/>
              <w:ind w:left="420" w:leftChars="200"/>
              <w:rPr>
                <w:b/>
                <w:bCs/>
                <w:color w:val="auto"/>
                <w:sz w:val="24"/>
                <w:highlight w:val="none"/>
                <w:u w:val="none"/>
              </w:rPr>
            </w:pPr>
            <w:r>
              <w:rPr>
                <w:rFonts w:hint="eastAsia"/>
                <w:b/>
                <w:bCs/>
                <w:color w:val="auto"/>
                <w:sz w:val="24"/>
                <w:highlight w:val="none"/>
                <w:u w:val="none"/>
              </w:rPr>
              <w:t>（1）</w:t>
            </w:r>
            <w:r>
              <w:rPr>
                <w:b/>
                <w:bCs/>
                <w:color w:val="auto"/>
                <w:sz w:val="24"/>
                <w:highlight w:val="none"/>
                <w:u w:val="none"/>
              </w:rPr>
              <w:t>污染源分析</w:t>
            </w:r>
          </w:p>
          <w:p>
            <w:pPr>
              <w:wordWrap w:val="0"/>
              <w:overflowPunct w:val="0"/>
              <w:spacing w:line="360" w:lineRule="auto"/>
              <w:ind w:firstLine="480" w:firstLineChars="200"/>
              <w:rPr>
                <w:rFonts w:hint="eastAsia"/>
                <w:color w:val="auto"/>
                <w:sz w:val="24"/>
                <w:highlight w:val="none"/>
                <w:u w:val="none"/>
              </w:rPr>
            </w:pPr>
            <w:r>
              <w:rPr>
                <w:rFonts w:hint="eastAsia"/>
                <w:color w:val="auto"/>
                <w:sz w:val="24"/>
                <w:highlight w:val="none"/>
                <w:u w:val="none"/>
              </w:rPr>
              <w:t>项目废水主要为生活污水</w:t>
            </w:r>
            <w:r>
              <w:rPr>
                <w:rFonts w:hint="eastAsia"/>
                <w:color w:val="auto"/>
                <w:sz w:val="24"/>
                <w:highlight w:val="none"/>
                <w:u w:val="none"/>
                <w:lang w:eastAsia="zh-CN"/>
              </w:rPr>
              <w:t>、设备冷却水</w:t>
            </w:r>
            <w:r>
              <w:rPr>
                <w:rFonts w:hint="eastAsia"/>
                <w:color w:val="auto"/>
                <w:sz w:val="24"/>
                <w:highlight w:val="none"/>
                <w:u w:val="none"/>
              </w:rPr>
              <w:t>和</w:t>
            </w:r>
            <w:r>
              <w:rPr>
                <w:rFonts w:hint="eastAsia"/>
                <w:color w:val="auto"/>
                <w:sz w:val="24"/>
                <w:highlight w:val="none"/>
                <w:u w:val="none"/>
                <w:lang w:eastAsia="zh-CN"/>
              </w:rPr>
              <w:t>印刷清洗水</w:t>
            </w:r>
            <w:r>
              <w:rPr>
                <w:rFonts w:hint="eastAsia"/>
                <w:color w:val="auto"/>
                <w:sz w:val="24"/>
                <w:highlight w:val="none"/>
                <w:u w:val="none"/>
              </w:rPr>
              <w:t>。</w:t>
            </w:r>
          </w:p>
          <w:p>
            <w:pPr>
              <w:pStyle w:val="2"/>
              <w:overflowPunct w:val="0"/>
              <w:snapToGrid/>
              <w:spacing w:before="0" w:after="0" w:line="360" w:lineRule="auto"/>
              <w:ind w:right="0" w:firstLine="482" w:firstLineChars="200"/>
              <w:rPr>
                <w:b/>
                <w:bCs/>
                <w:color w:val="auto"/>
                <w:sz w:val="24"/>
                <w:szCs w:val="24"/>
                <w:highlight w:val="none"/>
                <w:u w:val="none"/>
              </w:rPr>
            </w:pPr>
            <w:r>
              <w:rPr>
                <w:rFonts w:hint="eastAsia" w:ascii="宋体" w:hAnsi="宋体" w:cs="宋体"/>
                <w:b/>
                <w:bCs/>
                <w:color w:val="auto"/>
                <w:sz w:val="24"/>
                <w:szCs w:val="24"/>
                <w:highlight w:val="none"/>
                <w:u w:val="none"/>
              </w:rPr>
              <w:t>①</w:t>
            </w:r>
            <w:r>
              <w:rPr>
                <w:rFonts w:hint="eastAsia"/>
                <w:b/>
                <w:bCs/>
                <w:color w:val="auto"/>
                <w:sz w:val="24"/>
                <w:szCs w:val="24"/>
                <w:highlight w:val="none"/>
                <w:u w:val="none"/>
              </w:rPr>
              <w:t>生活污水</w:t>
            </w:r>
          </w:p>
          <w:p>
            <w:pPr>
              <w:pStyle w:val="31"/>
              <w:overflowPunct w:val="0"/>
              <w:ind w:firstLine="480"/>
              <w:rPr>
                <w:color w:val="auto"/>
                <w:szCs w:val="24"/>
                <w:highlight w:val="none"/>
                <w:u w:val="none"/>
              </w:rPr>
            </w:pPr>
            <w:r>
              <w:rPr>
                <w:rFonts w:hint="eastAsia"/>
                <w:color w:val="auto"/>
                <w:szCs w:val="24"/>
                <w:highlight w:val="none"/>
                <w:u w:val="none"/>
              </w:rPr>
              <w:t>本项目劳</w:t>
            </w:r>
            <w:r>
              <w:rPr>
                <w:color w:val="auto"/>
                <w:szCs w:val="24"/>
                <w:highlight w:val="none"/>
                <w:u w:val="none"/>
              </w:rPr>
              <w:t>动定员</w:t>
            </w:r>
            <w:r>
              <w:rPr>
                <w:rFonts w:hint="eastAsia"/>
                <w:color w:val="auto"/>
                <w:szCs w:val="24"/>
                <w:highlight w:val="none"/>
                <w:u w:val="none"/>
              </w:rPr>
              <w:t>3</w:t>
            </w:r>
            <w:r>
              <w:rPr>
                <w:rFonts w:hint="eastAsia"/>
                <w:color w:val="auto"/>
                <w:szCs w:val="24"/>
                <w:highlight w:val="none"/>
                <w:u w:val="none"/>
                <w:lang w:val="en-US" w:eastAsia="zh-CN"/>
              </w:rPr>
              <w:t>0</w:t>
            </w:r>
            <w:r>
              <w:rPr>
                <w:color w:val="auto"/>
                <w:szCs w:val="24"/>
                <w:highlight w:val="none"/>
                <w:u w:val="none"/>
              </w:rPr>
              <w:t>人，职工生活用水根据《建筑给水排水设计标准》（GB50015-2019）的工业企业职工生活用水定额 50L/（人•天）计，则项目生活新鲜用水</w:t>
            </w:r>
            <w:r>
              <w:rPr>
                <w:rFonts w:hint="eastAsia"/>
                <w:color w:val="auto"/>
                <w:szCs w:val="24"/>
                <w:highlight w:val="none"/>
                <w:u w:val="none"/>
                <w:lang w:val="en-US" w:eastAsia="zh-CN"/>
              </w:rPr>
              <w:t>450</w:t>
            </w:r>
            <w:r>
              <w:rPr>
                <w:color w:val="auto"/>
                <w:szCs w:val="24"/>
                <w:highlight w:val="none"/>
                <w:u w:val="none"/>
              </w:rPr>
              <w:t>t/a，产污系数按0.</w:t>
            </w:r>
            <w:r>
              <w:rPr>
                <w:rFonts w:hint="eastAsia"/>
                <w:color w:val="auto"/>
                <w:szCs w:val="24"/>
                <w:highlight w:val="none"/>
                <w:u w:val="none"/>
              </w:rPr>
              <w:t>8</w:t>
            </w:r>
            <w:r>
              <w:rPr>
                <w:color w:val="auto"/>
                <w:szCs w:val="24"/>
                <w:highlight w:val="none"/>
                <w:u w:val="none"/>
              </w:rPr>
              <w:t>计算，则生活污水产生量为</w:t>
            </w:r>
            <w:r>
              <w:rPr>
                <w:rFonts w:hint="eastAsia"/>
                <w:color w:val="auto"/>
                <w:szCs w:val="24"/>
                <w:highlight w:val="none"/>
                <w:u w:val="none"/>
                <w:lang w:val="en-US" w:eastAsia="zh-CN"/>
              </w:rPr>
              <w:t>360</w:t>
            </w:r>
            <w:r>
              <w:rPr>
                <w:color w:val="auto"/>
                <w:szCs w:val="24"/>
                <w:highlight w:val="none"/>
                <w:u w:val="none"/>
              </w:rPr>
              <w:t>t/a，生活污水水质参考环境保护部环境工程评估中心编制的《社会区域类环境影响评价》（第三版），生活污水的产生浓度CODcr</w:t>
            </w:r>
            <w:r>
              <w:rPr>
                <w:rFonts w:hint="eastAsia"/>
                <w:color w:val="auto"/>
                <w:szCs w:val="24"/>
                <w:highlight w:val="none"/>
                <w:u w:val="none"/>
                <w:lang w:val="en-US" w:eastAsia="zh-CN"/>
              </w:rPr>
              <w:t xml:space="preserve"> </w:t>
            </w:r>
            <w:r>
              <w:rPr>
                <w:color w:val="auto"/>
                <w:szCs w:val="24"/>
                <w:highlight w:val="none"/>
                <w:u w:val="none"/>
              </w:rPr>
              <w:t>250mg/L、BOD</w:t>
            </w:r>
            <w:r>
              <w:rPr>
                <w:color w:val="auto"/>
                <w:szCs w:val="24"/>
                <w:highlight w:val="none"/>
                <w:u w:val="none"/>
                <w:vertAlign w:val="subscript"/>
              </w:rPr>
              <w:t>5</w:t>
            </w:r>
            <w:r>
              <w:rPr>
                <w:rFonts w:hint="eastAsia"/>
                <w:color w:val="auto"/>
                <w:szCs w:val="24"/>
                <w:highlight w:val="none"/>
                <w:u w:val="none"/>
                <w:vertAlign w:val="subscript"/>
                <w:lang w:val="en-US" w:eastAsia="zh-CN"/>
              </w:rPr>
              <w:t xml:space="preserve"> </w:t>
            </w:r>
            <w:r>
              <w:rPr>
                <w:color w:val="auto"/>
                <w:szCs w:val="24"/>
                <w:highlight w:val="none"/>
                <w:u w:val="none"/>
              </w:rPr>
              <w:t>150mg/L、SS</w:t>
            </w:r>
            <w:r>
              <w:rPr>
                <w:rFonts w:hint="eastAsia"/>
                <w:color w:val="auto"/>
                <w:szCs w:val="24"/>
                <w:highlight w:val="none"/>
                <w:u w:val="none"/>
                <w:lang w:val="en-US" w:eastAsia="zh-CN"/>
              </w:rPr>
              <w:t xml:space="preserve"> </w:t>
            </w:r>
            <w:r>
              <w:rPr>
                <w:color w:val="auto"/>
                <w:szCs w:val="24"/>
                <w:highlight w:val="none"/>
                <w:u w:val="none"/>
              </w:rPr>
              <w:t>200mg/L、NH</w:t>
            </w:r>
            <w:r>
              <w:rPr>
                <w:color w:val="auto"/>
                <w:szCs w:val="24"/>
                <w:highlight w:val="none"/>
                <w:u w:val="none"/>
                <w:vertAlign w:val="subscript"/>
              </w:rPr>
              <w:t>3</w:t>
            </w:r>
            <w:r>
              <w:rPr>
                <w:color w:val="auto"/>
                <w:szCs w:val="24"/>
                <w:highlight w:val="none"/>
                <w:u w:val="none"/>
              </w:rPr>
              <w:t>-H 20mg/L</w:t>
            </w:r>
            <w:r>
              <w:rPr>
                <w:rFonts w:ascii="宋体" w:hAnsi="宋体" w:cs="宋体"/>
                <w:color w:val="auto"/>
                <w:sz w:val="24"/>
                <w:szCs w:val="24"/>
                <w:highlight w:val="none"/>
                <w:u w:val="none"/>
              </w:rPr>
              <w:t>。</w:t>
            </w:r>
          </w:p>
          <w:p>
            <w:pPr>
              <w:pStyle w:val="2"/>
              <w:overflowPunct w:val="0"/>
              <w:snapToGrid/>
              <w:spacing w:before="0" w:after="0" w:line="360" w:lineRule="auto"/>
              <w:ind w:right="0"/>
              <w:jc w:val="center"/>
              <w:rPr>
                <w:rFonts w:hint="eastAsia" w:eastAsia="宋体"/>
                <w:b/>
                <w:bCs/>
                <w:color w:val="auto"/>
                <w:sz w:val="21"/>
                <w:szCs w:val="21"/>
                <w:highlight w:val="none"/>
                <w:u w:val="none"/>
                <w:lang w:eastAsia="zh-CN"/>
              </w:rPr>
            </w:pPr>
            <w:r>
              <w:rPr>
                <w:b/>
                <w:color w:val="auto"/>
                <w:kern w:val="2"/>
                <w:sz w:val="21"/>
                <w:szCs w:val="21"/>
                <w:highlight w:val="none"/>
                <w:u w:val="none"/>
              </w:rPr>
              <w:t>表4-</w:t>
            </w:r>
            <w:r>
              <w:rPr>
                <w:rFonts w:hint="eastAsia"/>
                <w:b/>
                <w:color w:val="auto"/>
                <w:kern w:val="2"/>
                <w:sz w:val="21"/>
                <w:szCs w:val="21"/>
                <w:highlight w:val="none"/>
                <w:u w:val="none"/>
                <w:lang w:val="en-US" w:eastAsia="zh-CN"/>
              </w:rPr>
              <w:t>10</w:t>
            </w:r>
            <w:r>
              <w:rPr>
                <w:rFonts w:hint="eastAsia"/>
                <w:b/>
                <w:color w:val="auto"/>
                <w:kern w:val="2"/>
                <w:sz w:val="21"/>
                <w:szCs w:val="21"/>
                <w:highlight w:val="none"/>
                <w:u w:val="none"/>
              </w:rPr>
              <w:t xml:space="preserve"> </w:t>
            </w:r>
            <w:r>
              <w:rPr>
                <w:rFonts w:hint="eastAsia"/>
                <w:b/>
                <w:color w:val="auto"/>
                <w:kern w:val="2"/>
                <w:sz w:val="21"/>
                <w:szCs w:val="21"/>
                <w:highlight w:val="none"/>
                <w:u w:val="none"/>
                <w:lang w:eastAsia="zh-CN"/>
              </w:rPr>
              <w:t>本项目生活污水的产生情况</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157"/>
              <w:gridCol w:w="1336"/>
              <w:gridCol w:w="1442"/>
              <w:gridCol w:w="183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noWrap w:val="0"/>
                  <w:vAlign w:val="center"/>
                </w:tcPr>
                <w:p>
                  <w:pPr>
                    <w:overflowPunct w:val="0"/>
                    <w:jc w:val="center"/>
                    <w:rPr>
                      <w:rFonts w:hint="eastAsia" w:eastAsia="宋体"/>
                      <w:b/>
                      <w:color w:val="auto"/>
                      <w:sz w:val="21"/>
                      <w:szCs w:val="21"/>
                      <w:highlight w:val="none"/>
                      <w:u w:val="none"/>
                      <w:lang w:eastAsia="zh-CN"/>
                    </w:rPr>
                  </w:pPr>
                  <w:r>
                    <w:rPr>
                      <w:rFonts w:hint="eastAsia"/>
                      <w:b/>
                      <w:color w:val="auto"/>
                      <w:sz w:val="21"/>
                      <w:szCs w:val="21"/>
                      <w:highlight w:val="none"/>
                      <w:u w:val="none"/>
                      <w:lang w:eastAsia="zh-CN"/>
                    </w:rPr>
                    <w:t>类别</w:t>
                  </w:r>
                </w:p>
              </w:tc>
              <w:tc>
                <w:tcPr>
                  <w:tcW w:w="688" w:type="pct"/>
                  <w:noWrap w:val="0"/>
                  <w:vAlign w:val="center"/>
                </w:tcPr>
                <w:p>
                  <w:pPr>
                    <w:overflowPunct w:val="0"/>
                    <w:jc w:val="center"/>
                    <w:rPr>
                      <w:rFonts w:hint="eastAsia" w:eastAsia="宋体"/>
                      <w:b/>
                      <w:color w:val="auto"/>
                      <w:sz w:val="21"/>
                      <w:szCs w:val="21"/>
                      <w:highlight w:val="none"/>
                      <w:u w:val="none"/>
                      <w:lang w:eastAsia="zh-CN"/>
                    </w:rPr>
                  </w:pPr>
                  <w:r>
                    <w:rPr>
                      <w:rFonts w:hint="eastAsia"/>
                      <w:b/>
                      <w:color w:val="auto"/>
                      <w:sz w:val="21"/>
                      <w:szCs w:val="21"/>
                      <w:highlight w:val="none"/>
                      <w:u w:val="none"/>
                      <w:lang w:eastAsia="zh-CN"/>
                    </w:rPr>
                    <w:t>产污环节</w:t>
                  </w:r>
                </w:p>
              </w:tc>
              <w:tc>
                <w:tcPr>
                  <w:tcW w:w="795" w:type="pct"/>
                  <w:noWrap w:val="0"/>
                  <w:vAlign w:val="center"/>
                </w:tcPr>
                <w:p>
                  <w:pPr>
                    <w:overflowPunct w:val="0"/>
                    <w:jc w:val="center"/>
                    <w:rPr>
                      <w:rFonts w:hint="eastAsia" w:eastAsia="宋体"/>
                      <w:b/>
                      <w:color w:val="auto"/>
                      <w:sz w:val="21"/>
                      <w:szCs w:val="21"/>
                      <w:highlight w:val="none"/>
                      <w:u w:val="none"/>
                      <w:lang w:eastAsia="zh-CN"/>
                    </w:rPr>
                  </w:pPr>
                  <w:r>
                    <w:rPr>
                      <w:rFonts w:hint="eastAsia"/>
                      <w:b/>
                      <w:color w:val="auto"/>
                      <w:sz w:val="21"/>
                      <w:szCs w:val="21"/>
                      <w:highlight w:val="none"/>
                      <w:u w:val="none"/>
                      <w:lang w:eastAsia="zh-CN"/>
                    </w:rPr>
                    <w:t>水量（</w:t>
                  </w:r>
                  <w:r>
                    <w:rPr>
                      <w:rFonts w:hint="eastAsia"/>
                      <w:b/>
                      <w:color w:val="auto"/>
                      <w:sz w:val="21"/>
                      <w:szCs w:val="21"/>
                      <w:highlight w:val="none"/>
                      <w:u w:val="none"/>
                      <w:lang w:val="en-US" w:eastAsia="zh-CN"/>
                    </w:rPr>
                    <w:t>t/a</w:t>
                  </w:r>
                  <w:r>
                    <w:rPr>
                      <w:rFonts w:hint="eastAsia"/>
                      <w:b/>
                      <w:color w:val="auto"/>
                      <w:sz w:val="21"/>
                      <w:szCs w:val="21"/>
                      <w:highlight w:val="none"/>
                      <w:u w:val="none"/>
                      <w:lang w:eastAsia="zh-CN"/>
                    </w:rPr>
                    <w:t>）</w:t>
                  </w:r>
                </w:p>
              </w:tc>
              <w:tc>
                <w:tcPr>
                  <w:tcW w:w="858" w:type="pct"/>
                  <w:noWrap w:val="0"/>
                  <w:vAlign w:val="center"/>
                </w:tcPr>
                <w:p>
                  <w:pPr>
                    <w:overflowPunct w:val="0"/>
                    <w:jc w:val="center"/>
                    <w:rPr>
                      <w:rFonts w:hint="eastAsia" w:eastAsia="宋体"/>
                      <w:b/>
                      <w:color w:val="auto"/>
                      <w:sz w:val="21"/>
                      <w:szCs w:val="21"/>
                      <w:highlight w:val="none"/>
                      <w:u w:val="none"/>
                      <w:lang w:eastAsia="zh-CN"/>
                    </w:rPr>
                  </w:pPr>
                  <w:r>
                    <w:rPr>
                      <w:rFonts w:hint="eastAsia"/>
                      <w:b/>
                      <w:color w:val="auto"/>
                      <w:sz w:val="21"/>
                      <w:szCs w:val="21"/>
                      <w:highlight w:val="none"/>
                      <w:u w:val="none"/>
                      <w:lang w:eastAsia="zh-CN"/>
                    </w:rPr>
                    <w:t>污染物种类</w:t>
                  </w:r>
                </w:p>
              </w:tc>
              <w:tc>
                <w:tcPr>
                  <w:tcW w:w="1090" w:type="pct"/>
                  <w:noWrap w:val="0"/>
                  <w:vAlign w:val="center"/>
                </w:tcPr>
                <w:p>
                  <w:pPr>
                    <w:overflowPunct w:val="0"/>
                    <w:jc w:val="center"/>
                    <w:rPr>
                      <w:rFonts w:hint="eastAsia" w:eastAsia="宋体"/>
                      <w:b/>
                      <w:color w:val="auto"/>
                      <w:sz w:val="21"/>
                      <w:szCs w:val="21"/>
                      <w:highlight w:val="none"/>
                      <w:u w:val="none"/>
                      <w:lang w:eastAsia="zh-CN"/>
                    </w:rPr>
                  </w:pPr>
                  <w:r>
                    <w:rPr>
                      <w:rFonts w:hint="eastAsia"/>
                      <w:b/>
                      <w:color w:val="auto"/>
                      <w:sz w:val="21"/>
                      <w:szCs w:val="21"/>
                      <w:highlight w:val="none"/>
                      <w:u w:val="none"/>
                      <w:lang w:eastAsia="zh-CN"/>
                    </w:rPr>
                    <w:t>产生浓度（</w:t>
                  </w:r>
                  <w:r>
                    <w:rPr>
                      <w:rFonts w:hint="eastAsia"/>
                      <w:b/>
                      <w:color w:val="auto"/>
                      <w:sz w:val="21"/>
                      <w:szCs w:val="21"/>
                      <w:highlight w:val="none"/>
                      <w:u w:val="none"/>
                      <w:lang w:val="en-US" w:eastAsia="zh-CN"/>
                    </w:rPr>
                    <w:t>mg/L</w:t>
                  </w:r>
                  <w:r>
                    <w:rPr>
                      <w:rFonts w:hint="eastAsia"/>
                      <w:b/>
                      <w:color w:val="auto"/>
                      <w:sz w:val="21"/>
                      <w:szCs w:val="21"/>
                      <w:highlight w:val="none"/>
                      <w:u w:val="none"/>
                      <w:lang w:eastAsia="zh-CN"/>
                    </w:rPr>
                    <w:t>）</w:t>
                  </w:r>
                </w:p>
              </w:tc>
              <w:tc>
                <w:tcPr>
                  <w:tcW w:w="870" w:type="pct"/>
                  <w:noWrap w:val="0"/>
                  <w:vAlign w:val="center"/>
                </w:tcPr>
                <w:p>
                  <w:pPr>
                    <w:overflowPunct w:val="0"/>
                    <w:jc w:val="center"/>
                    <w:rPr>
                      <w:rFonts w:hint="eastAsia"/>
                      <w:b/>
                      <w:color w:val="auto"/>
                      <w:sz w:val="21"/>
                      <w:szCs w:val="21"/>
                      <w:highlight w:val="none"/>
                      <w:u w:val="none"/>
                      <w:lang w:eastAsia="zh-CN"/>
                    </w:rPr>
                  </w:pPr>
                  <w:r>
                    <w:rPr>
                      <w:rFonts w:hint="eastAsia"/>
                      <w:b/>
                      <w:color w:val="auto"/>
                      <w:sz w:val="21"/>
                      <w:szCs w:val="21"/>
                      <w:highlight w:val="none"/>
                      <w:u w:val="none"/>
                      <w:lang w:eastAsia="zh-CN"/>
                    </w:rPr>
                    <w:t>产生量（</w:t>
                  </w:r>
                  <w:r>
                    <w:rPr>
                      <w:rFonts w:hint="eastAsia"/>
                      <w:b/>
                      <w:color w:val="auto"/>
                      <w:sz w:val="21"/>
                      <w:szCs w:val="21"/>
                      <w:highlight w:val="none"/>
                      <w:u w:val="none"/>
                      <w:lang w:val="en-US" w:eastAsia="zh-CN"/>
                    </w:rPr>
                    <w:t>t/a</w:t>
                  </w:r>
                  <w:r>
                    <w:rPr>
                      <w:rFonts w:hint="eastAsia"/>
                      <w:b/>
                      <w:color w:val="auto"/>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noWrap w:val="0"/>
                  <w:vAlign w:val="center"/>
                </w:tcPr>
                <w:p>
                  <w:pPr>
                    <w:overflowPunct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生活污水</w:t>
                  </w:r>
                </w:p>
              </w:tc>
              <w:tc>
                <w:tcPr>
                  <w:tcW w:w="688" w:type="pct"/>
                  <w:vMerge w:val="restart"/>
                  <w:noWrap w:val="0"/>
                  <w:vAlign w:val="center"/>
                </w:tcPr>
                <w:p>
                  <w:pPr>
                    <w:overflowPunct w:val="0"/>
                    <w:jc w:val="center"/>
                    <w:rPr>
                      <w:rFonts w:hint="eastAsia" w:eastAsia="宋体"/>
                      <w:color w:val="auto"/>
                      <w:sz w:val="21"/>
                      <w:szCs w:val="21"/>
                      <w:highlight w:val="none"/>
                      <w:u w:val="none"/>
                      <w:lang w:eastAsia="zh-CN"/>
                    </w:rPr>
                  </w:pPr>
                  <w:r>
                    <w:rPr>
                      <w:rFonts w:hint="eastAsia"/>
                      <w:color w:val="auto"/>
                      <w:sz w:val="21"/>
                      <w:szCs w:val="21"/>
                      <w:highlight w:val="none"/>
                      <w:u w:val="none"/>
                      <w:lang w:eastAsia="zh-CN"/>
                    </w:rPr>
                    <w:t>员工生活</w:t>
                  </w:r>
                </w:p>
              </w:tc>
              <w:tc>
                <w:tcPr>
                  <w:tcW w:w="795" w:type="pct"/>
                  <w:vMerge w:val="restar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360</w:t>
                  </w:r>
                </w:p>
              </w:tc>
              <w:tc>
                <w:tcPr>
                  <w:tcW w:w="858" w:type="pct"/>
                  <w:noWrap w:val="0"/>
                  <w:vAlign w:val="center"/>
                </w:tcPr>
                <w:p>
                  <w:pPr>
                    <w:overflowPunct w:val="0"/>
                    <w:jc w:val="center"/>
                    <w:rPr>
                      <w:color w:val="auto"/>
                      <w:sz w:val="21"/>
                      <w:szCs w:val="21"/>
                      <w:highlight w:val="none"/>
                      <w:u w:val="none"/>
                    </w:rPr>
                  </w:pPr>
                  <w:r>
                    <w:rPr>
                      <w:color w:val="auto"/>
                      <w:sz w:val="21"/>
                      <w:szCs w:val="21"/>
                      <w:highlight w:val="none"/>
                      <w:u w:val="none"/>
                    </w:rPr>
                    <w:t>CODcr</w:t>
                  </w:r>
                </w:p>
              </w:tc>
              <w:tc>
                <w:tcPr>
                  <w:tcW w:w="1090" w:type="pct"/>
                  <w:noWrap w:val="0"/>
                  <w:vAlign w:val="center"/>
                </w:tcPr>
                <w:p>
                  <w:pPr>
                    <w:overflowPunct w:val="0"/>
                    <w:jc w:val="center"/>
                    <w:rPr>
                      <w:color w:val="auto"/>
                      <w:sz w:val="21"/>
                      <w:szCs w:val="21"/>
                      <w:highlight w:val="none"/>
                      <w:u w:val="none"/>
                    </w:rPr>
                  </w:pPr>
                  <w:r>
                    <w:rPr>
                      <w:color w:val="auto"/>
                      <w:sz w:val="21"/>
                      <w:szCs w:val="21"/>
                      <w:highlight w:val="none"/>
                      <w:u w:val="none"/>
                    </w:rPr>
                    <w:t>250</w:t>
                  </w:r>
                </w:p>
              </w:tc>
              <w:tc>
                <w:tcPr>
                  <w:tcW w:w="870"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overflowPunct w:val="0"/>
                    <w:jc w:val="center"/>
                    <w:rPr>
                      <w:bCs/>
                      <w:color w:val="auto"/>
                      <w:sz w:val="21"/>
                      <w:szCs w:val="21"/>
                      <w:highlight w:val="none"/>
                      <w:u w:val="none"/>
                    </w:rPr>
                  </w:pPr>
                </w:p>
              </w:tc>
              <w:tc>
                <w:tcPr>
                  <w:tcW w:w="688" w:type="pct"/>
                  <w:vMerge w:val="continue"/>
                  <w:noWrap w:val="0"/>
                  <w:vAlign w:val="center"/>
                </w:tcPr>
                <w:p>
                  <w:pPr>
                    <w:overflowPunct w:val="0"/>
                    <w:jc w:val="center"/>
                    <w:rPr>
                      <w:bCs/>
                      <w:color w:val="auto"/>
                      <w:sz w:val="21"/>
                      <w:szCs w:val="21"/>
                      <w:highlight w:val="none"/>
                      <w:u w:val="none"/>
                    </w:rPr>
                  </w:pPr>
                </w:p>
              </w:tc>
              <w:tc>
                <w:tcPr>
                  <w:tcW w:w="795" w:type="pct"/>
                  <w:vMerge w:val="continue"/>
                  <w:noWrap w:val="0"/>
                  <w:vAlign w:val="center"/>
                </w:tcPr>
                <w:p>
                  <w:pPr>
                    <w:overflowPunct w:val="0"/>
                    <w:jc w:val="center"/>
                    <w:rPr>
                      <w:color w:val="auto"/>
                      <w:sz w:val="21"/>
                      <w:szCs w:val="21"/>
                      <w:highlight w:val="none"/>
                      <w:u w:val="none"/>
                    </w:rPr>
                  </w:pPr>
                </w:p>
              </w:tc>
              <w:tc>
                <w:tcPr>
                  <w:tcW w:w="858" w:type="pct"/>
                  <w:noWrap w:val="0"/>
                  <w:vAlign w:val="center"/>
                </w:tcPr>
                <w:p>
                  <w:pPr>
                    <w:overflowPunct w:val="0"/>
                    <w:jc w:val="center"/>
                    <w:rPr>
                      <w:color w:val="auto"/>
                      <w:sz w:val="21"/>
                      <w:szCs w:val="21"/>
                      <w:highlight w:val="none"/>
                      <w:u w:val="none"/>
                    </w:rPr>
                  </w:pPr>
                  <w:r>
                    <w:rPr>
                      <w:color w:val="auto"/>
                      <w:sz w:val="21"/>
                      <w:szCs w:val="21"/>
                      <w:highlight w:val="none"/>
                      <w:u w:val="none"/>
                    </w:rPr>
                    <w:t>BOD</w:t>
                  </w:r>
                  <w:r>
                    <w:rPr>
                      <w:color w:val="auto"/>
                      <w:sz w:val="21"/>
                      <w:szCs w:val="21"/>
                      <w:highlight w:val="none"/>
                      <w:u w:val="none"/>
                      <w:vertAlign w:val="subscript"/>
                    </w:rPr>
                    <w:t>5</w:t>
                  </w:r>
                </w:p>
              </w:tc>
              <w:tc>
                <w:tcPr>
                  <w:tcW w:w="1090" w:type="pct"/>
                  <w:noWrap w:val="0"/>
                  <w:vAlign w:val="center"/>
                </w:tcPr>
                <w:p>
                  <w:pPr>
                    <w:overflowPunct w:val="0"/>
                    <w:jc w:val="center"/>
                    <w:rPr>
                      <w:color w:val="auto"/>
                      <w:sz w:val="21"/>
                      <w:szCs w:val="21"/>
                      <w:highlight w:val="none"/>
                      <w:u w:val="none"/>
                    </w:rPr>
                  </w:pPr>
                  <w:r>
                    <w:rPr>
                      <w:color w:val="auto"/>
                      <w:sz w:val="21"/>
                      <w:szCs w:val="21"/>
                      <w:highlight w:val="none"/>
                      <w:u w:val="none"/>
                    </w:rPr>
                    <w:t>150</w:t>
                  </w:r>
                </w:p>
              </w:tc>
              <w:tc>
                <w:tcPr>
                  <w:tcW w:w="870"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overflowPunct w:val="0"/>
                    <w:jc w:val="center"/>
                    <w:rPr>
                      <w:rFonts w:hint="eastAsia"/>
                      <w:bCs/>
                      <w:color w:val="auto"/>
                      <w:sz w:val="21"/>
                      <w:szCs w:val="21"/>
                      <w:highlight w:val="none"/>
                      <w:u w:val="none"/>
                    </w:rPr>
                  </w:pPr>
                </w:p>
              </w:tc>
              <w:tc>
                <w:tcPr>
                  <w:tcW w:w="688" w:type="pct"/>
                  <w:vMerge w:val="continue"/>
                  <w:noWrap w:val="0"/>
                  <w:vAlign w:val="center"/>
                </w:tcPr>
                <w:p>
                  <w:pPr>
                    <w:overflowPunct w:val="0"/>
                    <w:jc w:val="center"/>
                    <w:rPr>
                      <w:bCs/>
                      <w:color w:val="auto"/>
                      <w:sz w:val="21"/>
                      <w:szCs w:val="21"/>
                      <w:highlight w:val="none"/>
                      <w:u w:val="none"/>
                    </w:rPr>
                  </w:pPr>
                </w:p>
              </w:tc>
              <w:tc>
                <w:tcPr>
                  <w:tcW w:w="795" w:type="pct"/>
                  <w:vMerge w:val="continue"/>
                  <w:noWrap w:val="0"/>
                  <w:vAlign w:val="center"/>
                </w:tcPr>
                <w:p>
                  <w:pPr>
                    <w:overflowPunct w:val="0"/>
                    <w:jc w:val="center"/>
                    <w:rPr>
                      <w:color w:val="auto"/>
                      <w:sz w:val="21"/>
                      <w:szCs w:val="21"/>
                      <w:highlight w:val="none"/>
                      <w:u w:val="none"/>
                    </w:rPr>
                  </w:pPr>
                </w:p>
              </w:tc>
              <w:tc>
                <w:tcPr>
                  <w:tcW w:w="858" w:type="pct"/>
                  <w:noWrap w:val="0"/>
                  <w:vAlign w:val="center"/>
                </w:tcPr>
                <w:p>
                  <w:pPr>
                    <w:overflowPunct w:val="0"/>
                    <w:jc w:val="center"/>
                    <w:rPr>
                      <w:color w:val="auto"/>
                      <w:sz w:val="21"/>
                      <w:szCs w:val="21"/>
                      <w:highlight w:val="none"/>
                      <w:u w:val="none"/>
                    </w:rPr>
                  </w:pPr>
                  <w:r>
                    <w:rPr>
                      <w:color w:val="auto"/>
                      <w:sz w:val="21"/>
                      <w:szCs w:val="21"/>
                      <w:highlight w:val="none"/>
                      <w:u w:val="none"/>
                    </w:rPr>
                    <w:t>SS</w:t>
                  </w:r>
                </w:p>
              </w:tc>
              <w:tc>
                <w:tcPr>
                  <w:tcW w:w="1090" w:type="pct"/>
                  <w:noWrap w:val="0"/>
                  <w:vAlign w:val="center"/>
                </w:tcPr>
                <w:p>
                  <w:pPr>
                    <w:overflowPunct w:val="0"/>
                    <w:jc w:val="center"/>
                    <w:rPr>
                      <w:color w:val="auto"/>
                      <w:sz w:val="21"/>
                      <w:szCs w:val="21"/>
                      <w:highlight w:val="none"/>
                      <w:u w:val="none"/>
                    </w:rPr>
                  </w:pPr>
                  <w:r>
                    <w:rPr>
                      <w:color w:val="auto"/>
                      <w:sz w:val="21"/>
                      <w:szCs w:val="21"/>
                      <w:highlight w:val="none"/>
                      <w:u w:val="none"/>
                    </w:rPr>
                    <w:t>200</w:t>
                  </w:r>
                </w:p>
              </w:tc>
              <w:tc>
                <w:tcPr>
                  <w:tcW w:w="870"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overflowPunct w:val="0"/>
                    <w:jc w:val="center"/>
                    <w:rPr>
                      <w:rFonts w:hint="eastAsia"/>
                      <w:bCs/>
                      <w:color w:val="auto"/>
                      <w:sz w:val="21"/>
                      <w:szCs w:val="21"/>
                      <w:highlight w:val="none"/>
                      <w:u w:val="none"/>
                    </w:rPr>
                  </w:pPr>
                </w:p>
              </w:tc>
              <w:tc>
                <w:tcPr>
                  <w:tcW w:w="688" w:type="pct"/>
                  <w:vMerge w:val="continue"/>
                  <w:noWrap w:val="0"/>
                  <w:vAlign w:val="center"/>
                </w:tcPr>
                <w:p>
                  <w:pPr>
                    <w:overflowPunct w:val="0"/>
                    <w:jc w:val="center"/>
                    <w:rPr>
                      <w:bCs/>
                      <w:color w:val="auto"/>
                      <w:sz w:val="21"/>
                      <w:szCs w:val="21"/>
                      <w:highlight w:val="none"/>
                      <w:u w:val="none"/>
                    </w:rPr>
                  </w:pPr>
                </w:p>
              </w:tc>
              <w:tc>
                <w:tcPr>
                  <w:tcW w:w="795" w:type="pct"/>
                  <w:vMerge w:val="continue"/>
                  <w:noWrap w:val="0"/>
                  <w:vAlign w:val="center"/>
                </w:tcPr>
                <w:p>
                  <w:pPr>
                    <w:overflowPunct w:val="0"/>
                    <w:jc w:val="center"/>
                    <w:rPr>
                      <w:color w:val="auto"/>
                      <w:sz w:val="21"/>
                      <w:szCs w:val="21"/>
                      <w:highlight w:val="none"/>
                      <w:u w:val="none"/>
                    </w:rPr>
                  </w:pPr>
                </w:p>
              </w:tc>
              <w:tc>
                <w:tcPr>
                  <w:tcW w:w="858" w:type="pct"/>
                  <w:noWrap w:val="0"/>
                  <w:vAlign w:val="center"/>
                </w:tcPr>
                <w:p>
                  <w:pPr>
                    <w:overflowPunct w:val="0"/>
                    <w:jc w:val="center"/>
                    <w:rPr>
                      <w:color w:val="auto"/>
                      <w:sz w:val="21"/>
                      <w:szCs w:val="21"/>
                      <w:highlight w:val="none"/>
                      <w:u w:val="none"/>
                    </w:rPr>
                  </w:pPr>
                  <w:r>
                    <w:rPr>
                      <w:color w:val="auto"/>
                      <w:sz w:val="21"/>
                      <w:szCs w:val="21"/>
                      <w:highlight w:val="none"/>
                      <w:u w:val="none"/>
                    </w:rPr>
                    <w:t>NH</w:t>
                  </w:r>
                  <w:r>
                    <w:rPr>
                      <w:color w:val="auto"/>
                      <w:sz w:val="21"/>
                      <w:szCs w:val="21"/>
                      <w:highlight w:val="none"/>
                      <w:u w:val="none"/>
                      <w:vertAlign w:val="subscript"/>
                    </w:rPr>
                    <w:t>3</w:t>
                  </w:r>
                  <w:r>
                    <w:rPr>
                      <w:color w:val="auto"/>
                      <w:sz w:val="21"/>
                      <w:szCs w:val="21"/>
                      <w:highlight w:val="none"/>
                      <w:u w:val="none"/>
                    </w:rPr>
                    <w:t xml:space="preserve">-H </w:t>
                  </w:r>
                </w:p>
              </w:tc>
              <w:tc>
                <w:tcPr>
                  <w:tcW w:w="1090" w:type="pct"/>
                  <w:noWrap w:val="0"/>
                  <w:vAlign w:val="center"/>
                </w:tcPr>
                <w:p>
                  <w:pPr>
                    <w:overflowPunct w:val="0"/>
                    <w:jc w:val="center"/>
                    <w:rPr>
                      <w:color w:val="auto"/>
                      <w:sz w:val="21"/>
                      <w:szCs w:val="21"/>
                      <w:highlight w:val="none"/>
                      <w:u w:val="none"/>
                    </w:rPr>
                  </w:pPr>
                  <w:r>
                    <w:rPr>
                      <w:color w:val="auto"/>
                      <w:sz w:val="21"/>
                      <w:szCs w:val="21"/>
                      <w:highlight w:val="none"/>
                      <w:u w:val="none"/>
                    </w:rPr>
                    <w:t>20</w:t>
                  </w:r>
                </w:p>
              </w:tc>
              <w:tc>
                <w:tcPr>
                  <w:tcW w:w="870"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0.0072</w:t>
                  </w:r>
                </w:p>
              </w:tc>
            </w:tr>
          </w:tbl>
          <w:p>
            <w:pPr>
              <w:pStyle w:val="33"/>
              <w:keepNext w:val="0"/>
              <w:keepLines w:val="0"/>
              <w:pageBreakBefore w:val="0"/>
              <w:widowControl w:val="0"/>
              <w:kinsoku/>
              <w:wordWrap/>
              <w:topLinePunct w:val="0"/>
              <w:bidi w:val="0"/>
              <w:snapToGrid/>
              <w:spacing w:line="360" w:lineRule="auto"/>
              <w:ind w:left="0" w:leftChars="0" w:firstLine="480" w:firstLineChars="200"/>
              <w:jc w:val="both"/>
              <w:textAlignment w:val="auto"/>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根据水污染源强分析，生活废水</w:t>
            </w:r>
            <w:r>
              <w:rPr>
                <w:rFonts w:hint="default" w:ascii="Times New Roman" w:hAnsi="Times New Roman" w:cs="Times New Roman"/>
                <w:color w:val="auto"/>
                <w:highlight w:val="none"/>
                <w:u w:val="none"/>
                <w:lang w:val="en-US" w:eastAsia="zh-CN"/>
              </w:rPr>
              <w:t>360</w:t>
            </w:r>
            <w:r>
              <w:rPr>
                <w:rFonts w:hint="default" w:ascii="Times New Roman" w:hAnsi="Times New Roman" w:cs="Times New Roman"/>
                <w:color w:val="auto"/>
                <w:highlight w:val="none"/>
                <w:u w:val="none"/>
              </w:rPr>
              <w:t>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/a，生活废水</w:t>
            </w:r>
            <w:r>
              <w:rPr>
                <w:rFonts w:hint="default" w:ascii="Times New Roman" w:hAnsi="Times New Roman" w:cs="Times New Roman"/>
                <w:color w:val="auto"/>
                <w:highlight w:val="none"/>
                <w:u w:val="none"/>
                <w:lang w:eastAsia="zh-CN"/>
              </w:rPr>
              <w:t>经化粪池处理后进入工业园污水管网，排入新田县污水处理厂处理，达到</w:t>
            </w:r>
            <w:r>
              <w:rPr>
                <w:rFonts w:hint="default" w:ascii="Times New Roman" w:hAnsi="Times New Roman" w:cs="Times New Roman"/>
                <w:color w:val="auto"/>
                <w:highlight w:val="none"/>
                <w:u w:val="none"/>
              </w:rPr>
              <w:t>《城镇污水处理厂污染物排放标准》（GB</w:t>
            </w:r>
            <w:r>
              <w:rPr>
                <w:rFonts w:hint="default" w:ascii="Times New Roman" w:hAnsi="Times New Roman" w:eastAsia="宋体" w:cs="Times New Roman"/>
                <w:color w:val="auto"/>
                <w:highlight w:val="none"/>
                <w:u w:val="none"/>
              </w:rPr>
              <w:t>18918-2002）中一级A标准</w:t>
            </w:r>
            <w:r>
              <w:rPr>
                <w:rFonts w:hint="default" w:ascii="Times New Roman" w:hAnsi="Times New Roman" w:eastAsia="宋体" w:cs="Times New Roman"/>
                <w:color w:val="auto"/>
                <w:highlight w:val="none"/>
                <w:u w:val="none"/>
                <w:lang w:eastAsia="zh-CN"/>
              </w:rPr>
              <w:t>后排入新田河。</w:t>
            </w:r>
          </w:p>
          <w:p>
            <w:pPr>
              <w:pStyle w:val="2"/>
              <w:keepNext w:val="0"/>
              <w:keepLines w:val="0"/>
              <w:pageBreakBefore w:val="0"/>
              <w:widowControl w:val="0"/>
              <w:kinsoku/>
              <w:wordWrap/>
              <w:overflowPunct w:val="0"/>
              <w:topLinePunct w:val="0"/>
              <w:bidi w:val="0"/>
              <w:snapToGrid/>
              <w:spacing w:before="0" w:after="0" w:line="360" w:lineRule="auto"/>
              <w:ind w:left="0" w:leftChars="0" w:right="0" w:firstLine="482" w:firstLineChars="200"/>
              <w:textAlignment w:val="auto"/>
              <w:rPr>
                <w:rFonts w:hint="default" w:ascii="Times New Roman" w:hAnsi="Times New Roman" w:eastAsia="宋体" w:cs="Times New Roman"/>
                <w:b/>
                <w:bCs/>
                <w:color w:val="auto"/>
                <w:sz w:val="24"/>
                <w:highlight w:val="none"/>
                <w:u w:val="none"/>
                <w:lang w:eastAsia="zh-CN"/>
              </w:rPr>
            </w:pPr>
            <w:r>
              <w:rPr>
                <w:rFonts w:hint="default" w:ascii="Times New Roman" w:hAnsi="Times New Roman" w:eastAsia="宋体" w:cs="Times New Roman"/>
                <w:b/>
                <w:bCs/>
                <w:color w:val="auto"/>
                <w:sz w:val="24"/>
                <w:highlight w:val="none"/>
                <w:u w:val="none"/>
              </w:rPr>
              <w:t>②</w:t>
            </w:r>
            <w:r>
              <w:rPr>
                <w:rFonts w:hint="default" w:ascii="Times New Roman" w:hAnsi="Times New Roman" w:eastAsia="宋体" w:cs="Times New Roman"/>
                <w:b/>
                <w:bCs/>
                <w:color w:val="auto"/>
                <w:sz w:val="24"/>
                <w:highlight w:val="none"/>
                <w:u w:val="none"/>
                <w:lang w:eastAsia="zh-CN"/>
              </w:rPr>
              <w:t>设备</w:t>
            </w:r>
            <w:r>
              <w:rPr>
                <w:rFonts w:hint="eastAsia" w:ascii="Times New Roman" w:hAnsi="Times New Roman" w:eastAsia="宋体" w:cs="Times New Roman"/>
                <w:b/>
                <w:bCs/>
                <w:color w:val="auto"/>
                <w:sz w:val="24"/>
                <w:highlight w:val="none"/>
                <w:u w:val="none"/>
                <w:lang w:eastAsia="zh-CN"/>
              </w:rPr>
              <w:t>冷却</w:t>
            </w:r>
            <w:r>
              <w:rPr>
                <w:rFonts w:hint="default" w:ascii="Times New Roman" w:hAnsi="Times New Roman" w:eastAsia="宋体" w:cs="Times New Roman"/>
                <w:b/>
                <w:bCs/>
                <w:color w:val="auto"/>
                <w:sz w:val="24"/>
                <w:highlight w:val="none"/>
                <w:u w:val="none"/>
                <w:lang w:eastAsia="zh-CN"/>
              </w:rPr>
              <w:t>水</w:t>
            </w:r>
          </w:p>
          <w:p>
            <w:pPr>
              <w:pStyle w:val="2"/>
              <w:keepNext w:val="0"/>
              <w:keepLines w:val="0"/>
              <w:pageBreakBefore w:val="0"/>
              <w:widowControl w:val="0"/>
              <w:kinsoku/>
              <w:wordWrap/>
              <w:overflowPunct w:val="0"/>
              <w:topLinePunct w:val="0"/>
              <w:bidi w:val="0"/>
              <w:snapToGrid/>
              <w:spacing w:before="0" w:after="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u w:val="none"/>
              </w:rPr>
            </w:pPr>
            <w:r>
              <w:rPr>
                <w:rFonts w:hint="default" w:ascii="Times New Roman" w:hAnsi="Times New Roman" w:eastAsia="宋体" w:cs="Times New Roman"/>
                <w:b w:val="0"/>
                <w:bCs w:val="0"/>
                <w:color w:val="auto"/>
                <w:sz w:val="24"/>
                <w:highlight w:val="none"/>
                <w:u w:val="none"/>
              </w:rPr>
              <w:t>根据建设方提供资料，项目冷却水定期补充损耗量，用量约1</w:t>
            </w:r>
            <w:r>
              <w:rPr>
                <w:rFonts w:hint="eastAsia" w:ascii="Times New Roman" w:hAnsi="Times New Roman" w:eastAsia="宋体" w:cs="Times New Roman"/>
                <w:b w:val="0"/>
                <w:bCs w:val="0"/>
                <w:color w:val="auto"/>
                <w:sz w:val="24"/>
                <w:highlight w:val="none"/>
                <w:u w:val="none"/>
                <w:lang w:val="en-US" w:eastAsia="zh-CN"/>
              </w:rPr>
              <w:t>2</w:t>
            </w:r>
            <w:r>
              <w:rPr>
                <w:rFonts w:hint="default" w:ascii="Times New Roman" w:hAnsi="Times New Roman" w:eastAsia="宋体" w:cs="Times New Roman"/>
                <w:b w:val="0"/>
                <w:bCs w:val="0"/>
                <w:color w:val="auto"/>
                <w:sz w:val="24"/>
                <w:highlight w:val="none"/>
                <w:u w:val="none"/>
              </w:rPr>
              <w:t>m</w:t>
            </w:r>
            <w:r>
              <w:rPr>
                <w:rFonts w:hint="default" w:ascii="Times New Roman" w:hAnsi="Times New Roman" w:eastAsia="宋体" w:cs="Times New Roman"/>
                <w:b w:val="0"/>
                <w:bCs w:val="0"/>
                <w:color w:val="auto"/>
                <w:sz w:val="24"/>
                <w:highlight w:val="none"/>
                <w:u w:val="none"/>
                <w:vertAlign w:val="superscript"/>
              </w:rPr>
              <w:t>3</w:t>
            </w:r>
            <w:r>
              <w:rPr>
                <w:rFonts w:hint="default" w:ascii="Times New Roman" w:hAnsi="Times New Roman" w:eastAsia="宋体" w:cs="Times New Roman"/>
                <w:b w:val="0"/>
                <w:bCs w:val="0"/>
                <w:color w:val="auto"/>
                <w:sz w:val="24"/>
                <w:highlight w:val="none"/>
                <w:u w:val="none"/>
              </w:rPr>
              <w:t>/a，冷却水循环使用不外排。</w:t>
            </w:r>
          </w:p>
          <w:p>
            <w:pPr>
              <w:pStyle w:val="2"/>
              <w:keepNext w:val="0"/>
              <w:keepLines w:val="0"/>
              <w:pageBreakBefore w:val="0"/>
              <w:widowControl w:val="0"/>
              <w:kinsoku/>
              <w:wordWrap/>
              <w:overflowPunct w:val="0"/>
              <w:topLinePunct w:val="0"/>
              <w:bidi w:val="0"/>
              <w:snapToGrid/>
              <w:spacing w:before="0" w:after="0" w:line="360" w:lineRule="auto"/>
              <w:ind w:left="0" w:leftChars="0" w:right="0" w:firstLine="482" w:firstLineChars="200"/>
              <w:textAlignment w:val="auto"/>
              <w:rPr>
                <w:rFonts w:hint="default" w:ascii="Times New Roman" w:hAnsi="Times New Roman" w:eastAsia="宋体" w:cs="Times New Roman"/>
                <w:b/>
                <w:bCs/>
                <w:color w:val="auto"/>
                <w:sz w:val="24"/>
                <w:highlight w:val="none"/>
                <w:u w:val="none"/>
                <w:lang w:eastAsia="zh-CN"/>
              </w:rPr>
            </w:pPr>
            <w:r>
              <w:rPr>
                <w:rFonts w:hint="default" w:ascii="Times New Roman" w:hAnsi="Times New Roman" w:eastAsia="宋体" w:cs="Times New Roman"/>
                <w:b/>
                <w:bCs/>
                <w:color w:val="auto"/>
                <w:sz w:val="24"/>
                <w:highlight w:val="none"/>
                <w:u w:val="none"/>
              </w:rPr>
              <w:t>③</w:t>
            </w:r>
            <w:r>
              <w:rPr>
                <w:rFonts w:hint="default" w:ascii="Times New Roman" w:hAnsi="Times New Roman" w:eastAsia="宋体" w:cs="Times New Roman"/>
                <w:b/>
                <w:bCs/>
                <w:color w:val="auto"/>
                <w:sz w:val="24"/>
                <w:highlight w:val="none"/>
                <w:u w:val="none"/>
                <w:lang w:eastAsia="zh-CN"/>
              </w:rPr>
              <w:t>印刷</w:t>
            </w:r>
            <w:r>
              <w:rPr>
                <w:rFonts w:hint="eastAsia" w:ascii="Times New Roman" w:hAnsi="Times New Roman" w:eastAsia="宋体" w:cs="Times New Roman"/>
                <w:b/>
                <w:bCs/>
                <w:color w:val="auto"/>
                <w:sz w:val="24"/>
                <w:highlight w:val="none"/>
                <w:u w:val="none"/>
                <w:lang w:eastAsia="zh-CN"/>
              </w:rPr>
              <w:t>机</w:t>
            </w:r>
            <w:r>
              <w:rPr>
                <w:rFonts w:hint="default" w:ascii="Times New Roman" w:hAnsi="Times New Roman" w:eastAsia="宋体" w:cs="Times New Roman"/>
                <w:b/>
                <w:bCs/>
                <w:color w:val="auto"/>
                <w:sz w:val="24"/>
                <w:highlight w:val="none"/>
                <w:u w:val="none"/>
                <w:lang w:eastAsia="zh-CN"/>
              </w:rPr>
              <w:t>清洗废水</w:t>
            </w:r>
          </w:p>
          <w:p>
            <w:pPr>
              <w:pStyle w:val="2"/>
              <w:keepNext w:val="0"/>
              <w:keepLines w:val="0"/>
              <w:pageBreakBefore w:val="0"/>
              <w:widowControl w:val="0"/>
              <w:tabs>
                <w:tab w:val="left" w:pos="0"/>
              </w:tabs>
              <w:kinsoku/>
              <w:wordWrap/>
              <w:overflowPunct w:val="0"/>
              <w:topLinePunct w:val="0"/>
              <w:autoSpaceDE/>
              <w:autoSpaceDN/>
              <w:bidi w:val="0"/>
              <w:adjustRightInd/>
              <w:snapToGrid/>
              <w:spacing w:before="0" w:after="0" w:line="360" w:lineRule="auto"/>
              <w:ind w:left="0" w:right="0" w:firstLine="480" w:firstLineChars="200"/>
              <w:textAlignment w:val="auto"/>
              <w:rPr>
                <w:rFonts w:hint="eastAsia" w:eastAsia="宋体"/>
                <w:b w:val="0"/>
                <w:bCs w:val="0"/>
                <w:color w:val="auto"/>
                <w:sz w:val="24"/>
                <w:highlight w:val="none"/>
                <w:u w:val="none"/>
                <w:lang w:eastAsia="zh-CN"/>
              </w:rPr>
            </w:pPr>
            <w:r>
              <w:rPr>
                <w:rFonts w:hint="eastAsia"/>
                <w:b w:val="0"/>
                <w:bCs w:val="0"/>
                <w:color w:val="auto"/>
                <w:sz w:val="24"/>
                <w:highlight w:val="none"/>
                <w:u w:val="none"/>
                <w:lang w:eastAsia="zh-CN"/>
              </w:rPr>
              <w:t>本项目使用水性油墨，清洗不添加清洗剂，采用清水擦洗约0.09m</w:t>
            </w:r>
            <w:r>
              <w:rPr>
                <w:rFonts w:hint="eastAsia"/>
                <w:b w:val="0"/>
                <w:bCs w:val="0"/>
                <w:color w:val="auto"/>
                <w:sz w:val="24"/>
                <w:highlight w:val="none"/>
                <w:u w:val="none"/>
                <w:vertAlign w:val="superscript"/>
                <w:lang w:eastAsia="zh-CN"/>
              </w:rPr>
              <w:t>3</w:t>
            </w:r>
            <w:r>
              <w:rPr>
                <w:rFonts w:hint="eastAsia"/>
                <w:b w:val="0"/>
                <w:bCs w:val="0"/>
                <w:color w:val="auto"/>
                <w:sz w:val="24"/>
                <w:highlight w:val="none"/>
                <w:u w:val="none"/>
                <w:vertAlign w:val="baseline"/>
                <w:lang w:val="en-US" w:eastAsia="zh-CN"/>
              </w:rPr>
              <w:t>/d</w:t>
            </w:r>
            <w:r>
              <w:rPr>
                <w:rFonts w:hint="eastAsia"/>
                <w:b w:val="0"/>
                <w:bCs w:val="0"/>
                <w:color w:val="auto"/>
                <w:sz w:val="24"/>
                <w:highlight w:val="none"/>
                <w:u w:val="none"/>
                <w:lang w:eastAsia="zh-CN"/>
              </w:rPr>
              <w:t>，年工作300d，则用水量为27m</w:t>
            </w:r>
            <w:r>
              <w:rPr>
                <w:rFonts w:hint="eastAsia"/>
                <w:b w:val="0"/>
                <w:bCs w:val="0"/>
                <w:color w:val="auto"/>
                <w:sz w:val="24"/>
                <w:highlight w:val="none"/>
                <w:u w:val="none"/>
                <w:vertAlign w:val="superscript"/>
                <w:lang w:eastAsia="zh-CN"/>
              </w:rPr>
              <w:t>3</w:t>
            </w:r>
            <w:r>
              <w:rPr>
                <w:rFonts w:hint="eastAsia"/>
                <w:b w:val="0"/>
                <w:bCs w:val="0"/>
                <w:color w:val="auto"/>
                <w:sz w:val="24"/>
                <w:highlight w:val="none"/>
                <w:u w:val="none"/>
                <w:lang w:eastAsia="zh-CN"/>
              </w:rPr>
              <w:t>/a，清洗废水按用水量的90%计，则为24.3t/a。印刷机清洗废水属于高浓度有机废水，采用胶桶收集后交湖南普瑞达内装材料有限公司处理，不外排。</w:t>
            </w:r>
          </w:p>
          <w:p>
            <w:pPr>
              <w:pStyle w:val="2"/>
              <w:overflowPunct w:val="0"/>
              <w:snapToGrid/>
              <w:spacing w:before="0" w:after="0" w:line="360" w:lineRule="auto"/>
              <w:ind w:left="420" w:right="0"/>
              <w:rPr>
                <w:rFonts w:hint="eastAsia"/>
                <w:b/>
                <w:bCs/>
                <w:color w:val="auto"/>
                <w:sz w:val="24"/>
                <w:highlight w:val="yellow"/>
                <w:u w:val="none"/>
              </w:rPr>
            </w:pPr>
            <w:r>
              <w:rPr>
                <w:rFonts w:hint="eastAsia"/>
                <w:b/>
                <w:bCs/>
                <w:color w:val="auto"/>
                <w:sz w:val="24"/>
                <w:highlight w:val="none"/>
                <w:u w:val="none"/>
              </w:rPr>
              <w:t>（2）</w:t>
            </w:r>
            <w:r>
              <w:rPr>
                <w:rFonts w:hint="eastAsia"/>
                <w:b/>
                <w:bCs/>
                <w:color w:val="auto"/>
                <w:sz w:val="24"/>
                <w:szCs w:val="24"/>
                <w:highlight w:val="none"/>
                <w:u w:val="none"/>
              </w:rPr>
              <w:t>污</w:t>
            </w:r>
            <w:r>
              <w:rPr>
                <w:rFonts w:hint="eastAsia"/>
                <w:b/>
                <w:bCs/>
                <w:color w:val="auto"/>
                <w:sz w:val="24"/>
                <w:szCs w:val="24"/>
                <w:u w:val="none"/>
              </w:rPr>
              <w:t>染治理可行性分析</w:t>
            </w:r>
          </w:p>
          <w:p>
            <w:pPr>
              <w:pStyle w:val="2"/>
              <w:overflowPunct w:val="0"/>
              <w:snapToGrid/>
              <w:spacing w:before="0" w:after="0" w:line="360" w:lineRule="auto"/>
              <w:ind w:right="0" w:firstLine="482" w:firstLineChars="200"/>
              <w:rPr>
                <w:b/>
                <w:bCs/>
                <w:color w:val="auto"/>
                <w:sz w:val="24"/>
                <w:szCs w:val="24"/>
                <w:u w:val="none"/>
              </w:rPr>
            </w:pPr>
            <w:r>
              <w:rPr>
                <w:rFonts w:hint="eastAsia" w:ascii="宋体" w:hAnsi="宋体" w:cs="宋体"/>
                <w:b/>
                <w:bCs/>
                <w:color w:val="auto"/>
                <w:sz w:val="24"/>
                <w:szCs w:val="24"/>
                <w:u w:val="none"/>
              </w:rPr>
              <w:t>①</w:t>
            </w:r>
            <w:r>
              <w:rPr>
                <w:rFonts w:hint="eastAsia"/>
                <w:b/>
                <w:bCs/>
                <w:color w:val="auto"/>
                <w:sz w:val="24"/>
                <w:szCs w:val="24"/>
                <w:u w:val="none"/>
              </w:rPr>
              <w:t>生活污水</w:t>
            </w:r>
          </w:p>
          <w:p>
            <w:pPr>
              <w:pStyle w:val="2"/>
              <w:overflowPunct w:val="0"/>
              <w:snapToGrid/>
              <w:spacing w:before="0" w:after="0" w:line="360" w:lineRule="auto"/>
              <w:ind w:right="0" w:firstLine="480" w:firstLineChars="200"/>
              <w:rPr>
                <w:rFonts w:hint="eastAsia"/>
                <w:color w:val="auto"/>
                <w:sz w:val="24"/>
                <w:szCs w:val="24"/>
                <w:highlight w:val="none"/>
                <w:u w:val="none"/>
                <w:lang w:eastAsia="zh-CN"/>
              </w:rPr>
            </w:pPr>
            <w:r>
              <w:rPr>
                <w:rFonts w:hint="eastAsia"/>
                <w:color w:val="auto"/>
                <w:sz w:val="24"/>
                <w:szCs w:val="24"/>
                <w:u w:val="none"/>
              </w:rPr>
              <w:t>项目废水主要为生活污水，此部分废水经过化粪池处理后，进入工业园污水管网，排入新田</w:t>
            </w:r>
            <w:r>
              <w:rPr>
                <w:rFonts w:hint="eastAsia"/>
                <w:color w:val="auto"/>
                <w:sz w:val="24"/>
                <w:szCs w:val="24"/>
                <w:highlight w:val="none"/>
                <w:u w:val="none"/>
              </w:rPr>
              <w:t>县污水处理厂处理达标后，排入新田河</w:t>
            </w:r>
            <w:r>
              <w:rPr>
                <w:rFonts w:hint="eastAsia"/>
                <w:color w:val="auto"/>
                <w:sz w:val="24"/>
                <w:szCs w:val="24"/>
                <w:highlight w:val="none"/>
                <w:u w:val="none"/>
                <w:lang w:eastAsia="zh-CN"/>
              </w:rPr>
              <w:t>。</w:t>
            </w:r>
          </w:p>
          <w:p>
            <w:pPr>
              <w:pStyle w:val="2"/>
              <w:overflowPunct w:val="0"/>
              <w:spacing w:before="0" w:after="0" w:line="360" w:lineRule="auto"/>
              <w:ind w:right="0" w:firstLine="480" w:firstLineChars="200"/>
              <w:rPr>
                <w:rFonts w:hint="default" w:eastAsia="宋体"/>
                <w:color w:val="auto"/>
                <w:sz w:val="24"/>
                <w:szCs w:val="24"/>
                <w:highlight w:val="none"/>
                <w:u w:val="none"/>
                <w:lang w:val="en-US" w:eastAsia="zh-CN"/>
              </w:rPr>
            </w:pPr>
            <w:r>
              <w:rPr>
                <w:rFonts w:hint="eastAsia"/>
                <w:color w:val="auto"/>
                <w:sz w:val="24"/>
                <w:szCs w:val="24"/>
                <w:highlight w:val="none"/>
                <w:u w:val="none"/>
              </w:rPr>
              <w:t>根据《社会区域类环境影响评价》（第三版）生活污水间接排放废水中 COD、BOD</w:t>
            </w:r>
            <w:r>
              <w:rPr>
                <w:rFonts w:hint="eastAsia"/>
                <w:color w:val="auto"/>
                <w:sz w:val="24"/>
                <w:szCs w:val="24"/>
                <w:highlight w:val="none"/>
                <w:u w:val="none"/>
                <w:vertAlign w:val="subscript"/>
              </w:rPr>
              <w:t>5</w:t>
            </w:r>
            <w:r>
              <w:rPr>
                <w:rFonts w:hint="eastAsia"/>
                <w:color w:val="auto"/>
                <w:sz w:val="24"/>
                <w:szCs w:val="24"/>
                <w:highlight w:val="none"/>
                <w:u w:val="none"/>
              </w:rPr>
              <w:t>、NH</w:t>
            </w:r>
            <w:r>
              <w:rPr>
                <w:rFonts w:hint="eastAsia"/>
                <w:color w:val="auto"/>
                <w:sz w:val="24"/>
                <w:szCs w:val="24"/>
                <w:highlight w:val="none"/>
                <w:u w:val="none"/>
                <w:vertAlign w:val="subscript"/>
              </w:rPr>
              <w:t>3</w:t>
            </w:r>
            <w:r>
              <w:rPr>
                <w:rFonts w:hint="eastAsia"/>
                <w:color w:val="auto"/>
                <w:sz w:val="24"/>
                <w:szCs w:val="24"/>
                <w:highlight w:val="none"/>
                <w:u w:val="none"/>
              </w:rPr>
              <w:t>-N、SS</w:t>
            </w:r>
            <w:r>
              <w:rPr>
                <w:rFonts w:hint="eastAsia"/>
                <w:color w:val="auto"/>
                <w:sz w:val="24"/>
                <w:szCs w:val="24"/>
                <w:highlight w:val="none"/>
                <w:u w:val="none"/>
                <w:lang w:eastAsia="zh-CN"/>
              </w:rPr>
              <w:t>浓度可知，污水排放能</w:t>
            </w:r>
            <w:r>
              <w:rPr>
                <w:rFonts w:hint="eastAsia"/>
                <w:color w:val="auto"/>
                <w:sz w:val="24"/>
                <w:szCs w:val="24"/>
                <w:highlight w:val="none"/>
                <w:u w:val="none"/>
              </w:rPr>
              <w:t>满足《污水综合排放标准》（GB8978-1996）表4中三级排放标准</w:t>
            </w:r>
            <w:r>
              <w:rPr>
                <w:rFonts w:hint="eastAsia"/>
                <w:color w:val="auto"/>
                <w:sz w:val="24"/>
                <w:szCs w:val="24"/>
                <w:highlight w:val="none"/>
                <w:u w:val="none"/>
                <w:lang w:eastAsia="zh-CN"/>
              </w:rPr>
              <w:t>。</w:t>
            </w:r>
            <w:r>
              <w:rPr>
                <w:rFonts w:hint="eastAsia"/>
                <w:color w:val="auto"/>
                <w:sz w:val="24"/>
                <w:szCs w:val="24"/>
                <w:highlight w:val="none"/>
                <w:u w:val="none"/>
              </w:rPr>
              <w:t>因此，本项目所有废水均能做到达标排放。</w:t>
            </w:r>
            <w:r>
              <w:rPr>
                <w:rFonts w:hint="eastAsia"/>
                <w:color w:val="auto"/>
                <w:sz w:val="24"/>
                <w:szCs w:val="24"/>
                <w:highlight w:val="none"/>
                <w:u w:val="none"/>
                <w:lang w:eastAsia="zh-CN"/>
              </w:rPr>
              <w:t>详见下表。</w:t>
            </w:r>
          </w:p>
          <w:p>
            <w:pPr>
              <w:pStyle w:val="2"/>
              <w:keepNext w:val="0"/>
              <w:keepLines w:val="0"/>
              <w:pageBreakBefore w:val="0"/>
              <w:widowControl w:val="0"/>
              <w:kinsoku/>
              <w:wordWrap/>
              <w:overflowPunct w:val="0"/>
              <w:topLinePunct w:val="0"/>
              <w:autoSpaceDE/>
              <w:autoSpaceDN/>
              <w:bidi w:val="0"/>
              <w:adjustRightInd/>
              <w:snapToGrid/>
              <w:spacing w:before="0" w:after="0" w:line="360" w:lineRule="auto"/>
              <w:ind w:right="0"/>
              <w:jc w:val="center"/>
              <w:textAlignment w:val="auto"/>
              <w:rPr>
                <w:rFonts w:hint="eastAsia" w:eastAsia="宋体"/>
                <w:b/>
                <w:bCs/>
                <w:color w:val="auto"/>
                <w:sz w:val="21"/>
                <w:szCs w:val="21"/>
                <w:u w:val="none"/>
                <w:lang w:eastAsia="zh-CN"/>
              </w:rPr>
            </w:pPr>
            <w:r>
              <w:rPr>
                <w:b/>
                <w:color w:val="auto"/>
                <w:kern w:val="2"/>
                <w:sz w:val="21"/>
                <w:szCs w:val="21"/>
                <w:u w:val="none"/>
              </w:rPr>
              <w:t>表4-</w:t>
            </w:r>
            <w:r>
              <w:rPr>
                <w:rFonts w:hint="eastAsia"/>
                <w:b/>
                <w:color w:val="auto"/>
                <w:kern w:val="2"/>
                <w:sz w:val="21"/>
                <w:szCs w:val="21"/>
                <w:u w:val="none"/>
                <w:lang w:val="en-US" w:eastAsia="zh-CN"/>
              </w:rPr>
              <w:t>11</w:t>
            </w:r>
            <w:r>
              <w:rPr>
                <w:rFonts w:hint="eastAsia"/>
                <w:b/>
                <w:color w:val="auto"/>
                <w:kern w:val="2"/>
                <w:sz w:val="21"/>
                <w:szCs w:val="21"/>
                <w:u w:val="none"/>
              </w:rPr>
              <w:t xml:space="preserve"> </w:t>
            </w:r>
            <w:r>
              <w:rPr>
                <w:rFonts w:hint="eastAsia"/>
                <w:b/>
                <w:color w:val="auto"/>
                <w:kern w:val="2"/>
                <w:sz w:val="21"/>
                <w:szCs w:val="21"/>
                <w:u w:val="none"/>
                <w:lang w:eastAsia="zh-CN"/>
              </w:rPr>
              <w:t>污水执行标准</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363"/>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3" w:type="pct"/>
                  <w:noWrap w:val="0"/>
                  <w:vAlign w:val="center"/>
                </w:tcPr>
                <w:p>
                  <w:pPr>
                    <w:overflowPunct w:val="0"/>
                    <w:jc w:val="center"/>
                    <w:rPr>
                      <w:rFonts w:hint="eastAsia" w:eastAsia="宋体"/>
                      <w:b/>
                      <w:color w:val="auto"/>
                      <w:sz w:val="21"/>
                      <w:szCs w:val="21"/>
                      <w:u w:val="none"/>
                      <w:lang w:eastAsia="zh-CN"/>
                    </w:rPr>
                  </w:pPr>
                  <w:r>
                    <w:rPr>
                      <w:rFonts w:hint="eastAsia"/>
                      <w:b/>
                      <w:color w:val="auto"/>
                      <w:sz w:val="21"/>
                      <w:szCs w:val="21"/>
                      <w:u w:val="none"/>
                      <w:lang w:eastAsia="zh-CN"/>
                    </w:rPr>
                    <w:t>项目</w:t>
                  </w:r>
                </w:p>
              </w:tc>
              <w:tc>
                <w:tcPr>
                  <w:tcW w:w="2595" w:type="pct"/>
                  <w:noWrap w:val="0"/>
                  <w:vAlign w:val="center"/>
                </w:tcPr>
                <w:p>
                  <w:pPr>
                    <w:overflowPunct w:val="0"/>
                    <w:jc w:val="center"/>
                    <w:rPr>
                      <w:rFonts w:hint="eastAsia" w:ascii="Times New Roman" w:hAnsi="Times New Roman" w:eastAsia="宋体" w:cs="Times New Roman"/>
                      <w:b/>
                      <w:color w:val="auto"/>
                      <w:sz w:val="21"/>
                      <w:szCs w:val="21"/>
                      <w:u w:val="none"/>
                      <w:lang w:eastAsia="zh-CN"/>
                    </w:rPr>
                  </w:pPr>
                  <w:r>
                    <w:rPr>
                      <w:rFonts w:hint="eastAsia" w:ascii="Times New Roman" w:hAnsi="Times New Roman" w:eastAsia="宋体" w:cs="Times New Roman"/>
                      <w:b/>
                      <w:color w:val="auto"/>
                      <w:sz w:val="21"/>
                      <w:szCs w:val="21"/>
                      <w:u w:val="none"/>
                      <w:lang w:eastAsia="zh-CN"/>
                    </w:rPr>
                    <w:t>《污水综合排放标准》（GB8978-1996）表4中三级排放标准（</w:t>
                  </w:r>
                  <w:r>
                    <w:rPr>
                      <w:rFonts w:hint="eastAsia" w:ascii="Times New Roman" w:hAnsi="Times New Roman" w:eastAsia="宋体" w:cs="Times New Roman"/>
                      <w:b/>
                      <w:color w:val="auto"/>
                      <w:sz w:val="21"/>
                      <w:szCs w:val="21"/>
                      <w:u w:val="none"/>
                      <w:lang w:val="en-US" w:eastAsia="zh-CN"/>
                    </w:rPr>
                    <w:t>mg/L</w:t>
                  </w:r>
                  <w:r>
                    <w:rPr>
                      <w:rFonts w:hint="eastAsia" w:ascii="Times New Roman" w:hAnsi="Times New Roman" w:eastAsia="宋体" w:cs="Times New Roman"/>
                      <w:b/>
                      <w:color w:val="auto"/>
                      <w:sz w:val="21"/>
                      <w:szCs w:val="21"/>
                      <w:u w:val="none"/>
                      <w:lang w:eastAsia="zh-CN"/>
                    </w:rPr>
                    <w:t>）</w:t>
                  </w:r>
                </w:p>
              </w:tc>
              <w:tc>
                <w:tcPr>
                  <w:tcW w:w="1810" w:type="pct"/>
                  <w:noWrap w:val="0"/>
                  <w:vAlign w:val="center"/>
                </w:tcPr>
                <w:p>
                  <w:pPr>
                    <w:overflowPunct w:val="0"/>
                    <w:jc w:val="center"/>
                    <w:rPr>
                      <w:rFonts w:hint="eastAsia" w:ascii="Times New Roman" w:hAnsi="Times New Roman" w:eastAsia="宋体" w:cs="Times New Roman"/>
                      <w:b/>
                      <w:color w:val="auto"/>
                      <w:sz w:val="21"/>
                      <w:szCs w:val="21"/>
                      <w:u w:val="none"/>
                      <w:lang w:eastAsia="zh-CN"/>
                    </w:rPr>
                  </w:pPr>
                  <w:r>
                    <w:rPr>
                      <w:rFonts w:hint="eastAsia" w:ascii="Times New Roman" w:hAnsi="Times New Roman" w:eastAsia="宋体" w:cs="Times New Roman"/>
                      <w:b/>
                      <w:color w:val="auto"/>
                      <w:sz w:val="21"/>
                      <w:szCs w:val="21"/>
                      <w:u w:val="none"/>
                      <w:lang w:eastAsia="zh-CN"/>
                    </w:rPr>
                    <w:t>本项目污水排放浓度（</w:t>
                  </w:r>
                  <w:r>
                    <w:rPr>
                      <w:rFonts w:hint="eastAsia" w:ascii="Times New Roman" w:hAnsi="Times New Roman" w:eastAsia="宋体" w:cs="Times New Roman"/>
                      <w:b/>
                      <w:color w:val="auto"/>
                      <w:sz w:val="21"/>
                      <w:szCs w:val="21"/>
                      <w:u w:val="none"/>
                      <w:lang w:val="en-US" w:eastAsia="zh-CN"/>
                    </w:rPr>
                    <w:t>mg/L</w:t>
                  </w:r>
                  <w:r>
                    <w:rPr>
                      <w:rFonts w:hint="eastAsia" w:ascii="Times New Roman" w:hAnsi="Times New Roman" w:eastAsia="宋体" w:cs="Times New Roman"/>
                      <w:b/>
                      <w:color w:val="auto"/>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noWrap w:val="0"/>
                  <w:vAlign w:val="center"/>
                </w:tcPr>
                <w:p>
                  <w:pPr>
                    <w:overflowPunct w:val="0"/>
                    <w:jc w:val="center"/>
                    <w:rPr>
                      <w:rFonts w:hint="eastAsia"/>
                      <w:color w:val="auto"/>
                      <w:sz w:val="21"/>
                      <w:szCs w:val="21"/>
                      <w:u w:val="none"/>
                      <w:lang w:eastAsia="zh-CN"/>
                    </w:rPr>
                  </w:pPr>
                  <w:r>
                    <w:rPr>
                      <w:color w:val="auto"/>
                      <w:sz w:val="21"/>
                      <w:szCs w:val="21"/>
                      <w:highlight w:val="none"/>
                      <w:u w:val="none"/>
                    </w:rPr>
                    <w:t>CODcr</w:t>
                  </w:r>
                </w:p>
              </w:tc>
              <w:tc>
                <w:tcPr>
                  <w:tcW w:w="2595"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500</w:t>
                  </w:r>
                </w:p>
              </w:tc>
              <w:tc>
                <w:tcPr>
                  <w:tcW w:w="1810" w:type="pct"/>
                  <w:noWrap w:val="0"/>
                  <w:vAlign w:val="center"/>
                </w:tcPr>
                <w:p>
                  <w:pPr>
                    <w:overflowPunct w:val="0"/>
                    <w:jc w:val="center"/>
                    <w:rPr>
                      <w:rFonts w:hint="eastAsia"/>
                      <w:color w:val="auto"/>
                      <w:kern w:val="2"/>
                      <w:sz w:val="21"/>
                      <w:szCs w:val="21"/>
                      <w:highlight w:val="yellow"/>
                      <w:u w:val="none"/>
                      <w:lang w:val="en-US" w:eastAsia="zh-CN" w:bidi="ar-SA"/>
                    </w:rPr>
                  </w:pPr>
                  <w:r>
                    <w:rPr>
                      <w:rFonts w:hint="eastAsia"/>
                      <w:color w:val="auto"/>
                      <w:sz w:val="21"/>
                      <w:szCs w:val="21"/>
                      <w:highlight w:val="none"/>
                      <w:u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noWrap w:val="0"/>
                  <w:vAlign w:val="center"/>
                </w:tcPr>
                <w:p>
                  <w:pPr>
                    <w:overflowPunct w:val="0"/>
                    <w:jc w:val="center"/>
                    <w:rPr>
                      <w:rFonts w:hint="eastAsia"/>
                      <w:color w:val="auto"/>
                      <w:sz w:val="21"/>
                      <w:szCs w:val="21"/>
                      <w:u w:val="none"/>
                      <w:lang w:eastAsia="zh-CN"/>
                    </w:rPr>
                  </w:pPr>
                  <w:r>
                    <w:rPr>
                      <w:color w:val="auto"/>
                      <w:sz w:val="21"/>
                      <w:szCs w:val="21"/>
                      <w:highlight w:val="none"/>
                      <w:u w:val="none"/>
                    </w:rPr>
                    <w:t>BOD</w:t>
                  </w:r>
                  <w:r>
                    <w:rPr>
                      <w:color w:val="auto"/>
                      <w:sz w:val="21"/>
                      <w:szCs w:val="21"/>
                      <w:highlight w:val="none"/>
                      <w:u w:val="none"/>
                      <w:vertAlign w:val="subscript"/>
                    </w:rPr>
                    <w:t>5</w:t>
                  </w:r>
                </w:p>
              </w:tc>
              <w:tc>
                <w:tcPr>
                  <w:tcW w:w="2595"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300</w:t>
                  </w:r>
                </w:p>
              </w:tc>
              <w:tc>
                <w:tcPr>
                  <w:tcW w:w="1810" w:type="pct"/>
                  <w:noWrap w:val="0"/>
                  <w:vAlign w:val="center"/>
                </w:tcPr>
                <w:p>
                  <w:pPr>
                    <w:overflowPunct w:val="0"/>
                    <w:jc w:val="center"/>
                    <w:rPr>
                      <w:rFonts w:hint="eastAsia"/>
                      <w:color w:val="auto"/>
                      <w:kern w:val="2"/>
                      <w:sz w:val="21"/>
                      <w:szCs w:val="21"/>
                      <w:highlight w:val="yellow"/>
                      <w:u w:val="none"/>
                      <w:lang w:val="en-US" w:eastAsia="zh-CN" w:bidi="ar-SA"/>
                    </w:rPr>
                  </w:pPr>
                  <w:r>
                    <w:rPr>
                      <w:rFonts w:hint="eastAsia"/>
                      <w:color w:val="auto"/>
                      <w:sz w:val="21"/>
                      <w:szCs w:val="21"/>
                      <w:highlight w:val="none"/>
                      <w:u w:val="no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noWrap w:val="0"/>
                  <w:vAlign w:val="center"/>
                </w:tcPr>
                <w:p>
                  <w:pPr>
                    <w:overflowPunct w:val="0"/>
                    <w:jc w:val="center"/>
                    <w:rPr>
                      <w:rFonts w:hint="eastAsia"/>
                      <w:color w:val="auto"/>
                      <w:sz w:val="21"/>
                      <w:szCs w:val="21"/>
                      <w:u w:val="none"/>
                      <w:lang w:eastAsia="zh-CN"/>
                    </w:rPr>
                  </w:pPr>
                  <w:r>
                    <w:rPr>
                      <w:color w:val="auto"/>
                      <w:sz w:val="21"/>
                      <w:szCs w:val="21"/>
                      <w:highlight w:val="none"/>
                      <w:u w:val="none"/>
                    </w:rPr>
                    <w:t>SS</w:t>
                  </w:r>
                </w:p>
              </w:tc>
              <w:tc>
                <w:tcPr>
                  <w:tcW w:w="2595" w:type="pct"/>
                  <w:noWrap w:val="0"/>
                  <w:vAlign w:val="center"/>
                </w:tcPr>
                <w:p>
                  <w:pPr>
                    <w:overflowPunct w:val="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400</w:t>
                  </w:r>
                </w:p>
              </w:tc>
              <w:tc>
                <w:tcPr>
                  <w:tcW w:w="1810" w:type="pct"/>
                  <w:noWrap w:val="0"/>
                  <w:vAlign w:val="center"/>
                </w:tcPr>
                <w:p>
                  <w:pPr>
                    <w:overflowPunct w:val="0"/>
                    <w:jc w:val="center"/>
                    <w:rPr>
                      <w:rFonts w:hint="eastAsia"/>
                      <w:color w:val="auto"/>
                      <w:kern w:val="2"/>
                      <w:sz w:val="21"/>
                      <w:szCs w:val="21"/>
                      <w:highlight w:val="yellow"/>
                      <w:u w:val="none"/>
                      <w:lang w:val="en-US" w:eastAsia="zh-CN" w:bidi="ar-SA"/>
                    </w:rPr>
                  </w:pPr>
                  <w:r>
                    <w:rPr>
                      <w:rFonts w:hint="eastAsia"/>
                      <w:color w:val="auto"/>
                      <w:sz w:val="21"/>
                      <w:szCs w:val="21"/>
                      <w:highlight w:val="none"/>
                      <w:u w:val="none"/>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noWrap w:val="0"/>
                  <w:vAlign w:val="center"/>
                </w:tcPr>
                <w:p>
                  <w:pPr>
                    <w:overflowPunct w:val="0"/>
                    <w:jc w:val="center"/>
                    <w:rPr>
                      <w:rFonts w:hint="eastAsia"/>
                      <w:color w:val="auto"/>
                      <w:sz w:val="21"/>
                      <w:szCs w:val="21"/>
                      <w:u w:val="none"/>
                      <w:lang w:eastAsia="zh-CN"/>
                    </w:rPr>
                  </w:pPr>
                  <w:r>
                    <w:rPr>
                      <w:color w:val="auto"/>
                      <w:sz w:val="21"/>
                      <w:szCs w:val="21"/>
                      <w:highlight w:val="none"/>
                      <w:u w:val="none"/>
                    </w:rPr>
                    <w:t>NH</w:t>
                  </w:r>
                  <w:r>
                    <w:rPr>
                      <w:color w:val="auto"/>
                      <w:sz w:val="21"/>
                      <w:szCs w:val="21"/>
                      <w:highlight w:val="none"/>
                      <w:u w:val="none"/>
                      <w:vertAlign w:val="subscript"/>
                    </w:rPr>
                    <w:t>3</w:t>
                  </w:r>
                  <w:r>
                    <w:rPr>
                      <w:color w:val="auto"/>
                      <w:sz w:val="21"/>
                      <w:szCs w:val="21"/>
                      <w:highlight w:val="none"/>
                      <w:u w:val="none"/>
                    </w:rPr>
                    <w:t xml:space="preserve">-H </w:t>
                  </w:r>
                </w:p>
              </w:tc>
              <w:tc>
                <w:tcPr>
                  <w:tcW w:w="2595" w:type="pct"/>
                  <w:noWrap w:val="0"/>
                  <w:vAlign w:val="center"/>
                </w:tcPr>
                <w:p>
                  <w:pPr>
                    <w:overflowPunct w:val="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1810" w:type="pct"/>
                  <w:noWrap w:val="0"/>
                  <w:vAlign w:val="center"/>
                </w:tcPr>
                <w:p>
                  <w:pPr>
                    <w:overflowPunct w:val="0"/>
                    <w:jc w:val="center"/>
                    <w:rPr>
                      <w:rFonts w:hint="eastAsia"/>
                      <w:color w:val="auto"/>
                      <w:kern w:val="2"/>
                      <w:sz w:val="21"/>
                      <w:szCs w:val="21"/>
                      <w:highlight w:val="yellow"/>
                      <w:u w:val="none"/>
                      <w:lang w:val="en-US" w:eastAsia="zh-CN" w:bidi="ar-SA"/>
                    </w:rPr>
                  </w:pPr>
                  <w:r>
                    <w:rPr>
                      <w:rFonts w:hint="eastAsia"/>
                      <w:color w:val="auto"/>
                      <w:sz w:val="21"/>
                      <w:szCs w:val="21"/>
                      <w:highlight w:val="none"/>
                      <w:u w:val="none"/>
                      <w:lang w:val="en-US" w:eastAsia="zh-CN"/>
                    </w:rPr>
                    <w:t>30</w:t>
                  </w:r>
                </w:p>
              </w:tc>
            </w:tr>
          </w:tbl>
          <w:p>
            <w:pPr>
              <w:pStyle w:val="2"/>
              <w:overflowPunct w:val="0"/>
              <w:spacing w:before="0" w:after="0" w:line="360" w:lineRule="auto"/>
              <w:ind w:right="0" w:firstLine="480" w:firstLineChars="200"/>
              <w:rPr>
                <w:b/>
                <w:bCs/>
                <w:color w:val="auto"/>
                <w:sz w:val="24"/>
                <w:szCs w:val="24"/>
                <w:highlight w:val="none"/>
                <w:u w:val="none"/>
              </w:rPr>
            </w:pPr>
            <w:r>
              <w:rPr>
                <w:rFonts w:hint="eastAsia"/>
                <w:color w:val="auto"/>
                <w:sz w:val="24"/>
                <w:szCs w:val="24"/>
                <w:u w:val="none"/>
              </w:rPr>
              <w:t>通过实地调查，项目所在区域污水管网已与新田县污水处理厂联通，且本项目位于该污水处理厂的纳污范围，故评价认为，在采取本项目采取的措施加以处理后，项目污水能够满足达标排放要求，项目废水处理措施可行。</w:t>
            </w:r>
          </w:p>
          <w:p>
            <w:pPr>
              <w:pStyle w:val="2"/>
              <w:overflowPunct w:val="0"/>
              <w:spacing w:before="0" w:after="0" w:line="360" w:lineRule="auto"/>
              <w:ind w:right="0" w:firstLine="482" w:firstLineChars="200"/>
              <w:rPr>
                <w:color w:val="auto"/>
                <w:sz w:val="24"/>
                <w:szCs w:val="24"/>
                <w:u w:val="none"/>
              </w:rPr>
            </w:pPr>
            <w:r>
              <w:rPr>
                <w:rFonts w:hint="eastAsia"/>
                <w:b/>
                <w:bCs/>
                <w:color w:val="auto"/>
                <w:sz w:val="24"/>
                <w:u w:val="none"/>
                <w:lang w:eastAsia="zh-CN"/>
              </w:rPr>
              <w:t>（</w:t>
            </w:r>
            <w:r>
              <w:rPr>
                <w:rFonts w:hint="eastAsia"/>
                <w:b/>
                <w:bCs/>
                <w:color w:val="auto"/>
                <w:sz w:val="24"/>
                <w:u w:val="none"/>
                <w:lang w:val="en-US" w:eastAsia="zh-CN"/>
              </w:rPr>
              <w:t>3</w:t>
            </w:r>
            <w:r>
              <w:rPr>
                <w:rFonts w:hint="eastAsia"/>
                <w:b/>
                <w:bCs/>
                <w:color w:val="auto"/>
                <w:sz w:val="24"/>
                <w:u w:val="none"/>
                <w:lang w:eastAsia="zh-CN"/>
              </w:rPr>
              <w:t>）</w:t>
            </w:r>
            <w:r>
              <w:rPr>
                <w:rFonts w:hint="eastAsia"/>
                <w:b/>
                <w:bCs/>
                <w:color w:val="auto"/>
                <w:sz w:val="24"/>
                <w:szCs w:val="24"/>
                <w:u w:val="none"/>
              </w:rPr>
              <w:t>间接排放依托可行性分析</w:t>
            </w:r>
          </w:p>
          <w:p>
            <w:pPr>
              <w:pStyle w:val="2"/>
              <w:overflowPunct w:val="0"/>
              <w:spacing w:before="0" w:after="0" w:line="360" w:lineRule="auto"/>
              <w:ind w:right="0" w:firstLine="480" w:firstLineChars="200"/>
              <w:rPr>
                <w:rFonts w:hint="eastAsia" w:eastAsia="宋体"/>
                <w:b w:val="0"/>
                <w:bCs w:val="0"/>
                <w:color w:val="auto"/>
                <w:sz w:val="24"/>
                <w:u w:val="none"/>
                <w:lang w:eastAsia="zh-CN"/>
              </w:rPr>
            </w:pPr>
            <w:r>
              <w:rPr>
                <w:rFonts w:hint="eastAsia" w:eastAsia="宋体"/>
                <w:b w:val="0"/>
                <w:bCs w:val="0"/>
                <w:color w:val="auto"/>
                <w:sz w:val="24"/>
                <w:u w:val="none"/>
                <w:lang w:eastAsia="zh-CN"/>
              </w:rPr>
              <w:t>新田县污水处理厂中心位于新田县龙泉镇木山塘村，厂址总占23400m</w:t>
            </w:r>
            <w:r>
              <w:rPr>
                <w:rFonts w:hint="eastAsia" w:eastAsia="宋体"/>
                <w:b w:val="0"/>
                <w:bCs w:val="0"/>
                <w:color w:val="auto"/>
                <w:sz w:val="24"/>
                <w:u w:val="none"/>
                <w:vertAlign w:val="superscript"/>
                <w:lang w:eastAsia="zh-CN"/>
              </w:rPr>
              <w:t>2</w:t>
            </w:r>
            <w:r>
              <w:rPr>
                <w:rFonts w:hint="eastAsia" w:eastAsia="宋体"/>
                <w:b w:val="0"/>
                <w:bCs w:val="0"/>
                <w:color w:val="auto"/>
                <w:sz w:val="24"/>
                <w:u w:val="none"/>
                <w:lang w:eastAsia="zh-CN"/>
              </w:rPr>
              <w:t>。设计污水处理规模为2万t/d，污水处理工艺为：粗格栅及提升泵站+细格栅及旋流沉砂池+CASS池+高效沉淀池+紫外光消毒池，污水处理达到《城镇污水处理厂污染物排放标准》(GB18918-2002)一级A标准后排入新田河。</w:t>
            </w:r>
          </w:p>
          <w:p>
            <w:pPr>
              <w:pStyle w:val="2"/>
              <w:overflowPunct w:val="0"/>
              <w:spacing w:before="0" w:after="0" w:line="360" w:lineRule="auto"/>
              <w:ind w:right="0" w:firstLine="480" w:firstLineChars="200"/>
              <w:rPr>
                <w:rFonts w:hint="eastAsia" w:eastAsia="宋体"/>
                <w:b w:val="0"/>
                <w:bCs w:val="0"/>
                <w:color w:val="auto"/>
                <w:sz w:val="24"/>
                <w:u w:val="none"/>
                <w:lang w:eastAsia="zh-CN"/>
              </w:rPr>
            </w:pPr>
            <w:r>
              <w:rPr>
                <w:rFonts w:hint="eastAsia" w:eastAsia="宋体"/>
                <w:b w:val="0"/>
                <w:bCs w:val="0"/>
                <w:color w:val="auto"/>
                <w:sz w:val="24"/>
                <w:u w:val="none"/>
                <w:lang w:eastAsia="zh-CN"/>
              </w:rPr>
              <w:t>根据新田县工业园管理委员会介绍，目前本项目所在工业园已完成污水管网铺设，项目建成后，污水能进入新田县污水处理厂。</w:t>
            </w:r>
          </w:p>
          <w:p>
            <w:pPr>
              <w:pStyle w:val="2"/>
              <w:overflowPunct w:val="0"/>
              <w:spacing w:before="0" w:after="0" w:line="360" w:lineRule="auto"/>
              <w:ind w:right="0" w:firstLine="480" w:firstLineChars="200"/>
              <w:rPr>
                <w:rFonts w:hint="eastAsia" w:eastAsia="宋体"/>
                <w:b w:val="0"/>
                <w:bCs w:val="0"/>
                <w:color w:val="auto"/>
                <w:sz w:val="24"/>
                <w:highlight w:val="none"/>
                <w:u w:val="none"/>
                <w:lang w:eastAsia="zh-CN"/>
              </w:rPr>
            </w:pPr>
            <w:r>
              <w:rPr>
                <w:rFonts w:hint="eastAsia" w:eastAsia="宋体"/>
                <w:b w:val="0"/>
                <w:bCs w:val="0"/>
                <w:color w:val="auto"/>
                <w:sz w:val="24"/>
                <w:u w:val="none"/>
                <w:lang w:eastAsia="zh-CN"/>
              </w:rPr>
              <w:t>本项目建成后生活污水排放量为</w:t>
            </w:r>
            <w:r>
              <w:rPr>
                <w:rFonts w:hint="eastAsia"/>
                <w:b w:val="0"/>
                <w:bCs w:val="0"/>
                <w:color w:val="auto"/>
                <w:sz w:val="24"/>
                <w:u w:val="none"/>
                <w:lang w:val="en-US" w:eastAsia="zh-CN"/>
              </w:rPr>
              <w:t>360</w:t>
            </w:r>
            <w:r>
              <w:rPr>
                <w:rFonts w:hint="eastAsia" w:eastAsia="宋体"/>
                <w:b w:val="0"/>
                <w:bCs w:val="0"/>
                <w:color w:val="auto"/>
                <w:sz w:val="24"/>
                <w:u w:val="none"/>
                <w:lang w:eastAsia="zh-CN"/>
              </w:rPr>
              <w:t>t/a，污</w:t>
            </w:r>
            <w:r>
              <w:rPr>
                <w:rFonts w:hint="eastAsia" w:eastAsia="宋体"/>
                <w:b w:val="0"/>
                <w:bCs w:val="0"/>
                <w:color w:val="auto"/>
                <w:sz w:val="24"/>
                <w:highlight w:val="none"/>
                <w:u w:val="none"/>
                <w:lang w:eastAsia="zh-CN"/>
              </w:rPr>
              <w:t>水排放量较小，仅占新田县污水处理厂实际日处理规模的</w:t>
            </w:r>
            <w:r>
              <w:rPr>
                <w:rFonts w:hint="eastAsia"/>
                <w:b w:val="0"/>
                <w:bCs w:val="0"/>
                <w:color w:val="auto"/>
                <w:sz w:val="24"/>
                <w:highlight w:val="none"/>
                <w:u w:val="none"/>
                <w:lang w:val="en-US" w:eastAsia="zh-CN"/>
              </w:rPr>
              <w:t>1.8</w:t>
            </w:r>
            <w:r>
              <w:rPr>
                <w:rFonts w:hint="eastAsia" w:eastAsia="宋体"/>
                <w:b w:val="0"/>
                <w:bCs w:val="0"/>
                <w:color w:val="auto"/>
                <w:sz w:val="24"/>
                <w:highlight w:val="none"/>
                <w:u w:val="none"/>
                <w:lang w:eastAsia="zh-CN"/>
              </w:rPr>
              <w:t>%，对新田县污水处理厂不会产生较大的处理负荷。</w:t>
            </w:r>
          </w:p>
          <w:p>
            <w:pPr>
              <w:pStyle w:val="2"/>
              <w:overflowPunct w:val="0"/>
              <w:snapToGrid/>
              <w:spacing w:before="0" w:after="0" w:line="360" w:lineRule="auto"/>
              <w:ind w:right="0"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eastAsia="zh-CN"/>
              </w:rPr>
              <w:t>综上所述，项目不直接对外排放废水，且其间接排放具备接管可行性，因此项目营运期废水对水环境影响较小。</w:t>
            </w:r>
          </w:p>
          <w:p>
            <w:pPr>
              <w:pStyle w:val="2"/>
              <w:overflowPunct w:val="0"/>
              <w:spacing w:before="0" w:after="0" w:line="360" w:lineRule="auto"/>
              <w:ind w:right="0" w:firstLine="482" w:firstLineChars="200"/>
              <w:rPr>
                <w:color w:val="auto"/>
                <w:sz w:val="24"/>
                <w:szCs w:val="24"/>
                <w:highlight w:val="none"/>
                <w:u w:val="none"/>
              </w:rPr>
            </w:pPr>
            <w:r>
              <w:rPr>
                <w:rFonts w:hint="eastAsia"/>
                <w:b/>
                <w:bCs/>
                <w:color w:val="auto"/>
                <w:sz w:val="24"/>
                <w:highlight w:val="none"/>
                <w:u w:val="none"/>
                <w:lang w:eastAsia="zh-CN"/>
              </w:rPr>
              <w:t>（</w:t>
            </w:r>
            <w:r>
              <w:rPr>
                <w:rFonts w:hint="eastAsia"/>
                <w:b/>
                <w:bCs/>
                <w:color w:val="auto"/>
                <w:sz w:val="24"/>
                <w:highlight w:val="none"/>
                <w:u w:val="none"/>
                <w:lang w:val="en-US" w:eastAsia="zh-CN"/>
              </w:rPr>
              <w:t>4</w:t>
            </w:r>
            <w:r>
              <w:rPr>
                <w:rFonts w:hint="eastAsia"/>
                <w:b/>
                <w:bCs/>
                <w:color w:val="auto"/>
                <w:sz w:val="24"/>
                <w:highlight w:val="none"/>
                <w:u w:val="none"/>
                <w:lang w:eastAsia="zh-CN"/>
              </w:rPr>
              <w:t>）废水</w:t>
            </w:r>
            <w:r>
              <w:rPr>
                <w:rFonts w:hint="eastAsia"/>
                <w:b/>
                <w:bCs/>
                <w:color w:val="auto"/>
                <w:sz w:val="24"/>
                <w:szCs w:val="24"/>
                <w:highlight w:val="none"/>
                <w:u w:val="none"/>
              </w:rPr>
              <w:t>监测计划</w:t>
            </w:r>
          </w:p>
          <w:p>
            <w:pPr>
              <w:pStyle w:val="2"/>
              <w:overflowPunct w:val="0"/>
              <w:snapToGrid/>
              <w:spacing w:before="0" w:after="0" w:line="360" w:lineRule="auto"/>
              <w:ind w:right="0"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eastAsia="zh-CN"/>
              </w:rPr>
              <w:t>根据《排污单位自行监测技术指南 总则》（HJ 819-2017）、《排污许可证申请与核发技术规范 总则》（HJ 942-2018）建议项目运营期废水污染源监测计划如下表。</w:t>
            </w:r>
          </w:p>
          <w:p>
            <w:pPr>
              <w:overflowPunct w:val="0"/>
              <w:adjustRightInd w:val="0"/>
              <w:snapToGrid w:val="0"/>
              <w:jc w:val="center"/>
              <w:rPr>
                <w:b/>
                <w:bCs/>
                <w:snapToGrid w:val="0"/>
                <w:color w:val="auto"/>
                <w:kern w:val="0"/>
                <w:szCs w:val="21"/>
                <w:highlight w:val="none"/>
                <w:u w:val="none"/>
              </w:rPr>
            </w:pPr>
            <w:r>
              <w:rPr>
                <w:b/>
                <w:bCs/>
                <w:snapToGrid w:val="0"/>
                <w:color w:val="auto"/>
                <w:kern w:val="0"/>
                <w:szCs w:val="21"/>
                <w:highlight w:val="none"/>
                <w:u w:val="none"/>
              </w:rPr>
              <w:t>表4-1</w:t>
            </w:r>
            <w:r>
              <w:rPr>
                <w:rFonts w:hint="eastAsia"/>
                <w:b/>
                <w:bCs/>
                <w:snapToGrid w:val="0"/>
                <w:color w:val="auto"/>
                <w:kern w:val="0"/>
                <w:szCs w:val="21"/>
                <w:highlight w:val="none"/>
                <w:u w:val="none"/>
                <w:lang w:val="en-US" w:eastAsia="zh-CN"/>
              </w:rPr>
              <w:t>2</w:t>
            </w:r>
            <w:r>
              <w:rPr>
                <w:b/>
                <w:bCs/>
                <w:snapToGrid w:val="0"/>
                <w:color w:val="auto"/>
                <w:kern w:val="0"/>
                <w:szCs w:val="21"/>
                <w:highlight w:val="none"/>
                <w:u w:val="none"/>
              </w:rPr>
              <w:t xml:space="preserve">  </w:t>
            </w:r>
            <w:r>
              <w:rPr>
                <w:rFonts w:hint="eastAsia"/>
                <w:b/>
                <w:bCs/>
                <w:snapToGrid w:val="0"/>
                <w:color w:val="auto"/>
                <w:kern w:val="0"/>
                <w:szCs w:val="21"/>
                <w:highlight w:val="none"/>
                <w:u w:val="none"/>
                <w:lang w:eastAsia="zh-CN"/>
              </w:rPr>
              <w:t>废水</w:t>
            </w:r>
            <w:r>
              <w:rPr>
                <w:b/>
                <w:bCs/>
                <w:snapToGrid w:val="0"/>
                <w:color w:val="auto"/>
                <w:kern w:val="0"/>
                <w:szCs w:val="21"/>
                <w:highlight w:val="none"/>
                <w:u w:val="none"/>
              </w:rPr>
              <w:t>环境监测计划</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05"/>
              <w:gridCol w:w="1856"/>
              <w:gridCol w:w="1221"/>
              <w:gridCol w:w="4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6"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Cs w:val="21"/>
                      <w:highlight w:val="none"/>
                      <w:u w:val="single"/>
                    </w:rPr>
                  </w:pPr>
                  <w:r>
                    <w:rPr>
                      <w:rFonts w:eastAsia="宋体" w:cs="Times New Roman"/>
                      <w:b/>
                      <w:bCs/>
                      <w:snapToGrid w:val="0"/>
                      <w:color w:val="auto"/>
                      <w:kern w:val="0"/>
                      <w:szCs w:val="21"/>
                      <w:highlight w:val="none"/>
                      <w:u w:val="single"/>
                    </w:rPr>
                    <w:t>监测位置</w:t>
                  </w:r>
                </w:p>
              </w:tc>
              <w:tc>
                <w:tcPr>
                  <w:tcW w:w="1104" w:type="pct"/>
                  <w:noWrap w:val="0"/>
                  <w:vAlign w:val="center"/>
                </w:tcPr>
                <w:p>
                  <w:pPr>
                    <w:pStyle w:val="36"/>
                    <w:overflowPunct w:val="0"/>
                    <w:adjustRightInd w:val="0"/>
                    <w:snapToGrid w:val="0"/>
                    <w:ind w:firstLine="0" w:firstLineChars="0"/>
                    <w:jc w:val="center"/>
                    <w:rPr>
                      <w:rFonts w:hint="eastAsia" w:eastAsia="宋体" w:cs="Times New Roman"/>
                      <w:b/>
                      <w:bCs/>
                      <w:snapToGrid w:val="0"/>
                      <w:color w:val="auto"/>
                      <w:kern w:val="0"/>
                      <w:szCs w:val="21"/>
                      <w:highlight w:val="none"/>
                      <w:u w:val="single"/>
                      <w:lang w:eastAsia="zh-CN"/>
                    </w:rPr>
                  </w:pPr>
                  <w:r>
                    <w:rPr>
                      <w:rFonts w:eastAsia="宋体" w:cs="Times New Roman"/>
                      <w:b/>
                      <w:bCs/>
                      <w:snapToGrid w:val="0"/>
                      <w:color w:val="auto"/>
                      <w:kern w:val="0"/>
                      <w:szCs w:val="21"/>
                      <w:highlight w:val="none"/>
                      <w:u w:val="single"/>
                    </w:rPr>
                    <w:t>监测</w:t>
                  </w:r>
                  <w:r>
                    <w:rPr>
                      <w:rFonts w:hint="eastAsia" w:eastAsia="宋体" w:cs="Times New Roman"/>
                      <w:b/>
                      <w:bCs/>
                      <w:snapToGrid w:val="0"/>
                      <w:color w:val="auto"/>
                      <w:kern w:val="0"/>
                      <w:szCs w:val="21"/>
                      <w:highlight w:val="none"/>
                      <w:u w:val="single"/>
                      <w:lang w:eastAsia="zh-CN"/>
                    </w:rPr>
                    <w:t>因子</w:t>
                  </w:r>
                </w:p>
              </w:tc>
              <w:tc>
                <w:tcPr>
                  <w:tcW w:w="726"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Cs w:val="21"/>
                      <w:highlight w:val="none"/>
                      <w:u w:val="single"/>
                    </w:rPr>
                  </w:pPr>
                  <w:r>
                    <w:rPr>
                      <w:rFonts w:eastAsia="宋体" w:cs="Times New Roman"/>
                      <w:b/>
                      <w:bCs/>
                      <w:snapToGrid w:val="0"/>
                      <w:color w:val="auto"/>
                      <w:kern w:val="0"/>
                      <w:szCs w:val="21"/>
                      <w:highlight w:val="none"/>
                      <w:u w:val="single"/>
                    </w:rPr>
                    <w:t>监测频次</w:t>
                  </w:r>
                </w:p>
              </w:tc>
              <w:tc>
                <w:tcPr>
                  <w:tcW w:w="2392"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Cs w:val="21"/>
                      <w:highlight w:val="none"/>
                      <w:u w:val="single"/>
                    </w:rPr>
                  </w:pPr>
                  <w:r>
                    <w:rPr>
                      <w:rFonts w:eastAsia="宋体" w:cs="Times New Roman"/>
                      <w:b/>
                      <w:bCs/>
                      <w:snapToGrid w:val="0"/>
                      <w:color w:val="auto"/>
                      <w:kern w:val="0"/>
                      <w:szCs w:val="21"/>
                      <w:highlight w:val="none"/>
                      <w:u w:val="singl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6" w:type="pct"/>
                  <w:noWrap w:val="0"/>
                  <w:vAlign w:val="center"/>
                </w:tcPr>
                <w:p>
                  <w:pPr>
                    <w:pStyle w:val="36"/>
                    <w:overflowPunct w:val="0"/>
                    <w:adjustRightInd w:val="0"/>
                    <w:snapToGrid w:val="0"/>
                    <w:ind w:firstLine="0" w:firstLineChars="0"/>
                    <w:jc w:val="center"/>
                    <w:rPr>
                      <w:rFonts w:hint="eastAsia" w:eastAsia="宋体" w:cs="Times New Roman"/>
                      <w:snapToGrid w:val="0"/>
                      <w:color w:val="auto"/>
                      <w:kern w:val="0"/>
                      <w:sz w:val="21"/>
                      <w:szCs w:val="21"/>
                      <w:highlight w:val="none"/>
                      <w:u w:val="single"/>
                      <w:lang w:eastAsia="zh-CN"/>
                    </w:rPr>
                  </w:pPr>
                  <w:r>
                    <w:rPr>
                      <w:rFonts w:hint="eastAsia" w:eastAsia="宋体" w:cs="Times New Roman"/>
                      <w:snapToGrid w:val="0"/>
                      <w:color w:val="auto"/>
                      <w:kern w:val="0"/>
                      <w:sz w:val="21"/>
                      <w:szCs w:val="21"/>
                      <w:highlight w:val="none"/>
                      <w:u w:val="single"/>
                      <w:lang w:eastAsia="zh-CN"/>
                    </w:rPr>
                    <w:t>化粪池</w:t>
                  </w:r>
                </w:p>
              </w:tc>
              <w:tc>
                <w:tcPr>
                  <w:tcW w:w="1104" w:type="pct"/>
                  <w:noWrap w:val="0"/>
                  <w:vAlign w:val="center"/>
                </w:tcPr>
                <w:p>
                  <w:pPr>
                    <w:pStyle w:val="12"/>
                    <w:overflowPunct w:val="0"/>
                    <w:adjustRightInd w:val="0"/>
                    <w:snapToGrid w:val="0"/>
                    <w:spacing w:after="0"/>
                    <w:ind w:firstLine="0" w:firstLineChars="0"/>
                    <w:jc w:val="center"/>
                    <w:rPr>
                      <w:snapToGrid w:val="0"/>
                      <w:color w:val="auto"/>
                      <w:kern w:val="0"/>
                      <w:sz w:val="21"/>
                      <w:szCs w:val="21"/>
                      <w:highlight w:val="none"/>
                      <w:u w:val="single"/>
                    </w:rPr>
                  </w:pPr>
                  <w:r>
                    <w:rPr>
                      <w:rFonts w:hint="eastAsia"/>
                      <w:snapToGrid w:val="0"/>
                      <w:color w:val="auto"/>
                      <w:kern w:val="0"/>
                      <w:sz w:val="21"/>
                      <w:szCs w:val="21"/>
                      <w:highlight w:val="none"/>
                      <w:u w:val="single"/>
                    </w:rPr>
                    <w:t>COD、BOD</w:t>
                  </w:r>
                  <w:r>
                    <w:rPr>
                      <w:rFonts w:hint="eastAsia"/>
                      <w:snapToGrid w:val="0"/>
                      <w:color w:val="auto"/>
                      <w:kern w:val="0"/>
                      <w:sz w:val="21"/>
                      <w:szCs w:val="21"/>
                      <w:highlight w:val="none"/>
                      <w:u w:val="single"/>
                      <w:vertAlign w:val="subscript"/>
                    </w:rPr>
                    <w:t>5</w:t>
                  </w:r>
                  <w:r>
                    <w:rPr>
                      <w:rFonts w:hint="eastAsia"/>
                      <w:snapToGrid w:val="0"/>
                      <w:color w:val="auto"/>
                      <w:kern w:val="0"/>
                      <w:sz w:val="21"/>
                      <w:szCs w:val="21"/>
                      <w:highlight w:val="none"/>
                      <w:u w:val="single"/>
                    </w:rPr>
                    <w:t>、NH</w:t>
                  </w:r>
                  <w:r>
                    <w:rPr>
                      <w:rFonts w:hint="eastAsia"/>
                      <w:snapToGrid w:val="0"/>
                      <w:color w:val="auto"/>
                      <w:kern w:val="0"/>
                      <w:sz w:val="21"/>
                      <w:szCs w:val="21"/>
                      <w:highlight w:val="none"/>
                      <w:u w:val="single"/>
                      <w:vertAlign w:val="subscript"/>
                    </w:rPr>
                    <w:t>3</w:t>
                  </w:r>
                  <w:r>
                    <w:rPr>
                      <w:rFonts w:hint="eastAsia"/>
                      <w:snapToGrid w:val="0"/>
                      <w:color w:val="auto"/>
                      <w:kern w:val="0"/>
                      <w:sz w:val="21"/>
                      <w:szCs w:val="21"/>
                      <w:highlight w:val="none"/>
                      <w:u w:val="single"/>
                    </w:rPr>
                    <w:t>-N、SS</w:t>
                  </w:r>
                </w:p>
              </w:tc>
              <w:tc>
                <w:tcPr>
                  <w:tcW w:w="726"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single"/>
                    </w:rPr>
                  </w:pPr>
                  <w:r>
                    <w:rPr>
                      <w:rFonts w:hint="eastAsia" w:eastAsia="宋体" w:cs="Times New Roman"/>
                      <w:bCs/>
                      <w:color w:val="auto"/>
                      <w:sz w:val="21"/>
                      <w:szCs w:val="21"/>
                      <w:highlight w:val="none"/>
                      <w:u w:val="single"/>
                    </w:rPr>
                    <w:t>1 次/年</w:t>
                  </w:r>
                </w:p>
              </w:tc>
              <w:tc>
                <w:tcPr>
                  <w:tcW w:w="2392"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single"/>
                    </w:rPr>
                  </w:pPr>
                  <w:r>
                    <w:rPr>
                      <w:rFonts w:hint="eastAsia" w:eastAsia="宋体" w:cs="Times New Roman"/>
                      <w:snapToGrid w:val="0"/>
                      <w:color w:val="auto"/>
                      <w:kern w:val="0"/>
                      <w:sz w:val="21"/>
                      <w:szCs w:val="21"/>
                      <w:highlight w:val="none"/>
                      <w:u w:val="single"/>
                    </w:rPr>
                    <w:t>《污水综合排放标准》（GB8978-1996）表4中三级排放标准</w:t>
                  </w:r>
                </w:p>
              </w:tc>
            </w:tr>
          </w:tbl>
          <w:p>
            <w:pPr>
              <w:pStyle w:val="2"/>
              <w:overflowPunct w:val="0"/>
              <w:spacing w:before="0" w:after="0" w:line="360" w:lineRule="auto"/>
              <w:ind w:right="0" w:firstLine="482" w:firstLineChars="200"/>
              <w:rPr>
                <w:b/>
                <w:bCs/>
                <w:color w:val="auto"/>
                <w:sz w:val="24"/>
                <w:highlight w:val="none"/>
                <w:u w:val="none"/>
              </w:rPr>
            </w:pPr>
            <w:r>
              <w:rPr>
                <w:b/>
                <w:bCs/>
                <w:color w:val="auto"/>
                <w:sz w:val="24"/>
                <w:highlight w:val="none"/>
                <w:u w:val="none"/>
              </w:rPr>
              <w:t>3</w:t>
            </w:r>
            <w:r>
              <w:rPr>
                <w:rFonts w:hint="eastAsia"/>
                <w:b/>
                <w:bCs/>
                <w:color w:val="auto"/>
                <w:sz w:val="24"/>
                <w:highlight w:val="none"/>
                <w:u w:val="none"/>
              </w:rPr>
              <w:t>、</w:t>
            </w:r>
            <w:r>
              <w:rPr>
                <w:b/>
                <w:bCs/>
                <w:color w:val="auto"/>
                <w:sz w:val="24"/>
                <w:highlight w:val="none"/>
                <w:u w:val="none"/>
              </w:rPr>
              <w:t>噪声污染源分析</w:t>
            </w:r>
          </w:p>
          <w:p>
            <w:pPr>
              <w:pStyle w:val="2"/>
              <w:overflowPunct w:val="0"/>
              <w:snapToGrid/>
              <w:spacing w:before="0" w:after="0" w:line="360" w:lineRule="auto"/>
              <w:ind w:right="0" w:firstLine="482" w:firstLineChars="200"/>
              <w:rPr>
                <w:color w:val="auto"/>
                <w:sz w:val="24"/>
                <w:szCs w:val="24"/>
                <w:highlight w:val="none"/>
                <w:u w:val="none"/>
              </w:rPr>
            </w:pPr>
            <w:r>
              <w:rPr>
                <w:rFonts w:hint="eastAsia"/>
                <w:b/>
                <w:bCs/>
                <w:color w:val="auto"/>
                <w:sz w:val="24"/>
                <w:szCs w:val="24"/>
                <w:highlight w:val="none"/>
                <w:u w:val="none"/>
              </w:rPr>
              <w:t>（1）</w:t>
            </w:r>
            <w:r>
              <w:rPr>
                <w:b/>
                <w:bCs/>
                <w:color w:val="auto"/>
                <w:sz w:val="24"/>
                <w:szCs w:val="24"/>
                <w:highlight w:val="none"/>
                <w:u w:val="none"/>
              </w:rPr>
              <w:t>噪声源强</w:t>
            </w:r>
          </w:p>
          <w:p>
            <w:pPr>
              <w:pStyle w:val="2"/>
              <w:overflowPunct w:val="0"/>
              <w:snapToGrid/>
              <w:spacing w:before="0" w:after="0" w:line="360" w:lineRule="auto"/>
              <w:ind w:right="0" w:firstLine="480" w:firstLineChars="200"/>
              <w:rPr>
                <w:color w:val="auto"/>
                <w:sz w:val="24"/>
                <w:highlight w:val="none"/>
                <w:u w:val="none"/>
              </w:rPr>
            </w:pPr>
            <w:r>
              <w:rPr>
                <w:color w:val="auto"/>
                <w:sz w:val="24"/>
                <w:highlight w:val="none"/>
                <w:u w:val="none"/>
              </w:rPr>
              <w:t>本项目的噪声主要来源于</w:t>
            </w:r>
            <w:r>
              <w:rPr>
                <w:rFonts w:hint="eastAsia"/>
                <w:color w:val="auto"/>
                <w:sz w:val="24"/>
                <w:highlight w:val="none"/>
                <w:u w:val="none"/>
                <w:lang w:eastAsia="zh-CN"/>
              </w:rPr>
              <w:t>热风炉</w:t>
            </w:r>
            <w:r>
              <w:rPr>
                <w:rFonts w:hint="eastAsia"/>
                <w:color w:val="auto"/>
                <w:sz w:val="24"/>
                <w:highlight w:val="none"/>
                <w:u w:val="none"/>
              </w:rPr>
              <w:t>、</w:t>
            </w:r>
            <w:r>
              <w:rPr>
                <w:rFonts w:hint="eastAsia"/>
                <w:color w:val="auto"/>
                <w:sz w:val="24"/>
                <w:highlight w:val="none"/>
                <w:u w:val="none"/>
                <w:lang w:eastAsia="zh-CN"/>
              </w:rPr>
              <w:t>发泡机</w:t>
            </w:r>
            <w:r>
              <w:rPr>
                <w:rFonts w:hint="eastAsia"/>
                <w:color w:val="auto"/>
                <w:sz w:val="24"/>
                <w:highlight w:val="none"/>
                <w:u w:val="none"/>
              </w:rPr>
              <w:t>、</w:t>
            </w:r>
            <w:r>
              <w:rPr>
                <w:rFonts w:hint="eastAsia"/>
                <w:color w:val="auto"/>
                <w:sz w:val="24"/>
                <w:highlight w:val="none"/>
                <w:u w:val="none"/>
                <w:lang w:eastAsia="zh-CN"/>
              </w:rPr>
              <w:t>印刷</w:t>
            </w:r>
            <w:r>
              <w:rPr>
                <w:rFonts w:hint="eastAsia"/>
                <w:color w:val="auto"/>
                <w:sz w:val="24"/>
                <w:highlight w:val="none"/>
                <w:u w:val="none"/>
              </w:rPr>
              <w:t>机、分条机、电子鼓风干燥箱</w:t>
            </w:r>
            <w:r>
              <w:rPr>
                <w:color w:val="auto"/>
                <w:sz w:val="24"/>
                <w:highlight w:val="none"/>
                <w:u w:val="none"/>
              </w:rPr>
              <w:t>等设备噪声，噪声源强为</w:t>
            </w:r>
            <w:r>
              <w:rPr>
                <w:rFonts w:hint="eastAsia"/>
                <w:color w:val="auto"/>
                <w:sz w:val="24"/>
                <w:highlight w:val="none"/>
                <w:u w:val="none"/>
              </w:rPr>
              <w:t>70</w:t>
            </w:r>
            <w:r>
              <w:rPr>
                <w:color w:val="auto"/>
                <w:sz w:val="24"/>
                <w:highlight w:val="none"/>
                <w:u w:val="none"/>
              </w:rPr>
              <w:t>～</w:t>
            </w:r>
            <w:r>
              <w:rPr>
                <w:rFonts w:hint="eastAsia"/>
                <w:color w:val="auto"/>
                <w:sz w:val="24"/>
                <w:highlight w:val="none"/>
                <w:u w:val="none"/>
              </w:rPr>
              <w:t>90</w:t>
            </w:r>
            <w:r>
              <w:rPr>
                <w:color w:val="auto"/>
                <w:sz w:val="24"/>
                <w:highlight w:val="none"/>
                <w:u w:val="none"/>
              </w:rPr>
              <w:t>dB（A）。源强及治理</w:t>
            </w:r>
            <w:r>
              <w:rPr>
                <w:rFonts w:hint="eastAsia"/>
                <w:color w:val="auto"/>
                <w:sz w:val="24"/>
                <w:highlight w:val="none"/>
                <w:u w:val="none"/>
              </w:rPr>
              <w:t>执行</w:t>
            </w:r>
            <w:r>
              <w:rPr>
                <w:color w:val="auto"/>
                <w:sz w:val="24"/>
                <w:highlight w:val="none"/>
                <w:u w:val="none"/>
              </w:rPr>
              <w:t>措施见</w:t>
            </w:r>
            <w:r>
              <w:rPr>
                <w:rFonts w:hint="eastAsia"/>
                <w:color w:val="auto"/>
                <w:sz w:val="24"/>
                <w:highlight w:val="none"/>
                <w:u w:val="none"/>
              </w:rPr>
              <w:t>下表</w:t>
            </w:r>
            <w:r>
              <w:rPr>
                <w:color w:val="auto"/>
                <w:sz w:val="24"/>
                <w:highlight w:val="none"/>
                <w:u w:val="none"/>
              </w:rPr>
              <w:t>。</w:t>
            </w:r>
          </w:p>
          <w:p>
            <w:pPr>
              <w:pStyle w:val="2"/>
              <w:keepNext w:val="0"/>
              <w:keepLines w:val="0"/>
              <w:pageBreakBefore w:val="0"/>
              <w:widowControl/>
              <w:kinsoku/>
              <w:wordWrap/>
              <w:overflowPunct w:val="0"/>
              <w:topLinePunct w:val="0"/>
              <w:autoSpaceDE/>
              <w:autoSpaceDN/>
              <w:bidi w:val="0"/>
              <w:adjustRightInd/>
              <w:snapToGrid w:val="0"/>
              <w:spacing w:before="0" w:after="0" w:line="360" w:lineRule="auto"/>
              <w:ind w:right="0"/>
              <w:jc w:val="center"/>
              <w:textAlignment w:val="auto"/>
              <w:rPr>
                <w:b/>
                <w:bCs/>
                <w:color w:val="auto"/>
                <w:sz w:val="21"/>
                <w:szCs w:val="21"/>
                <w:highlight w:val="none"/>
                <w:u w:val="none"/>
              </w:rPr>
            </w:pPr>
            <w:r>
              <w:rPr>
                <w:b/>
                <w:bCs/>
                <w:color w:val="auto"/>
                <w:sz w:val="21"/>
                <w:szCs w:val="21"/>
                <w:highlight w:val="none"/>
                <w:u w:val="none"/>
              </w:rPr>
              <w:t>表</w:t>
            </w:r>
            <w:r>
              <w:rPr>
                <w:rFonts w:hint="eastAsia"/>
                <w:b/>
                <w:bCs/>
                <w:color w:val="auto"/>
                <w:sz w:val="21"/>
                <w:szCs w:val="21"/>
                <w:highlight w:val="none"/>
                <w:u w:val="none"/>
              </w:rPr>
              <w:t>4-</w:t>
            </w:r>
            <w:r>
              <w:rPr>
                <w:rFonts w:hint="eastAsia"/>
                <w:b/>
                <w:bCs/>
                <w:color w:val="auto"/>
                <w:sz w:val="21"/>
                <w:szCs w:val="21"/>
                <w:highlight w:val="none"/>
                <w:u w:val="none"/>
                <w:lang w:val="en-US" w:eastAsia="zh-CN"/>
              </w:rPr>
              <w:t>13</w:t>
            </w:r>
            <w:r>
              <w:rPr>
                <w:b/>
                <w:bCs/>
                <w:color w:val="auto"/>
                <w:sz w:val="21"/>
                <w:szCs w:val="21"/>
                <w:highlight w:val="none"/>
                <w:u w:val="none"/>
              </w:rPr>
              <w:t xml:space="preserve">  项目噪声源产生及治理措施</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747"/>
              <w:gridCol w:w="1441"/>
              <w:gridCol w:w="1593"/>
              <w:gridCol w:w="1747"/>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pPr>
                    <w:pStyle w:val="6"/>
                    <w:tabs>
                      <w:tab w:val="left" w:pos="15"/>
                    </w:tabs>
                    <w:overflowPunct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序号</w:t>
                  </w:r>
                </w:p>
              </w:tc>
              <w:tc>
                <w:tcPr>
                  <w:tcW w:w="1039" w:type="pct"/>
                  <w:noWrap w:val="0"/>
                  <w:vAlign w:val="center"/>
                </w:tcPr>
                <w:p>
                  <w:pPr>
                    <w:pStyle w:val="6"/>
                    <w:tabs>
                      <w:tab w:val="left" w:pos="15"/>
                    </w:tabs>
                    <w:overflowPunct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源强</w:t>
                  </w:r>
                </w:p>
              </w:tc>
              <w:tc>
                <w:tcPr>
                  <w:tcW w:w="857" w:type="pct"/>
                  <w:noWrap w:val="0"/>
                  <w:vAlign w:val="center"/>
                </w:tcPr>
                <w:p>
                  <w:pPr>
                    <w:pStyle w:val="6"/>
                    <w:tabs>
                      <w:tab w:val="left" w:pos="15"/>
                    </w:tabs>
                    <w:overflowPunct w:val="0"/>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数量（个</w:t>
                  </w:r>
                  <w:r>
                    <w:rPr>
                      <w:rFonts w:hint="default" w:ascii="Times New Roman" w:hAnsi="Times New Roman" w:eastAsia="宋体" w:cs="Times New Roman"/>
                      <w:b/>
                      <w:bCs/>
                      <w:color w:val="auto"/>
                      <w:sz w:val="21"/>
                      <w:szCs w:val="21"/>
                      <w:highlight w:val="none"/>
                      <w:u w:val="none"/>
                      <w:lang w:val="en-US" w:eastAsia="zh-CN"/>
                    </w:rPr>
                    <w:t>/台</w:t>
                  </w:r>
                  <w:r>
                    <w:rPr>
                      <w:rFonts w:hint="default" w:ascii="Times New Roman" w:hAnsi="Times New Roman" w:eastAsia="宋体" w:cs="Times New Roman"/>
                      <w:b/>
                      <w:bCs/>
                      <w:color w:val="auto"/>
                      <w:sz w:val="21"/>
                      <w:szCs w:val="21"/>
                      <w:highlight w:val="none"/>
                      <w:u w:val="none"/>
                      <w:lang w:eastAsia="zh-CN"/>
                    </w:rPr>
                    <w:t>）</w:t>
                  </w:r>
                </w:p>
              </w:tc>
              <w:tc>
                <w:tcPr>
                  <w:tcW w:w="947" w:type="pct"/>
                  <w:noWrap w:val="0"/>
                  <w:vAlign w:val="center"/>
                </w:tcPr>
                <w:p>
                  <w:pPr>
                    <w:pStyle w:val="6"/>
                    <w:tabs>
                      <w:tab w:val="left" w:pos="15"/>
                    </w:tabs>
                    <w:overflowPunct w:val="0"/>
                    <w:jc w:val="center"/>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sz w:val="21"/>
                      <w:szCs w:val="21"/>
                      <w:highlight w:val="none"/>
                      <w:u w:val="none"/>
                    </w:rPr>
                    <w:t>噪声级dB（A）</w:t>
                  </w:r>
                </w:p>
              </w:tc>
              <w:tc>
                <w:tcPr>
                  <w:tcW w:w="1039" w:type="pct"/>
                  <w:noWrap w:val="0"/>
                  <w:vAlign w:val="center"/>
                </w:tcPr>
                <w:p>
                  <w:pPr>
                    <w:pStyle w:val="6"/>
                    <w:tabs>
                      <w:tab w:val="left" w:pos="15"/>
                    </w:tabs>
                    <w:overflowPunct w:val="0"/>
                    <w:jc w:val="center"/>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贡献值叠加dB(A)</w:t>
                  </w:r>
                </w:p>
              </w:tc>
              <w:tc>
                <w:tcPr>
                  <w:tcW w:w="732" w:type="pct"/>
                  <w:noWrap w:val="0"/>
                  <w:vAlign w:val="center"/>
                </w:tcPr>
                <w:p>
                  <w:pPr>
                    <w:pStyle w:val="6"/>
                    <w:tabs>
                      <w:tab w:val="left" w:pos="15"/>
                    </w:tabs>
                    <w:overflowPunct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83"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1039"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热风炉</w:t>
                  </w:r>
                </w:p>
              </w:tc>
              <w:tc>
                <w:tcPr>
                  <w:tcW w:w="857" w:type="pct"/>
                  <w:noWrap w:val="0"/>
                  <w:vAlign w:val="center"/>
                </w:tcPr>
                <w:p>
                  <w:pPr>
                    <w:widowControl/>
                    <w:overflowPunct w:val="0"/>
                    <w:jc w:val="center"/>
                    <w:textAlignment w:val="bottom"/>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c>
                <w:tcPr>
                  <w:tcW w:w="947"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80</w:t>
                  </w:r>
                </w:p>
              </w:tc>
              <w:tc>
                <w:tcPr>
                  <w:tcW w:w="1039"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w:t>
                  </w:r>
                  <w:r>
                    <w:rPr>
                      <w:rFonts w:hint="default" w:ascii="Times New Roman" w:hAnsi="Times New Roman" w:eastAsia="宋体" w:cs="Times New Roman"/>
                      <w:color w:val="auto"/>
                      <w:kern w:val="2"/>
                      <w:sz w:val="21"/>
                      <w:szCs w:val="21"/>
                      <w:highlight w:val="none"/>
                      <w:u w:val="none"/>
                      <w:lang w:val="en-US" w:eastAsia="zh-CN" w:bidi="ar-SA"/>
                    </w:rPr>
                    <w:t>4.77</w:t>
                  </w:r>
                </w:p>
              </w:tc>
              <w:tc>
                <w:tcPr>
                  <w:tcW w:w="732" w:type="pct"/>
                  <w:noWrap w:val="0"/>
                  <w:vAlign w:val="center"/>
                </w:tcPr>
                <w:p>
                  <w:pPr>
                    <w:overflowPunct w:val="0"/>
                    <w:ind w:left="-42" w:leftChars="-20" w:right="-42" w:rightChars="-2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83"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1039"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发泡机</w:t>
                  </w:r>
                </w:p>
              </w:tc>
              <w:tc>
                <w:tcPr>
                  <w:tcW w:w="857" w:type="pct"/>
                  <w:noWrap w:val="0"/>
                  <w:vAlign w:val="center"/>
                </w:tcPr>
                <w:p>
                  <w:pPr>
                    <w:widowControl/>
                    <w:overflowPunct w:val="0"/>
                    <w:jc w:val="center"/>
                    <w:textAlignment w:val="bottom"/>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w:t>
                  </w:r>
                </w:p>
              </w:tc>
              <w:tc>
                <w:tcPr>
                  <w:tcW w:w="947"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70</w:t>
                  </w:r>
                </w:p>
              </w:tc>
              <w:tc>
                <w:tcPr>
                  <w:tcW w:w="1039"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4.77</w:t>
                  </w:r>
                </w:p>
              </w:tc>
              <w:tc>
                <w:tcPr>
                  <w:tcW w:w="732" w:type="pct"/>
                  <w:noWrap w:val="0"/>
                  <w:vAlign w:val="center"/>
                </w:tcPr>
                <w:p>
                  <w:pPr>
                    <w:overflowPunct w:val="0"/>
                    <w:ind w:left="-42" w:leftChars="-20" w:right="-42" w:rightChars="-2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83"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1039" w:type="pct"/>
                  <w:noWrap w:val="0"/>
                  <w:vAlign w:val="bottom"/>
                </w:tcPr>
                <w:p>
                  <w:pPr>
                    <w:widowControl/>
                    <w:overflowPunct w:val="0"/>
                    <w:jc w:val="center"/>
                    <w:textAlignment w:val="bottom"/>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印刷</w:t>
                  </w:r>
                  <w:r>
                    <w:rPr>
                      <w:rFonts w:hint="default" w:ascii="Times New Roman" w:hAnsi="Times New Roman" w:eastAsia="宋体" w:cs="Times New Roman"/>
                      <w:color w:val="auto"/>
                      <w:sz w:val="21"/>
                      <w:szCs w:val="21"/>
                      <w:highlight w:val="none"/>
                      <w:u w:val="none"/>
                    </w:rPr>
                    <w:t>机</w:t>
                  </w:r>
                </w:p>
              </w:tc>
              <w:tc>
                <w:tcPr>
                  <w:tcW w:w="857" w:type="pct"/>
                  <w:noWrap w:val="0"/>
                  <w:vAlign w:val="center"/>
                </w:tcPr>
                <w:p>
                  <w:pPr>
                    <w:widowControl/>
                    <w:overflowPunct w:val="0"/>
                    <w:jc w:val="center"/>
                    <w:textAlignment w:val="bottom"/>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c>
                <w:tcPr>
                  <w:tcW w:w="947"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70</w:t>
                  </w:r>
                </w:p>
              </w:tc>
              <w:tc>
                <w:tcPr>
                  <w:tcW w:w="1039"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4.77</w:t>
                  </w:r>
                </w:p>
              </w:tc>
              <w:tc>
                <w:tcPr>
                  <w:tcW w:w="732" w:type="pct"/>
                  <w:noWrap w:val="0"/>
                  <w:vAlign w:val="center"/>
                </w:tcPr>
                <w:p>
                  <w:pPr>
                    <w:overflowPunct w:val="0"/>
                    <w:ind w:left="-42" w:leftChars="-20" w:right="-42" w:rightChars="-2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3" w:type="pct"/>
                  <w:noWrap w:val="0"/>
                  <w:vAlign w:val="center"/>
                </w:tcPr>
                <w:p>
                  <w:pPr>
                    <w:overflowPunct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1039" w:type="pct"/>
                  <w:noWrap w:val="0"/>
                  <w:vAlign w:val="center"/>
                </w:tcPr>
                <w:p>
                  <w:pPr>
                    <w:overflowPunct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分条机</w:t>
                  </w:r>
                </w:p>
              </w:tc>
              <w:tc>
                <w:tcPr>
                  <w:tcW w:w="857" w:type="pct"/>
                  <w:noWrap w:val="0"/>
                  <w:vAlign w:val="center"/>
                </w:tcPr>
                <w:p>
                  <w:pPr>
                    <w:overflowPunct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w:t>
                  </w:r>
                </w:p>
              </w:tc>
              <w:tc>
                <w:tcPr>
                  <w:tcW w:w="947"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75</w:t>
                  </w:r>
                </w:p>
              </w:tc>
              <w:tc>
                <w:tcPr>
                  <w:tcW w:w="1039"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79.77</w:t>
                  </w:r>
                </w:p>
              </w:tc>
              <w:tc>
                <w:tcPr>
                  <w:tcW w:w="732" w:type="pct"/>
                  <w:noWrap w:val="0"/>
                  <w:vAlign w:val="center"/>
                </w:tcPr>
                <w:p>
                  <w:pPr>
                    <w:overflowPunct w:val="0"/>
                    <w:ind w:left="-42" w:leftChars="-20" w:right="-42" w:rightChars="-2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3" w:type="pct"/>
                  <w:noWrap w:val="0"/>
                  <w:vAlign w:val="center"/>
                </w:tcPr>
                <w:p>
                  <w:pPr>
                    <w:overflowPunct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1039" w:type="pct"/>
                  <w:noWrap w:val="0"/>
                  <w:vAlign w:val="center"/>
                </w:tcPr>
                <w:p>
                  <w:pPr>
                    <w:overflowPunct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电子鼓风干燥箱</w:t>
                  </w:r>
                </w:p>
              </w:tc>
              <w:tc>
                <w:tcPr>
                  <w:tcW w:w="857" w:type="pct"/>
                  <w:noWrap w:val="0"/>
                  <w:vAlign w:val="center"/>
                </w:tcPr>
                <w:p>
                  <w:pPr>
                    <w:overflowPunct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w:t>
                  </w:r>
                </w:p>
              </w:tc>
              <w:tc>
                <w:tcPr>
                  <w:tcW w:w="947"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90</w:t>
                  </w:r>
                </w:p>
              </w:tc>
              <w:tc>
                <w:tcPr>
                  <w:tcW w:w="1039" w:type="pct"/>
                  <w:noWrap w:val="0"/>
                  <w:vAlign w:val="center"/>
                </w:tcPr>
                <w:p>
                  <w:pPr>
                    <w:overflowPunct w:val="0"/>
                    <w:ind w:left="-42" w:leftChars="-20" w:right="-42" w:rightChars="-2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94.77</w:t>
                  </w:r>
                </w:p>
              </w:tc>
              <w:tc>
                <w:tcPr>
                  <w:tcW w:w="732" w:type="pct"/>
                  <w:noWrap w:val="0"/>
                  <w:vAlign w:val="center"/>
                </w:tcPr>
                <w:p>
                  <w:pPr>
                    <w:overflowPunct w:val="0"/>
                    <w:ind w:left="-42" w:leftChars="-20" w:right="-42" w:rightChars="-2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8</w:t>
                  </w:r>
                </w:p>
              </w:tc>
            </w:tr>
          </w:tbl>
          <w:p>
            <w:pPr>
              <w:pStyle w:val="2"/>
              <w:overflowPunct w:val="0"/>
              <w:snapToGrid/>
              <w:spacing w:before="0" w:after="0" w:line="360" w:lineRule="auto"/>
              <w:ind w:right="0" w:firstLine="482" w:firstLineChars="200"/>
              <w:rPr>
                <w:rFonts w:hint="eastAsia"/>
                <w:color w:val="auto"/>
                <w:sz w:val="24"/>
                <w:szCs w:val="24"/>
                <w:highlight w:val="none"/>
                <w:u w:val="none"/>
              </w:rPr>
            </w:pPr>
            <w:r>
              <w:rPr>
                <w:rFonts w:hint="eastAsia"/>
                <w:b/>
                <w:bCs/>
                <w:color w:val="auto"/>
                <w:sz w:val="24"/>
                <w:szCs w:val="24"/>
                <w:highlight w:val="none"/>
                <w:u w:val="none"/>
              </w:rPr>
              <w:t>（2）噪声预测</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fldChar w:fldCharType="begin"/>
            </w:r>
            <w:r>
              <w:rPr>
                <w:color w:val="auto"/>
                <w:sz w:val="24"/>
                <w:highlight w:val="none"/>
                <w:u w:val="none"/>
              </w:rPr>
              <w:instrText xml:space="preserve"> = 1 \* GB3 </w:instrText>
            </w:r>
            <w:r>
              <w:rPr>
                <w:color w:val="auto"/>
                <w:sz w:val="24"/>
                <w:highlight w:val="none"/>
                <w:u w:val="none"/>
              </w:rPr>
              <w:fldChar w:fldCharType="separate"/>
            </w:r>
            <w:r>
              <w:rPr>
                <w:color w:val="auto"/>
                <w:sz w:val="24"/>
                <w:highlight w:val="none"/>
                <w:u w:val="none"/>
              </w:rPr>
              <w:t>①</w:t>
            </w:r>
            <w:r>
              <w:rPr>
                <w:color w:val="auto"/>
                <w:sz w:val="24"/>
                <w:highlight w:val="none"/>
                <w:u w:val="none"/>
              </w:rPr>
              <w:fldChar w:fldCharType="end"/>
            </w:r>
            <w:r>
              <w:rPr>
                <w:color w:val="auto"/>
                <w:sz w:val="24"/>
                <w:highlight w:val="none"/>
                <w:u w:val="none"/>
              </w:rPr>
              <w:t>建设项目声源在预测点产生的等效声级贡献值Leqg计算公式：</w:t>
            </w:r>
          </w:p>
          <w:p>
            <w:pPr>
              <w:overflowPunct w:val="0"/>
              <w:jc w:val="center"/>
              <w:rPr>
                <w:color w:val="auto"/>
                <w:sz w:val="24"/>
                <w:highlight w:val="none"/>
                <w:u w:val="none"/>
              </w:rPr>
            </w:pPr>
            <w:r>
              <w:rPr>
                <w:color w:val="auto"/>
                <w:sz w:val="24"/>
                <w:highlight w:val="none"/>
                <w:u w:val="none"/>
              </w:rPr>
              <w:drawing>
                <wp:inline distT="0" distB="0" distL="114300" distR="114300">
                  <wp:extent cx="2514600" cy="552450"/>
                  <wp:effectExtent l="0" t="0" r="0" b="0"/>
                  <wp:docPr id="8"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
                          <pic:cNvPicPr>
                            <a:picLocks noChangeAspect="1"/>
                          </pic:cNvPicPr>
                        </pic:nvPicPr>
                        <pic:blipFill>
                          <a:blip r:embed="rId19"/>
                          <a:stretch>
                            <a:fillRect/>
                          </a:stretch>
                        </pic:blipFill>
                        <pic:spPr>
                          <a:xfrm>
                            <a:off x="0" y="0"/>
                            <a:ext cx="2514600" cy="552450"/>
                          </a:xfrm>
                          <a:prstGeom prst="rect">
                            <a:avLst/>
                          </a:prstGeom>
                          <a:noFill/>
                          <a:ln>
                            <a:noFill/>
                          </a:ln>
                        </pic:spPr>
                      </pic:pic>
                    </a:graphicData>
                  </a:graphic>
                </wp:inline>
              </w:drawing>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式中：</w:t>
            </w:r>
          </w:p>
          <w:p>
            <w:pPr>
              <w:overflowPunct w:val="0"/>
              <w:adjustRightInd w:val="0"/>
              <w:snapToGrid w:val="0"/>
              <w:spacing w:line="360" w:lineRule="auto"/>
              <w:ind w:firstLine="470" w:firstLineChars="196"/>
              <w:rPr>
                <w:rFonts w:hint="eastAsia"/>
                <w:color w:val="auto"/>
                <w:sz w:val="24"/>
                <w:highlight w:val="none"/>
                <w:u w:val="none"/>
              </w:rPr>
            </w:pPr>
            <w:r>
              <w:rPr>
                <w:color w:val="auto"/>
                <w:sz w:val="24"/>
                <w:highlight w:val="none"/>
                <w:u w:val="none"/>
              </w:rPr>
              <w:t>Leqg—建设项目声源在预测点的等效声级贡献值，dB(A)；</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LAi—声源在预测点产生的A声级，dB(A)；</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T—预测计算的时间段，s；</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ti—i声源在T时段内的运行时间，s。</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fldChar w:fldCharType="begin"/>
            </w:r>
            <w:r>
              <w:rPr>
                <w:color w:val="auto"/>
                <w:sz w:val="24"/>
                <w:highlight w:val="none"/>
                <w:u w:val="none"/>
              </w:rPr>
              <w:instrText xml:space="preserve"> = 2 \* GB3 </w:instrText>
            </w:r>
            <w:r>
              <w:rPr>
                <w:color w:val="auto"/>
                <w:sz w:val="24"/>
                <w:highlight w:val="none"/>
                <w:u w:val="none"/>
              </w:rPr>
              <w:fldChar w:fldCharType="separate"/>
            </w:r>
            <w:r>
              <w:rPr>
                <w:color w:val="auto"/>
                <w:sz w:val="24"/>
                <w:highlight w:val="none"/>
                <w:u w:val="none"/>
              </w:rPr>
              <w:t>②</w:t>
            </w:r>
            <w:r>
              <w:rPr>
                <w:color w:val="auto"/>
                <w:sz w:val="24"/>
                <w:highlight w:val="none"/>
                <w:u w:val="none"/>
              </w:rPr>
              <w:fldChar w:fldCharType="end"/>
            </w:r>
            <w:r>
              <w:rPr>
                <w:color w:val="auto"/>
                <w:sz w:val="24"/>
                <w:highlight w:val="none"/>
                <w:u w:val="none"/>
              </w:rPr>
              <w:t>预测点的预测等效声级(Leq)计算公式：</w:t>
            </w:r>
          </w:p>
          <w:p>
            <w:pPr>
              <w:overflowPunct w:val="0"/>
              <w:jc w:val="center"/>
              <w:rPr>
                <w:color w:val="auto"/>
                <w:sz w:val="24"/>
                <w:highlight w:val="none"/>
                <w:u w:val="none"/>
              </w:rPr>
            </w:pPr>
            <w:r>
              <w:rPr>
                <w:color w:val="auto"/>
                <w:sz w:val="24"/>
                <w:highlight w:val="none"/>
                <w:u w:val="none"/>
              </w:rPr>
              <w:drawing>
                <wp:inline distT="0" distB="0" distL="114300" distR="114300">
                  <wp:extent cx="2486025" cy="398145"/>
                  <wp:effectExtent l="0" t="0" r="0" b="1905"/>
                  <wp:docPr id="5"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2"/>
                          <pic:cNvPicPr>
                            <a:picLocks noChangeAspect="1"/>
                          </pic:cNvPicPr>
                        </pic:nvPicPr>
                        <pic:blipFill>
                          <a:blip r:embed="rId20"/>
                          <a:srcRect t="5000"/>
                          <a:stretch>
                            <a:fillRect/>
                          </a:stretch>
                        </pic:blipFill>
                        <pic:spPr>
                          <a:xfrm>
                            <a:off x="0" y="0"/>
                            <a:ext cx="2486025" cy="398145"/>
                          </a:xfrm>
                          <a:prstGeom prst="rect">
                            <a:avLst/>
                          </a:prstGeom>
                          <a:noFill/>
                          <a:ln>
                            <a:noFill/>
                          </a:ln>
                        </pic:spPr>
                      </pic:pic>
                    </a:graphicData>
                  </a:graphic>
                </wp:inline>
              </w:drawing>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式中：</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Leqg—建设项目声源在预测点的等效声级贡献值，dB(A)；</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Leqb—预测点的背景值，dB(A)。</w:t>
            </w:r>
          </w:p>
          <w:p>
            <w:pPr>
              <w:overflowPunct w:val="0"/>
              <w:adjustRightInd w:val="0"/>
              <w:snapToGrid w:val="0"/>
              <w:spacing w:line="360" w:lineRule="auto"/>
              <w:ind w:firstLine="472" w:firstLineChars="196"/>
              <w:rPr>
                <w:b/>
                <w:bCs/>
                <w:color w:val="auto"/>
                <w:sz w:val="24"/>
                <w:highlight w:val="none"/>
                <w:u w:val="none"/>
              </w:rPr>
            </w:pPr>
            <w:r>
              <w:rPr>
                <w:b/>
                <w:bCs/>
                <w:color w:val="auto"/>
                <w:sz w:val="24"/>
                <w:highlight w:val="none"/>
                <w:u w:val="none"/>
              </w:rPr>
              <w:t>（3）预测结果及分析</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对运营期噪声采用点源模式进行预测，点源衰减模式为：</w:t>
            </w:r>
          </w:p>
          <w:p>
            <w:pPr>
              <w:overflowPunct w:val="0"/>
              <w:ind w:firstLine="480"/>
              <w:jc w:val="center"/>
              <w:rPr>
                <w:color w:val="auto"/>
                <w:sz w:val="24"/>
                <w:highlight w:val="none"/>
                <w:u w:val="none"/>
              </w:rPr>
            </w:pPr>
            <w:r>
              <w:rPr>
                <w:color w:val="auto"/>
                <w:sz w:val="24"/>
                <w:highlight w:val="none"/>
                <w:u w:val="none"/>
              </w:rPr>
              <w:t>Lp（r）=Lp（r0）-20lg（r/r0）-△L</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式中：</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Lp（r）—距离声源r处的倍频带声压级，dB；</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Lp（r0）—参考位置r0处的倍频带声压级，dB；</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r0—参考位置距离声源的距离，m；</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r—预测点距离声源的距离，m。</w:t>
            </w:r>
          </w:p>
          <w:p>
            <w:pPr>
              <w:overflowPunct w:val="0"/>
              <w:adjustRightInd w:val="0"/>
              <w:snapToGrid w:val="0"/>
              <w:spacing w:line="360" w:lineRule="auto"/>
              <w:ind w:firstLine="470" w:firstLineChars="196"/>
              <w:rPr>
                <w:color w:val="auto"/>
                <w:sz w:val="24"/>
                <w:highlight w:val="none"/>
                <w:u w:val="none"/>
              </w:rPr>
            </w:pPr>
            <w:r>
              <w:rPr>
                <w:color w:val="auto"/>
                <w:sz w:val="24"/>
                <w:highlight w:val="none"/>
                <w:u w:val="none"/>
              </w:rPr>
              <w:t>△L—各种因素引起的衰减量（包括声屏障屏蔽、遮挡物、空气吸收、地面效应等引起的衰减量），本评价计算过程△L取</w:t>
            </w:r>
            <w:r>
              <w:rPr>
                <w:rFonts w:hint="eastAsia"/>
                <w:color w:val="auto"/>
                <w:sz w:val="24"/>
                <w:highlight w:val="none"/>
                <w:u w:val="none"/>
                <w:lang w:val="en-US" w:eastAsia="zh-CN"/>
              </w:rPr>
              <w:t>20</w:t>
            </w:r>
            <w:r>
              <w:rPr>
                <w:color w:val="auto"/>
                <w:sz w:val="24"/>
                <w:highlight w:val="none"/>
                <w:u w:val="none"/>
              </w:rPr>
              <w:t>dB（A）。得出结果见</w:t>
            </w:r>
            <w:r>
              <w:rPr>
                <w:rFonts w:hint="eastAsia"/>
                <w:color w:val="auto"/>
                <w:sz w:val="24"/>
                <w:highlight w:val="none"/>
                <w:u w:val="none"/>
              </w:rPr>
              <w:t>下</w:t>
            </w:r>
            <w:r>
              <w:rPr>
                <w:color w:val="auto"/>
                <w:sz w:val="24"/>
                <w:highlight w:val="none"/>
                <w:u w:val="none"/>
              </w:rPr>
              <w:t>表。</w:t>
            </w:r>
          </w:p>
          <w:p>
            <w:pPr>
              <w:overflowPunct w:val="0"/>
              <w:adjustRightInd w:val="0"/>
              <w:snapToGrid w:val="0"/>
              <w:jc w:val="center"/>
              <w:rPr>
                <w:rFonts w:hint="eastAsia"/>
                <w:b/>
                <w:color w:val="auto"/>
                <w:szCs w:val="21"/>
                <w:highlight w:val="none"/>
                <w:u w:val="none"/>
              </w:rPr>
            </w:pPr>
            <w:r>
              <w:rPr>
                <w:rFonts w:hint="eastAsia"/>
                <w:b/>
                <w:color w:val="auto"/>
                <w:szCs w:val="21"/>
                <w:highlight w:val="none"/>
                <w:u w:val="none"/>
              </w:rPr>
              <w:t>表4-1</w:t>
            </w:r>
            <w:r>
              <w:rPr>
                <w:rFonts w:hint="eastAsia"/>
                <w:b/>
                <w:color w:val="auto"/>
                <w:szCs w:val="21"/>
                <w:highlight w:val="none"/>
                <w:u w:val="none"/>
                <w:lang w:val="en-US" w:eastAsia="zh-CN"/>
              </w:rPr>
              <w:t>4</w:t>
            </w:r>
            <w:r>
              <w:rPr>
                <w:rFonts w:hint="eastAsia"/>
                <w:b/>
                <w:color w:val="auto"/>
                <w:szCs w:val="21"/>
                <w:highlight w:val="none"/>
                <w:u w:val="none"/>
              </w:rPr>
              <w:t xml:space="preserve"> 项目厂界噪声预测结果  单位：dB（A）</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748"/>
              <w:gridCol w:w="728"/>
              <w:gridCol w:w="916"/>
              <w:gridCol w:w="1513"/>
              <w:gridCol w:w="925"/>
              <w:gridCol w:w="896"/>
              <w:gridCol w:w="839"/>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noWrap w:val="0"/>
                  <w:vAlign w:val="center"/>
                </w:tcPr>
                <w:p>
                  <w:pPr>
                    <w:pStyle w:val="37"/>
                    <w:overflowPunct w:val="0"/>
                    <w:rPr>
                      <w:b/>
                      <w:bCs/>
                      <w:color w:val="auto"/>
                      <w:szCs w:val="21"/>
                      <w:highlight w:val="none"/>
                      <w:u w:val="none"/>
                    </w:rPr>
                  </w:pPr>
                  <w:r>
                    <w:rPr>
                      <w:b/>
                      <w:bCs/>
                      <w:color w:val="auto"/>
                      <w:szCs w:val="21"/>
                      <w:highlight w:val="none"/>
                      <w:u w:val="none"/>
                    </w:rPr>
                    <w:t>噪声源</w:t>
                  </w:r>
                </w:p>
              </w:tc>
              <w:tc>
                <w:tcPr>
                  <w:tcW w:w="445" w:type="pct"/>
                  <w:noWrap w:val="0"/>
                  <w:vAlign w:val="center"/>
                </w:tcPr>
                <w:p>
                  <w:pPr>
                    <w:pStyle w:val="37"/>
                    <w:overflowPunct w:val="0"/>
                    <w:rPr>
                      <w:b/>
                      <w:bCs/>
                      <w:color w:val="auto"/>
                      <w:szCs w:val="21"/>
                      <w:highlight w:val="none"/>
                      <w:u w:val="none"/>
                    </w:rPr>
                  </w:pPr>
                  <w:r>
                    <w:rPr>
                      <w:b/>
                      <w:bCs/>
                      <w:color w:val="auto"/>
                      <w:szCs w:val="21"/>
                      <w:highlight w:val="none"/>
                      <w:u w:val="none"/>
                    </w:rPr>
                    <w:t>综合</w:t>
                  </w:r>
                </w:p>
                <w:p>
                  <w:pPr>
                    <w:pStyle w:val="37"/>
                    <w:overflowPunct w:val="0"/>
                    <w:rPr>
                      <w:b/>
                      <w:bCs/>
                      <w:color w:val="auto"/>
                      <w:szCs w:val="21"/>
                      <w:highlight w:val="none"/>
                      <w:u w:val="none"/>
                    </w:rPr>
                  </w:pPr>
                  <w:r>
                    <w:rPr>
                      <w:b/>
                      <w:bCs/>
                      <w:color w:val="auto"/>
                      <w:szCs w:val="21"/>
                      <w:highlight w:val="none"/>
                      <w:u w:val="none"/>
                    </w:rPr>
                    <w:t>源强</w:t>
                  </w:r>
                </w:p>
              </w:tc>
              <w:tc>
                <w:tcPr>
                  <w:tcW w:w="432" w:type="pct"/>
                  <w:noWrap w:val="0"/>
                  <w:vAlign w:val="center"/>
                </w:tcPr>
                <w:p>
                  <w:pPr>
                    <w:pStyle w:val="37"/>
                    <w:overflowPunct w:val="0"/>
                    <w:rPr>
                      <w:b/>
                      <w:bCs/>
                      <w:color w:val="auto"/>
                      <w:szCs w:val="21"/>
                      <w:highlight w:val="none"/>
                      <w:u w:val="none"/>
                    </w:rPr>
                  </w:pPr>
                  <w:r>
                    <w:rPr>
                      <w:b/>
                      <w:bCs/>
                      <w:color w:val="auto"/>
                      <w:szCs w:val="21"/>
                      <w:highlight w:val="none"/>
                      <w:u w:val="none"/>
                    </w:rPr>
                    <w:t>隔声</w:t>
                  </w:r>
                </w:p>
                <w:p>
                  <w:pPr>
                    <w:pStyle w:val="37"/>
                    <w:overflowPunct w:val="0"/>
                    <w:rPr>
                      <w:b/>
                      <w:bCs/>
                      <w:color w:val="auto"/>
                      <w:szCs w:val="21"/>
                      <w:highlight w:val="none"/>
                      <w:u w:val="none"/>
                    </w:rPr>
                  </w:pPr>
                  <w:r>
                    <w:rPr>
                      <w:b/>
                      <w:bCs/>
                      <w:color w:val="auto"/>
                      <w:szCs w:val="21"/>
                      <w:highlight w:val="none"/>
                      <w:u w:val="none"/>
                    </w:rPr>
                    <w:t>吸声</w:t>
                  </w:r>
                </w:p>
              </w:tc>
              <w:tc>
                <w:tcPr>
                  <w:tcW w:w="545" w:type="pct"/>
                  <w:noWrap w:val="0"/>
                  <w:vAlign w:val="center"/>
                </w:tcPr>
                <w:p>
                  <w:pPr>
                    <w:pStyle w:val="37"/>
                    <w:overflowPunct w:val="0"/>
                    <w:rPr>
                      <w:b/>
                      <w:bCs/>
                      <w:color w:val="auto"/>
                      <w:szCs w:val="21"/>
                      <w:highlight w:val="none"/>
                      <w:u w:val="none"/>
                    </w:rPr>
                  </w:pPr>
                  <w:r>
                    <w:rPr>
                      <w:b/>
                      <w:bCs/>
                      <w:color w:val="auto"/>
                      <w:szCs w:val="21"/>
                      <w:highlight w:val="none"/>
                      <w:u w:val="none"/>
                    </w:rPr>
                    <w:t>预测</w:t>
                  </w:r>
                </w:p>
                <w:p>
                  <w:pPr>
                    <w:pStyle w:val="37"/>
                    <w:overflowPunct w:val="0"/>
                    <w:rPr>
                      <w:b/>
                      <w:bCs/>
                      <w:color w:val="auto"/>
                      <w:szCs w:val="21"/>
                      <w:highlight w:val="none"/>
                      <w:u w:val="none"/>
                    </w:rPr>
                  </w:pPr>
                  <w:r>
                    <w:rPr>
                      <w:b/>
                      <w:bCs/>
                      <w:color w:val="auto"/>
                      <w:szCs w:val="21"/>
                      <w:highlight w:val="none"/>
                      <w:u w:val="none"/>
                    </w:rPr>
                    <w:t>源强</w:t>
                  </w:r>
                </w:p>
              </w:tc>
              <w:tc>
                <w:tcPr>
                  <w:tcW w:w="900" w:type="pct"/>
                  <w:noWrap w:val="0"/>
                  <w:vAlign w:val="center"/>
                </w:tcPr>
                <w:p>
                  <w:pPr>
                    <w:pStyle w:val="37"/>
                    <w:overflowPunct w:val="0"/>
                    <w:rPr>
                      <w:b/>
                      <w:bCs/>
                      <w:color w:val="auto"/>
                      <w:szCs w:val="21"/>
                      <w:highlight w:val="none"/>
                      <w:u w:val="none"/>
                    </w:rPr>
                  </w:pPr>
                  <w:r>
                    <w:rPr>
                      <w:b/>
                      <w:bCs/>
                      <w:color w:val="auto"/>
                      <w:szCs w:val="21"/>
                      <w:highlight w:val="none"/>
                      <w:u w:val="none"/>
                    </w:rPr>
                    <w:t>预测参数</w:t>
                  </w:r>
                </w:p>
              </w:tc>
              <w:tc>
                <w:tcPr>
                  <w:tcW w:w="550" w:type="pct"/>
                  <w:noWrap w:val="0"/>
                  <w:vAlign w:val="center"/>
                </w:tcPr>
                <w:p>
                  <w:pPr>
                    <w:pStyle w:val="37"/>
                    <w:overflowPunct w:val="0"/>
                    <w:rPr>
                      <w:b/>
                      <w:bCs/>
                      <w:color w:val="auto"/>
                      <w:szCs w:val="21"/>
                      <w:highlight w:val="none"/>
                      <w:u w:val="none"/>
                    </w:rPr>
                  </w:pPr>
                  <w:r>
                    <w:rPr>
                      <w:b/>
                      <w:bCs/>
                      <w:color w:val="auto"/>
                      <w:szCs w:val="21"/>
                      <w:highlight w:val="none"/>
                      <w:u w:val="none"/>
                    </w:rPr>
                    <w:t>东侧</w:t>
                  </w:r>
                </w:p>
              </w:tc>
              <w:tc>
                <w:tcPr>
                  <w:tcW w:w="533" w:type="pct"/>
                  <w:noWrap w:val="0"/>
                  <w:vAlign w:val="center"/>
                </w:tcPr>
                <w:p>
                  <w:pPr>
                    <w:pStyle w:val="37"/>
                    <w:overflowPunct w:val="0"/>
                    <w:rPr>
                      <w:b/>
                      <w:bCs/>
                      <w:color w:val="auto"/>
                      <w:szCs w:val="21"/>
                      <w:highlight w:val="none"/>
                      <w:u w:val="none"/>
                    </w:rPr>
                  </w:pPr>
                  <w:r>
                    <w:rPr>
                      <w:b/>
                      <w:bCs/>
                      <w:color w:val="auto"/>
                      <w:szCs w:val="21"/>
                      <w:highlight w:val="none"/>
                      <w:u w:val="none"/>
                    </w:rPr>
                    <w:t>南侧</w:t>
                  </w:r>
                </w:p>
              </w:tc>
              <w:tc>
                <w:tcPr>
                  <w:tcW w:w="499" w:type="pct"/>
                  <w:noWrap w:val="0"/>
                  <w:vAlign w:val="center"/>
                </w:tcPr>
                <w:p>
                  <w:pPr>
                    <w:pStyle w:val="37"/>
                    <w:overflowPunct w:val="0"/>
                    <w:rPr>
                      <w:b/>
                      <w:bCs/>
                      <w:color w:val="auto"/>
                      <w:szCs w:val="21"/>
                      <w:highlight w:val="none"/>
                      <w:u w:val="none"/>
                    </w:rPr>
                  </w:pPr>
                  <w:r>
                    <w:rPr>
                      <w:b/>
                      <w:bCs/>
                      <w:color w:val="auto"/>
                      <w:szCs w:val="21"/>
                      <w:highlight w:val="none"/>
                      <w:u w:val="none"/>
                    </w:rPr>
                    <w:t>西侧</w:t>
                  </w:r>
                </w:p>
              </w:tc>
              <w:tc>
                <w:tcPr>
                  <w:tcW w:w="548" w:type="pct"/>
                  <w:noWrap w:val="0"/>
                  <w:vAlign w:val="center"/>
                </w:tcPr>
                <w:p>
                  <w:pPr>
                    <w:pStyle w:val="37"/>
                    <w:overflowPunct w:val="0"/>
                    <w:rPr>
                      <w:b/>
                      <w:bCs/>
                      <w:color w:val="auto"/>
                      <w:szCs w:val="21"/>
                      <w:highlight w:val="none"/>
                      <w:u w:val="none"/>
                    </w:rPr>
                  </w:pPr>
                  <w:r>
                    <w:rPr>
                      <w:b/>
                      <w:bCs/>
                      <w:color w:val="auto"/>
                      <w:szCs w:val="21"/>
                      <w:highlight w:val="none"/>
                      <w:u w:val="none"/>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default"/>
                      <w:lang w:eastAsia="zh-CN"/>
                    </w:rPr>
                    <w:t>热风炉</w:t>
                  </w:r>
                </w:p>
              </w:tc>
              <w:tc>
                <w:tcPr>
                  <w:tcW w:w="445" w:type="pct"/>
                  <w:vMerge w:val="restart"/>
                  <w:noWrap w:val="0"/>
                  <w:vAlign w:val="center"/>
                </w:tcPr>
                <w:p>
                  <w:pPr>
                    <w:overflowPunct w:val="0"/>
                    <w:ind w:left="-42" w:leftChars="-20" w:right="-42" w:rightChars="-20"/>
                    <w:jc w:val="center"/>
                    <w:rPr>
                      <w:color w:val="auto"/>
                      <w:szCs w:val="21"/>
                      <w:highlight w:val="none"/>
                      <w:u w:val="none"/>
                    </w:rPr>
                  </w:pPr>
                  <w:r>
                    <w:rPr>
                      <w:rFonts w:hint="eastAsia" w:ascii="Times New Roman" w:hAnsi="Times New Roman" w:eastAsia="宋体" w:cs="Times New Roman"/>
                      <w:color w:val="auto"/>
                      <w:kern w:val="2"/>
                      <w:sz w:val="21"/>
                      <w:szCs w:val="21"/>
                      <w:highlight w:val="none"/>
                      <w:u w:val="none"/>
                      <w:lang w:val="en-US" w:eastAsia="zh-CN" w:bidi="ar-SA"/>
                    </w:rPr>
                    <w:t>8</w:t>
                  </w:r>
                  <w:r>
                    <w:rPr>
                      <w:rFonts w:hint="default" w:ascii="Times New Roman" w:hAnsi="Times New Roman" w:eastAsia="宋体" w:cs="Times New Roman"/>
                      <w:color w:val="auto"/>
                      <w:kern w:val="2"/>
                      <w:sz w:val="21"/>
                      <w:szCs w:val="21"/>
                      <w:highlight w:val="none"/>
                      <w:u w:val="none"/>
                      <w:lang w:val="en-US" w:eastAsia="zh-CN" w:bidi="ar-SA"/>
                    </w:rPr>
                    <w:t>4.77</w:t>
                  </w:r>
                </w:p>
              </w:tc>
              <w:tc>
                <w:tcPr>
                  <w:tcW w:w="432" w:type="pct"/>
                  <w:vMerge w:val="restart"/>
                  <w:noWrap w:val="0"/>
                  <w:vAlign w:val="center"/>
                </w:tcPr>
                <w:p>
                  <w:pPr>
                    <w:pStyle w:val="37"/>
                    <w:overflowPunct w:val="0"/>
                    <w:rPr>
                      <w:color w:val="auto"/>
                      <w:szCs w:val="21"/>
                      <w:highlight w:val="none"/>
                      <w:u w:val="none"/>
                    </w:rPr>
                  </w:pPr>
                  <w:r>
                    <w:rPr>
                      <w:rFonts w:hint="eastAsia"/>
                      <w:color w:val="auto"/>
                      <w:szCs w:val="21"/>
                      <w:highlight w:val="none"/>
                      <w:u w:val="none"/>
                      <w:lang w:val="en-US" w:eastAsia="zh-CN"/>
                    </w:rPr>
                    <w:t>2</w:t>
                  </w:r>
                  <w:r>
                    <w:rPr>
                      <w:rFonts w:hint="eastAsia"/>
                      <w:color w:val="auto"/>
                      <w:szCs w:val="21"/>
                      <w:highlight w:val="none"/>
                      <w:u w:val="none"/>
                    </w:rPr>
                    <w:t>0</w:t>
                  </w:r>
                </w:p>
              </w:tc>
              <w:tc>
                <w:tcPr>
                  <w:tcW w:w="545" w:type="pct"/>
                  <w:vMerge w:val="restart"/>
                  <w:noWrap w:val="0"/>
                  <w:vAlign w:val="center"/>
                </w:tcPr>
                <w:p>
                  <w:pPr>
                    <w:overflowPunct w:val="0"/>
                    <w:ind w:left="-42" w:leftChars="-20" w:right="-42" w:rightChars="-20"/>
                    <w:jc w:val="center"/>
                    <w:rPr>
                      <w:rFonts w:hint="default" w:eastAsia="宋体"/>
                      <w:color w:val="auto"/>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6</w:t>
                  </w:r>
                  <w:r>
                    <w:rPr>
                      <w:rFonts w:hint="default" w:ascii="Times New Roman" w:hAnsi="Times New Roman" w:eastAsia="宋体" w:cs="Times New Roman"/>
                      <w:color w:val="auto"/>
                      <w:kern w:val="2"/>
                      <w:sz w:val="21"/>
                      <w:szCs w:val="21"/>
                      <w:highlight w:val="none"/>
                      <w:u w:val="none"/>
                      <w:lang w:val="en-US" w:eastAsia="zh-CN" w:bidi="ar-SA"/>
                    </w:rPr>
                    <w:t>4.77</w:t>
                  </w:r>
                </w:p>
              </w:tc>
              <w:tc>
                <w:tcPr>
                  <w:tcW w:w="900" w:type="pct"/>
                  <w:noWrap w:val="0"/>
                  <w:vAlign w:val="center"/>
                </w:tcPr>
                <w:p>
                  <w:pPr>
                    <w:pStyle w:val="37"/>
                    <w:overflowPunct w:val="0"/>
                    <w:rPr>
                      <w:color w:val="auto"/>
                      <w:szCs w:val="21"/>
                      <w:highlight w:val="none"/>
                      <w:u w:val="none"/>
                    </w:rPr>
                  </w:pPr>
                  <w:r>
                    <w:rPr>
                      <w:color w:val="auto"/>
                      <w:szCs w:val="21"/>
                      <w:highlight w:val="none"/>
                      <w:u w:val="none"/>
                    </w:rPr>
                    <w:t>距离（m）</w:t>
                  </w:r>
                </w:p>
              </w:tc>
              <w:tc>
                <w:tcPr>
                  <w:tcW w:w="550"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60</w:t>
                  </w:r>
                </w:p>
              </w:tc>
              <w:tc>
                <w:tcPr>
                  <w:tcW w:w="533"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10</w:t>
                  </w:r>
                </w:p>
              </w:tc>
              <w:tc>
                <w:tcPr>
                  <w:tcW w:w="499"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56.8</w:t>
                  </w:r>
                </w:p>
              </w:tc>
              <w:tc>
                <w:tcPr>
                  <w:tcW w:w="548"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4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445" w:type="pct"/>
                  <w:vMerge w:val="continue"/>
                  <w:noWrap w:val="0"/>
                  <w:vAlign w:val="center"/>
                </w:tcPr>
                <w:p>
                  <w:pPr>
                    <w:pStyle w:val="37"/>
                    <w:overflowPunct w:val="0"/>
                    <w:jc w:val="center"/>
                    <w:rPr>
                      <w:color w:val="auto"/>
                      <w:szCs w:val="21"/>
                      <w:highlight w:val="none"/>
                      <w:u w:val="none"/>
                    </w:rPr>
                  </w:pPr>
                </w:p>
              </w:tc>
              <w:tc>
                <w:tcPr>
                  <w:tcW w:w="432" w:type="pct"/>
                  <w:vMerge w:val="continue"/>
                  <w:noWrap w:val="0"/>
                  <w:vAlign w:val="center"/>
                </w:tcPr>
                <w:p>
                  <w:pPr>
                    <w:pStyle w:val="37"/>
                    <w:overflowPunct w:val="0"/>
                    <w:rPr>
                      <w:color w:val="auto"/>
                      <w:szCs w:val="21"/>
                      <w:highlight w:val="none"/>
                      <w:u w:val="none"/>
                    </w:rPr>
                  </w:pPr>
                </w:p>
              </w:tc>
              <w:tc>
                <w:tcPr>
                  <w:tcW w:w="545" w:type="pct"/>
                  <w:vMerge w:val="continue"/>
                  <w:noWrap w:val="0"/>
                  <w:vAlign w:val="center"/>
                </w:tcPr>
                <w:p>
                  <w:pPr>
                    <w:pStyle w:val="37"/>
                    <w:overflowPunct w:val="0"/>
                    <w:rPr>
                      <w:color w:val="auto"/>
                      <w:szCs w:val="21"/>
                      <w:highlight w:val="yellow"/>
                      <w:u w:val="none"/>
                    </w:rPr>
                  </w:pPr>
                </w:p>
              </w:tc>
              <w:tc>
                <w:tcPr>
                  <w:tcW w:w="900" w:type="pct"/>
                  <w:noWrap w:val="0"/>
                  <w:vAlign w:val="center"/>
                </w:tcPr>
                <w:p>
                  <w:pPr>
                    <w:pStyle w:val="37"/>
                    <w:overflowPunct w:val="0"/>
                    <w:rPr>
                      <w:color w:val="auto"/>
                      <w:szCs w:val="21"/>
                      <w:highlight w:val="none"/>
                      <w:u w:val="none"/>
                    </w:rPr>
                  </w:pPr>
                  <w:r>
                    <w:rPr>
                      <w:color w:val="auto"/>
                      <w:szCs w:val="21"/>
                      <w:highlight w:val="none"/>
                      <w:u w:val="none"/>
                    </w:rPr>
                    <w:t>贡献值dB(A)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29.21</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44.77</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29.68</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default"/>
                      <w:lang w:eastAsia="zh-CN"/>
                    </w:rPr>
                    <w:t>发泡机</w:t>
                  </w:r>
                </w:p>
              </w:tc>
              <w:tc>
                <w:tcPr>
                  <w:tcW w:w="445" w:type="pct"/>
                  <w:vMerge w:val="restart"/>
                  <w:noWrap w:val="0"/>
                  <w:vAlign w:val="center"/>
                </w:tcPr>
                <w:p>
                  <w:pPr>
                    <w:overflowPunct w:val="0"/>
                    <w:ind w:left="-42" w:leftChars="-20" w:right="-42" w:rightChars="-20"/>
                    <w:jc w:val="center"/>
                    <w:rPr>
                      <w:color w:val="auto"/>
                      <w:szCs w:val="21"/>
                      <w:highlight w:val="none"/>
                      <w:u w:val="none"/>
                    </w:rPr>
                  </w:pPr>
                  <w:r>
                    <w:rPr>
                      <w:rFonts w:hint="eastAsia" w:ascii="Times New Roman" w:hAnsi="Times New Roman" w:eastAsia="宋体"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4.77</w:t>
                  </w:r>
                </w:p>
              </w:tc>
              <w:tc>
                <w:tcPr>
                  <w:tcW w:w="432" w:type="pct"/>
                  <w:vMerge w:val="continue"/>
                  <w:noWrap w:val="0"/>
                  <w:vAlign w:val="center"/>
                </w:tcPr>
                <w:p>
                  <w:pPr>
                    <w:pStyle w:val="37"/>
                    <w:overflowPunct w:val="0"/>
                    <w:rPr>
                      <w:color w:val="auto"/>
                      <w:szCs w:val="21"/>
                      <w:highlight w:val="none"/>
                      <w:u w:val="none"/>
                    </w:rPr>
                  </w:pPr>
                </w:p>
              </w:tc>
              <w:tc>
                <w:tcPr>
                  <w:tcW w:w="545" w:type="pct"/>
                  <w:vMerge w:val="restart"/>
                  <w:noWrap w:val="0"/>
                  <w:vAlign w:val="center"/>
                </w:tcPr>
                <w:p>
                  <w:pPr>
                    <w:overflowPunct w:val="0"/>
                    <w:ind w:left="-42" w:leftChars="-20" w:right="-42" w:rightChars="-20"/>
                    <w:jc w:val="center"/>
                    <w:rPr>
                      <w:rFonts w:hint="default" w:eastAsia="宋体"/>
                      <w:color w:val="auto"/>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5</w:t>
                  </w:r>
                  <w:r>
                    <w:rPr>
                      <w:rFonts w:hint="default" w:ascii="Times New Roman" w:hAnsi="Times New Roman" w:eastAsia="宋体" w:cs="Times New Roman"/>
                      <w:color w:val="auto"/>
                      <w:kern w:val="2"/>
                      <w:sz w:val="21"/>
                      <w:szCs w:val="21"/>
                      <w:highlight w:val="none"/>
                      <w:u w:val="none"/>
                      <w:lang w:val="en-US" w:eastAsia="zh-CN" w:bidi="ar-SA"/>
                    </w:rPr>
                    <w:t>4.77</w:t>
                  </w:r>
                </w:p>
              </w:tc>
              <w:tc>
                <w:tcPr>
                  <w:tcW w:w="900" w:type="pct"/>
                  <w:noWrap w:val="0"/>
                  <w:vAlign w:val="center"/>
                </w:tcPr>
                <w:p>
                  <w:pPr>
                    <w:pStyle w:val="37"/>
                    <w:overflowPunct w:val="0"/>
                    <w:rPr>
                      <w:color w:val="auto"/>
                      <w:szCs w:val="21"/>
                      <w:highlight w:val="none"/>
                      <w:u w:val="none"/>
                    </w:rPr>
                  </w:pPr>
                  <w:r>
                    <w:rPr>
                      <w:color w:val="auto"/>
                      <w:szCs w:val="21"/>
                      <w:highlight w:val="none"/>
                      <w:u w:val="none"/>
                    </w:rPr>
                    <w:t>距离（m）</w:t>
                  </w:r>
                </w:p>
              </w:tc>
              <w:tc>
                <w:tcPr>
                  <w:tcW w:w="550"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8</w:t>
                  </w:r>
                  <w:r>
                    <w:rPr>
                      <w:rFonts w:hint="eastAsia"/>
                      <w:color w:val="auto"/>
                      <w:szCs w:val="21"/>
                      <w:highlight w:val="none"/>
                      <w:u w:val="none"/>
                    </w:rPr>
                    <w:t>0</w:t>
                  </w:r>
                </w:p>
              </w:tc>
              <w:tc>
                <w:tcPr>
                  <w:tcW w:w="533"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18</w:t>
                  </w:r>
                </w:p>
              </w:tc>
              <w:tc>
                <w:tcPr>
                  <w:tcW w:w="499"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36.8</w:t>
                  </w:r>
                </w:p>
              </w:tc>
              <w:tc>
                <w:tcPr>
                  <w:tcW w:w="548" w:type="pct"/>
                  <w:noWrap w:val="0"/>
                  <w:vAlign w:val="bottom"/>
                </w:tcPr>
                <w:p>
                  <w:pPr>
                    <w:overflowPunct w:val="0"/>
                    <w:jc w:val="center"/>
                    <w:rPr>
                      <w:rFonts w:hint="default"/>
                      <w:color w:val="auto"/>
                      <w:szCs w:val="21"/>
                      <w:highlight w:val="none"/>
                      <w:u w:val="none"/>
                      <w:lang w:val="en-US"/>
                    </w:rPr>
                  </w:pPr>
                  <w:r>
                    <w:rPr>
                      <w:rFonts w:hint="eastAsia"/>
                      <w:color w:val="auto"/>
                      <w:szCs w:val="21"/>
                      <w:highlight w:val="none"/>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445" w:type="pct"/>
                  <w:vMerge w:val="continue"/>
                  <w:noWrap w:val="0"/>
                  <w:vAlign w:val="center"/>
                </w:tcPr>
                <w:p>
                  <w:pPr>
                    <w:pStyle w:val="37"/>
                    <w:overflowPunct w:val="0"/>
                    <w:jc w:val="center"/>
                    <w:rPr>
                      <w:color w:val="auto"/>
                      <w:szCs w:val="21"/>
                      <w:highlight w:val="none"/>
                      <w:u w:val="none"/>
                    </w:rPr>
                  </w:pPr>
                </w:p>
              </w:tc>
              <w:tc>
                <w:tcPr>
                  <w:tcW w:w="432" w:type="pct"/>
                  <w:vMerge w:val="continue"/>
                  <w:noWrap w:val="0"/>
                  <w:vAlign w:val="center"/>
                </w:tcPr>
                <w:p>
                  <w:pPr>
                    <w:pStyle w:val="37"/>
                    <w:overflowPunct w:val="0"/>
                    <w:rPr>
                      <w:color w:val="auto"/>
                      <w:szCs w:val="21"/>
                      <w:highlight w:val="none"/>
                      <w:u w:val="none"/>
                    </w:rPr>
                  </w:pPr>
                </w:p>
              </w:tc>
              <w:tc>
                <w:tcPr>
                  <w:tcW w:w="545" w:type="pct"/>
                  <w:vMerge w:val="continue"/>
                  <w:noWrap w:val="0"/>
                  <w:vAlign w:val="center"/>
                </w:tcPr>
                <w:p>
                  <w:pPr>
                    <w:pStyle w:val="37"/>
                    <w:overflowPunct w:val="0"/>
                    <w:rPr>
                      <w:color w:val="auto"/>
                      <w:szCs w:val="21"/>
                      <w:highlight w:val="yellow"/>
                      <w:u w:val="none"/>
                    </w:rPr>
                  </w:pPr>
                </w:p>
              </w:tc>
              <w:tc>
                <w:tcPr>
                  <w:tcW w:w="900" w:type="pct"/>
                  <w:noWrap w:val="0"/>
                  <w:vAlign w:val="center"/>
                </w:tcPr>
                <w:p>
                  <w:pPr>
                    <w:pStyle w:val="37"/>
                    <w:overflowPunct w:val="0"/>
                    <w:rPr>
                      <w:color w:val="auto"/>
                      <w:szCs w:val="21"/>
                      <w:highlight w:val="none"/>
                      <w:u w:val="none"/>
                    </w:rPr>
                  </w:pPr>
                  <w:r>
                    <w:rPr>
                      <w:color w:val="auto"/>
                      <w:szCs w:val="21"/>
                      <w:highlight w:val="none"/>
                      <w:u w:val="none"/>
                    </w:rPr>
                    <w:t>贡献值dB(A)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16.71</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29.66</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23.45</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default"/>
                      <w:lang w:eastAsia="zh-CN"/>
                    </w:rPr>
                    <w:t>印刷</w:t>
                  </w:r>
                  <w:r>
                    <w:rPr>
                      <w:rFonts w:hint="default"/>
                    </w:rPr>
                    <w:t>机</w:t>
                  </w:r>
                </w:p>
              </w:tc>
              <w:tc>
                <w:tcPr>
                  <w:tcW w:w="445" w:type="pct"/>
                  <w:vMerge w:val="restart"/>
                  <w:noWrap w:val="0"/>
                  <w:vAlign w:val="center"/>
                </w:tcPr>
                <w:p>
                  <w:pPr>
                    <w:overflowPunct w:val="0"/>
                    <w:ind w:left="-42" w:leftChars="-20" w:right="-42" w:rightChars="-20"/>
                    <w:jc w:val="center"/>
                    <w:rPr>
                      <w:color w:val="auto"/>
                      <w:szCs w:val="21"/>
                      <w:highlight w:val="none"/>
                      <w:u w:val="none"/>
                    </w:rPr>
                  </w:pPr>
                  <w:r>
                    <w:rPr>
                      <w:rFonts w:hint="eastAsia" w:ascii="Times New Roman" w:hAnsi="Times New Roman" w:eastAsia="宋体" w:cs="Times New Roman"/>
                      <w:color w:val="auto"/>
                      <w:kern w:val="2"/>
                      <w:sz w:val="21"/>
                      <w:szCs w:val="21"/>
                      <w:highlight w:val="none"/>
                      <w:u w:val="none"/>
                      <w:lang w:val="en-US" w:eastAsia="zh-CN" w:bidi="ar-SA"/>
                    </w:rPr>
                    <w:t>7</w:t>
                  </w:r>
                  <w:r>
                    <w:rPr>
                      <w:rFonts w:hint="default" w:ascii="Times New Roman" w:hAnsi="Times New Roman" w:eastAsia="宋体" w:cs="Times New Roman"/>
                      <w:color w:val="auto"/>
                      <w:kern w:val="2"/>
                      <w:sz w:val="21"/>
                      <w:szCs w:val="21"/>
                      <w:highlight w:val="none"/>
                      <w:u w:val="none"/>
                      <w:lang w:val="en-US" w:eastAsia="zh-CN" w:bidi="ar-SA"/>
                    </w:rPr>
                    <w:t>4.77</w:t>
                  </w:r>
                </w:p>
              </w:tc>
              <w:tc>
                <w:tcPr>
                  <w:tcW w:w="432" w:type="pct"/>
                  <w:vMerge w:val="continue"/>
                  <w:noWrap w:val="0"/>
                  <w:vAlign w:val="center"/>
                </w:tcPr>
                <w:p>
                  <w:pPr>
                    <w:pStyle w:val="37"/>
                    <w:overflowPunct w:val="0"/>
                    <w:rPr>
                      <w:color w:val="auto"/>
                      <w:szCs w:val="21"/>
                      <w:highlight w:val="none"/>
                      <w:u w:val="none"/>
                    </w:rPr>
                  </w:pPr>
                </w:p>
              </w:tc>
              <w:tc>
                <w:tcPr>
                  <w:tcW w:w="545" w:type="pct"/>
                  <w:vMerge w:val="restart"/>
                  <w:noWrap w:val="0"/>
                  <w:vAlign w:val="center"/>
                </w:tcPr>
                <w:p>
                  <w:pPr>
                    <w:overflowPunct w:val="0"/>
                    <w:ind w:left="-42" w:leftChars="-20" w:right="-42" w:rightChars="-20"/>
                    <w:jc w:val="center"/>
                    <w:rPr>
                      <w:rFonts w:hint="default" w:eastAsia="宋体"/>
                      <w:color w:val="auto"/>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5</w:t>
                  </w:r>
                  <w:r>
                    <w:rPr>
                      <w:rFonts w:hint="default" w:ascii="Times New Roman" w:hAnsi="Times New Roman" w:eastAsia="宋体" w:cs="Times New Roman"/>
                      <w:color w:val="auto"/>
                      <w:kern w:val="2"/>
                      <w:sz w:val="21"/>
                      <w:szCs w:val="21"/>
                      <w:highlight w:val="none"/>
                      <w:u w:val="none"/>
                      <w:lang w:val="en-US" w:eastAsia="zh-CN" w:bidi="ar-SA"/>
                    </w:rPr>
                    <w:t>4.77</w:t>
                  </w:r>
                </w:p>
              </w:tc>
              <w:tc>
                <w:tcPr>
                  <w:tcW w:w="900" w:type="pct"/>
                  <w:noWrap w:val="0"/>
                  <w:vAlign w:val="center"/>
                </w:tcPr>
                <w:p>
                  <w:pPr>
                    <w:pStyle w:val="37"/>
                    <w:overflowPunct w:val="0"/>
                    <w:rPr>
                      <w:color w:val="auto"/>
                      <w:szCs w:val="21"/>
                      <w:highlight w:val="none"/>
                      <w:u w:val="none"/>
                    </w:rPr>
                  </w:pPr>
                  <w:r>
                    <w:rPr>
                      <w:color w:val="auto"/>
                      <w:szCs w:val="21"/>
                      <w:highlight w:val="none"/>
                      <w:u w:val="none"/>
                    </w:rPr>
                    <w:t>距离（m）</w:t>
                  </w:r>
                </w:p>
              </w:tc>
              <w:tc>
                <w:tcPr>
                  <w:tcW w:w="550" w:type="pct"/>
                  <w:noWrap w:val="0"/>
                  <w:vAlign w:val="bottom"/>
                </w:tcPr>
                <w:p>
                  <w:pPr>
                    <w:overflowPunct w:val="0"/>
                    <w:jc w:val="center"/>
                    <w:rPr>
                      <w:rFonts w:hint="default" w:eastAsia="宋体"/>
                      <w:color w:val="auto"/>
                      <w:szCs w:val="21"/>
                      <w:highlight w:val="yellow"/>
                      <w:u w:val="none"/>
                      <w:lang w:val="en-US" w:eastAsia="zh-CN"/>
                    </w:rPr>
                  </w:pPr>
                  <w:r>
                    <w:rPr>
                      <w:rFonts w:hint="eastAsia"/>
                      <w:color w:val="auto"/>
                      <w:szCs w:val="21"/>
                      <w:highlight w:val="none"/>
                      <w:u w:val="none"/>
                      <w:lang w:val="en-US" w:eastAsia="zh-CN"/>
                    </w:rPr>
                    <w:t>50.8</w:t>
                  </w:r>
                </w:p>
              </w:tc>
              <w:tc>
                <w:tcPr>
                  <w:tcW w:w="533"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18</w:t>
                  </w:r>
                </w:p>
              </w:tc>
              <w:tc>
                <w:tcPr>
                  <w:tcW w:w="499" w:type="pct"/>
                  <w:noWrap w:val="0"/>
                  <w:vAlign w:val="bottom"/>
                </w:tcPr>
                <w:p>
                  <w:pPr>
                    <w:overflowPunct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66</w:t>
                  </w:r>
                </w:p>
              </w:tc>
              <w:tc>
                <w:tcPr>
                  <w:tcW w:w="548"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445" w:type="pct"/>
                  <w:vMerge w:val="continue"/>
                  <w:noWrap w:val="0"/>
                  <w:vAlign w:val="center"/>
                </w:tcPr>
                <w:p>
                  <w:pPr>
                    <w:pStyle w:val="37"/>
                    <w:overflowPunct w:val="0"/>
                    <w:jc w:val="center"/>
                    <w:rPr>
                      <w:color w:val="auto"/>
                      <w:szCs w:val="21"/>
                      <w:highlight w:val="none"/>
                      <w:u w:val="none"/>
                    </w:rPr>
                  </w:pPr>
                </w:p>
              </w:tc>
              <w:tc>
                <w:tcPr>
                  <w:tcW w:w="432" w:type="pct"/>
                  <w:vMerge w:val="continue"/>
                  <w:noWrap w:val="0"/>
                  <w:vAlign w:val="center"/>
                </w:tcPr>
                <w:p>
                  <w:pPr>
                    <w:pStyle w:val="37"/>
                    <w:overflowPunct w:val="0"/>
                    <w:rPr>
                      <w:color w:val="auto"/>
                      <w:szCs w:val="21"/>
                      <w:highlight w:val="none"/>
                      <w:u w:val="none"/>
                    </w:rPr>
                  </w:pPr>
                </w:p>
              </w:tc>
              <w:tc>
                <w:tcPr>
                  <w:tcW w:w="545" w:type="pct"/>
                  <w:vMerge w:val="continue"/>
                  <w:noWrap w:val="0"/>
                  <w:vAlign w:val="center"/>
                </w:tcPr>
                <w:p>
                  <w:pPr>
                    <w:pStyle w:val="37"/>
                    <w:overflowPunct w:val="0"/>
                    <w:rPr>
                      <w:color w:val="auto"/>
                      <w:szCs w:val="21"/>
                      <w:highlight w:val="yellow"/>
                      <w:u w:val="none"/>
                    </w:rPr>
                  </w:pPr>
                </w:p>
              </w:tc>
              <w:tc>
                <w:tcPr>
                  <w:tcW w:w="900" w:type="pct"/>
                  <w:noWrap w:val="0"/>
                  <w:vAlign w:val="center"/>
                </w:tcPr>
                <w:p>
                  <w:pPr>
                    <w:pStyle w:val="37"/>
                    <w:overflowPunct w:val="0"/>
                    <w:rPr>
                      <w:color w:val="auto"/>
                      <w:szCs w:val="21"/>
                      <w:highlight w:val="none"/>
                      <w:u w:val="none"/>
                    </w:rPr>
                  </w:pPr>
                  <w:r>
                    <w:rPr>
                      <w:color w:val="auto"/>
                      <w:szCs w:val="21"/>
                      <w:highlight w:val="none"/>
                      <w:u w:val="none"/>
                    </w:rPr>
                    <w:t>贡献值dB(A)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default" w:eastAsia="宋体"/>
                      <w:color w:val="auto"/>
                      <w:szCs w:val="21"/>
                      <w:highlight w:val="none"/>
                      <w:u w:val="none"/>
                      <w:lang w:val="en-US" w:eastAsia="zh-CN"/>
                    </w:rPr>
                    <w:t>20.65</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29.66</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default" w:eastAsia="宋体"/>
                      <w:color w:val="auto"/>
                      <w:szCs w:val="21"/>
                      <w:highlight w:val="none"/>
                      <w:u w:val="none"/>
                      <w:lang w:val="en-US" w:eastAsia="zh-CN"/>
                    </w:rPr>
                    <w:t>18.37</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default"/>
                    </w:rPr>
                    <w:t>分条机</w:t>
                  </w:r>
                </w:p>
              </w:tc>
              <w:tc>
                <w:tcPr>
                  <w:tcW w:w="445" w:type="pct"/>
                  <w:vMerge w:val="restart"/>
                  <w:noWrap w:val="0"/>
                  <w:vAlign w:val="center"/>
                </w:tcPr>
                <w:p>
                  <w:pPr>
                    <w:overflowPunct w:val="0"/>
                    <w:ind w:left="-42" w:leftChars="-20" w:right="-42" w:rightChars="-20"/>
                    <w:jc w:val="center"/>
                    <w:rPr>
                      <w:color w:val="auto"/>
                      <w:szCs w:val="21"/>
                      <w:highlight w:val="none"/>
                      <w:u w:val="none"/>
                    </w:rPr>
                  </w:pPr>
                  <w:r>
                    <w:rPr>
                      <w:rFonts w:hint="default" w:ascii="Times New Roman" w:hAnsi="Times New Roman" w:eastAsia="宋体" w:cs="Times New Roman"/>
                      <w:color w:val="auto"/>
                      <w:kern w:val="2"/>
                      <w:sz w:val="21"/>
                      <w:szCs w:val="21"/>
                      <w:highlight w:val="none"/>
                      <w:u w:val="none"/>
                      <w:lang w:val="en-US" w:eastAsia="zh-CN" w:bidi="ar-SA"/>
                    </w:rPr>
                    <w:t>79.77</w:t>
                  </w:r>
                </w:p>
              </w:tc>
              <w:tc>
                <w:tcPr>
                  <w:tcW w:w="432" w:type="pct"/>
                  <w:vMerge w:val="continue"/>
                  <w:noWrap w:val="0"/>
                  <w:vAlign w:val="center"/>
                </w:tcPr>
                <w:p>
                  <w:pPr>
                    <w:pStyle w:val="37"/>
                    <w:overflowPunct w:val="0"/>
                    <w:rPr>
                      <w:color w:val="auto"/>
                      <w:szCs w:val="21"/>
                      <w:highlight w:val="none"/>
                      <w:u w:val="none"/>
                    </w:rPr>
                  </w:pPr>
                </w:p>
              </w:tc>
              <w:tc>
                <w:tcPr>
                  <w:tcW w:w="545" w:type="pct"/>
                  <w:vMerge w:val="restart"/>
                  <w:noWrap w:val="0"/>
                  <w:vAlign w:val="center"/>
                </w:tcPr>
                <w:p>
                  <w:pPr>
                    <w:overflowPunct w:val="0"/>
                    <w:ind w:left="-42" w:leftChars="-20" w:right="-42" w:rightChars="-20"/>
                    <w:jc w:val="center"/>
                    <w:rPr>
                      <w:rFonts w:hint="default" w:eastAsia="宋体"/>
                      <w:color w:val="auto"/>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5</w:t>
                  </w:r>
                  <w:r>
                    <w:rPr>
                      <w:rFonts w:hint="default" w:ascii="Times New Roman" w:hAnsi="Times New Roman" w:eastAsia="宋体" w:cs="Times New Roman"/>
                      <w:color w:val="auto"/>
                      <w:kern w:val="2"/>
                      <w:sz w:val="21"/>
                      <w:szCs w:val="21"/>
                      <w:highlight w:val="none"/>
                      <w:u w:val="none"/>
                      <w:lang w:val="en-US" w:eastAsia="zh-CN" w:bidi="ar-SA"/>
                    </w:rPr>
                    <w:t>9.77</w:t>
                  </w:r>
                </w:p>
              </w:tc>
              <w:tc>
                <w:tcPr>
                  <w:tcW w:w="900" w:type="pct"/>
                  <w:noWrap w:val="0"/>
                  <w:vAlign w:val="center"/>
                </w:tcPr>
                <w:p>
                  <w:pPr>
                    <w:pStyle w:val="37"/>
                    <w:overflowPunct w:val="0"/>
                    <w:rPr>
                      <w:color w:val="auto"/>
                      <w:szCs w:val="21"/>
                      <w:highlight w:val="none"/>
                      <w:u w:val="none"/>
                    </w:rPr>
                  </w:pPr>
                  <w:r>
                    <w:rPr>
                      <w:color w:val="auto"/>
                      <w:szCs w:val="21"/>
                      <w:highlight w:val="none"/>
                      <w:u w:val="none"/>
                    </w:rPr>
                    <w:t>距离（m）</w:t>
                  </w:r>
                </w:p>
              </w:tc>
              <w:tc>
                <w:tcPr>
                  <w:tcW w:w="550" w:type="pct"/>
                  <w:noWrap w:val="0"/>
                  <w:vAlign w:val="center"/>
                </w:tcPr>
                <w:p>
                  <w:pPr>
                    <w:pStyle w:val="37"/>
                    <w:overflowPunct w:val="0"/>
                    <w:ind w:firstLine="0" w:firstLineChars="0"/>
                    <w:rPr>
                      <w:rFonts w:hint="default" w:eastAsia="宋体"/>
                      <w:color w:val="auto"/>
                      <w:szCs w:val="21"/>
                      <w:highlight w:val="none"/>
                      <w:u w:val="none"/>
                      <w:lang w:val="en-US" w:eastAsia="zh-CN"/>
                    </w:rPr>
                  </w:pPr>
                  <w:r>
                    <w:rPr>
                      <w:rFonts w:hint="eastAsia"/>
                      <w:color w:val="auto"/>
                      <w:szCs w:val="21"/>
                      <w:highlight w:val="none"/>
                      <w:u w:val="none"/>
                      <w:lang w:val="en-US" w:eastAsia="zh-CN"/>
                    </w:rPr>
                    <w:t>31.1</w:t>
                  </w:r>
                </w:p>
              </w:tc>
              <w:tc>
                <w:tcPr>
                  <w:tcW w:w="533" w:type="pct"/>
                  <w:noWrap w:val="0"/>
                  <w:vAlign w:val="center"/>
                </w:tcPr>
                <w:p>
                  <w:pPr>
                    <w:pStyle w:val="37"/>
                    <w:overflowPunct w:val="0"/>
                    <w:ind w:firstLine="0" w:firstLineChars="0"/>
                    <w:rPr>
                      <w:color w:val="auto"/>
                      <w:szCs w:val="21"/>
                      <w:highlight w:val="none"/>
                      <w:u w:val="none"/>
                    </w:rPr>
                  </w:pPr>
                  <w:r>
                    <w:rPr>
                      <w:rFonts w:hint="eastAsia"/>
                      <w:color w:val="auto"/>
                      <w:szCs w:val="21"/>
                      <w:highlight w:val="none"/>
                      <w:u w:val="none"/>
                      <w:lang w:val="en-US" w:eastAsia="zh-CN"/>
                    </w:rPr>
                    <w:t>18</w:t>
                  </w:r>
                </w:p>
              </w:tc>
              <w:tc>
                <w:tcPr>
                  <w:tcW w:w="499" w:type="pct"/>
                  <w:noWrap w:val="0"/>
                  <w:vAlign w:val="center"/>
                </w:tcPr>
                <w:p>
                  <w:pPr>
                    <w:pStyle w:val="37"/>
                    <w:overflowPunct w:val="0"/>
                    <w:ind w:firstLine="0" w:firstLineChars="0"/>
                    <w:rPr>
                      <w:color w:val="auto"/>
                      <w:szCs w:val="21"/>
                      <w:highlight w:val="none"/>
                      <w:u w:val="none"/>
                    </w:rPr>
                  </w:pPr>
                  <w:r>
                    <w:rPr>
                      <w:rFonts w:hint="eastAsia"/>
                      <w:color w:val="auto"/>
                      <w:szCs w:val="21"/>
                      <w:highlight w:val="none"/>
                      <w:u w:val="none"/>
                      <w:lang w:val="en-US" w:eastAsia="zh-CN"/>
                    </w:rPr>
                    <w:t>85.7</w:t>
                  </w:r>
                </w:p>
              </w:tc>
              <w:tc>
                <w:tcPr>
                  <w:tcW w:w="548" w:type="pct"/>
                  <w:noWrap w:val="0"/>
                  <w:vAlign w:val="center"/>
                </w:tcPr>
                <w:p>
                  <w:pPr>
                    <w:pStyle w:val="37"/>
                    <w:overflowPunct w:val="0"/>
                    <w:ind w:firstLine="0" w:firstLineChars="0"/>
                    <w:rPr>
                      <w:color w:val="auto"/>
                      <w:szCs w:val="21"/>
                      <w:highlight w:val="none"/>
                      <w:u w:val="none"/>
                    </w:rPr>
                  </w:pPr>
                  <w:r>
                    <w:rPr>
                      <w:rFonts w:hint="eastAsia"/>
                      <w:color w:val="auto"/>
                      <w:szCs w:val="21"/>
                      <w:highlight w:val="none"/>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445" w:type="pct"/>
                  <w:vMerge w:val="continue"/>
                  <w:noWrap w:val="0"/>
                  <w:vAlign w:val="center"/>
                </w:tcPr>
                <w:p>
                  <w:pPr>
                    <w:pStyle w:val="37"/>
                    <w:overflowPunct w:val="0"/>
                    <w:jc w:val="center"/>
                    <w:rPr>
                      <w:color w:val="auto"/>
                      <w:szCs w:val="21"/>
                      <w:highlight w:val="yellow"/>
                      <w:u w:val="none"/>
                    </w:rPr>
                  </w:pPr>
                </w:p>
              </w:tc>
              <w:tc>
                <w:tcPr>
                  <w:tcW w:w="432" w:type="pct"/>
                  <w:vMerge w:val="continue"/>
                  <w:noWrap w:val="0"/>
                  <w:vAlign w:val="center"/>
                </w:tcPr>
                <w:p>
                  <w:pPr>
                    <w:pStyle w:val="37"/>
                    <w:overflowPunct w:val="0"/>
                    <w:rPr>
                      <w:color w:val="auto"/>
                      <w:szCs w:val="21"/>
                      <w:highlight w:val="yellow"/>
                      <w:u w:val="none"/>
                    </w:rPr>
                  </w:pPr>
                </w:p>
              </w:tc>
              <w:tc>
                <w:tcPr>
                  <w:tcW w:w="545" w:type="pct"/>
                  <w:vMerge w:val="continue"/>
                  <w:noWrap w:val="0"/>
                  <w:vAlign w:val="center"/>
                </w:tcPr>
                <w:p>
                  <w:pPr>
                    <w:pStyle w:val="37"/>
                    <w:overflowPunct w:val="0"/>
                    <w:rPr>
                      <w:color w:val="auto"/>
                      <w:szCs w:val="21"/>
                      <w:highlight w:val="yellow"/>
                      <w:u w:val="none"/>
                    </w:rPr>
                  </w:pPr>
                </w:p>
              </w:tc>
              <w:tc>
                <w:tcPr>
                  <w:tcW w:w="900" w:type="pct"/>
                  <w:noWrap w:val="0"/>
                  <w:vAlign w:val="center"/>
                </w:tcPr>
                <w:p>
                  <w:pPr>
                    <w:pStyle w:val="37"/>
                    <w:overflowPunct w:val="0"/>
                    <w:rPr>
                      <w:color w:val="auto"/>
                      <w:szCs w:val="21"/>
                      <w:highlight w:val="none"/>
                      <w:u w:val="none"/>
                    </w:rPr>
                  </w:pPr>
                  <w:r>
                    <w:rPr>
                      <w:color w:val="auto"/>
                      <w:szCs w:val="21"/>
                      <w:highlight w:val="none"/>
                      <w:u w:val="none"/>
                    </w:rPr>
                    <w:t>贡献值dB(A)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29.91</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34.66</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21.11</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34.66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default"/>
                    </w:rPr>
                    <w:t>电子鼓风干燥箱</w:t>
                  </w:r>
                </w:p>
              </w:tc>
              <w:tc>
                <w:tcPr>
                  <w:tcW w:w="445" w:type="pct"/>
                  <w:vMerge w:val="restart"/>
                  <w:noWrap w:val="0"/>
                  <w:vAlign w:val="center"/>
                </w:tcPr>
                <w:p>
                  <w:pPr>
                    <w:overflowPunct w:val="0"/>
                    <w:ind w:left="-42" w:leftChars="-20" w:right="-42" w:rightChars="-20"/>
                    <w:jc w:val="center"/>
                    <w:rPr>
                      <w:color w:val="auto"/>
                      <w:szCs w:val="21"/>
                      <w:highlight w:val="yellow"/>
                      <w:u w:val="none"/>
                    </w:rPr>
                  </w:pPr>
                  <w:r>
                    <w:rPr>
                      <w:rFonts w:hint="eastAsia" w:ascii="Times New Roman" w:hAnsi="Times New Roman" w:eastAsia="宋体" w:cs="Times New Roman"/>
                      <w:color w:val="auto"/>
                      <w:kern w:val="2"/>
                      <w:sz w:val="21"/>
                      <w:szCs w:val="21"/>
                      <w:highlight w:val="none"/>
                      <w:u w:val="none"/>
                      <w:lang w:val="en-US" w:eastAsia="zh-CN" w:bidi="ar-SA"/>
                    </w:rPr>
                    <w:t>94.77</w:t>
                  </w:r>
                </w:p>
              </w:tc>
              <w:tc>
                <w:tcPr>
                  <w:tcW w:w="432" w:type="pct"/>
                  <w:vMerge w:val="continue"/>
                  <w:noWrap w:val="0"/>
                  <w:vAlign w:val="center"/>
                </w:tcPr>
                <w:p>
                  <w:pPr>
                    <w:pStyle w:val="37"/>
                    <w:overflowPunct w:val="0"/>
                    <w:rPr>
                      <w:color w:val="auto"/>
                      <w:szCs w:val="21"/>
                      <w:highlight w:val="yellow"/>
                      <w:u w:val="none"/>
                    </w:rPr>
                  </w:pPr>
                </w:p>
              </w:tc>
              <w:tc>
                <w:tcPr>
                  <w:tcW w:w="545" w:type="pct"/>
                  <w:vMerge w:val="restart"/>
                  <w:noWrap w:val="0"/>
                  <w:vAlign w:val="center"/>
                </w:tcPr>
                <w:p>
                  <w:pPr>
                    <w:overflowPunct w:val="0"/>
                    <w:ind w:left="-42" w:leftChars="-20" w:right="-42" w:rightChars="-20"/>
                    <w:jc w:val="center"/>
                    <w:rPr>
                      <w:rFonts w:hint="default" w:eastAsia="宋体"/>
                      <w:color w:val="auto"/>
                      <w:szCs w:val="21"/>
                      <w:highlight w:val="yellow"/>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74.77</w:t>
                  </w:r>
                </w:p>
              </w:tc>
              <w:tc>
                <w:tcPr>
                  <w:tcW w:w="900" w:type="pct"/>
                  <w:noWrap w:val="0"/>
                  <w:vAlign w:val="center"/>
                </w:tcPr>
                <w:p>
                  <w:pPr>
                    <w:pStyle w:val="37"/>
                    <w:overflowPunct w:val="0"/>
                    <w:rPr>
                      <w:color w:val="auto"/>
                      <w:szCs w:val="21"/>
                      <w:highlight w:val="none"/>
                      <w:u w:val="none"/>
                    </w:rPr>
                  </w:pPr>
                  <w:r>
                    <w:rPr>
                      <w:color w:val="auto"/>
                      <w:szCs w:val="21"/>
                      <w:highlight w:val="none"/>
                      <w:u w:val="none"/>
                    </w:rPr>
                    <w:t>距离（m）</w:t>
                  </w:r>
                </w:p>
              </w:tc>
              <w:tc>
                <w:tcPr>
                  <w:tcW w:w="550"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60</w:t>
                  </w:r>
                </w:p>
              </w:tc>
              <w:tc>
                <w:tcPr>
                  <w:tcW w:w="533" w:type="pct"/>
                  <w:noWrap w:val="0"/>
                  <w:vAlign w:val="bottom"/>
                </w:tcPr>
                <w:p>
                  <w:pPr>
                    <w:overflowPunct w:val="0"/>
                    <w:jc w:val="center"/>
                    <w:rPr>
                      <w:color w:val="auto"/>
                      <w:szCs w:val="21"/>
                      <w:highlight w:val="yellow"/>
                      <w:u w:val="none"/>
                    </w:rPr>
                  </w:pPr>
                  <w:r>
                    <w:rPr>
                      <w:rFonts w:hint="eastAsia"/>
                      <w:color w:val="auto"/>
                      <w:szCs w:val="21"/>
                      <w:highlight w:val="none"/>
                      <w:u w:val="none"/>
                      <w:lang w:val="en-US" w:eastAsia="zh-CN"/>
                    </w:rPr>
                    <w:t>10</w:t>
                  </w:r>
                </w:p>
              </w:tc>
              <w:tc>
                <w:tcPr>
                  <w:tcW w:w="499"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56.8</w:t>
                  </w:r>
                </w:p>
              </w:tc>
              <w:tc>
                <w:tcPr>
                  <w:tcW w:w="548" w:type="pct"/>
                  <w:noWrap w:val="0"/>
                  <w:vAlign w:val="bottom"/>
                </w:tcPr>
                <w:p>
                  <w:pPr>
                    <w:overflowPunct w:val="0"/>
                    <w:jc w:val="center"/>
                    <w:rPr>
                      <w:color w:val="auto"/>
                      <w:szCs w:val="21"/>
                      <w:highlight w:val="none"/>
                      <w:u w:val="none"/>
                    </w:rPr>
                  </w:pPr>
                  <w:r>
                    <w:rPr>
                      <w:rFonts w:hint="eastAsia"/>
                      <w:color w:val="auto"/>
                      <w:szCs w:val="21"/>
                      <w:highlight w:val="none"/>
                      <w:u w:val="none"/>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4" w:type="pct"/>
                  <w:vMerge w:val="continue"/>
                  <w:noWrap w:val="0"/>
                  <w:vAlign w:val="center"/>
                </w:tcPr>
                <w:p>
                  <w:pPr>
                    <w:pStyle w:val="37"/>
                    <w:overflowPunct w:val="0"/>
                    <w:rPr>
                      <w:color w:val="auto"/>
                      <w:szCs w:val="21"/>
                      <w:highlight w:val="none"/>
                      <w:u w:val="none"/>
                    </w:rPr>
                  </w:pPr>
                </w:p>
              </w:tc>
              <w:tc>
                <w:tcPr>
                  <w:tcW w:w="445" w:type="pct"/>
                  <w:vMerge w:val="continue"/>
                  <w:noWrap w:val="0"/>
                  <w:vAlign w:val="center"/>
                </w:tcPr>
                <w:p>
                  <w:pPr>
                    <w:pStyle w:val="37"/>
                    <w:overflowPunct w:val="0"/>
                    <w:rPr>
                      <w:color w:val="auto"/>
                      <w:szCs w:val="21"/>
                      <w:highlight w:val="none"/>
                      <w:u w:val="none"/>
                    </w:rPr>
                  </w:pPr>
                </w:p>
              </w:tc>
              <w:tc>
                <w:tcPr>
                  <w:tcW w:w="432" w:type="pct"/>
                  <w:vMerge w:val="continue"/>
                  <w:noWrap w:val="0"/>
                  <w:vAlign w:val="center"/>
                </w:tcPr>
                <w:p>
                  <w:pPr>
                    <w:pStyle w:val="37"/>
                    <w:overflowPunct w:val="0"/>
                    <w:rPr>
                      <w:color w:val="auto"/>
                      <w:szCs w:val="21"/>
                      <w:highlight w:val="none"/>
                      <w:u w:val="none"/>
                    </w:rPr>
                  </w:pPr>
                </w:p>
              </w:tc>
              <w:tc>
                <w:tcPr>
                  <w:tcW w:w="545" w:type="pct"/>
                  <w:vMerge w:val="continue"/>
                  <w:noWrap w:val="0"/>
                  <w:vAlign w:val="center"/>
                </w:tcPr>
                <w:p>
                  <w:pPr>
                    <w:pStyle w:val="37"/>
                    <w:overflowPunct w:val="0"/>
                    <w:rPr>
                      <w:color w:val="auto"/>
                      <w:szCs w:val="21"/>
                      <w:highlight w:val="none"/>
                      <w:u w:val="none"/>
                    </w:rPr>
                  </w:pPr>
                </w:p>
              </w:tc>
              <w:tc>
                <w:tcPr>
                  <w:tcW w:w="900" w:type="pct"/>
                  <w:noWrap w:val="0"/>
                  <w:vAlign w:val="center"/>
                </w:tcPr>
                <w:p>
                  <w:pPr>
                    <w:pStyle w:val="37"/>
                    <w:overflowPunct w:val="0"/>
                    <w:rPr>
                      <w:color w:val="auto"/>
                      <w:szCs w:val="21"/>
                      <w:highlight w:val="none"/>
                      <w:u w:val="none"/>
                    </w:rPr>
                  </w:pPr>
                  <w:r>
                    <w:rPr>
                      <w:color w:val="auto"/>
                      <w:szCs w:val="21"/>
                      <w:highlight w:val="none"/>
                      <w:u w:val="none"/>
                    </w:rPr>
                    <w:t>贡献值dB(A)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39.21</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54.77</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39.68</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46.27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7" w:type="pct"/>
                  <w:gridSpan w:val="5"/>
                  <w:noWrap w:val="0"/>
                  <w:vAlign w:val="center"/>
                </w:tcPr>
                <w:p>
                  <w:pPr>
                    <w:pStyle w:val="37"/>
                    <w:overflowPunct w:val="0"/>
                    <w:rPr>
                      <w:color w:val="auto"/>
                      <w:szCs w:val="21"/>
                      <w:highlight w:val="none"/>
                      <w:u w:val="none"/>
                    </w:rPr>
                  </w:pPr>
                  <w:r>
                    <w:rPr>
                      <w:rFonts w:hint="eastAsia"/>
                      <w:color w:val="auto"/>
                      <w:szCs w:val="21"/>
                      <w:highlight w:val="none"/>
                      <w:u w:val="none"/>
                    </w:rPr>
                    <w:t>贡献值</w:t>
                  </w:r>
                  <w:r>
                    <w:rPr>
                      <w:color w:val="auto"/>
                      <w:szCs w:val="21"/>
                      <w:highlight w:val="none"/>
                      <w:u w:val="none"/>
                    </w:rPr>
                    <w:t>叠加dB(A)</w:t>
                  </w:r>
                </w:p>
              </w:tc>
              <w:tc>
                <w:tcPr>
                  <w:tcW w:w="550"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40.13</w:t>
                  </w:r>
                </w:p>
              </w:tc>
              <w:tc>
                <w:tcPr>
                  <w:tcW w:w="533"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55.25</w:t>
                  </w:r>
                </w:p>
              </w:tc>
              <w:tc>
                <w:tcPr>
                  <w:tcW w:w="499"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40.27</w:t>
                  </w:r>
                </w:p>
              </w:tc>
              <w:tc>
                <w:tcPr>
                  <w:tcW w:w="548" w:type="pct"/>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lang w:val="en-US" w:eastAsia="zh-CN"/>
                    </w:rPr>
                    <w:t>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422" w:type="pct"/>
                  <w:gridSpan w:val="3"/>
                  <w:noWrap w:val="0"/>
                  <w:vAlign w:val="center"/>
                </w:tcPr>
                <w:p>
                  <w:pPr>
                    <w:pStyle w:val="37"/>
                    <w:overflowPunct w:val="0"/>
                    <w:rPr>
                      <w:rFonts w:hint="default" w:eastAsia="宋体"/>
                      <w:color w:val="auto"/>
                      <w:szCs w:val="21"/>
                      <w:highlight w:val="none"/>
                      <w:u w:val="none"/>
                      <w:lang w:val="en-US" w:eastAsia="zh-CN"/>
                    </w:rPr>
                  </w:pPr>
                  <w:r>
                    <w:rPr>
                      <w:rFonts w:hint="eastAsia"/>
                      <w:color w:val="auto"/>
                      <w:szCs w:val="21"/>
                      <w:highlight w:val="none"/>
                      <w:u w:val="none"/>
                    </w:rPr>
                    <w:t>标准值</w:t>
                  </w:r>
                  <w:r>
                    <w:rPr>
                      <w:rFonts w:hint="eastAsia"/>
                      <w:color w:val="auto"/>
                      <w:szCs w:val="21"/>
                      <w:highlight w:val="none"/>
                      <w:u w:val="none"/>
                      <w:lang w:val="en-US" w:eastAsia="zh-CN"/>
                    </w:rPr>
                    <w:t>（夜间不生产）</w:t>
                  </w:r>
                </w:p>
              </w:tc>
              <w:tc>
                <w:tcPr>
                  <w:tcW w:w="1445" w:type="pct"/>
                  <w:gridSpan w:val="2"/>
                  <w:noWrap w:val="0"/>
                  <w:vAlign w:val="center"/>
                </w:tcPr>
                <w:p>
                  <w:pPr>
                    <w:pStyle w:val="37"/>
                    <w:overflowPunct w:val="0"/>
                    <w:rPr>
                      <w:rFonts w:hint="eastAsia"/>
                      <w:color w:val="auto"/>
                      <w:szCs w:val="21"/>
                      <w:highlight w:val="none"/>
                      <w:u w:val="none"/>
                    </w:rPr>
                  </w:pPr>
                  <w:r>
                    <w:rPr>
                      <w:rFonts w:hint="eastAsia"/>
                      <w:color w:val="auto"/>
                      <w:szCs w:val="21"/>
                      <w:highlight w:val="none"/>
                      <w:u w:val="none"/>
                    </w:rPr>
                    <w:t>昼间</w:t>
                  </w:r>
                  <w:r>
                    <w:rPr>
                      <w:color w:val="auto"/>
                      <w:szCs w:val="21"/>
                      <w:highlight w:val="none"/>
                      <w:u w:val="none"/>
                    </w:rPr>
                    <w:t>dB(A)</w:t>
                  </w:r>
                </w:p>
              </w:tc>
              <w:tc>
                <w:tcPr>
                  <w:tcW w:w="550" w:type="pct"/>
                  <w:noWrap w:val="0"/>
                  <w:vAlign w:val="center"/>
                </w:tcPr>
                <w:p>
                  <w:pPr>
                    <w:pStyle w:val="37"/>
                    <w:overflowPunct w:val="0"/>
                    <w:rPr>
                      <w:color w:val="auto"/>
                      <w:szCs w:val="21"/>
                      <w:highlight w:val="none"/>
                      <w:u w:val="none"/>
                    </w:rPr>
                  </w:pPr>
                  <w:r>
                    <w:rPr>
                      <w:rFonts w:hint="eastAsia"/>
                      <w:color w:val="auto"/>
                      <w:szCs w:val="21"/>
                      <w:highlight w:val="none"/>
                      <w:u w:val="none"/>
                    </w:rPr>
                    <w:t>65</w:t>
                  </w:r>
                </w:p>
              </w:tc>
              <w:tc>
                <w:tcPr>
                  <w:tcW w:w="533" w:type="pct"/>
                  <w:noWrap w:val="0"/>
                  <w:vAlign w:val="center"/>
                </w:tcPr>
                <w:p>
                  <w:pPr>
                    <w:pStyle w:val="37"/>
                    <w:overflowPunct w:val="0"/>
                    <w:rPr>
                      <w:color w:val="auto"/>
                      <w:szCs w:val="21"/>
                      <w:highlight w:val="none"/>
                      <w:u w:val="none"/>
                    </w:rPr>
                  </w:pPr>
                  <w:r>
                    <w:rPr>
                      <w:rFonts w:hint="eastAsia"/>
                      <w:color w:val="auto"/>
                      <w:szCs w:val="21"/>
                      <w:highlight w:val="none"/>
                      <w:u w:val="none"/>
                    </w:rPr>
                    <w:t>65</w:t>
                  </w:r>
                </w:p>
              </w:tc>
              <w:tc>
                <w:tcPr>
                  <w:tcW w:w="499" w:type="pct"/>
                  <w:noWrap w:val="0"/>
                  <w:vAlign w:val="center"/>
                </w:tcPr>
                <w:p>
                  <w:pPr>
                    <w:pStyle w:val="37"/>
                    <w:overflowPunct w:val="0"/>
                    <w:rPr>
                      <w:color w:val="auto"/>
                      <w:szCs w:val="21"/>
                      <w:highlight w:val="none"/>
                      <w:u w:val="none"/>
                    </w:rPr>
                  </w:pPr>
                  <w:r>
                    <w:rPr>
                      <w:rFonts w:hint="eastAsia"/>
                      <w:color w:val="auto"/>
                      <w:szCs w:val="21"/>
                      <w:highlight w:val="none"/>
                      <w:u w:val="none"/>
                    </w:rPr>
                    <w:t>65</w:t>
                  </w:r>
                </w:p>
              </w:tc>
              <w:tc>
                <w:tcPr>
                  <w:tcW w:w="548" w:type="pct"/>
                  <w:noWrap w:val="0"/>
                  <w:vAlign w:val="center"/>
                </w:tcPr>
                <w:p>
                  <w:pPr>
                    <w:pStyle w:val="37"/>
                    <w:overflowPunct w:val="0"/>
                    <w:rPr>
                      <w:color w:val="auto"/>
                      <w:szCs w:val="21"/>
                      <w:highlight w:val="none"/>
                      <w:u w:val="none"/>
                    </w:rPr>
                  </w:pPr>
                  <w:r>
                    <w:rPr>
                      <w:rFonts w:hint="eastAsia"/>
                      <w:color w:val="auto"/>
                      <w:szCs w:val="21"/>
                      <w:highlight w:val="none"/>
                      <w:u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7" w:type="pct"/>
                  <w:gridSpan w:val="5"/>
                  <w:noWrap w:val="0"/>
                  <w:vAlign w:val="center"/>
                </w:tcPr>
                <w:p>
                  <w:pPr>
                    <w:pStyle w:val="37"/>
                    <w:overflowPunct w:val="0"/>
                    <w:rPr>
                      <w:rFonts w:hint="eastAsia"/>
                      <w:color w:val="auto"/>
                      <w:szCs w:val="21"/>
                      <w:highlight w:val="none"/>
                      <w:u w:val="none"/>
                    </w:rPr>
                  </w:pPr>
                  <w:r>
                    <w:rPr>
                      <w:rFonts w:hint="eastAsia"/>
                      <w:color w:val="auto"/>
                      <w:szCs w:val="21"/>
                      <w:highlight w:val="none"/>
                      <w:u w:val="none"/>
                    </w:rPr>
                    <w:t>是否达标</w:t>
                  </w:r>
                </w:p>
              </w:tc>
              <w:tc>
                <w:tcPr>
                  <w:tcW w:w="550" w:type="pct"/>
                  <w:noWrap w:val="0"/>
                  <w:vAlign w:val="center"/>
                </w:tcPr>
                <w:p>
                  <w:pPr>
                    <w:pStyle w:val="37"/>
                    <w:overflowPunct w:val="0"/>
                    <w:rPr>
                      <w:rFonts w:hint="eastAsia"/>
                      <w:color w:val="auto"/>
                      <w:szCs w:val="21"/>
                      <w:highlight w:val="none"/>
                      <w:u w:val="none"/>
                    </w:rPr>
                  </w:pPr>
                  <w:r>
                    <w:rPr>
                      <w:rFonts w:hint="eastAsia"/>
                      <w:color w:val="auto"/>
                      <w:szCs w:val="21"/>
                      <w:highlight w:val="none"/>
                      <w:u w:val="none"/>
                    </w:rPr>
                    <w:t>是</w:t>
                  </w:r>
                </w:p>
              </w:tc>
              <w:tc>
                <w:tcPr>
                  <w:tcW w:w="533" w:type="pct"/>
                  <w:noWrap w:val="0"/>
                  <w:vAlign w:val="center"/>
                </w:tcPr>
                <w:p>
                  <w:pPr>
                    <w:overflowPunct w:val="0"/>
                    <w:jc w:val="center"/>
                    <w:rPr>
                      <w:rFonts w:hint="eastAsia"/>
                      <w:color w:val="auto"/>
                      <w:szCs w:val="21"/>
                      <w:highlight w:val="none"/>
                      <w:u w:val="none"/>
                    </w:rPr>
                  </w:pPr>
                  <w:r>
                    <w:rPr>
                      <w:rFonts w:hint="eastAsia"/>
                      <w:color w:val="auto"/>
                      <w:szCs w:val="21"/>
                      <w:highlight w:val="none"/>
                      <w:u w:val="none"/>
                    </w:rPr>
                    <w:t>是</w:t>
                  </w:r>
                </w:p>
              </w:tc>
              <w:tc>
                <w:tcPr>
                  <w:tcW w:w="499" w:type="pct"/>
                  <w:noWrap w:val="0"/>
                  <w:vAlign w:val="center"/>
                </w:tcPr>
                <w:p>
                  <w:pPr>
                    <w:overflowPunct w:val="0"/>
                    <w:jc w:val="center"/>
                    <w:rPr>
                      <w:color w:val="auto"/>
                      <w:szCs w:val="21"/>
                      <w:highlight w:val="none"/>
                      <w:u w:val="none"/>
                    </w:rPr>
                  </w:pPr>
                  <w:r>
                    <w:rPr>
                      <w:rFonts w:hint="eastAsia"/>
                      <w:color w:val="auto"/>
                      <w:szCs w:val="21"/>
                      <w:highlight w:val="none"/>
                      <w:u w:val="none"/>
                    </w:rPr>
                    <w:t>是</w:t>
                  </w:r>
                </w:p>
              </w:tc>
              <w:tc>
                <w:tcPr>
                  <w:tcW w:w="548" w:type="pct"/>
                  <w:noWrap w:val="0"/>
                  <w:vAlign w:val="center"/>
                </w:tcPr>
                <w:p>
                  <w:pPr>
                    <w:overflowPunct w:val="0"/>
                    <w:jc w:val="center"/>
                    <w:rPr>
                      <w:color w:val="auto"/>
                      <w:szCs w:val="21"/>
                      <w:highlight w:val="none"/>
                      <w:u w:val="none"/>
                    </w:rPr>
                  </w:pPr>
                  <w:r>
                    <w:rPr>
                      <w:rFonts w:hint="eastAsia"/>
                      <w:color w:val="auto"/>
                      <w:szCs w:val="21"/>
                      <w:highlight w:val="none"/>
                      <w:u w:val="none"/>
                    </w:rPr>
                    <w:t>是</w:t>
                  </w:r>
                </w:p>
              </w:tc>
            </w:tr>
          </w:tbl>
          <w:p>
            <w:pPr>
              <w:pStyle w:val="2"/>
              <w:overflowPunct w:val="0"/>
              <w:snapToGrid/>
              <w:spacing w:before="0" w:after="0" w:line="360" w:lineRule="auto"/>
              <w:ind w:right="0" w:firstLine="480" w:firstLineChars="200"/>
              <w:rPr>
                <w:rFonts w:hint="eastAsia"/>
                <w:color w:val="auto"/>
                <w:sz w:val="24"/>
                <w:highlight w:val="none"/>
                <w:u w:val="none"/>
              </w:rPr>
            </w:pPr>
            <w:r>
              <w:rPr>
                <w:rFonts w:hint="eastAsia"/>
                <w:color w:val="auto"/>
                <w:sz w:val="24"/>
                <w:highlight w:val="none"/>
                <w:u w:val="none"/>
              </w:rPr>
              <w:t>根据预测结果可知</w:t>
            </w:r>
            <w:r>
              <w:rPr>
                <w:color w:val="auto"/>
                <w:sz w:val="24"/>
                <w:highlight w:val="none"/>
                <w:u w:val="none"/>
              </w:rPr>
              <w:t>，本项目的厂界噪声值在昼夜均满足《工业企业厂界环境噪声排放标准》（GB12348-2008）中的</w:t>
            </w:r>
            <w:r>
              <w:rPr>
                <w:rFonts w:hint="eastAsia"/>
                <w:color w:val="auto"/>
                <w:sz w:val="24"/>
                <w:highlight w:val="none"/>
                <w:u w:val="none"/>
              </w:rPr>
              <w:t>3</w:t>
            </w:r>
            <w:r>
              <w:rPr>
                <w:color w:val="auto"/>
                <w:sz w:val="24"/>
                <w:highlight w:val="none"/>
                <w:u w:val="none"/>
              </w:rPr>
              <w:t>类标准</w:t>
            </w:r>
            <w:r>
              <w:rPr>
                <w:rFonts w:hint="eastAsia"/>
                <w:color w:val="auto"/>
                <w:sz w:val="24"/>
                <w:highlight w:val="none"/>
                <w:u w:val="none"/>
              </w:rPr>
              <w:t>要求。</w:t>
            </w:r>
          </w:p>
          <w:p>
            <w:pPr>
              <w:overflowPunct w:val="0"/>
              <w:adjustRightInd w:val="0"/>
              <w:snapToGrid w:val="0"/>
              <w:spacing w:line="360" w:lineRule="auto"/>
              <w:ind w:firstLine="482" w:firstLineChars="200"/>
              <w:rPr>
                <w:rFonts w:ascii="宋体" w:hAnsi="宋体" w:cs="宋体"/>
                <w:b/>
                <w:bCs/>
                <w:color w:val="auto"/>
                <w:kern w:val="0"/>
                <w:sz w:val="24"/>
                <w:highlight w:val="none"/>
                <w:u w:val="none"/>
              </w:rPr>
            </w:pPr>
            <w:r>
              <w:rPr>
                <w:rFonts w:hint="eastAsia"/>
                <w:b/>
                <w:bCs/>
                <w:color w:val="auto"/>
                <w:sz w:val="24"/>
                <w:highlight w:val="none"/>
                <w:u w:val="none"/>
              </w:rPr>
              <w:t>（4）</w:t>
            </w:r>
            <w:r>
              <w:rPr>
                <w:rFonts w:hint="eastAsia" w:ascii="宋体" w:hAnsi="宋体" w:cs="宋体"/>
                <w:b/>
                <w:bCs/>
                <w:color w:val="auto"/>
                <w:kern w:val="0"/>
                <w:sz w:val="24"/>
                <w:highlight w:val="none"/>
                <w:u w:val="none"/>
              </w:rPr>
              <w:t>噪声监测计划</w:t>
            </w:r>
          </w:p>
          <w:p>
            <w:pPr>
              <w:pStyle w:val="31"/>
              <w:overflowPunct w:val="0"/>
              <w:ind w:firstLine="480"/>
              <w:rPr>
                <w:snapToGrid w:val="0"/>
                <w:color w:val="auto"/>
                <w:sz w:val="21"/>
                <w:szCs w:val="21"/>
                <w:highlight w:val="none"/>
                <w:u w:val="none"/>
              </w:rPr>
            </w:pPr>
            <w:r>
              <w:rPr>
                <w:rFonts w:hint="eastAsia" w:ascii="宋体" w:hAnsi="宋体"/>
                <w:snapToGrid w:val="0"/>
                <w:color w:val="auto"/>
                <w:szCs w:val="24"/>
                <w:highlight w:val="none"/>
                <w:u w:val="none"/>
              </w:rPr>
              <w:t>根据《排污单位自行监测技术指南</w:t>
            </w:r>
            <w:r>
              <w:rPr>
                <w:snapToGrid w:val="0"/>
                <w:color w:val="auto"/>
                <w:szCs w:val="24"/>
                <w:highlight w:val="none"/>
                <w:u w:val="none"/>
              </w:rPr>
              <w:t xml:space="preserve"> 总则》（HJ819-2017）</w:t>
            </w:r>
            <w:r>
              <w:rPr>
                <w:rFonts w:hint="eastAsia" w:ascii="宋体" w:hAnsi="宋体"/>
                <w:snapToGrid w:val="0"/>
                <w:color w:val="auto"/>
                <w:szCs w:val="24"/>
                <w:highlight w:val="none"/>
                <w:u w:val="none"/>
              </w:rPr>
              <w:t>，厂界噪声监测频次为</w:t>
            </w:r>
            <w:r>
              <w:rPr>
                <w:rFonts w:ascii="宋体" w:hAnsi="宋体"/>
                <w:snapToGrid w:val="0"/>
                <w:color w:val="auto"/>
                <w:szCs w:val="24"/>
                <w:highlight w:val="none"/>
                <w:u w:val="none"/>
              </w:rPr>
              <w:t>一季度开展一次，并在噪声监测点附近醒目处设置环境保护图形标志牌。</w:t>
            </w:r>
          </w:p>
          <w:p>
            <w:pPr>
              <w:overflowPunct w:val="0"/>
              <w:adjustRightInd w:val="0"/>
              <w:snapToGrid w:val="0"/>
              <w:jc w:val="center"/>
              <w:rPr>
                <w:b/>
                <w:bCs/>
                <w:snapToGrid w:val="0"/>
                <w:color w:val="auto"/>
                <w:kern w:val="0"/>
                <w:szCs w:val="21"/>
                <w:highlight w:val="none"/>
                <w:u w:val="none"/>
              </w:rPr>
            </w:pPr>
            <w:r>
              <w:rPr>
                <w:b/>
                <w:bCs/>
                <w:snapToGrid w:val="0"/>
                <w:color w:val="auto"/>
                <w:kern w:val="0"/>
                <w:szCs w:val="21"/>
                <w:highlight w:val="none"/>
                <w:u w:val="none"/>
              </w:rPr>
              <w:t>表4-1</w:t>
            </w:r>
            <w:r>
              <w:rPr>
                <w:rFonts w:hint="eastAsia"/>
                <w:b/>
                <w:bCs/>
                <w:snapToGrid w:val="0"/>
                <w:color w:val="auto"/>
                <w:kern w:val="0"/>
                <w:szCs w:val="21"/>
                <w:highlight w:val="none"/>
                <w:u w:val="none"/>
                <w:lang w:val="en-US" w:eastAsia="zh-CN"/>
              </w:rPr>
              <w:t>5</w:t>
            </w:r>
            <w:r>
              <w:rPr>
                <w:b/>
                <w:bCs/>
                <w:snapToGrid w:val="0"/>
                <w:color w:val="auto"/>
                <w:kern w:val="0"/>
                <w:szCs w:val="21"/>
                <w:highlight w:val="none"/>
                <w:u w:val="none"/>
              </w:rPr>
              <w:t xml:space="preserve">  噪声环境监测计划</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4"/>
              <w:gridCol w:w="1414"/>
              <w:gridCol w:w="1382"/>
              <w:gridCol w:w="1249"/>
              <w:gridCol w:w="3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 w:val="21"/>
                      <w:szCs w:val="21"/>
                      <w:highlight w:val="none"/>
                      <w:u w:val="none"/>
                    </w:rPr>
                  </w:pPr>
                  <w:r>
                    <w:rPr>
                      <w:rFonts w:eastAsia="宋体" w:cs="Times New Roman"/>
                      <w:b/>
                      <w:bCs/>
                      <w:snapToGrid w:val="0"/>
                      <w:color w:val="auto"/>
                      <w:kern w:val="0"/>
                      <w:sz w:val="21"/>
                      <w:szCs w:val="21"/>
                      <w:highlight w:val="none"/>
                      <w:u w:val="none"/>
                    </w:rPr>
                    <w:t>类别</w:t>
                  </w:r>
                </w:p>
              </w:tc>
              <w:tc>
                <w:tcPr>
                  <w:tcW w:w="841"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 w:val="21"/>
                      <w:szCs w:val="21"/>
                      <w:highlight w:val="none"/>
                      <w:u w:val="none"/>
                    </w:rPr>
                  </w:pPr>
                  <w:r>
                    <w:rPr>
                      <w:rFonts w:eastAsia="宋体" w:cs="Times New Roman"/>
                      <w:b/>
                      <w:bCs/>
                      <w:snapToGrid w:val="0"/>
                      <w:color w:val="auto"/>
                      <w:kern w:val="0"/>
                      <w:sz w:val="21"/>
                      <w:szCs w:val="21"/>
                      <w:highlight w:val="none"/>
                      <w:u w:val="none"/>
                    </w:rPr>
                    <w:t>监测位置</w:t>
                  </w:r>
                </w:p>
              </w:tc>
              <w:tc>
                <w:tcPr>
                  <w:tcW w:w="822"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 w:val="21"/>
                      <w:szCs w:val="21"/>
                      <w:highlight w:val="none"/>
                      <w:u w:val="none"/>
                    </w:rPr>
                  </w:pPr>
                  <w:r>
                    <w:rPr>
                      <w:rFonts w:eastAsia="宋体" w:cs="Times New Roman"/>
                      <w:b/>
                      <w:bCs/>
                      <w:snapToGrid w:val="0"/>
                      <w:color w:val="auto"/>
                      <w:kern w:val="0"/>
                      <w:sz w:val="21"/>
                      <w:szCs w:val="21"/>
                      <w:highlight w:val="none"/>
                      <w:u w:val="none"/>
                    </w:rPr>
                    <w:t>监测项目</w:t>
                  </w:r>
                </w:p>
              </w:tc>
              <w:tc>
                <w:tcPr>
                  <w:tcW w:w="743"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 w:val="21"/>
                      <w:szCs w:val="21"/>
                      <w:highlight w:val="none"/>
                      <w:u w:val="none"/>
                    </w:rPr>
                  </w:pPr>
                  <w:r>
                    <w:rPr>
                      <w:rFonts w:eastAsia="宋体" w:cs="Times New Roman"/>
                      <w:b/>
                      <w:bCs/>
                      <w:snapToGrid w:val="0"/>
                      <w:color w:val="auto"/>
                      <w:kern w:val="0"/>
                      <w:sz w:val="21"/>
                      <w:szCs w:val="21"/>
                      <w:highlight w:val="none"/>
                      <w:u w:val="none"/>
                    </w:rPr>
                    <w:t>监测频次</w:t>
                  </w:r>
                </w:p>
              </w:tc>
              <w:tc>
                <w:tcPr>
                  <w:tcW w:w="2203" w:type="pct"/>
                  <w:noWrap w:val="0"/>
                  <w:vAlign w:val="center"/>
                </w:tcPr>
                <w:p>
                  <w:pPr>
                    <w:pStyle w:val="36"/>
                    <w:overflowPunct w:val="0"/>
                    <w:adjustRightInd w:val="0"/>
                    <w:snapToGrid w:val="0"/>
                    <w:ind w:firstLine="0" w:firstLineChars="0"/>
                    <w:jc w:val="center"/>
                    <w:rPr>
                      <w:rFonts w:eastAsia="宋体" w:cs="Times New Roman"/>
                      <w:b/>
                      <w:bCs/>
                      <w:snapToGrid w:val="0"/>
                      <w:color w:val="auto"/>
                      <w:kern w:val="0"/>
                      <w:sz w:val="21"/>
                      <w:szCs w:val="21"/>
                      <w:highlight w:val="none"/>
                      <w:u w:val="none"/>
                    </w:rPr>
                  </w:pPr>
                  <w:r>
                    <w:rPr>
                      <w:rFonts w:eastAsia="宋体" w:cs="Times New Roman"/>
                      <w:b/>
                      <w:bCs/>
                      <w:snapToGrid w:val="0"/>
                      <w:color w:val="auto"/>
                      <w:kern w:val="0"/>
                      <w:sz w:val="21"/>
                      <w:szCs w:val="21"/>
                      <w:highlight w:val="none"/>
                      <w:u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none"/>
                    </w:rPr>
                  </w:pPr>
                  <w:r>
                    <w:rPr>
                      <w:rFonts w:eastAsia="宋体" w:cs="Times New Roman"/>
                      <w:snapToGrid w:val="0"/>
                      <w:color w:val="auto"/>
                      <w:kern w:val="0"/>
                      <w:sz w:val="21"/>
                      <w:szCs w:val="21"/>
                      <w:highlight w:val="none"/>
                      <w:u w:val="none"/>
                    </w:rPr>
                    <w:t>噪声</w:t>
                  </w:r>
                </w:p>
              </w:tc>
              <w:tc>
                <w:tcPr>
                  <w:tcW w:w="841"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none"/>
                    </w:rPr>
                  </w:pPr>
                  <w:r>
                    <w:rPr>
                      <w:rFonts w:eastAsia="宋体" w:cs="Times New Roman"/>
                      <w:snapToGrid w:val="0"/>
                      <w:color w:val="auto"/>
                      <w:kern w:val="0"/>
                      <w:sz w:val="21"/>
                      <w:szCs w:val="21"/>
                      <w:highlight w:val="none"/>
                      <w:u w:val="none"/>
                    </w:rPr>
                    <w:t>厂界外1m</w:t>
                  </w:r>
                </w:p>
              </w:tc>
              <w:tc>
                <w:tcPr>
                  <w:tcW w:w="822" w:type="pct"/>
                  <w:noWrap w:val="0"/>
                  <w:vAlign w:val="center"/>
                </w:tcPr>
                <w:p>
                  <w:pPr>
                    <w:pStyle w:val="12"/>
                    <w:overflowPunct w:val="0"/>
                    <w:adjustRightInd w:val="0"/>
                    <w:snapToGrid w:val="0"/>
                    <w:spacing w:after="0"/>
                    <w:ind w:firstLine="0" w:firstLineChars="0"/>
                    <w:jc w:val="center"/>
                    <w:rPr>
                      <w:snapToGrid w:val="0"/>
                      <w:color w:val="auto"/>
                      <w:kern w:val="0"/>
                      <w:sz w:val="21"/>
                      <w:szCs w:val="21"/>
                      <w:highlight w:val="none"/>
                      <w:u w:val="none"/>
                    </w:rPr>
                  </w:pPr>
                  <w:r>
                    <w:rPr>
                      <w:snapToGrid w:val="0"/>
                      <w:color w:val="auto"/>
                      <w:kern w:val="0"/>
                      <w:sz w:val="21"/>
                      <w:szCs w:val="21"/>
                      <w:highlight w:val="none"/>
                      <w:u w:val="none"/>
                    </w:rPr>
                    <w:t>连续等效A声级</w:t>
                  </w:r>
                </w:p>
              </w:tc>
              <w:tc>
                <w:tcPr>
                  <w:tcW w:w="743"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none"/>
                    </w:rPr>
                  </w:pPr>
                  <w:r>
                    <w:rPr>
                      <w:rFonts w:eastAsia="宋体" w:cs="Times New Roman"/>
                      <w:bCs/>
                      <w:color w:val="auto"/>
                      <w:sz w:val="21"/>
                      <w:szCs w:val="21"/>
                      <w:highlight w:val="none"/>
                      <w:u w:val="none"/>
                    </w:rPr>
                    <w:t>每季度一次</w:t>
                  </w:r>
                  <w:r>
                    <w:rPr>
                      <w:rFonts w:eastAsia="宋体" w:cs="Times New Roman"/>
                      <w:color w:val="auto"/>
                      <w:sz w:val="21"/>
                      <w:szCs w:val="21"/>
                      <w:highlight w:val="none"/>
                      <w:u w:val="none"/>
                    </w:rPr>
                    <w:t>昼夜各1次</w:t>
                  </w:r>
                </w:p>
              </w:tc>
              <w:tc>
                <w:tcPr>
                  <w:tcW w:w="2203" w:type="pct"/>
                  <w:noWrap w:val="0"/>
                  <w:vAlign w:val="center"/>
                </w:tcPr>
                <w:p>
                  <w:pPr>
                    <w:pStyle w:val="36"/>
                    <w:overflowPunct w:val="0"/>
                    <w:adjustRightInd w:val="0"/>
                    <w:snapToGrid w:val="0"/>
                    <w:ind w:firstLine="0" w:firstLineChars="0"/>
                    <w:jc w:val="center"/>
                    <w:rPr>
                      <w:rFonts w:eastAsia="宋体" w:cs="Times New Roman"/>
                      <w:snapToGrid w:val="0"/>
                      <w:color w:val="auto"/>
                      <w:kern w:val="0"/>
                      <w:sz w:val="21"/>
                      <w:szCs w:val="21"/>
                      <w:highlight w:val="none"/>
                      <w:u w:val="none"/>
                    </w:rPr>
                  </w:pPr>
                  <w:r>
                    <w:rPr>
                      <w:rFonts w:eastAsia="宋体" w:cs="Times New Roman"/>
                      <w:snapToGrid w:val="0"/>
                      <w:color w:val="auto"/>
                      <w:kern w:val="0"/>
                      <w:sz w:val="21"/>
                      <w:szCs w:val="21"/>
                      <w:highlight w:val="none"/>
                      <w:u w:val="none"/>
                    </w:rPr>
                    <w:t>《工业企业厂界环境噪声排放标准》</w:t>
                  </w:r>
                </w:p>
                <w:p>
                  <w:pPr>
                    <w:pStyle w:val="36"/>
                    <w:overflowPunct w:val="0"/>
                    <w:adjustRightInd w:val="0"/>
                    <w:snapToGrid w:val="0"/>
                    <w:ind w:firstLine="0" w:firstLineChars="0"/>
                    <w:jc w:val="center"/>
                    <w:rPr>
                      <w:rFonts w:eastAsia="宋体" w:cs="Times New Roman"/>
                      <w:snapToGrid w:val="0"/>
                      <w:color w:val="auto"/>
                      <w:kern w:val="0"/>
                      <w:sz w:val="21"/>
                      <w:szCs w:val="21"/>
                      <w:highlight w:val="none"/>
                      <w:u w:val="none"/>
                    </w:rPr>
                  </w:pPr>
                  <w:r>
                    <w:rPr>
                      <w:rFonts w:eastAsia="宋体" w:cs="Times New Roman"/>
                      <w:snapToGrid w:val="0"/>
                      <w:color w:val="auto"/>
                      <w:kern w:val="0"/>
                      <w:sz w:val="21"/>
                      <w:szCs w:val="21"/>
                      <w:highlight w:val="none"/>
                      <w:u w:val="none"/>
                    </w:rPr>
                    <w:t>（GB12348-2008）</w:t>
                  </w:r>
                  <w:r>
                    <w:rPr>
                      <w:rFonts w:hint="eastAsia" w:eastAsia="宋体" w:cs="Times New Roman"/>
                      <w:snapToGrid w:val="0"/>
                      <w:color w:val="auto"/>
                      <w:kern w:val="0"/>
                      <w:sz w:val="21"/>
                      <w:szCs w:val="21"/>
                      <w:highlight w:val="none"/>
                      <w:u w:val="none"/>
                    </w:rPr>
                    <w:t>3</w:t>
                  </w:r>
                  <w:r>
                    <w:rPr>
                      <w:rFonts w:eastAsia="宋体" w:cs="Times New Roman"/>
                      <w:snapToGrid w:val="0"/>
                      <w:color w:val="auto"/>
                      <w:kern w:val="0"/>
                      <w:sz w:val="21"/>
                      <w:szCs w:val="21"/>
                      <w:highlight w:val="none"/>
                      <w:u w:val="none"/>
                    </w:rPr>
                    <w:t>类标准</w:t>
                  </w:r>
                </w:p>
              </w:tc>
            </w:tr>
          </w:tbl>
          <w:p>
            <w:pPr>
              <w:pStyle w:val="2"/>
              <w:overflowPunct w:val="0"/>
              <w:spacing w:after="0" w:line="360" w:lineRule="auto"/>
              <w:rPr>
                <w:b/>
                <w:bCs/>
                <w:color w:val="auto"/>
                <w:sz w:val="24"/>
                <w:highlight w:val="none"/>
                <w:u w:val="none"/>
              </w:rPr>
            </w:pPr>
            <w:r>
              <w:rPr>
                <w:b/>
                <w:bCs/>
                <w:color w:val="auto"/>
                <w:sz w:val="24"/>
                <w:highlight w:val="none"/>
                <w:u w:val="none"/>
              </w:rPr>
              <w:t>4</w:t>
            </w:r>
            <w:r>
              <w:rPr>
                <w:rFonts w:hint="eastAsia"/>
                <w:b/>
                <w:bCs/>
                <w:color w:val="auto"/>
                <w:sz w:val="24"/>
                <w:highlight w:val="none"/>
                <w:u w:val="none"/>
              </w:rPr>
              <w:t>、</w:t>
            </w:r>
            <w:r>
              <w:rPr>
                <w:b/>
                <w:bCs/>
                <w:color w:val="auto"/>
                <w:sz w:val="24"/>
                <w:highlight w:val="none"/>
                <w:u w:val="none"/>
              </w:rPr>
              <w:t>固废污染源分析</w:t>
            </w:r>
          </w:p>
          <w:p>
            <w:pPr>
              <w:pStyle w:val="2"/>
              <w:overflowPunct w:val="0"/>
              <w:spacing w:after="0" w:line="360" w:lineRule="auto"/>
              <w:ind w:firstLine="480" w:firstLineChars="200"/>
              <w:rPr>
                <w:color w:val="auto"/>
                <w:sz w:val="24"/>
                <w:highlight w:val="none"/>
                <w:u w:val="none"/>
              </w:rPr>
            </w:pPr>
            <w:r>
              <w:rPr>
                <w:color w:val="auto"/>
                <w:sz w:val="24"/>
                <w:highlight w:val="none"/>
                <w:u w:val="none"/>
              </w:rPr>
              <w:t>根据项目工程分析，建设项目固废主要为：废边角料、</w:t>
            </w:r>
            <w:r>
              <w:rPr>
                <w:rFonts w:hint="eastAsia"/>
                <w:color w:val="auto"/>
                <w:sz w:val="24"/>
                <w:highlight w:val="none"/>
                <w:u w:val="none"/>
                <w:lang w:eastAsia="zh-CN"/>
              </w:rPr>
              <w:t>原料</w:t>
            </w:r>
            <w:r>
              <w:rPr>
                <w:color w:val="auto"/>
                <w:sz w:val="24"/>
                <w:highlight w:val="none"/>
                <w:u w:val="none"/>
              </w:rPr>
              <w:t>包装桶、</w:t>
            </w:r>
            <w:r>
              <w:rPr>
                <w:rFonts w:hint="eastAsia"/>
                <w:color w:val="auto"/>
                <w:sz w:val="24"/>
                <w:highlight w:val="none"/>
                <w:u w:val="none"/>
              </w:rPr>
              <w:t>废活性炭</w:t>
            </w:r>
            <w:r>
              <w:rPr>
                <w:rFonts w:hint="eastAsia"/>
                <w:color w:val="auto"/>
                <w:sz w:val="24"/>
                <w:highlight w:val="none"/>
                <w:u w:val="none"/>
                <w:lang w:eastAsia="zh-CN"/>
              </w:rPr>
              <w:t>、</w:t>
            </w:r>
            <w:r>
              <w:rPr>
                <w:color w:val="auto"/>
                <w:sz w:val="24"/>
                <w:highlight w:val="none"/>
                <w:u w:val="none"/>
              </w:rPr>
              <w:t>职工生活垃圾</w:t>
            </w:r>
            <w:r>
              <w:rPr>
                <w:rFonts w:hint="eastAsia"/>
                <w:color w:val="auto"/>
                <w:sz w:val="24"/>
                <w:highlight w:val="none"/>
                <w:u w:val="none"/>
                <w:lang w:eastAsia="zh-CN"/>
              </w:rPr>
              <w:t>、废紫外灯管</w:t>
            </w:r>
            <w:r>
              <w:rPr>
                <w:color w:val="auto"/>
                <w:sz w:val="24"/>
                <w:highlight w:val="none"/>
                <w:u w:val="none"/>
              </w:rPr>
              <w:t>。</w:t>
            </w:r>
          </w:p>
          <w:p>
            <w:pPr>
              <w:pStyle w:val="2"/>
              <w:overflowPunct w:val="0"/>
              <w:spacing w:after="0" w:line="360" w:lineRule="auto"/>
              <w:ind w:firstLine="480" w:firstLineChars="200"/>
              <w:rPr>
                <w:color w:val="auto"/>
                <w:sz w:val="24"/>
                <w:highlight w:val="none"/>
                <w:u w:val="none"/>
              </w:rPr>
            </w:pPr>
            <w:r>
              <w:rPr>
                <w:color w:val="auto"/>
                <w:sz w:val="24"/>
                <w:highlight w:val="none"/>
                <w:u w:val="none"/>
              </w:rPr>
              <w:t>（1）废边角料</w:t>
            </w:r>
          </w:p>
          <w:p>
            <w:pPr>
              <w:pStyle w:val="2"/>
              <w:widowControl w:val="0"/>
              <w:overflowPunct w:val="0"/>
              <w:snapToGrid/>
              <w:spacing w:after="0" w:line="360" w:lineRule="auto"/>
              <w:ind w:firstLine="480" w:firstLineChars="200"/>
              <w:rPr>
                <w:rFonts w:hint="eastAsia"/>
                <w:color w:val="auto"/>
                <w:sz w:val="24"/>
                <w:highlight w:val="none"/>
                <w:u w:val="single"/>
              </w:rPr>
            </w:pPr>
            <w:r>
              <w:rPr>
                <w:rFonts w:hint="eastAsia"/>
                <w:color w:val="auto"/>
                <w:sz w:val="24"/>
                <w:highlight w:val="none"/>
                <w:u w:val="single"/>
              </w:rPr>
              <w:t>项目</w:t>
            </w:r>
            <w:r>
              <w:rPr>
                <w:rFonts w:hint="eastAsia"/>
                <w:color w:val="auto"/>
                <w:sz w:val="24"/>
                <w:highlight w:val="none"/>
                <w:u w:val="single"/>
                <w:lang w:eastAsia="zh-CN"/>
              </w:rPr>
              <w:t>分切</w:t>
            </w:r>
            <w:r>
              <w:rPr>
                <w:rFonts w:hint="eastAsia"/>
                <w:color w:val="auto"/>
                <w:sz w:val="24"/>
                <w:highlight w:val="none"/>
                <w:u w:val="single"/>
              </w:rPr>
              <w:t>工艺过程会产生一定量的废边角料，根据建设单位提供的资料，废边角料产生量约为</w:t>
            </w:r>
            <w:r>
              <w:rPr>
                <w:rFonts w:hint="eastAsia"/>
                <w:color w:val="auto"/>
                <w:sz w:val="24"/>
                <w:highlight w:val="none"/>
                <w:u w:val="single"/>
                <w:lang w:eastAsia="zh-CN"/>
              </w:rPr>
              <w:t>成品</w:t>
            </w:r>
            <w:r>
              <w:rPr>
                <w:rFonts w:hint="eastAsia"/>
                <w:color w:val="auto"/>
                <w:sz w:val="24"/>
                <w:highlight w:val="none"/>
                <w:u w:val="single"/>
              </w:rPr>
              <w:t>的</w:t>
            </w:r>
            <w:r>
              <w:rPr>
                <w:rFonts w:hint="eastAsia"/>
                <w:color w:val="auto"/>
                <w:sz w:val="24"/>
                <w:highlight w:val="none"/>
                <w:u w:val="single"/>
                <w:lang w:val="en-US" w:eastAsia="zh-CN"/>
              </w:rPr>
              <w:t>1</w:t>
            </w:r>
            <w:r>
              <w:rPr>
                <w:rFonts w:hint="eastAsia"/>
                <w:color w:val="auto"/>
                <w:sz w:val="24"/>
                <w:highlight w:val="none"/>
                <w:u w:val="single"/>
              </w:rPr>
              <w:t>%，由于聚氨酯泡绵</w:t>
            </w:r>
            <w:r>
              <w:rPr>
                <w:rFonts w:hint="eastAsia"/>
                <w:color w:val="auto"/>
                <w:sz w:val="24"/>
                <w:highlight w:val="none"/>
                <w:u w:val="single"/>
                <w:lang w:eastAsia="zh-CN"/>
              </w:rPr>
              <w:t>年产量</w:t>
            </w:r>
            <w:r>
              <w:rPr>
                <w:rFonts w:hint="eastAsia"/>
                <w:color w:val="auto"/>
                <w:sz w:val="24"/>
                <w:highlight w:val="none"/>
                <w:u w:val="single"/>
              </w:rPr>
              <w:t>为</w:t>
            </w:r>
            <w:r>
              <w:rPr>
                <w:rFonts w:hint="eastAsia"/>
                <w:color w:val="auto"/>
                <w:sz w:val="24"/>
                <w:highlight w:val="none"/>
                <w:u w:val="single"/>
                <w:lang w:val="en-US" w:eastAsia="zh-CN"/>
              </w:rPr>
              <w:t>340万</w:t>
            </w:r>
            <w:r>
              <w:rPr>
                <w:rFonts w:hint="eastAsia"/>
                <w:color w:val="auto"/>
                <w:sz w:val="24"/>
                <w:szCs w:val="24"/>
                <w:highlight w:val="none"/>
                <w:u w:val="single"/>
                <w:lang w:val="en-US" w:eastAsia="zh-CN"/>
              </w:rPr>
              <w:t>米，</w:t>
            </w:r>
            <w:r>
              <w:rPr>
                <w:rFonts w:hint="default" w:ascii="Times New Roman" w:hAnsi="Times New Roman" w:cs="Times New Roman"/>
                <w:b w:val="0"/>
                <w:bCs/>
                <w:color w:val="auto"/>
                <w:sz w:val="24"/>
                <w:szCs w:val="24"/>
                <w:u w:val="single"/>
                <w:lang w:val="en-US" w:eastAsia="zh-CN"/>
              </w:rPr>
              <w:t>1m</w:t>
            </w:r>
            <w:r>
              <w:rPr>
                <w:rFonts w:hint="default" w:ascii="Times New Roman" w:hAnsi="Times New Roman" w:eastAsia="宋体" w:cs="Times New Roman"/>
                <w:b w:val="0"/>
                <w:bCs/>
                <w:sz w:val="24"/>
                <w:szCs w:val="24"/>
                <w:u w:val="single"/>
                <w:vertAlign w:val="baseline"/>
                <w:lang w:val="en-US" w:eastAsia="zh-CN"/>
              </w:rPr>
              <w:t>聚氨酯泡绵</w:t>
            </w:r>
            <w:r>
              <w:rPr>
                <w:rFonts w:hint="default" w:ascii="Times New Roman" w:hAnsi="Times New Roman" w:cs="Times New Roman"/>
                <w:b w:val="0"/>
                <w:bCs/>
                <w:color w:val="auto"/>
                <w:sz w:val="24"/>
                <w:szCs w:val="24"/>
                <w:u w:val="single"/>
                <w:lang w:val="en-US" w:eastAsia="zh-CN"/>
              </w:rPr>
              <w:t>约</w:t>
            </w:r>
            <w:r>
              <w:rPr>
                <w:rFonts w:hint="eastAsia" w:cs="Times New Roman"/>
                <w:b w:val="0"/>
                <w:bCs/>
                <w:color w:val="auto"/>
                <w:sz w:val="24"/>
                <w:szCs w:val="24"/>
                <w:u w:val="single"/>
                <w:lang w:val="en-US" w:eastAsia="zh-CN"/>
              </w:rPr>
              <w:t>1</w:t>
            </w:r>
            <w:r>
              <w:rPr>
                <w:rFonts w:hint="default" w:ascii="Times New Roman" w:hAnsi="Times New Roman" w:cs="Times New Roman"/>
                <w:b w:val="0"/>
                <w:bCs/>
                <w:color w:val="auto"/>
                <w:sz w:val="24"/>
                <w:szCs w:val="24"/>
                <w:u w:val="single"/>
                <w:lang w:val="en-US" w:eastAsia="zh-CN"/>
              </w:rPr>
              <w:t>kg</w:t>
            </w:r>
            <w:r>
              <w:rPr>
                <w:rFonts w:hint="eastAsia"/>
                <w:b w:val="0"/>
                <w:bCs/>
                <w:color w:val="auto"/>
                <w:sz w:val="24"/>
                <w:szCs w:val="24"/>
                <w:u w:val="single"/>
                <w:lang w:val="en-US" w:eastAsia="zh-CN"/>
              </w:rPr>
              <w:t>，故合计年产</w:t>
            </w:r>
            <w:r>
              <w:rPr>
                <w:rFonts w:hint="default" w:ascii="Times New Roman" w:hAnsi="Times New Roman" w:eastAsia="宋体" w:cs="Times New Roman"/>
                <w:b w:val="0"/>
                <w:bCs/>
                <w:sz w:val="24"/>
                <w:szCs w:val="24"/>
                <w:u w:val="single"/>
                <w:vertAlign w:val="baseline"/>
                <w:lang w:val="en-US" w:eastAsia="zh-CN"/>
              </w:rPr>
              <w:t>聚氨酯泡绵</w:t>
            </w:r>
            <w:r>
              <w:rPr>
                <w:rFonts w:hint="eastAsia" w:cs="Times New Roman"/>
                <w:b w:val="0"/>
                <w:bCs/>
                <w:sz w:val="24"/>
                <w:szCs w:val="24"/>
                <w:u w:val="single"/>
                <w:vertAlign w:val="baseline"/>
                <w:lang w:val="en-US" w:eastAsia="zh-CN"/>
              </w:rPr>
              <w:t>3400</w:t>
            </w:r>
            <w:r>
              <w:rPr>
                <w:rFonts w:hint="eastAsia" w:ascii="Times New Roman" w:hAnsi="Times New Roman" w:eastAsia="宋体" w:cs="Times New Roman"/>
                <w:b w:val="0"/>
                <w:bCs/>
                <w:sz w:val="24"/>
                <w:szCs w:val="24"/>
                <w:u w:val="single"/>
                <w:vertAlign w:val="baseline"/>
                <w:lang w:val="en-US" w:eastAsia="zh-CN"/>
              </w:rPr>
              <w:t>t/a。</w:t>
            </w:r>
            <w:r>
              <w:rPr>
                <w:rFonts w:hint="eastAsia"/>
                <w:color w:val="auto"/>
                <w:sz w:val="24"/>
                <w:szCs w:val="24"/>
                <w:highlight w:val="none"/>
                <w:u w:val="single"/>
              </w:rPr>
              <w:t>则废边角料</w:t>
            </w:r>
            <w:r>
              <w:rPr>
                <w:rFonts w:hint="eastAsia"/>
                <w:color w:val="auto"/>
                <w:sz w:val="24"/>
                <w:highlight w:val="none"/>
                <w:u w:val="single"/>
              </w:rPr>
              <w:t>产生量约为</w:t>
            </w:r>
            <w:r>
              <w:rPr>
                <w:rFonts w:hint="eastAsia"/>
                <w:color w:val="auto"/>
                <w:sz w:val="24"/>
                <w:highlight w:val="none"/>
                <w:u w:val="single"/>
                <w:lang w:val="en-US" w:eastAsia="zh-CN"/>
              </w:rPr>
              <w:t>34</w:t>
            </w:r>
            <w:r>
              <w:rPr>
                <w:rFonts w:hint="eastAsia"/>
                <w:color w:val="auto"/>
                <w:sz w:val="24"/>
                <w:highlight w:val="none"/>
                <w:u w:val="single"/>
              </w:rPr>
              <w:t>t/a，定期由环卫清运。</w:t>
            </w:r>
          </w:p>
          <w:p>
            <w:pPr>
              <w:pStyle w:val="2"/>
              <w:widowControl w:val="0"/>
              <w:overflowPunct w:val="0"/>
              <w:spacing w:after="0" w:line="360" w:lineRule="auto"/>
              <w:ind w:firstLine="480" w:firstLineChars="200"/>
              <w:rPr>
                <w:rFonts w:hint="eastAsia"/>
                <w:color w:val="auto"/>
                <w:sz w:val="24"/>
                <w:highlight w:val="none"/>
                <w:u w:val="none"/>
              </w:rPr>
            </w:pPr>
            <w:r>
              <w:rPr>
                <w:color w:val="auto"/>
                <w:sz w:val="24"/>
                <w:highlight w:val="none"/>
                <w:u w:val="none"/>
              </w:rPr>
              <w:t>（</w:t>
            </w:r>
            <w:r>
              <w:rPr>
                <w:rFonts w:hint="eastAsia"/>
                <w:color w:val="auto"/>
                <w:sz w:val="24"/>
                <w:highlight w:val="none"/>
                <w:u w:val="none"/>
                <w:lang w:val="en-US" w:eastAsia="zh-CN"/>
              </w:rPr>
              <w:t>2</w:t>
            </w:r>
            <w:r>
              <w:rPr>
                <w:color w:val="auto"/>
                <w:sz w:val="24"/>
                <w:highlight w:val="none"/>
                <w:u w:val="none"/>
              </w:rPr>
              <w:t>）</w:t>
            </w:r>
            <w:r>
              <w:rPr>
                <w:rFonts w:hint="eastAsia"/>
                <w:color w:val="auto"/>
                <w:sz w:val="24"/>
                <w:highlight w:val="none"/>
                <w:u w:val="none"/>
                <w:lang w:eastAsia="zh-CN"/>
              </w:rPr>
              <w:t>原料</w:t>
            </w:r>
            <w:r>
              <w:rPr>
                <w:rFonts w:hint="eastAsia"/>
                <w:color w:val="auto"/>
                <w:sz w:val="24"/>
                <w:highlight w:val="none"/>
                <w:u w:val="none"/>
              </w:rPr>
              <w:t>包装桶</w:t>
            </w:r>
          </w:p>
          <w:p>
            <w:pPr>
              <w:pStyle w:val="2"/>
              <w:widowControl w:val="0"/>
              <w:overflowPunct w:val="0"/>
              <w:spacing w:before="0" w:after="0" w:line="360" w:lineRule="auto"/>
              <w:ind w:right="0" w:firstLine="480" w:firstLineChars="200"/>
              <w:rPr>
                <w:rFonts w:hint="eastAsia"/>
                <w:color w:val="auto"/>
                <w:sz w:val="24"/>
                <w:highlight w:val="yellow"/>
                <w:u w:val="none"/>
              </w:rPr>
            </w:pPr>
            <w:r>
              <w:rPr>
                <w:rFonts w:hint="eastAsia"/>
                <w:color w:val="auto"/>
                <w:sz w:val="24"/>
                <w:highlight w:val="none"/>
                <w:u w:val="none"/>
              </w:rPr>
              <w:t>根据建设项目原辅料使用量及包装规格，包装桶年产生量</w:t>
            </w:r>
            <w:r>
              <w:rPr>
                <w:rFonts w:hint="eastAsia"/>
                <w:color w:val="auto"/>
                <w:sz w:val="24"/>
                <w:highlight w:val="none"/>
                <w:u w:val="none"/>
                <w:lang w:eastAsia="zh-CN"/>
              </w:rPr>
              <w:t>约</w:t>
            </w:r>
            <w:r>
              <w:rPr>
                <w:rFonts w:hint="eastAsia"/>
                <w:color w:val="auto"/>
                <w:sz w:val="24"/>
                <w:highlight w:val="none"/>
                <w:u w:val="none"/>
              </w:rPr>
              <w:t>为</w:t>
            </w:r>
            <w:r>
              <w:rPr>
                <w:rFonts w:hint="eastAsia"/>
                <w:color w:val="auto"/>
                <w:sz w:val="24"/>
                <w:highlight w:val="none"/>
                <w:u w:val="none"/>
                <w:lang w:val="en-US" w:eastAsia="zh-CN"/>
              </w:rPr>
              <w:t>3500</w:t>
            </w:r>
            <w:r>
              <w:rPr>
                <w:rFonts w:hint="eastAsia"/>
                <w:color w:val="auto"/>
                <w:sz w:val="24"/>
                <w:highlight w:val="none"/>
                <w:u w:val="none"/>
              </w:rPr>
              <w:t>个，单个废包装桶重量约为2kg（包含包装桶上残留的少量</w:t>
            </w:r>
            <w:r>
              <w:rPr>
                <w:rFonts w:hint="eastAsia"/>
                <w:color w:val="auto"/>
                <w:sz w:val="24"/>
                <w:highlight w:val="none"/>
                <w:u w:val="none"/>
                <w:lang w:eastAsia="zh-CN"/>
              </w:rPr>
              <w:t>原料</w:t>
            </w:r>
            <w:r>
              <w:rPr>
                <w:rFonts w:hint="eastAsia"/>
                <w:color w:val="auto"/>
                <w:sz w:val="24"/>
                <w:highlight w:val="none"/>
                <w:u w:val="none"/>
              </w:rPr>
              <w:t>），因此</w:t>
            </w:r>
            <w:r>
              <w:rPr>
                <w:rFonts w:hint="eastAsia"/>
                <w:color w:val="auto"/>
                <w:sz w:val="24"/>
                <w:highlight w:val="none"/>
                <w:u w:val="none"/>
                <w:lang w:eastAsia="zh-CN"/>
              </w:rPr>
              <w:t>原料</w:t>
            </w:r>
            <w:r>
              <w:rPr>
                <w:rFonts w:hint="eastAsia"/>
                <w:color w:val="auto"/>
                <w:sz w:val="24"/>
                <w:highlight w:val="none"/>
                <w:u w:val="none"/>
              </w:rPr>
              <w:t>包装桶产生量为</w:t>
            </w:r>
            <w:r>
              <w:rPr>
                <w:rFonts w:hint="eastAsia"/>
                <w:color w:val="auto"/>
                <w:sz w:val="24"/>
                <w:highlight w:val="none"/>
                <w:u w:val="none"/>
                <w:lang w:val="en-US" w:eastAsia="zh-CN"/>
              </w:rPr>
              <w:t>7</w:t>
            </w:r>
            <w:r>
              <w:rPr>
                <w:rFonts w:hint="eastAsia"/>
                <w:color w:val="auto"/>
                <w:sz w:val="24"/>
                <w:highlight w:val="none"/>
                <w:u w:val="none"/>
              </w:rPr>
              <w:t>t/a。</w:t>
            </w:r>
            <w:r>
              <w:rPr>
                <w:color w:val="auto"/>
                <w:sz w:val="24"/>
                <w:highlight w:val="none"/>
                <w:u w:val="none"/>
              </w:rPr>
              <w:t>收集后</w:t>
            </w:r>
            <w:r>
              <w:rPr>
                <w:rFonts w:hint="eastAsia"/>
                <w:color w:val="auto"/>
                <w:sz w:val="24"/>
                <w:highlight w:val="none"/>
                <w:u w:val="none"/>
                <w:lang w:eastAsia="zh-CN"/>
              </w:rPr>
              <w:t>交废品回收单位处置</w:t>
            </w:r>
            <w:r>
              <w:rPr>
                <w:color w:val="auto"/>
                <w:sz w:val="24"/>
                <w:highlight w:val="none"/>
                <w:u w:val="none"/>
              </w:rPr>
              <w:t>。</w:t>
            </w:r>
          </w:p>
          <w:p>
            <w:pPr>
              <w:pStyle w:val="2"/>
              <w:widowControl w:val="0"/>
              <w:overflowPunct w:val="0"/>
              <w:spacing w:before="0" w:after="0" w:line="360" w:lineRule="auto"/>
              <w:ind w:right="0" w:firstLine="480" w:firstLineChars="200"/>
              <w:rPr>
                <w:rFonts w:hint="eastAsia"/>
                <w:color w:val="auto"/>
                <w:sz w:val="24"/>
                <w:highlight w:val="none"/>
                <w:u w:val="none"/>
              </w:rPr>
            </w:pPr>
            <w:r>
              <w:rPr>
                <w:color w:val="auto"/>
                <w:sz w:val="24"/>
                <w:highlight w:val="none"/>
                <w:u w:val="none"/>
              </w:rPr>
              <w:t>（</w:t>
            </w:r>
            <w:r>
              <w:rPr>
                <w:rFonts w:hint="eastAsia"/>
                <w:color w:val="auto"/>
                <w:sz w:val="24"/>
                <w:highlight w:val="none"/>
                <w:u w:val="none"/>
                <w:lang w:val="en-US" w:eastAsia="zh-CN"/>
              </w:rPr>
              <w:t>3</w:t>
            </w:r>
            <w:r>
              <w:rPr>
                <w:color w:val="auto"/>
                <w:sz w:val="24"/>
                <w:highlight w:val="none"/>
                <w:u w:val="none"/>
              </w:rPr>
              <w:t>）</w:t>
            </w:r>
            <w:r>
              <w:rPr>
                <w:rFonts w:hint="eastAsia"/>
                <w:color w:val="auto"/>
                <w:sz w:val="24"/>
                <w:highlight w:val="none"/>
                <w:u w:val="none"/>
              </w:rPr>
              <w:t>废活性炭</w:t>
            </w:r>
          </w:p>
          <w:p>
            <w:pPr>
              <w:pStyle w:val="2"/>
              <w:widowControl w:val="0"/>
              <w:overflowPunct w:val="0"/>
              <w:spacing w:before="0" w:after="0" w:line="360" w:lineRule="auto"/>
              <w:ind w:right="0" w:firstLine="480" w:firstLineChars="200"/>
              <w:rPr>
                <w:rFonts w:hint="eastAsia"/>
                <w:color w:val="auto"/>
                <w:sz w:val="24"/>
                <w:highlight w:val="none"/>
                <w:u w:val="none"/>
              </w:rPr>
            </w:pPr>
            <w:r>
              <w:rPr>
                <w:rFonts w:hint="eastAsia"/>
                <w:color w:val="auto"/>
                <w:sz w:val="24"/>
                <w:highlight w:val="none"/>
                <w:u w:val="none"/>
              </w:rPr>
              <w:t>废气处理</w:t>
            </w:r>
            <w:r>
              <w:rPr>
                <w:rFonts w:hint="eastAsia"/>
                <w:color w:val="auto"/>
                <w:sz w:val="24"/>
                <w:highlight w:val="none"/>
                <w:u w:val="none"/>
                <w:lang w:eastAsia="zh-CN"/>
              </w:rPr>
              <w:t>设备</w:t>
            </w:r>
            <w:r>
              <w:rPr>
                <w:rFonts w:hint="eastAsia"/>
                <w:color w:val="auto"/>
                <w:sz w:val="24"/>
                <w:highlight w:val="none"/>
                <w:u w:val="none"/>
              </w:rPr>
              <w:t>的</w:t>
            </w:r>
            <w:r>
              <w:rPr>
                <w:rFonts w:hint="eastAsia"/>
                <w:color w:val="auto"/>
                <w:sz w:val="24"/>
                <w:szCs w:val="24"/>
                <w:highlight w:val="none"/>
                <w:u w:val="none"/>
              </w:rPr>
              <w:t>活性炭吸附装置会产生废活性炭</w:t>
            </w:r>
            <w:r>
              <w:rPr>
                <w:rFonts w:hint="eastAsia"/>
                <w:color w:val="auto"/>
                <w:sz w:val="24"/>
                <w:highlight w:val="none"/>
                <w:u w:val="none"/>
              </w:rPr>
              <w:t>。根据杨芬、刘品华《活性炭纤维在挥发性有机废气处理中应用》的试验结果表明，每公斤活性炭可吸附0.22-0.25kg的有机废气，本次环评取每公斤活性炭吸附量为0.22kg/kg，根据项目</w:t>
            </w:r>
            <w:r>
              <w:rPr>
                <w:rFonts w:hint="eastAsia"/>
                <w:color w:val="auto"/>
                <w:sz w:val="24"/>
                <w:highlight w:val="none"/>
                <w:u w:val="none"/>
                <w:lang w:eastAsia="zh-CN"/>
              </w:rPr>
              <w:t>废气污染源</w:t>
            </w:r>
            <w:r>
              <w:rPr>
                <w:rFonts w:hint="eastAsia"/>
                <w:color w:val="auto"/>
                <w:sz w:val="24"/>
                <w:highlight w:val="none"/>
                <w:u w:val="none"/>
              </w:rPr>
              <w:t>分析，进入</w:t>
            </w:r>
            <w:r>
              <w:rPr>
                <w:rFonts w:hint="eastAsia"/>
                <w:color w:val="auto"/>
                <w:sz w:val="24"/>
                <w:highlight w:val="none"/>
                <w:u w:val="none"/>
                <w:lang w:eastAsia="zh-CN"/>
              </w:rPr>
              <w:t>“UV 光解+活性炭吸附”</w:t>
            </w:r>
            <w:r>
              <w:rPr>
                <w:rFonts w:hint="eastAsia"/>
                <w:color w:val="auto"/>
                <w:sz w:val="24"/>
                <w:highlight w:val="none"/>
                <w:u w:val="none"/>
              </w:rPr>
              <w:t>处理装置的有机废气量为</w:t>
            </w:r>
            <w:r>
              <w:rPr>
                <w:rFonts w:hint="eastAsia"/>
                <w:color w:val="auto"/>
                <w:sz w:val="24"/>
                <w:highlight w:val="none"/>
                <w:u w:val="none"/>
                <w:lang w:val="en-US" w:eastAsia="zh-CN"/>
              </w:rPr>
              <w:t>1.74</w:t>
            </w:r>
            <w:r>
              <w:rPr>
                <w:rFonts w:hint="eastAsia"/>
                <w:color w:val="auto"/>
                <w:sz w:val="24"/>
                <w:highlight w:val="none"/>
                <w:u w:val="none"/>
              </w:rPr>
              <w:t>t/a，废气先经过UV光解（处理效率按</w:t>
            </w:r>
            <w:r>
              <w:rPr>
                <w:rFonts w:hint="eastAsia"/>
                <w:color w:val="auto"/>
                <w:sz w:val="24"/>
                <w:highlight w:val="none"/>
                <w:u w:val="none"/>
                <w:lang w:val="en-US" w:eastAsia="zh-CN"/>
              </w:rPr>
              <w:t>7</w:t>
            </w:r>
            <w:r>
              <w:rPr>
                <w:rFonts w:hint="eastAsia"/>
                <w:color w:val="auto"/>
                <w:sz w:val="24"/>
                <w:highlight w:val="none"/>
                <w:u w:val="none"/>
              </w:rPr>
              <w:t>0%计算），设备处理后经过活性炭吸附（吸附效率按</w:t>
            </w:r>
            <w:r>
              <w:rPr>
                <w:rFonts w:hint="eastAsia"/>
                <w:color w:val="auto"/>
                <w:sz w:val="24"/>
                <w:highlight w:val="none"/>
                <w:u w:val="none"/>
                <w:lang w:val="en-US" w:eastAsia="zh-CN"/>
              </w:rPr>
              <w:t>80</w:t>
            </w:r>
            <w:r>
              <w:rPr>
                <w:rFonts w:hint="eastAsia"/>
                <w:color w:val="auto"/>
                <w:sz w:val="24"/>
                <w:highlight w:val="none"/>
                <w:u w:val="none"/>
              </w:rPr>
              <w:t>%计算），</w:t>
            </w:r>
            <w:r>
              <w:rPr>
                <w:rFonts w:hint="eastAsia"/>
                <w:color w:val="auto"/>
                <w:sz w:val="24"/>
                <w:highlight w:val="none"/>
                <w:u w:val="none"/>
                <w:lang w:eastAsia="zh-CN"/>
              </w:rPr>
              <w:t>则活性炭吸附装置吸收的非甲烷总烃的量为</w:t>
            </w:r>
            <w:r>
              <w:rPr>
                <w:rFonts w:hint="eastAsia"/>
                <w:color w:val="auto"/>
                <w:sz w:val="24"/>
                <w:highlight w:val="none"/>
                <w:u w:val="none"/>
                <w:lang w:val="en-US" w:eastAsia="zh-CN"/>
              </w:rPr>
              <w:t>1.392</w:t>
            </w:r>
            <w:r>
              <w:rPr>
                <w:rFonts w:hint="eastAsia"/>
                <w:color w:val="auto"/>
                <w:sz w:val="24"/>
                <w:highlight w:val="none"/>
                <w:u w:val="none"/>
                <w:lang w:eastAsia="zh-CN"/>
              </w:rPr>
              <w:t>t/a，本项目吸附的有机废气理论所需活性炭的量为</w:t>
            </w:r>
            <w:r>
              <w:rPr>
                <w:rFonts w:hint="eastAsia"/>
                <w:color w:val="auto"/>
                <w:sz w:val="24"/>
                <w:highlight w:val="none"/>
                <w:u w:val="none"/>
                <w:lang w:val="en-US" w:eastAsia="zh-CN"/>
              </w:rPr>
              <w:t>6.33</w:t>
            </w:r>
            <w:r>
              <w:rPr>
                <w:rFonts w:hint="eastAsia"/>
                <w:color w:val="auto"/>
                <w:sz w:val="24"/>
                <w:highlight w:val="none"/>
                <w:u w:val="none"/>
                <w:lang w:eastAsia="zh-CN"/>
              </w:rPr>
              <w:t>t/a，即全场废活性炭的产生量约</w:t>
            </w:r>
            <w:r>
              <w:rPr>
                <w:rFonts w:hint="eastAsia"/>
                <w:color w:val="auto"/>
                <w:sz w:val="24"/>
                <w:highlight w:val="none"/>
                <w:u w:val="none"/>
                <w:lang w:val="en-US" w:eastAsia="zh-CN"/>
              </w:rPr>
              <w:t>7.72</w:t>
            </w:r>
            <w:r>
              <w:rPr>
                <w:rFonts w:hint="eastAsia"/>
                <w:color w:val="auto"/>
                <w:sz w:val="24"/>
                <w:highlight w:val="none"/>
                <w:u w:val="none"/>
                <w:lang w:eastAsia="zh-CN"/>
              </w:rPr>
              <w:t>t/a</w:t>
            </w:r>
            <w:r>
              <w:rPr>
                <w:rFonts w:hint="eastAsia"/>
                <w:color w:val="auto"/>
                <w:sz w:val="24"/>
                <w:highlight w:val="none"/>
                <w:u w:val="none"/>
              </w:rPr>
              <w:t>。项目活性炭每2个月更换一次，更换的废活性炭作为危废处置。根据《国家危险废物名录》（2021 年版），该固废属于危险废物，废物类别为HW49，废物代码为900-041-49。收集后在</w:t>
            </w:r>
            <w:r>
              <w:rPr>
                <w:rFonts w:hint="eastAsia"/>
                <w:color w:val="auto"/>
                <w:sz w:val="24"/>
                <w:highlight w:val="none"/>
                <w:u w:val="none"/>
                <w:lang w:eastAsia="zh-CN"/>
              </w:rPr>
              <w:t>公司</w:t>
            </w:r>
            <w:r>
              <w:rPr>
                <w:rFonts w:hint="eastAsia"/>
                <w:color w:val="auto"/>
                <w:sz w:val="24"/>
                <w:highlight w:val="none"/>
                <w:u w:val="none"/>
              </w:rPr>
              <w:t>危废暂存</w:t>
            </w:r>
            <w:r>
              <w:rPr>
                <w:rFonts w:hint="eastAsia"/>
                <w:color w:val="auto"/>
                <w:sz w:val="24"/>
                <w:highlight w:val="none"/>
                <w:u w:val="none"/>
                <w:lang w:eastAsia="zh-CN"/>
              </w:rPr>
              <w:t>间</w:t>
            </w:r>
            <w:r>
              <w:rPr>
                <w:rFonts w:hint="eastAsia"/>
                <w:color w:val="auto"/>
                <w:sz w:val="24"/>
                <w:highlight w:val="none"/>
                <w:u w:val="none"/>
              </w:rPr>
              <w:t>暂存，</w:t>
            </w:r>
            <w:r>
              <w:rPr>
                <w:rFonts w:hint="eastAsia"/>
                <w:color w:val="auto"/>
                <w:sz w:val="24"/>
                <w:highlight w:val="none"/>
                <w:u w:val="none"/>
                <w:lang w:eastAsia="zh-CN"/>
              </w:rPr>
              <w:t>定期</w:t>
            </w:r>
            <w:r>
              <w:rPr>
                <w:rFonts w:hint="eastAsia"/>
                <w:color w:val="auto"/>
                <w:sz w:val="24"/>
                <w:highlight w:val="none"/>
                <w:u w:val="none"/>
              </w:rPr>
              <w:t>委托有资质单位处置。</w:t>
            </w:r>
          </w:p>
          <w:p>
            <w:pPr>
              <w:pStyle w:val="2"/>
              <w:widowControl w:val="0"/>
              <w:overflowPunct w:val="0"/>
              <w:spacing w:before="0" w:after="0" w:line="360" w:lineRule="auto"/>
              <w:ind w:right="0" w:firstLine="480" w:firstLineChars="200"/>
              <w:rPr>
                <w:rFonts w:hint="eastAsia"/>
                <w:color w:val="auto"/>
                <w:sz w:val="24"/>
                <w:highlight w:val="none"/>
                <w:u w:val="none"/>
              </w:rPr>
            </w:pPr>
            <w:r>
              <w:rPr>
                <w:rFonts w:hint="eastAsia"/>
                <w:color w:val="auto"/>
                <w:sz w:val="24"/>
                <w:highlight w:val="none"/>
                <w:u w:val="none"/>
              </w:rPr>
              <w:t>（</w:t>
            </w:r>
            <w:r>
              <w:rPr>
                <w:rFonts w:hint="eastAsia"/>
                <w:color w:val="auto"/>
                <w:sz w:val="24"/>
                <w:highlight w:val="none"/>
                <w:u w:val="none"/>
                <w:lang w:val="en-US" w:eastAsia="zh-CN"/>
              </w:rPr>
              <w:t>4</w:t>
            </w:r>
            <w:r>
              <w:rPr>
                <w:rFonts w:hint="eastAsia"/>
                <w:color w:val="auto"/>
                <w:sz w:val="24"/>
                <w:highlight w:val="none"/>
                <w:u w:val="none"/>
              </w:rPr>
              <w:t>）生活垃圾</w:t>
            </w:r>
          </w:p>
          <w:p>
            <w:pPr>
              <w:pStyle w:val="2"/>
              <w:widowControl w:val="0"/>
              <w:overflowPunct w:val="0"/>
              <w:spacing w:before="0" w:after="0" w:line="360" w:lineRule="auto"/>
              <w:ind w:right="0" w:firstLine="480" w:firstLineChars="200"/>
              <w:rPr>
                <w:color w:val="auto"/>
                <w:sz w:val="24"/>
                <w:highlight w:val="none"/>
                <w:u w:val="none"/>
              </w:rPr>
            </w:pPr>
            <w:r>
              <w:rPr>
                <w:color w:val="auto"/>
                <w:sz w:val="24"/>
                <w:highlight w:val="none"/>
                <w:u w:val="none"/>
              </w:rPr>
              <w:t>本项目劳动定员为</w:t>
            </w:r>
            <w:r>
              <w:rPr>
                <w:rFonts w:hint="eastAsia"/>
                <w:color w:val="auto"/>
                <w:sz w:val="24"/>
                <w:highlight w:val="none"/>
                <w:u w:val="none"/>
              </w:rPr>
              <w:t>3</w:t>
            </w:r>
            <w:r>
              <w:rPr>
                <w:rFonts w:hint="eastAsia"/>
                <w:color w:val="auto"/>
                <w:sz w:val="24"/>
                <w:highlight w:val="none"/>
                <w:u w:val="none"/>
                <w:lang w:val="en-US" w:eastAsia="zh-CN"/>
              </w:rPr>
              <w:t>0</w:t>
            </w:r>
            <w:r>
              <w:rPr>
                <w:color w:val="auto"/>
                <w:sz w:val="24"/>
                <w:highlight w:val="none"/>
                <w:u w:val="none"/>
              </w:rPr>
              <w:t>人，生活垃圾产生量按0.5kg/人·d计算，产生的生活垃圾量为</w:t>
            </w:r>
            <w:r>
              <w:rPr>
                <w:rFonts w:hint="eastAsia"/>
                <w:color w:val="auto"/>
                <w:sz w:val="24"/>
                <w:highlight w:val="none"/>
                <w:u w:val="none"/>
                <w:lang w:val="en-US" w:eastAsia="zh-CN"/>
              </w:rPr>
              <w:t>4.5</w:t>
            </w:r>
            <w:r>
              <w:rPr>
                <w:color w:val="auto"/>
                <w:sz w:val="24"/>
                <w:highlight w:val="none"/>
                <w:u w:val="none"/>
              </w:rPr>
              <w:t>t/a，</w:t>
            </w:r>
            <w:r>
              <w:rPr>
                <w:rFonts w:hint="eastAsia"/>
                <w:color w:val="auto"/>
                <w:sz w:val="24"/>
                <w:highlight w:val="none"/>
                <w:u w:val="none"/>
              </w:rPr>
              <w:t>定期由环卫清运。</w:t>
            </w:r>
          </w:p>
          <w:p>
            <w:pPr>
              <w:pStyle w:val="2"/>
              <w:widowControl w:val="0"/>
              <w:overflowPunct w:val="0"/>
              <w:spacing w:before="0" w:after="0" w:line="360" w:lineRule="auto"/>
              <w:ind w:right="0" w:firstLine="480" w:firstLineChars="200"/>
              <w:rPr>
                <w:color w:val="auto"/>
                <w:sz w:val="24"/>
                <w:highlight w:val="none"/>
                <w:u w:val="none"/>
              </w:rPr>
            </w:pPr>
            <w:r>
              <w:rPr>
                <w:rFonts w:hint="eastAsia"/>
                <w:color w:val="auto"/>
                <w:sz w:val="24"/>
                <w:highlight w:val="none"/>
                <w:u w:val="none"/>
              </w:rPr>
              <w:t>（</w:t>
            </w:r>
            <w:r>
              <w:rPr>
                <w:rFonts w:hint="eastAsia"/>
                <w:color w:val="auto"/>
                <w:sz w:val="24"/>
                <w:highlight w:val="none"/>
                <w:u w:val="none"/>
                <w:lang w:val="en-US" w:eastAsia="zh-CN"/>
              </w:rPr>
              <w:t>5</w:t>
            </w:r>
            <w:r>
              <w:rPr>
                <w:rFonts w:hint="eastAsia"/>
                <w:color w:val="auto"/>
                <w:sz w:val="24"/>
                <w:highlight w:val="none"/>
                <w:u w:val="none"/>
              </w:rPr>
              <w:t>）废紫外灯管</w:t>
            </w:r>
          </w:p>
          <w:p>
            <w:pPr>
              <w:pStyle w:val="2"/>
              <w:widowControl w:val="0"/>
              <w:overflowPunct w:val="0"/>
              <w:spacing w:before="0" w:after="0" w:line="360" w:lineRule="auto"/>
              <w:ind w:right="0" w:firstLine="480" w:firstLineChars="200"/>
              <w:rPr>
                <w:rFonts w:hint="eastAsia"/>
                <w:color w:val="auto"/>
                <w:sz w:val="24"/>
                <w:highlight w:val="none"/>
                <w:u w:val="none"/>
              </w:rPr>
            </w:pPr>
            <w:r>
              <w:rPr>
                <w:rFonts w:hint="eastAsia"/>
                <w:color w:val="auto"/>
                <w:sz w:val="24"/>
                <w:highlight w:val="none"/>
                <w:u w:val="none"/>
              </w:rPr>
              <w:t>本项目废气治理UV 光解设施使用紫外灯管，废紫外灯管属于危险废物，废物类别为HW29，危废代码为900-023-29</w:t>
            </w:r>
            <w:r>
              <w:rPr>
                <w:rFonts w:hint="eastAsia"/>
                <w:color w:val="auto"/>
                <w:sz w:val="24"/>
                <w:highlight w:val="none"/>
                <w:u w:val="none"/>
                <w:lang w:eastAsia="zh-CN"/>
              </w:rPr>
              <w:t>。</w:t>
            </w:r>
            <w:r>
              <w:rPr>
                <w:rFonts w:hint="eastAsia"/>
                <w:color w:val="auto"/>
                <w:sz w:val="24"/>
                <w:highlight w:val="none"/>
                <w:u w:val="none"/>
              </w:rPr>
              <w:t>紫外灯管定期进行更换，平均每根灯管的使用寿命为600h，年生产时间</w:t>
            </w:r>
            <w:r>
              <w:rPr>
                <w:rFonts w:hint="eastAsia"/>
                <w:color w:val="auto"/>
                <w:sz w:val="24"/>
                <w:highlight w:val="none"/>
                <w:u w:val="none"/>
                <w:lang w:val="en-US" w:eastAsia="zh-CN"/>
              </w:rPr>
              <w:t>24</w:t>
            </w:r>
            <w:r>
              <w:rPr>
                <w:rFonts w:hint="eastAsia"/>
                <w:color w:val="auto"/>
                <w:sz w:val="24"/>
                <w:highlight w:val="none"/>
                <w:u w:val="none"/>
              </w:rPr>
              <w:t>00h，至少需更换</w:t>
            </w:r>
            <w:r>
              <w:rPr>
                <w:rFonts w:hint="eastAsia"/>
                <w:color w:val="auto"/>
                <w:sz w:val="24"/>
                <w:highlight w:val="none"/>
                <w:u w:val="none"/>
                <w:lang w:val="en-US" w:eastAsia="zh-CN"/>
              </w:rPr>
              <w:t>4</w:t>
            </w:r>
            <w:r>
              <w:rPr>
                <w:rFonts w:hint="eastAsia"/>
                <w:color w:val="auto"/>
                <w:sz w:val="24"/>
                <w:highlight w:val="none"/>
                <w:u w:val="none"/>
              </w:rPr>
              <w:t>次灯管。按照一套风量为2.</w:t>
            </w:r>
            <w:r>
              <w:rPr>
                <w:rFonts w:hint="eastAsia"/>
                <w:color w:val="auto"/>
                <w:sz w:val="24"/>
                <w:highlight w:val="none"/>
                <w:u w:val="none"/>
                <w:lang w:val="en-US" w:eastAsia="zh-CN"/>
              </w:rPr>
              <w:t>0</w:t>
            </w:r>
            <w:r>
              <w:rPr>
                <w:rFonts w:hint="eastAsia"/>
                <w:color w:val="auto"/>
                <w:sz w:val="24"/>
                <w:highlight w:val="none"/>
                <w:u w:val="none"/>
              </w:rPr>
              <w:t>Wm</w:t>
            </w:r>
            <w:r>
              <w:rPr>
                <w:rFonts w:hint="eastAsia"/>
                <w:color w:val="auto"/>
                <w:sz w:val="24"/>
                <w:highlight w:val="none"/>
                <w:u w:val="none"/>
                <w:vertAlign w:val="superscript"/>
              </w:rPr>
              <w:t>3</w:t>
            </w:r>
            <w:r>
              <w:rPr>
                <w:rFonts w:hint="eastAsia"/>
                <w:color w:val="auto"/>
                <w:sz w:val="24"/>
                <w:highlight w:val="none"/>
                <w:u w:val="none"/>
              </w:rPr>
              <w:t>/h 的处理设备，本项目每年至少使用灯管</w:t>
            </w:r>
            <w:r>
              <w:rPr>
                <w:rFonts w:hint="eastAsia"/>
                <w:color w:val="auto"/>
                <w:sz w:val="24"/>
                <w:highlight w:val="none"/>
                <w:u w:val="none"/>
                <w:lang w:val="en-US" w:eastAsia="zh-CN"/>
              </w:rPr>
              <w:t>40</w:t>
            </w:r>
            <w:r>
              <w:rPr>
                <w:rFonts w:hint="eastAsia"/>
                <w:color w:val="auto"/>
                <w:sz w:val="24"/>
                <w:highlight w:val="none"/>
                <w:u w:val="none"/>
              </w:rPr>
              <w:t>根，按照每根灯管质量为500g进行计算，废紫外灯管产生量约</w:t>
            </w:r>
            <w:r>
              <w:rPr>
                <w:rFonts w:hint="eastAsia"/>
                <w:color w:val="auto"/>
                <w:sz w:val="24"/>
                <w:highlight w:val="none"/>
                <w:u w:val="none"/>
                <w:lang w:val="en-US" w:eastAsia="zh-CN"/>
              </w:rPr>
              <w:t>20</w:t>
            </w:r>
            <w:r>
              <w:rPr>
                <w:rFonts w:hint="eastAsia"/>
                <w:color w:val="auto"/>
                <w:sz w:val="24"/>
                <w:highlight w:val="none"/>
                <w:u w:val="none"/>
              </w:rPr>
              <w:t>kg/a</w:t>
            </w:r>
            <w:r>
              <w:rPr>
                <w:rFonts w:hint="eastAsia"/>
                <w:color w:val="auto"/>
                <w:sz w:val="24"/>
                <w:highlight w:val="none"/>
                <w:u w:val="none"/>
                <w:lang w:val="en-US" w:eastAsia="zh-CN"/>
              </w:rPr>
              <w:t>，0.02</w:t>
            </w:r>
            <w:r>
              <w:rPr>
                <w:color w:val="auto"/>
                <w:sz w:val="24"/>
                <w:highlight w:val="none"/>
                <w:u w:val="none"/>
              </w:rPr>
              <w:t>t/a</w:t>
            </w:r>
            <w:r>
              <w:rPr>
                <w:rFonts w:hint="eastAsia"/>
                <w:color w:val="auto"/>
                <w:sz w:val="24"/>
                <w:highlight w:val="none"/>
                <w:u w:val="none"/>
              </w:rPr>
              <w:t>。</w:t>
            </w:r>
          </w:p>
          <w:p>
            <w:pPr>
              <w:pStyle w:val="2"/>
              <w:widowControl w:val="0"/>
              <w:overflowPunct w:val="0"/>
              <w:spacing w:before="0" w:after="0" w:line="360" w:lineRule="auto"/>
              <w:ind w:right="0" w:firstLine="480" w:firstLineChars="200"/>
              <w:rPr>
                <w:color w:val="auto"/>
                <w:sz w:val="24"/>
                <w:highlight w:val="none"/>
                <w:u w:val="none"/>
              </w:rPr>
            </w:pPr>
            <w:r>
              <w:rPr>
                <w:color w:val="auto"/>
                <w:sz w:val="24"/>
                <w:highlight w:val="none"/>
                <w:u w:val="none"/>
              </w:rPr>
              <w:t>项目固体废物分析结果汇总见下表。</w:t>
            </w:r>
          </w:p>
          <w:p>
            <w:pPr>
              <w:pStyle w:val="2"/>
              <w:overflowPunct w:val="0"/>
              <w:spacing w:after="0" w:line="360" w:lineRule="auto"/>
              <w:jc w:val="center"/>
              <w:rPr>
                <w:b/>
                <w:bCs/>
                <w:color w:val="auto"/>
                <w:sz w:val="21"/>
                <w:szCs w:val="21"/>
                <w:highlight w:val="none"/>
                <w:u w:val="none"/>
              </w:rPr>
            </w:pPr>
            <w:r>
              <w:rPr>
                <w:b/>
                <w:bCs/>
                <w:color w:val="auto"/>
                <w:sz w:val="21"/>
                <w:szCs w:val="21"/>
                <w:highlight w:val="none"/>
                <w:u w:val="none"/>
              </w:rPr>
              <w:t>表</w:t>
            </w:r>
            <w:r>
              <w:rPr>
                <w:rFonts w:hint="eastAsia"/>
                <w:b/>
                <w:bCs/>
                <w:color w:val="auto"/>
                <w:sz w:val="21"/>
                <w:szCs w:val="21"/>
                <w:highlight w:val="none"/>
                <w:u w:val="none"/>
              </w:rPr>
              <w:t>4-1</w:t>
            </w:r>
            <w:r>
              <w:rPr>
                <w:rFonts w:hint="eastAsia"/>
                <w:b/>
                <w:bCs/>
                <w:color w:val="auto"/>
                <w:sz w:val="21"/>
                <w:szCs w:val="21"/>
                <w:highlight w:val="none"/>
                <w:u w:val="none"/>
                <w:lang w:val="en-US" w:eastAsia="zh-CN"/>
              </w:rPr>
              <w:t>6</w:t>
            </w:r>
            <w:r>
              <w:rPr>
                <w:b/>
                <w:bCs/>
                <w:color w:val="auto"/>
                <w:sz w:val="21"/>
                <w:szCs w:val="21"/>
                <w:highlight w:val="none"/>
                <w:u w:val="none"/>
              </w:rPr>
              <w:t xml:space="preserve"> 项目营运期固废产生情况一览表</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2"/>
              <w:gridCol w:w="1313"/>
              <w:gridCol w:w="1120"/>
              <w:gridCol w:w="876"/>
              <w:gridCol w:w="711"/>
              <w:gridCol w:w="973"/>
              <w:gridCol w:w="1283"/>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 w:type="pct"/>
                  <w:noWrap w:val="0"/>
                  <w:vAlign w:val="center"/>
                </w:tcPr>
                <w:p>
                  <w:pPr>
                    <w:pStyle w:val="38"/>
                    <w:overflowPunct w:val="0"/>
                    <w:adjustRightInd/>
                    <w:snapToGrid/>
                    <w:spacing w:before="24" w:after="24"/>
                    <w:rPr>
                      <w:rFonts w:ascii="Times New Roman"/>
                      <w:b/>
                      <w:bCs/>
                      <w:color w:val="auto"/>
                      <w:szCs w:val="21"/>
                      <w:highlight w:val="none"/>
                      <w:u w:val="none"/>
                    </w:rPr>
                  </w:pPr>
                  <w:r>
                    <w:rPr>
                      <w:rFonts w:ascii="Times New Roman"/>
                      <w:b/>
                      <w:bCs/>
                      <w:color w:val="auto"/>
                      <w:szCs w:val="21"/>
                      <w:highlight w:val="none"/>
                      <w:u w:val="none"/>
                    </w:rPr>
                    <w:t>序号</w:t>
                  </w:r>
                </w:p>
              </w:tc>
              <w:tc>
                <w:tcPr>
                  <w:tcW w:w="781" w:type="pct"/>
                  <w:noWrap w:val="0"/>
                  <w:vAlign w:val="center"/>
                </w:tcPr>
                <w:p>
                  <w:pPr>
                    <w:pStyle w:val="38"/>
                    <w:overflowPunct w:val="0"/>
                    <w:adjustRightInd/>
                    <w:snapToGrid/>
                    <w:spacing w:before="24" w:after="24"/>
                    <w:rPr>
                      <w:rFonts w:ascii="Times New Roman"/>
                      <w:b/>
                      <w:bCs/>
                      <w:color w:val="auto"/>
                      <w:szCs w:val="21"/>
                      <w:highlight w:val="none"/>
                      <w:u w:val="none"/>
                    </w:rPr>
                  </w:pPr>
                  <w:r>
                    <w:rPr>
                      <w:rFonts w:ascii="Times New Roman"/>
                      <w:b/>
                      <w:bCs/>
                      <w:color w:val="auto"/>
                      <w:szCs w:val="21"/>
                      <w:highlight w:val="none"/>
                      <w:u w:val="none"/>
                    </w:rPr>
                    <w:t>固废名称</w:t>
                  </w:r>
                </w:p>
              </w:tc>
              <w:tc>
                <w:tcPr>
                  <w:tcW w:w="666" w:type="pct"/>
                  <w:noWrap w:val="0"/>
                  <w:vAlign w:val="center"/>
                </w:tcPr>
                <w:p>
                  <w:pPr>
                    <w:pStyle w:val="38"/>
                    <w:overflowPunct w:val="0"/>
                    <w:adjustRightInd/>
                    <w:snapToGrid/>
                    <w:spacing w:before="24" w:after="24"/>
                    <w:rPr>
                      <w:rFonts w:ascii="Times New Roman"/>
                      <w:b/>
                      <w:bCs/>
                      <w:color w:val="auto"/>
                      <w:szCs w:val="21"/>
                      <w:highlight w:val="none"/>
                      <w:u w:val="none"/>
                    </w:rPr>
                  </w:pPr>
                  <w:r>
                    <w:rPr>
                      <w:rFonts w:ascii="Times New Roman"/>
                      <w:b/>
                      <w:bCs/>
                      <w:color w:val="auto"/>
                      <w:szCs w:val="21"/>
                      <w:highlight w:val="none"/>
                      <w:u w:val="none"/>
                    </w:rPr>
                    <w:t>产生工序</w:t>
                  </w:r>
                </w:p>
              </w:tc>
              <w:tc>
                <w:tcPr>
                  <w:tcW w:w="521" w:type="pct"/>
                  <w:noWrap w:val="0"/>
                  <w:vAlign w:val="center"/>
                </w:tcPr>
                <w:p>
                  <w:pPr>
                    <w:pStyle w:val="38"/>
                    <w:overflowPunct w:val="0"/>
                    <w:adjustRightInd/>
                    <w:snapToGrid/>
                    <w:spacing w:before="24" w:after="24"/>
                    <w:rPr>
                      <w:rFonts w:hint="eastAsia" w:ascii="Times New Roman"/>
                      <w:b/>
                      <w:bCs/>
                      <w:color w:val="auto"/>
                      <w:szCs w:val="21"/>
                      <w:highlight w:val="none"/>
                      <w:u w:val="none"/>
                    </w:rPr>
                  </w:pPr>
                  <w:r>
                    <w:rPr>
                      <w:rFonts w:hint="eastAsia" w:ascii="Times New Roman"/>
                      <w:b/>
                      <w:bCs/>
                      <w:color w:val="auto"/>
                      <w:szCs w:val="21"/>
                      <w:highlight w:val="none"/>
                      <w:u w:val="none"/>
                    </w:rPr>
                    <w:t>属性</w:t>
                  </w:r>
                </w:p>
              </w:tc>
              <w:tc>
                <w:tcPr>
                  <w:tcW w:w="423" w:type="pct"/>
                  <w:noWrap w:val="0"/>
                  <w:vAlign w:val="center"/>
                </w:tcPr>
                <w:p>
                  <w:pPr>
                    <w:pStyle w:val="38"/>
                    <w:overflowPunct w:val="0"/>
                    <w:adjustRightInd/>
                    <w:snapToGrid/>
                    <w:spacing w:before="24" w:after="24"/>
                    <w:rPr>
                      <w:rFonts w:ascii="Times New Roman"/>
                      <w:b/>
                      <w:bCs/>
                      <w:color w:val="auto"/>
                      <w:szCs w:val="21"/>
                      <w:highlight w:val="none"/>
                      <w:u w:val="none"/>
                    </w:rPr>
                  </w:pPr>
                  <w:r>
                    <w:rPr>
                      <w:rFonts w:ascii="Times New Roman"/>
                      <w:b/>
                      <w:bCs/>
                      <w:color w:val="auto"/>
                      <w:szCs w:val="21"/>
                      <w:highlight w:val="none"/>
                      <w:u w:val="none"/>
                    </w:rPr>
                    <w:t>形态</w:t>
                  </w:r>
                </w:p>
              </w:tc>
              <w:tc>
                <w:tcPr>
                  <w:tcW w:w="579" w:type="pct"/>
                  <w:noWrap w:val="0"/>
                  <w:vAlign w:val="center"/>
                </w:tcPr>
                <w:p>
                  <w:pPr>
                    <w:pStyle w:val="38"/>
                    <w:overflowPunct w:val="0"/>
                    <w:adjustRightInd/>
                    <w:snapToGrid/>
                    <w:spacing w:before="24" w:after="24"/>
                    <w:rPr>
                      <w:rFonts w:hint="eastAsia" w:ascii="Times New Roman" w:eastAsia="宋体"/>
                      <w:b/>
                      <w:bCs/>
                      <w:color w:val="auto"/>
                      <w:szCs w:val="21"/>
                      <w:highlight w:val="none"/>
                      <w:u w:val="none"/>
                      <w:lang w:eastAsia="zh-CN"/>
                    </w:rPr>
                  </w:pPr>
                  <w:r>
                    <w:rPr>
                      <w:rFonts w:hint="eastAsia" w:ascii="Times New Roman"/>
                      <w:b/>
                      <w:bCs/>
                      <w:color w:val="auto"/>
                      <w:szCs w:val="21"/>
                      <w:highlight w:val="none"/>
                      <w:u w:val="none"/>
                    </w:rPr>
                    <w:t>废物</w:t>
                  </w:r>
                  <w:r>
                    <w:rPr>
                      <w:rFonts w:hint="eastAsia" w:ascii="Times New Roman"/>
                      <w:b/>
                      <w:bCs/>
                      <w:color w:val="auto"/>
                      <w:szCs w:val="21"/>
                      <w:highlight w:val="none"/>
                      <w:u w:val="none"/>
                      <w:lang w:eastAsia="zh-CN"/>
                    </w:rPr>
                    <w:t>类别</w:t>
                  </w:r>
                </w:p>
              </w:tc>
              <w:tc>
                <w:tcPr>
                  <w:tcW w:w="763" w:type="pct"/>
                  <w:noWrap w:val="0"/>
                  <w:vAlign w:val="center"/>
                </w:tcPr>
                <w:p>
                  <w:pPr>
                    <w:pStyle w:val="38"/>
                    <w:overflowPunct w:val="0"/>
                    <w:adjustRightInd/>
                    <w:snapToGrid/>
                    <w:spacing w:before="24" w:after="24"/>
                    <w:rPr>
                      <w:rFonts w:ascii="Times New Roman"/>
                      <w:b/>
                      <w:bCs/>
                      <w:color w:val="auto"/>
                      <w:szCs w:val="21"/>
                      <w:highlight w:val="none"/>
                      <w:u w:val="none"/>
                    </w:rPr>
                  </w:pPr>
                  <w:r>
                    <w:rPr>
                      <w:rFonts w:ascii="Times New Roman"/>
                      <w:b/>
                      <w:bCs/>
                      <w:color w:val="auto"/>
                      <w:szCs w:val="21"/>
                      <w:highlight w:val="none"/>
                      <w:u w:val="none"/>
                    </w:rPr>
                    <w:t>估算产生量（t/a）</w:t>
                  </w:r>
                </w:p>
              </w:tc>
              <w:tc>
                <w:tcPr>
                  <w:tcW w:w="899" w:type="pct"/>
                  <w:noWrap w:val="0"/>
                  <w:vAlign w:val="center"/>
                </w:tcPr>
                <w:p>
                  <w:pPr>
                    <w:pStyle w:val="38"/>
                    <w:overflowPunct w:val="0"/>
                    <w:adjustRightInd/>
                    <w:snapToGrid/>
                    <w:spacing w:before="24" w:after="24"/>
                    <w:rPr>
                      <w:rFonts w:hint="eastAsia" w:ascii="Times New Roman"/>
                      <w:b/>
                      <w:bCs/>
                      <w:color w:val="auto"/>
                      <w:szCs w:val="21"/>
                      <w:highlight w:val="none"/>
                      <w:u w:val="none"/>
                    </w:rPr>
                  </w:pPr>
                  <w:r>
                    <w:rPr>
                      <w:rFonts w:hint="eastAsia" w:ascii="Times New Roman"/>
                      <w:b/>
                      <w:bCs/>
                      <w:color w:val="auto"/>
                      <w:szCs w:val="21"/>
                      <w:highlight w:val="none"/>
                      <w:u w:val="none"/>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 w:type="pct"/>
                  <w:noWrap w:val="0"/>
                  <w:vAlign w:val="center"/>
                </w:tcPr>
                <w:p>
                  <w:pPr>
                    <w:pStyle w:val="38"/>
                    <w:overflowPunct w:val="0"/>
                    <w:adjustRightInd/>
                    <w:snapToGrid/>
                    <w:spacing w:before="24" w:after="24"/>
                    <w:rPr>
                      <w:rFonts w:ascii="Times New Roman"/>
                      <w:color w:val="auto"/>
                      <w:szCs w:val="21"/>
                      <w:highlight w:val="none"/>
                      <w:u w:val="none"/>
                    </w:rPr>
                  </w:pPr>
                  <w:r>
                    <w:rPr>
                      <w:rFonts w:ascii="Times New Roman"/>
                      <w:color w:val="auto"/>
                      <w:szCs w:val="21"/>
                      <w:highlight w:val="none"/>
                      <w:u w:val="none"/>
                    </w:rPr>
                    <w:t>1</w:t>
                  </w:r>
                </w:p>
              </w:tc>
              <w:tc>
                <w:tcPr>
                  <w:tcW w:w="781" w:type="pct"/>
                  <w:noWrap w:val="0"/>
                  <w:vAlign w:val="center"/>
                </w:tcPr>
                <w:p>
                  <w:pPr>
                    <w:pStyle w:val="30"/>
                    <w:overflowPunct w:val="0"/>
                    <w:adjustRightInd/>
                    <w:jc w:val="center"/>
                    <w:rPr>
                      <w:color w:val="auto"/>
                      <w:sz w:val="21"/>
                      <w:szCs w:val="21"/>
                      <w:highlight w:val="none"/>
                      <w:u w:val="none"/>
                    </w:rPr>
                  </w:pPr>
                  <w:r>
                    <w:rPr>
                      <w:rFonts w:hint="eastAsia"/>
                      <w:color w:val="auto"/>
                      <w:sz w:val="21"/>
                      <w:szCs w:val="21"/>
                      <w:highlight w:val="none"/>
                      <w:u w:val="none"/>
                    </w:rPr>
                    <w:t>废边角料</w:t>
                  </w:r>
                </w:p>
              </w:tc>
              <w:tc>
                <w:tcPr>
                  <w:tcW w:w="666" w:type="pct"/>
                  <w:noWrap w:val="0"/>
                  <w:vAlign w:val="center"/>
                </w:tcPr>
                <w:p>
                  <w:pPr>
                    <w:overflowPunct w:val="0"/>
                    <w:jc w:val="center"/>
                    <w:rPr>
                      <w:rFonts w:hint="eastAsia"/>
                      <w:color w:val="auto"/>
                      <w:szCs w:val="21"/>
                      <w:highlight w:val="none"/>
                      <w:u w:val="none"/>
                    </w:rPr>
                  </w:pPr>
                  <w:r>
                    <w:rPr>
                      <w:rFonts w:hint="eastAsia"/>
                      <w:color w:val="auto"/>
                      <w:szCs w:val="21"/>
                      <w:highlight w:val="none"/>
                      <w:u w:val="none"/>
                      <w:lang w:eastAsia="zh-CN"/>
                    </w:rPr>
                    <w:t>分切</w:t>
                  </w:r>
                  <w:r>
                    <w:rPr>
                      <w:rFonts w:hint="eastAsia"/>
                      <w:color w:val="auto"/>
                      <w:szCs w:val="21"/>
                      <w:highlight w:val="none"/>
                      <w:u w:val="none"/>
                    </w:rPr>
                    <w:t>工序</w:t>
                  </w:r>
                </w:p>
              </w:tc>
              <w:tc>
                <w:tcPr>
                  <w:tcW w:w="521" w:type="pct"/>
                  <w:noWrap w:val="0"/>
                  <w:vAlign w:val="center"/>
                </w:tcPr>
                <w:p>
                  <w:pPr>
                    <w:overflowPunct w:val="0"/>
                    <w:jc w:val="center"/>
                    <w:rPr>
                      <w:color w:val="auto"/>
                      <w:szCs w:val="21"/>
                      <w:highlight w:val="none"/>
                      <w:u w:val="none"/>
                    </w:rPr>
                  </w:pPr>
                  <w:r>
                    <w:rPr>
                      <w:rFonts w:hint="eastAsia"/>
                      <w:color w:val="auto"/>
                      <w:szCs w:val="21"/>
                      <w:highlight w:val="none"/>
                      <w:u w:val="none"/>
                    </w:rPr>
                    <w:t>一般工业固废</w:t>
                  </w:r>
                </w:p>
              </w:tc>
              <w:tc>
                <w:tcPr>
                  <w:tcW w:w="423" w:type="pct"/>
                  <w:noWrap w:val="0"/>
                  <w:vAlign w:val="center"/>
                </w:tcPr>
                <w:p>
                  <w:pPr>
                    <w:overflowPunct w:val="0"/>
                    <w:jc w:val="center"/>
                    <w:rPr>
                      <w:color w:val="auto"/>
                      <w:szCs w:val="21"/>
                      <w:highlight w:val="none"/>
                      <w:u w:val="none"/>
                    </w:rPr>
                  </w:pPr>
                  <w:r>
                    <w:rPr>
                      <w:color w:val="auto"/>
                      <w:szCs w:val="21"/>
                      <w:highlight w:val="none"/>
                      <w:u w:val="none"/>
                    </w:rPr>
                    <w:t>固态</w:t>
                  </w:r>
                </w:p>
              </w:tc>
              <w:tc>
                <w:tcPr>
                  <w:tcW w:w="579" w:type="pct"/>
                  <w:noWrap w:val="0"/>
                  <w:vAlign w:val="center"/>
                </w:tcPr>
                <w:p>
                  <w:pPr>
                    <w:overflowPunct w:val="0"/>
                    <w:jc w:val="center"/>
                    <w:rPr>
                      <w:rFonts w:hint="eastAsia"/>
                      <w:color w:val="auto"/>
                      <w:szCs w:val="21"/>
                      <w:highlight w:val="none"/>
                      <w:u w:val="none"/>
                    </w:rPr>
                  </w:pPr>
                  <w:r>
                    <w:rPr>
                      <w:rFonts w:hint="eastAsia"/>
                      <w:color w:val="auto"/>
                      <w:szCs w:val="21"/>
                      <w:highlight w:val="none"/>
                      <w:u w:val="none"/>
                    </w:rPr>
                    <w:t>/</w:t>
                  </w:r>
                </w:p>
              </w:tc>
              <w:tc>
                <w:tcPr>
                  <w:tcW w:w="763" w:type="pct"/>
                  <w:noWrap w:val="0"/>
                  <w:vAlign w:val="center"/>
                </w:tcPr>
                <w:p>
                  <w:pPr>
                    <w:widowControl/>
                    <w:overflowPunct w:val="0"/>
                    <w:jc w:val="center"/>
                    <w:textAlignment w:val="center"/>
                    <w:rPr>
                      <w:rFonts w:hint="default" w:eastAsia="宋体"/>
                      <w:color w:val="auto"/>
                      <w:kern w:val="0"/>
                      <w:szCs w:val="21"/>
                      <w:highlight w:val="none"/>
                      <w:u w:val="none"/>
                      <w:lang w:val="en-US" w:eastAsia="zh-CN" w:bidi="ar"/>
                    </w:rPr>
                  </w:pPr>
                  <w:r>
                    <w:rPr>
                      <w:rFonts w:hint="eastAsia"/>
                      <w:color w:val="auto"/>
                      <w:kern w:val="0"/>
                      <w:szCs w:val="21"/>
                      <w:highlight w:val="none"/>
                      <w:u w:val="none"/>
                      <w:lang w:val="en-US" w:eastAsia="zh-CN" w:bidi="ar"/>
                    </w:rPr>
                    <w:t>34</w:t>
                  </w:r>
                </w:p>
              </w:tc>
              <w:tc>
                <w:tcPr>
                  <w:tcW w:w="899" w:type="pct"/>
                  <w:noWrap w:val="0"/>
                  <w:vAlign w:val="center"/>
                </w:tcPr>
                <w:p>
                  <w:pPr>
                    <w:widowControl/>
                    <w:overflowPunct w:val="0"/>
                    <w:jc w:val="center"/>
                    <w:textAlignment w:val="center"/>
                    <w:rPr>
                      <w:rFonts w:hint="eastAsia"/>
                      <w:color w:val="auto"/>
                      <w:kern w:val="0"/>
                      <w:szCs w:val="21"/>
                      <w:highlight w:val="none"/>
                      <w:u w:val="none"/>
                      <w:lang w:bidi="ar"/>
                    </w:rPr>
                  </w:pPr>
                  <w:r>
                    <w:rPr>
                      <w:rFonts w:hint="eastAsia"/>
                      <w:color w:val="auto"/>
                      <w:kern w:val="0"/>
                      <w:szCs w:val="21"/>
                      <w:highlight w:val="none"/>
                      <w:u w:val="none"/>
                      <w:lang w:bidi="ar"/>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 w:type="pct"/>
                  <w:noWrap w:val="0"/>
                  <w:vAlign w:val="center"/>
                </w:tcPr>
                <w:p>
                  <w:pPr>
                    <w:pStyle w:val="38"/>
                    <w:overflowPunct w:val="0"/>
                    <w:adjustRightInd/>
                    <w:snapToGrid/>
                    <w:spacing w:before="24" w:after="24"/>
                    <w:rPr>
                      <w:rFonts w:ascii="Times New Roman"/>
                      <w:color w:val="auto"/>
                      <w:kern w:val="2"/>
                      <w:szCs w:val="21"/>
                      <w:highlight w:val="none"/>
                      <w:u w:val="none"/>
                    </w:rPr>
                  </w:pPr>
                  <w:r>
                    <w:rPr>
                      <w:rFonts w:ascii="Times New Roman"/>
                      <w:color w:val="auto"/>
                      <w:szCs w:val="21"/>
                      <w:highlight w:val="none"/>
                      <w:u w:val="none"/>
                    </w:rPr>
                    <w:t>2</w:t>
                  </w:r>
                </w:p>
              </w:tc>
              <w:tc>
                <w:tcPr>
                  <w:tcW w:w="78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lang w:eastAsia="zh-CN"/>
                    </w:rPr>
                    <w:t>原料</w:t>
                  </w:r>
                  <w:r>
                    <w:rPr>
                      <w:rFonts w:hint="eastAsia"/>
                      <w:color w:val="auto"/>
                      <w:sz w:val="21"/>
                      <w:szCs w:val="21"/>
                      <w:highlight w:val="none"/>
                      <w:u w:val="none"/>
                    </w:rPr>
                    <w:t>包装桶</w:t>
                  </w:r>
                </w:p>
              </w:tc>
              <w:tc>
                <w:tcPr>
                  <w:tcW w:w="666"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Cs w:val="21"/>
                      <w:highlight w:val="none"/>
                      <w:u w:val="none"/>
                      <w:lang w:eastAsia="zh-CN"/>
                    </w:rPr>
                    <w:t>原料进料</w:t>
                  </w:r>
                </w:p>
              </w:tc>
              <w:tc>
                <w:tcPr>
                  <w:tcW w:w="521"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Cs w:val="21"/>
                      <w:highlight w:val="none"/>
                      <w:u w:val="none"/>
                    </w:rPr>
                    <w:t>一般工业固废</w:t>
                  </w:r>
                </w:p>
              </w:tc>
              <w:tc>
                <w:tcPr>
                  <w:tcW w:w="423" w:type="pct"/>
                  <w:noWrap w:val="0"/>
                  <w:vAlign w:val="center"/>
                </w:tcPr>
                <w:p>
                  <w:pPr>
                    <w:overflowPunct w:val="0"/>
                    <w:jc w:val="center"/>
                    <w:rPr>
                      <w:rFonts w:ascii="Times New Roman" w:hAnsi="Times New Roman" w:eastAsia="宋体" w:cs="Times New Roman"/>
                      <w:color w:val="auto"/>
                      <w:kern w:val="2"/>
                      <w:sz w:val="21"/>
                      <w:szCs w:val="21"/>
                      <w:highlight w:val="none"/>
                      <w:u w:val="none"/>
                      <w:lang w:val="en-US" w:eastAsia="zh-CN" w:bidi="ar-SA"/>
                    </w:rPr>
                  </w:pPr>
                  <w:r>
                    <w:rPr>
                      <w:color w:val="auto"/>
                      <w:kern w:val="0"/>
                      <w:szCs w:val="21"/>
                      <w:highlight w:val="none"/>
                      <w:u w:val="none"/>
                    </w:rPr>
                    <w:t>固态</w:t>
                  </w:r>
                </w:p>
              </w:tc>
              <w:tc>
                <w:tcPr>
                  <w:tcW w:w="579" w:type="pct"/>
                  <w:noWrap w:val="0"/>
                  <w:vAlign w:val="center"/>
                </w:tcPr>
                <w:p>
                  <w:pPr>
                    <w:overflowPunct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Cs w:val="21"/>
                      <w:highlight w:val="none"/>
                      <w:u w:val="none"/>
                    </w:rPr>
                    <w:t>/</w:t>
                  </w:r>
                </w:p>
              </w:tc>
              <w:tc>
                <w:tcPr>
                  <w:tcW w:w="763" w:type="pct"/>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val="en-US" w:eastAsia="zh-CN" w:bidi="ar"/>
                    </w:rPr>
                    <w:t>7</w:t>
                  </w:r>
                </w:p>
              </w:tc>
              <w:tc>
                <w:tcPr>
                  <w:tcW w:w="899" w:type="pct"/>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bidi="ar"/>
                    </w:rPr>
                    <w:t>废品回收单位处置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4" w:type="pct"/>
                  <w:noWrap w:val="0"/>
                  <w:vAlign w:val="center"/>
                </w:tcPr>
                <w:p>
                  <w:pPr>
                    <w:pStyle w:val="38"/>
                    <w:overflowPunct w:val="0"/>
                    <w:adjustRightInd/>
                    <w:snapToGrid/>
                    <w:spacing w:before="24" w:after="24"/>
                    <w:rPr>
                      <w:rFonts w:ascii="Times New Roman"/>
                      <w:color w:val="auto"/>
                      <w:kern w:val="2"/>
                      <w:szCs w:val="21"/>
                      <w:highlight w:val="none"/>
                      <w:u w:val="none"/>
                    </w:rPr>
                  </w:pPr>
                  <w:r>
                    <w:rPr>
                      <w:rFonts w:ascii="Times New Roman"/>
                      <w:color w:val="auto"/>
                      <w:szCs w:val="21"/>
                      <w:highlight w:val="none"/>
                      <w:u w:val="none"/>
                    </w:rPr>
                    <w:t>3</w:t>
                  </w:r>
                </w:p>
              </w:tc>
              <w:tc>
                <w:tcPr>
                  <w:tcW w:w="78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废活性炭</w:t>
                  </w:r>
                </w:p>
              </w:tc>
              <w:tc>
                <w:tcPr>
                  <w:tcW w:w="666"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lang w:eastAsia="zh-CN"/>
                    </w:rPr>
                    <w:t>活性炭吸附</w:t>
                  </w:r>
                </w:p>
              </w:tc>
              <w:tc>
                <w:tcPr>
                  <w:tcW w:w="52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危险废物</w:t>
                  </w:r>
                </w:p>
              </w:tc>
              <w:tc>
                <w:tcPr>
                  <w:tcW w:w="423" w:type="pct"/>
                  <w:noWrap w:val="0"/>
                  <w:vAlign w:val="center"/>
                </w:tcPr>
                <w:p>
                  <w:pPr>
                    <w:overflowPunct w:val="0"/>
                    <w:jc w:val="center"/>
                    <w:rPr>
                      <w:rFonts w:ascii="Times New Roman" w:hAnsi="Times New Roman" w:eastAsia="宋体" w:cs="Times New Roman"/>
                      <w:color w:val="auto"/>
                      <w:kern w:val="0"/>
                      <w:sz w:val="21"/>
                      <w:szCs w:val="21"/>
                      <w:highlight w:val="none"/>
                      <w:u w:val="none"/>
                      <w:lang w:val="en-US" w:eastAsia="zh-CN" w:bidi="ar-SA"/>
                    </w:rPr>
                  </w:pPr>
                  <w:r>
                    <w:rPr>
                      <w:color w:val="auto"/>
                      <w:kern w:val="0"/>
                      <w:szCs w:val="21"/>
                      <w:highlight w:val="none"/>
                      <w:u w:val="none"/>
                    </w:rPr>
                    <w:t>固态</w:t>
                  </w:r>
                </w:p>
              </w:tc>
              <w:tc>
                <w:tcPr>
                  <w:tcW w:w="579" w:type="pct"/>
                  <w:noWrap w:val="0"/>
                  <w:vAlign w:val="center"/>
                </w:tcPr>
                <w:p>
                  <w:pPr>
                    <w:pStyle w:val="30"/>
                    <w:overflowPunct w:val="0"/>
                    <w:adjustRightInd/>
                    <w:jc w:val="center"/>
                    <w:rPr>
                      <w:rFonts w:ascii="Times New Roman" w:hAnsi="Times New Roman" w:eastAsia="宋体" w:cs="Times New Roman"/>
                      <w:color w:val="auto"/>
                      <w:kern w:val="0"/>
                      <w:sz w:val="21"/>
                      <w:szCs w:val="21"/>
                      <w:highlight w:val="none"/>
                      <w:u w:val="none"/>
                      <w:lang w:val="en-US" w:eastAsia="zh-CN" w:bidi="ar-SA"/>
                    </w:rPr>
                  </w:pPr>
                  <w:r>
                    <w:rPr>
                      <w:color w:val="auto"/>
                      <w:sz w:val="21"/>
                      <w:szCs w:val="21"/>
                      <w:highlight w:val="none"/>
                      <w:u w:val="none"/>
                    </w:rPr>
                    <w:t>HW49</w:t>
                  </w:r>
                </w:p>
              </w:tc>
              <w:tc>
                <w:tcPr>
                  <w:tcW w:w="763" w:type="pct"/>
                  <w:noWrap w:val="0"/>
                  <w:vAlign w:val="center"/>
                </w:tcPr>
                <w:p>
                  <w:pPr>
                    <w:widowControl/>
                    <w:overflowPunct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eastAsia="宋体"/>
                      <w:color w:val="auto"/>
                      <w:kern w:val="0"/>
                      <w:szCs w:val="21"/>
                      <w:highlight w:val="none"/>
                      <w:u w:val="none"/>
                      <w:lang w:val="en-US" w:eastAsia="zh-CN" w:bidi="ar"/>
                    </w:rPr>
                    <w:t>7.72</w:t>
                  </w:r>
                </w:p>
              </w:tc>
              <w:tc>
                <w:tcPr>
                  <w:tcW w:w="899" w:type="pct"/>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bidi="ar"/>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4" w:type="pct"/>
                  <w:noWrap w:val="0"/>
                  <w:vAlign w:val="center"/>
                </w:tcPr>
                <w:p>
                  <w:pPr>
                    <w:pStyle w:val="38"/>
                    <w:overflowPunct w:val="0"/>
                    <w:adjustRightInd/>
                    <w:snapToGrid/>
                    <w:spacing w:before="24" w:after="24"/>
                    <w:rPr>
                      <w:rFonts w:ascii="Times New Roman"/>
                      <w:color w:val="auto"/>
                      <w:szCs w:val="21"/>
                      <w:highlight w:val="none"/>
                      <w:u w:val="none"/>
                    </w:rPr>
                  </w:pPr>
                  <w:r>
                    <w:rPr>
                      <w:rFonts w:ascii="Times New Roman"/>
                      <w:color w:val="auto"/>
                      <w:szCs w:val="21"/>
                      <w:highlight w:val="none"/>
                      <w:u w:val="none"/>
                    </w:rPr>
                    <w:t>4</w:t>
                  </w:r>
                </w:p>
              </w:tc>
              <w:tc>
                <w:tcPr>
                  <w:tcW w:w="781" w:type="pct"/>
                  <w:noWrap w:val="0"/>
                  <w:vAlign w:val="center"/>
                </w:tcPr>
                <w:p>
                  <w:pPr>
                    <w:pStyle w:val="30"/>
                    <w:overflowPunct w:val="0"/>
                    <w:adjustRightInd/>
                    <w:jc w:val="center"/>
                    <w:rPr>
                      <w:rFonts w:ascii="Times New Roman" w:hAnsi="Times New Roman" w:eastAsia="宋体" w:cs="Times New Roman"/>
                      <w:color w:val="auto"/>
                      <w:kern w:val="0"/>
                      <w:sz w:val="21"/>
                      <w:szCs w:val="21"/>
                      <w:highlight w:val="none"/>
                      <w:u w:val="none"/>
                      <w:lang w:val="en-US" w:eastAsia="zh-CN" w:bidi="ar-SA"/>
                    </w:rPr>
                  </w:pPr>
                  <w:r>
                    <w:rPr>
                      <w:color w:val="auto"/>
                      <w:sz w:val="21"/>
                      <w:szCs w:val="21"/>
                      <w:highlight w:val="none"/>
                      <w:u w:val="none"/>
                    </w:rPr>
                    <w:t>生活垃圾</w:t>
                  </w:r>
                </w:p>
              </w:tc>
              <w:tc>
                <w:tcPr>
                  <w:tcW w:w="666" w:type="pct"/>
                  <w:noWrap w:val="0"/>
                  <w:vAlign w:val="center"/>
                </w:tcPr>
                <w:p>
                  <w:pPr>
                    <w:pStyle w:val="30"/>
                    <w:overflowPunct w:val="0"/>
                    <w:adjustRightInd/>
                    <w:jc w:val="center"/>
                    <w:rPr>
                      <w:rFonts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w:t>
                  </w:r>
                </w:p>
              </w:tc>
              <w:tc>
                <w:tcPr>
                  <w:tcW w:w="52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一般固废</w:t>
                  </w:r>
                </w:p>
              </w:tc>
              <w:tc>
                <w:tcPr>
                  <w:tcW w:w="423" w:type="pct"/>
                  <w:noWrap w:val="0"/>
                  <w:vAlign w:val="center"/>
                </w:tcPr>
                <w:p>
                  <w:pPr>
                    <w:pStyle w:val="30"/>
                    <w:overflowPunct w:val="0"/>
                    <w:adjustRightInd/>
                    <w:jc w:val="center"/>
                    <w:rPr>
                      <w:rFonts w:ascii="Times New Roman" w:hAnsi="Times New Roman" w:eastAsia="宋体" w:cs="Times New Roman"/>
                      <w:color w:val="auto"/>
                      <w:kern w:val="0"/>
                      <w:sz w:val="21"/>
                      <w:szCs w:val="21"/>
                      <w:highlight w:val="none"/>
                      <w:u w:val="none"/>
                      <w:lang w:val="en-US" w:eastAsia="zh-CN" w:bidi="ar-SA"/>
                    </w:rPr>
                  </w:pPr>
                  <w:r>
                    <w:rPr>
                      <w:color w:val="auto"/>
                      <w:sz w:val="21"/>
                      <w:szCs w:val="21"/>
                      <w:highlight w:val="none"/>
                      <w:u w:val="none"/>
                    </w:rPr>
                    <w:t>固态</w:t>
                  </w:r>
                </w:p>
              </w:tc>
              <w:tc>
                <w:tcPr>
                  <w:tcW w:w="579" w:type="pct"/>
                  <w:noWrap w:val="0"/>
                  <w:vAlign w:val="center"/>
                </w:tcPr>
                <w:p>
                  <w:pPr>
                    <w:pStyle w:val="30"/>
                    <w:overflowPunct w:val="0"/>
                    <w:adjustRightInd/>
                    <w:jc w:val="center"/>
                    <w:rPr>
                      <w:rFonts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w:t>
                  </w:r>
                </w:p>
              </w:tc>
              <w:tc>
                <w:tcPr>
                  <w:tcW w:w="763" w:type="pct"/>
                  <w:noWrap w:val="0"/>
                  <w:vAlign w:val="center"/>
                </w:tcPr>
                <w:p>
                  <w:pPr>
                    <w:widowControl/>
                    <w:overflowPunct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val="en-US" w:eastAsia="zh-CN" w:bidi="ar"/>
                    </w:rPr>
                    <w:t>4.5</w:t>
                  </w:r>
                </w:p>
              </w:tc>
              <w:tc>
                <w:tcPr>
                  <w:tcW w:w="899" w:type="pct"/>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bidi="ar"/>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4" w:type="pct"/>
                  <w:noWrap w:val="0"/>
                  <w:vAlign w:val="center"/>
                </w:tcPr>
                <w:p>
                  <w:pPr>
                    <w:pStyle w:val="38"/>
                    <w:overflowPunct w:val="0"/>
                    <w:adjustRightInd/>
                    <w:snapToGrid/>
                    <w:spacing w:before="24" w:after="24"/>
                    <w:rPr>
                      <w:rFonts w:ascii="Times New Roman"/>
                      <w:color w:val="auto"/>
                      <w:szCs w:val="21"/>
                      <w:highlight w:val="none"/>
                      <w:u w:val="none"/>
                    </w:rPr>
                  </w:pPr>
                  <w:r>
                    <w:rPr>
                      <w:rFonts w:hint="eastAsia" w:ascii="Times New Roman"/>
                      <w:color w:val="auto"/>
                      <w:szCs w:val="21"/>
                      <w:highlight w:val="none"/>
                      <w:u w:val="none"/>
                    </w:rPr>
                    <w:t>5</w:t>
                  </w:r>
                </w:p>
              </w:tc>
              <w:tc>
                <w:tcPr>
                  <w:tcW w:w="78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废紫外灯管</w:t>
                  </w:r>
                </w:p>
              </w:tc>
              <w:tc>
                <w:tcPr>
                  <w:tcW w:w="666"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UV光解</w:t>
                  </w:r>
                </w:p>
              </w:tc>
              <w:tc>
                <w:tcPr>
                  <w:tcW w:w="521"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rFonts w:hint="eastAsia"/>
                      <w:color w:val="auto"/>
                      <w:sz w:val="21"/>
                      <w:szCs w:val="21"/>
                      <w:highlight w:val="none"/>
                      <w:u w:val="none"/>
                    </w:rPr>
                    <w:t>危险废物</w:t>
                  </w:r>
                </w:p>
              </w:tc>
              <w:tc>
                <w:tcPr>
                  <w:tcW w:w="423" w:type="pct"/>
                  <w:noWrap w:val="0"/>
                  <w:vAlign w:val="center"/>
                </w:tcPr>
                <w:p>
                  <w:pPr>
                    <w:overflowPunct w:val="0"/>
                    <w:jc w:val="center"/>
                    <w:rPr>
                      <w:rFonts w:ascii="Times New Roman" w:hAnsi="Times New Roman" w:eastAsia="宋体" w:cs="Times New Roman"/>
                      <w:color w:val="auto"/>
                      <w:kern w:val="0"/>
                      <w:sz w:val="21"/>
                      <w:szCs w:val="21"/>
                      <w:highlight w:val="none"/>
                      <w:u w:val="none"/>
                      <w:lang w:val="en-US" w:eastAsia="zh-CN" w:bidi="ar-SA"/>
                    </w:rPr>
                  </w:pPr>
                  <w:r>
                    <w:rPr>
                      <w:color w:val="auto"/>
                      <w:kern w:val="0"/>
                      <w:szCs w:val="21"/>
                      <w:highlight w:val="none"/>
                      <w:u w:val="none"/>
                    </w:rPr>
                    <w:t>固态</w:t>
                  </w:r>
                </w:p>
              </w:tc>
              <w:tc>
                <w:tcPr>
                  <w:tcW w:w="579" w:type="pct"/>
                  <w:noWrap w:val="0"/>
                  <w:vAlign w:val="center"/>
                </w:tcPr>
                <w:p>
                  <w:pPr>
                    <w:pStyle w:val="30"/>
                    <w:overflowPunct w:val="0"/>
                    <w:adjustRightInd/>
                    <w:jc w:val="center"/>
                    <w:rPr>
                      <w:rFonts w:hint="eastAsia" w:ascii="Times New Roman" w:hAnsi="Times New Roman" w:eastAsia="宋体" w:cs="Times New Roman"/>
                      <w:color w:val="auto"/>
                      <w:kern w:val="0"/>
                      <w:sz w:val="21"/>
                      <w:szCs w:val="21"/>
                      <w:highlight w:val="none"/>
                      <w:u w:val="none"/>
                      <w:lang w:val="en-US" w:eastAsia="zh-CN" w:bidi="ar-SA"/>
                    </w:rPr>
                  </w:pPr>
                  <w:r>
                    <w:rPr>
                      <w:color w:val="auto"/>
                      <w:sz w:val="21"/>
                      <w:szCs w:val="21"/>
                      <w:highlight w:val="none"/>
                      <w:u w:val="none"/>
                    </w:rPr>
                    <w:t>HW</w:t>
                  </w:r>
                  <w:r>
                    <w:rPr>
                      <w:rFonts w:hint="eastAsia"/>
                      <w:color w:val="auto"/>
                      <w:sz w:val="21"/>
                      <w:szCs w:val="21"/>
                      <w:highlight w:val="none"/>
                      <w:u w:val="none"/>
                      <w:lang w:val="en-US" w:eastAsia="zh-CN"/>
                    </w:rPr>
                    <w:t>2</w:t>
                  </w:r>
                  <w:r>
                    <w:rPr>
                      <w:color w:val="auto"/>
                      <w:sz w:val="21"/>
                      <w:szCs w:val="21"/>
                      <w:highlight w:val="none"/>
                      <w:u w:val="none"/>
                    </w:rPr>
                    <w:t>9</w:t>
                  </w:r>
                </w:p>
              </w:tc>
              <w:tc>
                <w:tcPr>
                  <w:tcW w:w="763" w:type="pct"/>
                  <w:noWrap w:val="0"/>
                  <w:vAlign w:val="center"/>
                </w:tcPr>
                <w:p>
                  <w:pPr>
                    <w:widowControl/>
                    <w:overflowPunct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val="en-US" w:eastAsia="zh-CN" w:bidi="ar"/>
                    </w:rPr>
                    <w:t>0.02</w:t>
                  </w:r>
                </w:p>
              </w:tc>
              <w:tc>
                <w:tcPr>
                  <w:tcW w:w="899" w:type="pct"/>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bidi="ar"/>
                    </w:rPr>
                    <w:t>委托有资质单位处置</w:t>
                  </w:r>
                </w:p>
              </w:tc>
            </w:tr>
          </w:tbl>
          <w:p>
            <w:pPr>
              <w:overflowPunct w:val="0"/>
              <w:spacing w:line="360" w:lineRule="auto"/>
              <w:ind w:firstLine="480" w:firstLineChars="200"/>
              <w:rPr>
                <w:snapToGrid w:val="0"/>
                <w:color w:val="auto"/>
                <w:sz w:val="24"/>
                <w:highlight w:val="none"/>
                <w:u w:val="none"/>
              </w:rPr>
            </w:pPr>
            <w:r>
              <w:rPr>
                <w:color w:val="auto"/>
                <w:sz w:val="24"/>
                <w:highlight w:val="none"/>
                <w:u w:val="none"/>
              </w:rPr>
              <w:t>在严格堆放管理、淸运及时和处置得当的情况下</w:t>
            </w:r>
            <w:r>
              <w:rPr>
                <w:snapToGrid w:val="0"/>
                <w:color w:val="auto"/>
                <w:sz w:val="24"/>
                <w:highlight w:val="none"/>
                <w:u w:val="none"/>
              </w:rPr>
              <w:t>，本项目的固体废物对周围环境不会产生二次污染。</w:t>
            </w:r>
          </w:p>
          <w:p>
            <w:pPr>
              <w:pStyle w:val="2"/>
              <w:overflowPunct w:val="0"/>
              <w:spacing w:after="0" w:line="360" w:lineRule="auto"/>
              <w:rPr>
                <w:b/>
                <w:bCs/>
                <w:color w:val="auto"/>
                <w:sz w:val="24"/>
                <w:highlight w:val="none"/>
                <w:u w:val="none"/>
              </w:rPr>
            </w:pPr>
            <w:r>
              <w:rPr>
                <w:rFonts w:hint="eastAsia"/>
                <w:b/>
                <w:bCs/>
                <w:color w:val="auto"/>
                <w:sz w:val="24"/>
                <w:highlight w:val="none"/>
                <w:u w:val="none"/>
              </w:rPr>
              <w:t>5、环境风险</w:t>
            </w:r>
            <w:r>
              <w:rPr>
                <w:b/>
                <w:bCs/>
                <w:color w:val="auto"/>
                <w:sz w:val="24"/>
                <w:highlight w:val="none"/>
                <w:u w:val="none"/>
              </w:rPr>
              <w:t>分析</w:t>
            </w:r>
          </w:p>
          <w:p>
            <w:pPr>
              <w:overflowPunct w:val="0"/>
              <w:autoSpaceDE w:val="0"/>
              <w:autoSpaceDN w:val="0"/>
              <w:spacing w:line="360" w:lineRule="auto"/>
              <w:ind w:firstLine="482" w:firstLineChars="200"/>
              <w:rPr>
                <w:b/>
                <w:bCs/>
                <w:color w:val="auto"/>
                <w:sz w:val="24"/>
                <w:highlight w:val="none"/>
                <w:u w:val="none"/>
              </w:rPr>
            </w:pPr>
            <w:r>
              <w:rPr>
                <w:b/>
                <w:bCs/>
                <w:color w:val="auto"/>
                <w:sz w:val="24"/>
                <w:highlight w:val="none"/>
                <w:u w:val="none"/>
              </w:rPr>
              <w:t>（1）环境风险物质识别</w:t>
            </w:r>
          </w:p>
          <w:p>
            <w:pPr>
              <w:pStyle w:val="23"/>
              <w:overflowPunct w:val="0"/>
              <w:adjustRightInd/>
              <w:spacing w:line="360" w:lineRule="auto"/>
              <w:ind w:firstLine="480" w:firstLineChars="20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根据《建设项目环境风险评价技术导则》(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p>
          <w:p>
            <w:pPr>
              <w:overflowPunct w:val="0"/>
              <w:autoSpaceDE w:val="0"/>
              <w:autoSpaceDN w:val="0"/>
              <w:spacing w:line="360" w:lineRule="auto"/>
              <w:jc w:val="center"/>
              <w:rPr>
                <w:color w:val="auto"/>
                <w:highlight w:val="none"/>
                <w:u w:val="none"/>
              </w:rPr>
            </w:pPr>
            <w:r>
              <w:rPr>
                <w:color w:val="auto"/>
                <w:highlight w:val="none"/>
                <w:u w:val="none"/>
              </w:rPr>
              <w:drawing>
                <wp:inline distT="0" distB="0" distL="114300" distR="114300">
                  <wp:extent cx="3715385" cy="746125"/>
                  <wp:effectExtent l="0" t="0" r="889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tretch>
                            <a:fillRect/>
                          </a:stretch>
                        </pic:blipFill>
                        <pic:spPr>
                          <a:xfrm>
                            <a:off x="0" y="0"/>
                            <a:ext cx="3715385" cy="746125"/>
                          </a:xfrm>
                          <a:prstGeom prst="rect">
                            <a:avLst/>
                          </a:prstGeom>
                          <a:noFill/>
                          <a:ln>
                            <a:noFill/>
                          </a:ln>
                        </pic:spPr>
                      </pic:pic>
                    </a:graphicData>
                  </a:graphic>
                </wp:inline>
              </w:drawing>
            </w:r>
          </w:p>
          <w:p>
            <w:pPr>
              <w:pStyle w:val="23"/>
              <w:overflowPunct w:val="0"/>
              <w:adjustRightInd/>
              <w:spacing w:line="360" w:lineRule="auto"/>
              <w:ind w:firstLine="480" w:firstLineChars="200"/>
              <w:rPr>
                <w:rFonts w:hint="default"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式中：q1，q2，…，qn—每种危险物质</w:t>
            </w:r>
            <w:r>
              <w:rPr>
                <w:rFonts w:hint="default" w:ascii="Times New Roman" w:hAnsi="Times New Roman" w:eastAsia="宋体" w:cs="Times New Roman"/>
                <w:color w:val="auto"/>
                <w:highlight w:val="none"/>
                <w:u w:val="none"/>
              </w:rPr>
              <w:t>的最大存在总量，t；</w:t>
            </w:r>
          </w:p>
          <w:p>
            <w:pPr>
              <w:pStyle w:val="23"/>
              <w:overflowPunct w:val="0"/>
              <w:adjustRightInd/>
              <w:spacing w:line="360" w:lineRule="auto"/>
              <w:ind w:firstLine="480" w:firstLineChars="20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Ql，Q2，…，Qn-每种危险物质的临界量，t。</w:t>
            </w:r>
          </w:p>
          <w:p>
            <w:pPr>
              <w:pStyle w:val="23"/>
              <w:overflowPunct w:val="0"/>
              <w:adjustRightInd/>
              <w:spacing w:line="360" w:lineRule="auto"/>
              <w:ind w:firstLine="480" w:firstLineChars="20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当Q&lt;1时，该项目环境风险潜势为Ⅰ。</w:t>
            </w:r>
          </w:p>
          <w:p>
            <w:pPr>
              <w:pStyle w:val="23"/>
              <w:overflowPunct w:val="0"/>
              <w:adjustRightInd/>
              <w:spacing w:line="360" w:lineRule="auto"/>
              <w:ind w:firstLine="480" w:firstLineChars="20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当Q≥1时，将Q值划分为：（1）1≤Q&lt;10；（2）10≤Q&lt;100；（3）Q≥100。</w:t>
            </w:r>
          </w:p>
          <w:p>
            <w:pPr>
              <w:overflowPunct w:val="0"/>
              <w:autoSpaceDE w:val="0"/>
              <w:autoSpaceDN w:val="0"/>
              <w:spacing w:line="360" w:lineRule="auto"/>
              <w:ind w:firstLine="480" w:firstLineChars="200"/>
              <w:rPr>
                <w:rFonts w:hint="eastAsia" w:ascii="Times New Roman" w:hAnsi="Times New Roman" w:eastAsia="宋体" w:cs="Times New Roman"/>
                <w:color w:val="auto"/>
                <w:sz w:val="24"/>
                <w:highlight w:val="none"/>
                <w:u w:val="none"/>
                <w:lang w:eastAsia="zh-CN"/>
              </w:rPr>
            </w:pPr>
            <w:r>
              <w:rPr>
                <w:rFonts w:hint="default" w:ascii="Times New Roman" w:hAnsi="Times New Roman" w:cs="Times New Roman"/>
                <w:color w:val="auto"/>
                <w:sz w:val="24"/>
                <w:highlight w:val="none"/>
                <w:u w:val="none"/>
              </w:rPr>
              <w:t>根据建设单位提供的资料，本项目突发环境时间风险物质贮存量及临界量详细见</w:t>
            </w:r>
            <w:r>
              <w:rPr>
                <w:rFonts w:hint="eastAsia" w:cs="Times New Roman"/>
                <w:color w:val="auto"/>
                <w:sz w:val="24"/>
                <w:highlight w:val="none"/>
                <w:u w:val="none"/>
                <w:lang w:eastAsia="zh-CN"/>
              </w:rPr>
              <w:t>下</w:t>
            </w:r>
            <w:r>
              <w:rPr>
                <w:rFonts w:hint="default" w:ascii="Times New Roman" w:hAnsi="Times New Roman" w:cs="Times New Roman"/>
                <w:color w:val="auto"/>
                <w:sz w:val="24"/>
                <w:highlight w:val="none"/>
                <w:u w:val="none"/>
              </w:rPr>
              <w:t>表</w:t>
            </w:r>
            <w:r>
              <w:rPr>
                <w:rFonts w:hint="eastAsia" w:cs="Times New Roman"/>
                <w:color w:val="auto"/>
                <w:sz w:val="24"/>
                <w:highlight w:val="none"/>
                <w:u w:val="none"/>
                <w:lang w:eastAsia="zh-CN"/>
              </w:rPr>
              <w:t>。</w:t>
            </w:r>
          </w:p>
          <w:p>
            <w:pPr>
              <w:overflowPunct w:val="0"/>
              <w:ind w:firstLine="422" w:firstLineChars="200"/>
              <w:jc w:val="center"/>
              <w:rPr>
                <w:rFonts w:hint="eastAsia"/>
                <w:b/>
                <w:bCs/>
                <w:color w:val="auto"/>
                <w:szCs w:val="21"/>
                <w:highlight w:val="none"/>
                <w:u w:val="none"/>
              </w:rPr>
            </w:pPr>
            <w:r>
              <w:rPr>
                <w:rFonts w:hint="eastAsia"/>
                <w:b/>
                <w:bCs/>
                <w:color w:val="auto"/>
                <w:szCs w:val="21"/>
                <w:highlight w:val="none"/>
                <w:u w:val="none"/>
              </w:rPr>
              <w:t>表4-1</w:t>
            </w:r>
            <w:r>
              <w:rPr>
                <w:rFonts w:hint="eastAsia"/>
                <w:b/>
                <w:bCs/>
                <w:color w:val="auto"/>
                <w:szCs w:val="21"/>
                <w:highlight w:val="none"/>
                <w:u w:val="none"/>
                <w:lang w:val="en-US" w:eastAsia="zh-CN"/>
              </w:rPr>
              <w:t>7</w:t>
            </w:r>
            <w:r>
              <w:rPr>
                <w:rFonts w:hint="eastAsia"/>
                <w:b/>
                <w:bCs/>
                <w:color w:val="auto"/>
                <w:szCs w:val="21"/>
                <w:highlight w:val="none"/>
                <w:u w:val="none"/>
              </w:rPr>
              <w:t xml:space="preserve">  </w:t>
            </w:r>
            <w:r>
              <w:rPr>
                <w:rFonts w:hint="eastAsia"/>
                <w:b/>
                <w:bCs/>
                <w:color w:val="auto"/>
                <w:szCs w:val="21"/>
                <w:highlight w:val="none"/>
                <w:u w:val="none"/>
                <w:lang w:eastAsia="zh-CN"/>
              </w:rPr>
              <w:t>风险物质贮存量和临界量一览</w:t>
            </w:r>
            <w:r>
              <w:rPr>
                <w:rFonts w:hint="eastAsia"/>
                <w:b/>
                <w:bCs/>
                <w:color w:val="auto"/>
                <w:szCs w:val="21"/>
                <w:highlight w:val="none"/>
                <w:u w:val="none"/>
              </w:rPr>
              <w:t>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587"/>
              <w:gridCol w:w="1120"/>
              <w:gridCol w:w="1735"/>
              <w:gridCol w:w="1394"/>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vertAlign w:val="baseline"/>
                      <w:lang w:eastAsia="zh-CN"/>
                    </w:rPr>
                    <w:t>序号</w:t>
                  </w:r>
                </w:p>
              </w:tc>
              <w:tc>
                <w:tcPr>
                  <w:tcW w:w="1539"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vertAlign w:val="baseline"/>
                      <w:lang w:eastAsia="zh-CN"/>
                    </w:rPr>
                    <w:t>环境风险物质</w:t>
                  </w:r>
                </w:p>
              </w:tc>
              <w:tc>
                <w:tcPr>
                  <w:tcW w:w="66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vertAlign w:val="baseline"/>
                      <w:lang w:eastAsia="zh-CN"/>
                    </w:rPr>
                    <w:t>贮存位置</w:t>
                  </w:r>
                </w:p>
              </w:tc>
              <w:tc>
                <w:tcPr>
                  <w:tcW w:w="103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vertAlign w:val="baseline"/>
                      <w:lang w:eastAsia="zh-CN"/>
                    </w:rPr>
                    <w:t>最大储存量（</w:t>
                  </w:r>
                  <w:r>
                    <w:rPr>
                      <w:rFonts w:hint="default" w:ascii="Times New Roman" w:hAnsi="Times New Roman" w:eastAsia="宋体" w:cs="Times New Roman"/>
                      <w:b/>
                      <w:bCs/>
                      <w:color w:val="auto"/>
                      <w:sz w:val="21"/>
                      <w:szCs w:val="21"/>
                      <w:highlight w:val="none"/>
                      <w:u w:val="none"/>
                      <w:vertAlign w:val="baseline"/>
                      <w:lang w:val="en-US" w:eastAsia="zh-CN"/>
                    </w:rPr>
                    <w:t>t</w:t>
                  </w:r>
                  <w:r>
                    <w:rPr>
                      <w:rFonts w:hint="default" w:ascii="Times New Roman" w:hAnsi="Times New Roman" w:eastAsia="宋体" w:cs="Times New Roman"/>
                      <w:b/>
                      <w:bCs/>
                      <w:color w:val="auto"/>
                      <w:sz w:val="21"/>
                      <w:szCs w:val="21"/>
                      <w:highlight w:val="none"/>
                      <w:u w:val="none"/>
                      <w:vertAlign w:val="baseline"/>
                      <w:lang w:eastAsia="zh-CN"/>
                    </w:rPr>
                    <w:t>）</w:t>
                  </w:r>
                </w:p>
              </w:tc>
              <w:tc>
                <w:tcPr>
                  <w:tcW w:w="827"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eastAsia="宋体" w:cs="Times New Roman"/>
                      <w:b/>
                      <w:bCs/>
                      <w:color w:val="auto"/>
                      <w:sz w:val="21"/>
                      <w:szCs w:val="21"/>
                      <w:highlight w:val="none"/>
                      <w:u w:val="none"/>
                      <w:vertAlign w:val="baseline"/>
                      <w:lang w:eastAsia="zh-CN"/>
                    </w:rPr>
                    <w:t>临界量（</w:t>
                  </w:r>
                  <w:r>
                    <w:rPr>
                      <w:rFonts w:hint="default" w:ascii="Times New Roman" w:hAnsi="Times New Roman" w:eastAsia="宋体" w:cs="Times New Roman"/>
                      <w:b/>
                      <w:bCs/>
                      <w:color w:val="auto"/>
                      <w:sz w:val="21"/>
                      <w:szCs w:val="21"/>
                      <w:highlight w:val="none"/>
                      <w:u w:val="none"/>
                      <w:vertAlign w:val="baseline"/>
                      <w:lang w:val="en-US" w:eastAsia="zh-CN"/>
                    </w:rPr>
                    <w:t>t</w:t>
                  </w:r>
                  <w:r>
                    <w:rPr>
                      <w:rFonts w:hint="default" w:ascii="Times New Roman" w:hAnsi="Times New Roman" w:eastAsia="宋体" w:cs="Times New Roman"/>
                      <w:b/>
                      <w:bCs/>
                      <w:color w:val="auto"/>
                      <w:sz w:val="21"/>
                      <w:szCs w:val="21"/>
                      <w:highlight w:val="none"/>
                      <w:u w:val="none"/>
                      <w:vertAlign w:val="baseline"/>
                      <w:lang w:eastAsia="zh-CN"/>
                    </w:rPr>
                    <w:t>）</w:t>
                  </w:r>
                </w:p>
              </w:tc>
              <w:tc>
                <w:tcPr>
                  <w:tcW w:w="55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1539"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rPr>
                  </w:pPr>
                  <w:r>
                    <w:rPr>
                      <w:rStyle w:val="43"/>
                      <w:rFonts w:hint="default" w:ascii="Times New Roman" w:hAnsi="Times New Roman" w:eastAsia="宋体" w:cs="Times New Roman"/>
                      <w:lang w:val="en-US" w:eastAsia="zh-CN" w:bidi="ar"/>
                    </w:rPr>
                    <w:t>8618</w:t>
                  </w:r>
                  <w:r>
                    <w:rPr>
                      <w:rFonts w:hint="default" w:ascii="Times New Roman" w:hAnsi="Times New Roman" w:eastAsia="宋体" w:cs="Times New Roman"/>
                      <w:i w:val="0"/>
                      <w:iCs w:val="0"/>
                      <w:color w:val="000000"/>
                      <w:kern w:val="0"/>
                      <w:sz w:val="21"/>
                      <w:szCs w:val="21"/>
                      <w:u w:val="none"/>
                      <w:lang w:val="en-US" w:eastAsia="zh-CN" w:bidi="ar"/>
                    </w:rPr>
                    <w:t>改性</w:t>
                  </w:r>
                  <w:r>
                    <w:rPr>
                      <w:rStyle w:val="44"/>
                      <w:rFonts w:hint="default" w:ascii="Times New Roman" w:hAnsi="Times New Roman" w:eastAsia="宋体" w:cs="Times New Roman"/>
                      <w:lang w:val="en-US" w:eastAsia="zh-CN" w:bidi="ar"/>
                    </w:rPr>
                    <w:t>异氰酸酯</w:t>
                  </w:r>
                </w:p>
              </w:tc>
              <w:tc>
                <w:tcPr>
                  <w:tcW w:w="66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原材料仓</w:t>
                  </w:r>
                </w:p>
              </w:tc>
              <w:tc>
                <w:tcPr>
                  <w:tcW w:w="1032"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827"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2.5</w:t>
                  </w:r>
                </w:p>
              </w:tc>
              <w:tc>
                <w:tcPr>
                  <w:tcW w:w="93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1539"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碳化二亚胺改性</w:t>
                  </w:r>
                  <w:r>
                    <w:rPr>
                      <w:rStyle w:val="45"/>
                      <w:rFonts w:hint="default" w:ascii="Times New Roman" w:hAnsi="Times New Roman" w:eastAsia="宋体" w:cs="Times New Roman"/>
                      <w:lang w:val="en-US" w:eastAsia="zh-CN" w:bidi="ar"/>
                    </w:rPr>
                    <w:t>MDI</w:t>
                  </w:r>
                  <w:r>
                    <w:rPr>
                      <w:rStyle w:val="44"/>
                      <w:rFonts w:hint="default" w:ascii="Times New Roman" w:hAnsi="Times New Roman" w:eastAsia="宋体" w:cs="Times New Roman"/>
                      <w:lang w:val="en-US" w:eastAsia="zh-CN" w:bidi="ar"/>
                    </w:rPr>
                    <w:t>（</w:t>
                  </w:r>
                  <w:r>
                    <w:rPr>
                      <w:rStyle w:val="43"/>
                      <w:rFonts w:hint="default" w:ascii="Times New Roman" w:hAnsi="Times New Roman" w:eastAsia="宋体" w:cs="Times New Roman"/>
                      <w:lang w:val="en-US" w:eastAsia="zh-CN" w:bidi="ar"/>
                    </w:rPr>
                    <w:t>CDMDI-100L</w:t>
                  </w:r>
                  <w:r>
                    <w:rPr>
                      <w:rStyle w:val="44"/>
                      <w:rFonts w:hint="default" w:ascii="Times New Roman" w:hAnsi="Times New Roman" w:eastAsia="宋体" w:cs="Times New Roman"/>
                      <w:lang w:val="en-US" w:eastAsia="zh-CN" w:bidi="ar"/>
                    </w:rPr>
                    <w:t>异氰酸酯）</w:t>
                  </w:r>
                </w:p>
              </w:tc>
              <w:tc>
                <w:tcPr>
                  <w:tcW w:w="66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原材料仓</w:t>
                  </w:r>
                </w:p>
              </w:tc>
              <w:tc>
                <w:tcPr>
                  <w:tcW w:w="1032"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27"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2.5</w:t>
                  </w:r>
                </w:p>
              </w:tc>
              <w:tc>
                <w:tcPr>
                  <w:tcW w:w="93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8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3</w:t>
                  </w:r>
                </w:p>
              </w:tc>
              <w:tc>
                <w:tcPr>
                  <w:tcW w:w="1539"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rPr>
                  </w:pPr>
                  <w:r>
                    <w:rPr>
                      <w:rStyle w:val="44"/>
                      <w:rFonts w:hint="default" w:ascii="Times New Roman" w:hAnsi="Times New Roman" w:eastAsia="宋体" w:cs="Times New Roman"/>
                      <w:lang w:val="en-US" w:eastAsia="zh-CN" w:bidi="ar"/>
                    </w:rPr>
                    <w:t>多亚甲基多苯基异氰酸酯（</w:t>
                  </w:r>
                  <w:r>
                    <w:rPr>
                      <w:rStyle w:val="43"/>
                      <w:rFonts w:hint="default" w:ascii="Times New Roman" w:hAnsi="Times New Roman" w:eastAsia="宋体" w:cs="Times New Roman"/>
                      <w:lang w:val="en-US" w:eastAsia="zh-CN" w:bidi="ar"/>
                    </w:rPr>
                    <w:t>PM-200</w:t>
                  </w:r>
                  <w:r>
                    <w:rPr>
                      <w:rStyle w:val="44"/>
                      <w:rFonts w:hint="default" w:ascii="Times New Roman" w:hAnsi="Times New Roman" w:eastAsia="宋体" w:cs="Times New Roman"/>
                      <w:lang w:val="en-US" w:eastAsia="zh-CN" w:bidi="ar"/>
                    </w:rPr>
                    <w:t>异氰酸酯）</w:t>
                  </w:r>
                </w:p>
              </w:tc>
              <w:tc>
                <w:tcPr>
                  <w:tcW w:w="66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vertAlign w:val="baseline"/>
                      <w:lang w:eastAsia="zh-CN"/>
                    </w:rPr>
                    <w:t>原材料仓</w:t>
                  </w:r>
                </w:p>
              </w:tc>
              <w:tc>
                <w:tcPr>
                  <w:tcW w:w="1032" w:type="pct"/>
                  <w:vAlign w:val="center"/>
                </w:tcPr>
                <w:p>
                  <w:pPr>
                    <w:keepNext w:val="0"/>
                    <w:keepLines w:val="0"/>
                    <w:pageBreakBefore w:val="0"/>
                    <w:widowControl/>
                    <w:suppressLineNumbers w:val="0"/>
                    <w:kinsoku/>
                    <w:wordWrap/>
                    <w:topLinePunct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27"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2.5</w:t>
                  </w:r>
                </w:p>
              </w:tc>
              <w:tc>
                <w:tcPr>
                  <w:tcW w:w="93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7" w:type="pct"/>
                  <w:gridSpan w:val="5"/>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总计</w:t>
                  </w:r>
                </w:p>
              </w:tc>
              <w:tc>
                <w:tcPr>
                  <w:tcW w:w="55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0.4</w:t>
                  </w:r>
                </w:p>
              </w:tc>
            </w:tr>
          </w:tbl>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本项目Q小于1，可直接判定环境风险潜势为I。</w:t>
            </w:r>
          </w:p>
          <w:p>
            <w:pPr>
              <w:overflowPunct w:val="0"/>
              <w:autoSpaceDE w:val="0"/>
              <w:autoSpaceDN w:val="0"/>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（2）评价等级</w:t>
            </w:r>
          </w:p>
          <w:p>
            <w:pPr>
              <w:overflowPunct w:val="0"/>
              <w:spacing w:line="360" w:lineRule="auto"/>
              <w:ind w:firstLine="480" w:firstLineChars="200"/>
              <w:rPr>
                <w:color w:val="auto"/>
                <w:sz w:val="24"/>
                <w:highlight w:val="none"/>
                <w:u w:val="none"/>
              </w:rPr>
            </w:pPr>
            <w:r>
              <w:rPr>
                <w:rFonts w:hint="eastAsia"/>
                <w:color w:val="auto"/>
                <w:sz w:val="24"/>
                <w:highlight w:val="none"/>
                <w:u w:val="none"/>
              </w:rPr>
              <w:t>根据</w:t>
            </w:r>
            <w:r>
              <w:rPr>
                <w:color w:val="auto"/>
                <w:sz w:val="24"/>
                <w:highlight w:val="none"/>
                <w:u w:val="none"/>
              </w:rPr>
              <w:t>《</w:t>
            </w:r>
            <w:r>
              <w:rPr>
                <w:rFonts w:hint="eastAsia"/>
                <w:color w:val="auto"/>
                <w:sz w:val="24"/>
                <w:highlight w:val="none"/>
                <w:u w:val="none"/>
              </w:rPr>
              <w:t>建设项目环境风险评价技术导则</w:t>
            </w:r>
            <w:r>
              <w:rPr>
                <w:color w:val="auto"/>
                <w:sz w:val="24"/>
                <w:highlight w:val="none"/>
                <w:u w:val="none"/>
              </w:rPr>
              <w:t>》 （</w:t>
            </w:r>
            <w:r>
              <w:rPr>
                <w:rFonts w:hint="eastAsia"/>
                <w:color w:val="auto"/>
                <w:sz w:val="24"/>
                <w:highlight w:val="none"/>
                <w:u w:val="none"/>
              </w:rPr>
              <w:t>HJ</w:t>
            </w:r>
            <w:r>
              <w:rPr>
                <w:color w:val="auto"/>
                <w:sz w:val="24"/>
                <w:highlight w:val="none"/>
                <w:u w:val="none"/>
              </w:rPr>
              <w:t>1</w:t>
            </w:r>
            <w:r>
              <w:rPr>
                <w:rFonts w:hint="eastAsia"/>
                <w:color w:val="auto"/>
                <w:sz w:val="24"/>
                <w:highlight w:val="none"/>
                <w:u w:val="none"/>
              </w:rPr>
              <w:t>69</w:t>
            </w:r>
            <w:r>
              <w:rPr>
                <w:color w:val="auto"/>
                <w:sz w:val="24"/>
                <w:highlight w:val="none"/>
                <w:u w:val="none"/>
              </w:rPr>
              <w:t>-2018）</w:t>
            </w:r>
            <w:r>
              <w:rPr>
                <w:rFonts w:hint="eastAsia"/>
                <w:color w:val="auto"/>
                <w:sz w:val="24"/>
                <w:highlight w:val="none"/>
                <w:u w:val="none"/>
              </w:rPr>
              <w:t>中关于评价工作等级划分依据，具体见下表</w:t>
            </w:r>
            <w:r>
              <w:rPr>
                <w:color w:val="auto"/>
                <w:sz w:val="24"/>
                <w:highlight w:val="none"/>
                <w:u w:val="none"/>
              </w:rPr>
              <w:t>。</w:t>
            </w:r>
          </w:p>
          <w:p>
            <w:pPr>
              <w:overflowPunct w:val="0"/>
              <w:ind w:firstLine="422" w:firstLineChars="200"/>
              <w:jc w:val="center"/>
              <w:rPr>
                <w:rFonts w:hint="eastAsia"/>
                <w:b/>
                <w:bCs/>
                <w:color w:val="auto"/>
                <w:szCs w:val="21"/>
                <w:highlight w:val="none"/>
                <w:u w:val="none"/>
              </w:rPr>
            </w:pPr>
            <w:r>
              <w:rPr>
                <w:rFonts w:hint="eastAsia"/>
                <w:b/>
                <w:bCs/>
                <w:color w:val="auto"/>
                <w:szCs w:val="21"/>
                <w:highlight w:val="none"/>
                <w:u w:val="none"/>
              </w:rPr>
              <w:t>表4-1</w:t>
            </w:r>
            <w:r>
              <w:rPr>
                <w:rFonts w:hint="eastAsia"/>
                <w:b/>
                <w:bCs/>
                <w:color w:val="auto"/>
                <w:szCs w:val="21"/>
                <w:highlight w:val="none"/>
                <w:u w:val="none"/>
                <w:lang w:val="en-US" w:eastAsia="zh-CN"/>
              </w:rPr>
              <w:t>8</w:t>
            </w:r>
            <w:r>
              <w:rPr>
                <w:rFonts w:hint="eastAsia"/>
                <w:b/>
                <w:bCs/>
                <w:color w:val="auto"/>
                <w:szCs w:val="21"/>
                <w:highlight w:val="none"/>
                <w:u w:val="none"/>
              </w:rPr>
              <w:t xml:space="preserve"> 评价工作等级判定表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678"/>
              <w:gridCol w:w="1680"/>
              <w:gridCol w:w="1681"/>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noWrap w:val="0"/>
                  <w:vAlign w:val="top"/>
                </w:tcPr>
                <w:p>
                  <w:pPr>
                    <w:overflowPunct w:val="0"/>
                    <w:jc w:val="center"/>
                    <w:rPr>
                      <w:b/>
                      <w:bCs/>
                      <w:color w:val="auto"/>
                      <w:szCs w:val="21"/>
                      <w:highlight w:val="none"/>
                      <w:u w:val="none"/>
                    </w:rPr>
                  </w:pPr>
                  <w:r>
                    <w:rPr>
                      <w:rFonts w:hint="eastAsia"/>
                      <w:b/>
                      <w:bCs/>
                      <w:color w:val="auto"/>
                      <w:szCs w:val="21"/>
                      <w:highlight w:val="none"/>
                      <w:u w:val="none"/>
                    </w:rPr>
                    <w:t>环境风险潜势</w:t>
                  </w:r>
                </w:p>
              </w:tc>
              <w:tc>
                <w:tcPr>
                  <w:tcW w:w="998" w:type="pct"/>
                  <w:noWrap w:val="0"/>
                  <w:vAlign w:val="top"/>
                </w:tcPr>
                <w:p>
                  <w:pPr>
                    <w:overflowPunct w:val="0"/>
                    <w:jc w:val="center"/>
                    <w:rPr>
                      <w:rFonts w:ascii="宋体" w:hAnsi="宋体" w:cs="宋体"/>
                      <w:b/>
                      <w:bCs/>
                      <w:color w:val="auto"/>
                      <w:szCs w:val="21"/>
                      <w:highlight w:val="none"/>
                      <w:u w:val="none"/>
                    </w:rPr>
                  </w:pPr>
                  <w:r>
                    <w:rPr>
                      <w:b/>
                      <w:bCs/>
                      <w:color w:val="auto"/>
                      <w:szCs w:val="21"/>
                      <w:highlight w:val="none"/>
                      <w:u w:val="none"/>
                    </w:rPr>
                    <w:t>ⅠⅤ</w:t>
                  </w:r>
                  <w:r>
                    <w:rPr>
                      <w:rFonts w:hint="eastAsia"/>
                      <w:b/>
                      <w:bCs/>
                      <w:color w:val="auto"/>
                      <w:szCs w:val="21"/>
                      <w:highlight w:val="none"/>
                      <w:u w:val="none"/>
                    </w:rPr>
                    <w:t>、</w:t>
                  </w:r>
                  <w:r>
                    <w:rPr>
                      <w:b/>
                      <w:bCs/>
                      <w:color w:val="auto"/>
                      <w:szCs w:val="21"/>
                      <w:highlight w:val="none"/>
                      <w:u w:val="none"/>
                    </w:rPr>
                    <w:t>ⅠⅤ</w:t>
                  </w:r>
                  <w:r>
                    <w:rPr>
                      <w:rFonts w:hint="eastAsia"/>
                      <w:b/>
                      <w:bCs/>
                      <w:color w:val="auto"/>
                      <w:szCs w:val="21"/>
                      <w:highlight w:val="none"/>
                      <w:u w:val="none"/>
                      <w:vertAlign w:val="superscript"/>
                    </w:rPr>
                    <w:t>+</w:t>
                  </w:r>
                </w:p>
              </w:tc>
              <w:tc>
                <w:tcPr>
                  <w:tcW w:w="999" w:type="pct"/>
                  <w:noWrap w:val="0"/>
                  <w:vAlign w:val="top"/>
                </w:tcPr>
                <w:p>
                  <w:pPr>
                    <w:overflowPunct w:val="0"/>
                    <w:jc w:val="center"/>
                    <w:rPr>
                      <w:b/>
                      <w:bCs/>
                      <w:color w:val="auto"/>
                      <w:szCs w:val="21"/>
                      <w:highlight w:val="none"/>
                      <w:u w:val="none"/>
                    </w:rPr>
                  </w:pPr>
                  <w:r>
                    <w:rPr>
                      <w:rFonts w:hint="eastAsia" w:ascii="宋体" w:hAnsi="宋体" w:cs="宋体"/>
                      <w:b/>
                      <w:bCs/>
                      <w:color w:val="auto"/>
                      <w:szCs w:val="21"/>
                      <w:highlight w:val="none"/>
                      <w:u w:val="none"/>
                    </w:rPr>
                    <w:t>Ⅲ</w:t>
                  </w:r>
                </w:p>
              </w:tc>
              <w:tc>
                <w:tcPr>
                  <w:tcW w:w="1000" w:type="pct"/>
                  <w:noWrap w:val="0"/>
                  <w:vAlign w:val="top"/>
                </w:tcPr>
                <w:p>
                  <w:pPr>
                    <w:overflowPunct w:val="0"/>
                    <w:jc w:val="center"/>
                    <w:rPr>
                      <w:b/>
                      <w:bCs/>
                      <w:color w:val="auto"/>
                      <w:szCs w:val="21"/>
                      <w:highlight w:val="none"/>
                      <w:u w:val="none"/>
                    </w:rPr>
                  </w:pPr>
                  <w:r>
                    <w:rPr>
                      <w:rFonts w:hint="eastAsia" w:ascii="宋体" w:hAnsi="宋体" w:cs="宋体"/>
                      <w:b/>
                      <w:bCs/>
                      <w:color w:val="auto"/>
                      <w:szCs w:val="21"/>
                      <w:highlight w:val="none"/>
                      <w:u w:val="none"/>
                    </w:rPr>
                    <w:t>Ⅱ</w:t>
                  </w:r>
                </w:p>
              </w:tc>
              <w:tc>
                <w:tcPr>
                  <w:tcW w:w="1000" w:type="pct"/>
                  <w:noWrap w:val="0"/>
                  <w:vAlign w:val="top"/>
                </w:tcPr>
                <w:p>
                  <w:pPr>
                    <w:overflowPunct w:val="0"/>
                    <w:jc w:val="center"/>
                    <w:rPr>
                      <w:b/>
                      <w:bCs/>
                      <w:color w:val="auto"/>
                      <w:szCs w:val="21"/>
                      <w:highlight w:val="none"/>
                      <w:u w:val="none"/>
                    </w:rPr>
                  </w:pPr>
                  <w:r>
                    <w:rPr>
                      <w:rFonts w:hint="eastAsia" w:ascii="宋体" w:hAnsi="宋体" w:cs="宋体"/>
                      <w:b/>
                      <w:bCs/>
                      <w:color w:val="auto"/>
                      <w:szCs w:val="21"/>
                      <w:highlight w:val="none"/>
                      <w:u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noWrap w:val="0"/>
                  <w:vAlign w:val="top"/>
                </w:tcPr>
                <w:p>
                  <w:pPr>
                    <w:overflowPunct w:val="0"/>
                    <w:jc w:val="center"/>
                    <w:rPr>
                      <w:rFonts w:hint="eastAsia"/>
                      <w:color w:val="auto"/>
                      <w:szCs w:val="21"/>
                      <w:highlight w:val="none"/>
                      <w:u w:val="none"/>
                    </w:rPr>
                  </w:pPr>
                  <w:r>
                    <w:rPr>
                      <w:rFonts w:hint="eastAsia"/>
                      <w:b/>
                      <w:bCs/>
                      <w:color w:val="auto"/>
                      <w:szCs w:val="21"/>
                      <w:highlight w:val="none"/>
                      <w:u w:val="none"/>
                    </w:rPr>
                    <w:t>评价工作等级</w:t>
                  </w:r>
                </w:p>
              </w:tc>
              <w:tc>
                <w:tcPr>
                  <w:tcW w:w="998" w:type="pct"/>
                  <w:noWrap w:val="0"/>
                  <w:vAlign w:val="top"/>
                </w:tcPr>
                <w:p>
                  <w:pPr>
                    <w:overflowPunct w:val="0"/>
                    <w:jc w:val="center"/>
                    <w:rPr>
                      <w:color w:val="auto"/>
                      <w:szCs w:val="21"/>
                      <w:highlight w:val="none"/>
                      <w:u w:val="none"/>
                    </w:rPr>
                  </w:pPr>
                  <w:r>
                    <w:rPr>
                      <w:rFonts w:hint="eastAsia"/>
                      <w:color w:val="auto"/>
                      <w:szCs w:val="21"/>
                      <w:highlight w:val="none"/>
                      <w:u w:val="none"/>
                    </w:rPr>
                    <w:t>一</w:t>
                  </w:r>
                </w:p>
              </w:tc>
              <w:tc>
                <w:tcPr>
                  <w:tcW w:w="999" w:type="pct"/>
                  <w:noWrap w:val="0"/>
                  <w:vAlign w:val="top"/>
                </w:tcPr>
                <w:p>
                  <w:pPr>
                    <w:overflowPunct w:val="0"/>
                    <w:jc w:val="center"/>
                    <w:rPr>
                      <w:color w:val="auto"/>
                      <w:szCs w:val="21"/>
                      <w:highlight w:val="none"/>
                      <w:u w:val="none"/>
                    </w:rPr>
                  </w:pPr>
                  <w:r>
                    <w:rPr>
                      <w:rFonts w:hint="eastAsia"/>
                      <w:color w:val="auto"/>
                      <w:szCs w:val="21"/>
                      <w:highlight w:val="none"/>
                      <w:u w:val="none"/>
                    </w:rPr>
                    <w:t>二</w:t>
                  </w:r>
                </w:p>
              </w:tc>
              <w:tc>
                <w:tcPr>
                  <w:tcW w:w="1000" w:type="pct"/>
                  <w:noWrap w:val="0"/>
                  <w:vAlign w:val="top"/>
                </w:tcPr>
                <w:p>
                  <w:pPr>
                    <w:overflowPunct w:val="0"/>
                    <w:jc w:val="center"/>
                    <w:rPr>
                      <w:color w:val="auto"/>
                      <w:szCs w:val="21"/>
                      <w:highlight w:val="none"/>
                      <w:u w:val="none"/>
                    </w:rPr>
                  </w:pPr>
                  <w:r>
                    <w:rPr>
                      <w:rFonts w:hint="eastAsia"/>
                      <w:color w:val="auto"/>
                      <w:szCs w:val="21"/>
                      <w:highlight w:val="none"/>
                      <w:u w:val="none"/>
                    </w:rPr>
                    <w:t>三</w:t>
                  </w:r>
                </w:p>
              </w:tc>
              <w:tc>
                <w:tcPr>
                  <w:tcW w:w="1000" w:type="pct"/>
                  <w:noWrap w:val="0"/>
                  <w:vAlign w:val="top"/>
                </w:tcPr>
                <w:p>
                  <w:pPr>
                    <w:overflowPunct w:val="0"/>
                    <w:jc w:val="center"/>
                    <w:rPr>
                      <w:color w:val="auto"/>
                      <w:szCs w:val="21"/>
                      <w:highlight w:val="none"/>
                      <w:u w:val="none"/>
                    </w:rPr>
                  </w:pPr>
                  <w:r>
                    <w:rPr>
                      <w:rFonts w:hint="eastAsia"/>
                      <w:color w:val="auto"/>
                      <w:szCs w:val="21"/>
                      <w:highlight w:val="none"/>
                      <w:u w:val="none"/>
                    </w:rPr>
                    <w:t>简单分析</w:t>
                  </w:r>
                </w:p>
              </w:tc>
            </w:tr>
          </w:tbl>
          <w:p>
            <w:pPr>
              <w:overflowPunct w:val="0"/>
              <w:spacing w:line="360" w:lineRule="auto"/>
              <w:ind w:firstLine="480" w:firstLineChars="200"/>
              <w:rPr>
                <w:rFonts w:hint="eastAsia"/>
                <w:color w:val="auto"/>
                <w:sz w:val="24"/>
                <w:highlight w:val="none"/>
                <w:u w:val="none"/>
              </w:rPr>
            </w:pPr>
            <w:r>
              <w:rPr>
                <w:rFonts w:hint="eastAsia"/>
                <w:color w:val="auto"/>
                <w:sz w:val="24"/>
                <w:highlight w:val="none"/>
                <w:u w:val="none"/>
              </w:rPr>
              <w:t>本项目环境风险潜势为Ⅰ，依据上表确定本项目环境风险评价工作等级为简单分析。</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表4-19 建设项目环境风险简单分析内容表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1393"/>
              <w:gridCol w:w="2151"/>
              <w:gridCol w:w="777"/>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建设项目名称</w:t>
                  </w:r>
                </w:p>
              </w:tc>
              <w:tc>
                <w:tcPr>
                  <w:tcW w:w="3808" w:type="pct"/>
                  <w:gridSpan w:val="4"/>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Fonts w:hint="eastAsia"/>
                      <w:sz w:val="21"/>
                      <w:szCs w:val="21"/>
                      <w:u w:val="none"/>
                      <w:lang w:val="en-US" w:eastAsia="zh-CN"/>
                    </w:rPr>
                    <w:t>年产340万米聚氨酯泡绵项目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建设地点</w:t>
                  </w:r>
                </w:p>
              </w:tc>
              <w:tc>
                <w:tcPr>
                  <w:tcW w:w="3808" w:type="pct"/>
                  <w:gridSpan w:val="4"/>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none"/>
                      <w:lang w:val="en-US" w:eastAsia="zh-CN"/>
                    </w:rPr>
                  </w:pPr>
                  <w:r>
                    <w:rPr>
                      <w:rFonts w:hint="eastAsia"/>
                      <w:sz w:val="21"/>
                      <w:szCs w:val="21"/>
                      <w:u w:val="none"/>
                      <w:lang w:val="en-US" w:eastAsia="zh-CN"/>
                    </w:rPr>
                    <w:t>湖南省永州市新田县电子信息产业园10栋</w:t>
                  </w:r>
                  <w:r>
                    <w:rPr>
                      <w:rFonts w:hint="eastAsia" w:cs="Times New Roman"/>
                      <w:color w:val="auto"/>
                      <w:sz w:val="21"/>
                      <w:szCs w:val="21"/>
                      <w:u w:val="none"/>
                      <w:lang w:val="en-US" w:eastAsia="zh-CN"/>
                    </w:rPr>
                    <w:t>第二层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地理坐标</w:t>
                  </w:r>
                </w:p>
              </w:tc>
              <w:tc>
                <w:tcPr>
                  <w:tcW w:w="829"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Fonts w:hint="eastAsia"/>
                      <w:sz w:val="21"/>
                      <w:szCs w:val="21"/>
                      <w:u w:val="none"/>
                      <w:lang w:val="en-US" w:eastAsia="zh-CN"/>
                    </w:rPr>
                    <w:t>经度</w:t>
                  </w:r>
                </w:p>
              </w:tc>
              <w:tc>
                <w:tcPr>
                  <w:tcW w:w="1280"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Fonts w:hint="eastAsia"/>
                      <w:color w:val="auto"/>
                      <w:sz w:val="21"/>
                      <w:szCs w:val="21"/>
                      <w:highlight w:val="none"/>
                      <w:u w:val="none"/>
                    </w:rPr>
                    <w:t>112</w:t>
                  </w:r>
                  <w:r>
                    <w:rPr>
                      <w:color w:val="auto"/>
                      <w:sz w:val="21"/>
                      <w:szCs w:val="21"/>
                      <w:highlight w:val="none"/>
                      <w:u w:val="none"/>
                    </w:rPr>
                    <w:t>度</w:t>
                  </w:r>
                  <w:r>
                    <w:rPr>
                      <w:rFonts w:hint="eastAsia"/>
                      <w:color w:val="auto"/>
                      <w:sz w:val="21"/>
                      <w:szCs w:val="21"/>
                      <w:highlight w:val="none"/>
                      <w:u w:val="none"/>
                      <w:lang w:val="en-US" w:eastAsia="zh-CN"/>
                    </w:rPr>
                    <w:t>11</w:t>
                  </w:r>
                  <w:r>
                    <w:rPr>
                      <w:color w:val="auto"/>
                      <w:sz w:val="21"/>
                      <w:szCs w:val="21"/>
                      <w:highlight w:val="none"/>
                      <w:u w:val="none"/>
                    </w:rPr>
                    <w:t>分</w:t>
                  </w:r>
                  <w:r>
                    <w:rPr>
                      <w:rFonts w:hint="eastAsia"/>
                      <w:color w:val="auto"/>
                      <w:sz w:val="21"/>
                      <w:szCs w:val="21"/>
                      <w:highlight w:val="none"/>
                      <w:u w:val="none"/>
                      <w:lang w:val="en-US" w:eastAsia="zh-CN"/>
                    </w:rPr>
                    <w:t>55.616</w:t>
                  </w:r>
                  <w:r>
                    <w:rPr>
                      <w:color w:val="auto"/>
                      <w:sz w:val="21"/>
                      <w:szCs w:val="21"/>
                      <w:highlight w:val="none"/>
                      <w:u w:val="none"/>
                    </w:rPr>
                    <w:t>秒</w:t>
                  </w:r>
                </w:p>
              </w:tc>
              <w:tc>
                <w:tcPr>
                  <w:tcW w:w="462"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Fonts w:hint="eastAsia"/>
                      <w:sz w:val="21"/>
                      <w:szCs w:val="21"/>
                      <w:u w:val="none"/>
                      <w:lang w:val="en-US" w:eastAsia="zh-CN"/>
                    </w:rPr>
                    <w:t>纬度</w:t>
                  </w:r>
                </w:p>
              </w:tc>
              <w:tc>
                <w:tcPr>
                  <w:tcW w:w="1236"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color w:val="auto"/>
                      <w:sz w:val="21"/>
                      <w:szCs w:val="21"/>
                      <w:highlight w:val="none"/>
                      <w:u w:val="none"/>
                    </w:rPr>
                    <w:t>2</w:t>
                  </w:r>
                  <w:r>
                    <w:rPr>
                      <w:rFonts w:hint="eastAsia"/>
                      <w:color w:val="auto"/>
                      <w:sz w:val="21"/>
                      <w:szCs w:val="21"/>
                      <w:highlight w:val="none"/>
                      <w:u w:val="none"/>
                      <w:lang w:val="en-US" w:eastAsia="zh-CN"/>
                    </w:rPr>
                    <w:t>5</w:t>
                  </w:r>
                  <w:r>
                    <w:rPr>
                      <w:color w:val="auto"/>
                      <w:sz w:val="21"/>
                      <w:szCs w:val="21"/>
                      <w:highlight w:val="none"/>
                      <w:u w:val="none"/>
                    </w:rPr>
                    <w:t>度</w:t>
                  </w:r>
                  <w:r>
                    <w:rPr>
                      <w:rFonts w:hint="eastAsia"/>
                      <w:color w:val="auto"/>
                      <w:sz w:val="21"/>
                      <w:szCs w:val="21"/>
                      <w:highlight w:val="none"/>
                      <w:u w:val="none"/>
                      <w:lang w:val="en-US" w:eastAsia="zh-CN"/>
                    </w:rPr>
                    <w:t>53</w:t>
                  </w:r>
                  <w:r>
                    <w:rPr>
                      <w:color w:val="auto"/>
                      <w:sz w:val="21"/>
                      <w:szCs w:val="21"/>
                      <w:highlight w:val="none"/>
                      <w:u w:val="none"/>
                    </w:rPr>
                    <w:t>分</w:t>
                  </w:r>
                  <w:r>
                    <w:rPr>
                      <w:rFonts w:hint="eastAsia"/>
                      <w:color w:val="auto"/>
                      <w:sz w:val="21"/>
                      <w:szCs w:val="21"/>
                      <w:highlight w:val="none"/>
                      <w:u w:val="none"/>
                      <w:lang w:val="en-US" w:eastAsia="zh-CN"/>
                    </w:rPr>
                    <w:t>6.662</w:t>
                  </w:r>
                  <w:r>
                    <w:rPr>
                      <w:color w:val="auto"/>
                      <w:sz w:val="21"/>
                      <w:szCs w:val="21"/>
                      <w:highlight w:val="none"/>
                      <w:u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主要危险物质及分布</w:t>
                  </w:r>
                </w:p>
              </w:tc>
              <w:tc>
                <w:tcPr>
                  <w:tcW w:w="3808" w:type="pct"/>
                  <w:gridSpan w:val="4"/>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Style w:val="44"/>
                      <w:rFonts w:hint="default" w:ascii="Times New Roman" w:hAnsi="Times New Roman" w:eastAsia="宋体" w:cs="Times New Roman"/>
                      <w:lang w:val="en-US" w:eastAsia="zh-CN" w:bidi="ar"/>
                    </w:rPr>
                    <w:t>异氰酸酯</w:t>
                  </w:r>
                  <w:r>
                    <w:rPr>
                      <w:rFonts w:hint="eastAsia"/>
                      <w:sz w:val="21"/>
                      <w:szCs w:val="21"/>
                      <w:u w:val="none"/>
                      <w:lang w:val="en-US" w:eastAsia="zh-CN"/>
                    </w:rPr>
                    <w:t>：分布于原料仓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环境影响途径及危害后果（大气、地表水、地下水等）</w:t>
                  </w:r>
                </w:p>
              </w:tc>
              <w:tc>
                <w:tcPr>
                  <w:tcW w:w="3808" w:type="pct"/>
                  <w:gridSpan w:val="4"/>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none"/>
                      <w:lang w:val="en-US" w:eastAsia="zh-CN"/>
                    </w:rPr>
                  </w:pPr>
                  <w:r>
                    <w:rPr>
                      <w:rFonts w:hint="eastAsia"/>
                      <w:sz w:val="21"/>
                      <w:szCs w:val="21"/>
                      <w:u w:val="none"/>
                      <w:lang w:val="en-US" w:eastAsia="zh-CN"/>
                    </w:rPr>
                    <w:t>物料泄漏对对河流、土壤、生物造成污染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1" w:type="pct"/>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u w:val="none"/>
                      <w:lang w:val="en-US" w:eastAsia="zh-CN"/>
                    </w:rPr>
                  </w:pPr>
                  <w:r>
                    <w:rPr>
                      <w:rFonts w:hint="eastAsia"/>
                      <w:b/>
                      <w:bCs/>
                      <w:sz w:val="21"/>
                      <w:szCs w:val="21"/>
                      <w:u w:val="none"/>
                      <w:lang w:val="en-US" w:eastAsia="zh-CN"/>
                    </w:rPr>
                    <w:t>风险防范措施要求</w:t>
                  </w:r>
                </w:p>
              </w:tc>
              <w:tc>
                <w:tcPr>
                  <w:tcW w:w="3808" w:type="pct"/>
                  <w:gridSpan w:val="4"/>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①规范设计风险物质贮存场所，在贮存场所显眼处张贴贮存的相关安全技术说明书以及现场处置预案。按相关规范要求编制突发环境事件应急预案。</w:t>
                  </w:r>
                </w:p>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both"/>
                    <w:textAlignment w:val="auto"/>
                    <w:rPr>
                      <w:rFonts w:hint="eastAsia"/>
                      <w:sz w:val="21"/>
                      <w:szCs w:val="21"/>
                      <w:u w:val="none"/>
                      <w:lang w:val="en-US" w:eastAsia="zh-CN"/>
                    </w:rPr>
                  </w:pPr>
                  <w:r>
                    <w:rPr>
                      <w:rFonts w:hint="default" w:ascii="Times New Roman" w:hAnsi="Times New Roman" w:eastAsia="宋体" w:cs="Times New Roman"/>
                      <w:sz w:val="21"/>
                      <w:szCs w:val="21"/>
                      <w:u w:val="none"/>
                      <w:lang w:val="en-US" w:eastAsia="zh-CN"/>
                    </w:rPr>
                    <w:t>②在风险物质贮存场所配备空桶、应急水泵、黄沙、防护服、防护手套等应急设设施、物资，并委派专人管理，保证完好、有效、随时可用，建立应急设施及物资台账。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left"/>
                    <w:textAlignment w:val="auto"/>
                    <w:rPr>
                      <w:rFonts w:hint="eastAsia"/>
                      <w:sz w:val="21"/>
                      <w:szCs w:val="21"/>
                      <w:u w:val="none"/>
                      <w:lang w:val="en-US" w:eastAsia="zh-CN"/>
                    </w:rPr>
                  </w:pPr>
                  <w:r>
                    <w:rPr>
                      <w:rFonts w:hint="eastAsia"/>
                      <w:sz w:val="21"/>
                      <w:szCs w:val="21"/>
                      <w:u w:val="none"/>
                      <w:lang w:val="en-US" w:eastAsia="zh-CN"/>
                    </w:rPr>
                    <w:t>填表说明（列出项目相关信息及评价说明）：</w:t>
                  </w:r>
                </w:p>
                <w:p>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left"/>
                    <w:textAlignment w:val="auto"/>
                    <w:rPr>
                      <w:rFonts w:hint="eastAsia"/>
                      <w:sz w:val="21"/>
                      <w:szCs w:val="21"/>
                      <w:u w:val="none"/>
                      <w:lang w:val="en-US" w:eastAsia="zh-CN"/>
                    </w:rPr>
                  </w:pPr>
                  <w:r>
                    <w:rPr>
                      <w:rFonts w:hint="eastAsia"/>
                      <w:sz w:val="21"/>
                      <w:szCs w:val="21"/>
                      <w:u w:val="none"/>
                      <w:lang w:val="en-US" w:eastAsia="zh-CN"/>
                    </w:rPr>
                    <w:t>本项目环境风险潜势为I，通过采取相应的风险防范措施，项目的环境风险可控。一旦发生事故，建设单位应立即执行事故应急预案，采取合理的事故应急处理措施，将事故影响降到最低限度。</w:t>
                  </w:r>
                </w:p>
              </w:tc>
            </w:tr>
          </w:tbl>
          <w:p>
            <w:pPr>
              <w:overflowPunct w:val="0"/>
              <w:autoSpaceDE w:val="0"/>
              <w:autoSpaceDN w:val="0"/>
              <w:spacing w:line="360" w:lineRule="auto"/>
              <w:ind w:firstLine="482" w:firstLineChars="200"/>
              <w:rPr>
                <w:rFonts w:hint="default" w:ascii="Times New Roman" w:hAnsi="Times New Roman" w:cs="Times New Roman"/>
                <w:b/>
                <w:bCs/>
                <w:color w:val="auto"/>
                <w:sz w:val="24"/>
                <w:highlight w:val="none"/>
                <w:u w:val="none"/>
              </w:rPr>
            </w:pPr>
            <w:r>
              <w:rPr>
                <w:rFonts w:hint="default" w:ascii="Times New Roman" w:hAnsi="Times New Roman" w:cs="Times New Roman"/>
                <w:b/>
                <w:bCs/>
                <w:color w:val="auto"/>
                <w:sz w:val="24"/>
                <w:highlight w:val="none"/>
                <w:u w:val="none"/>
              </w:rPr>
              <w:t>（3）事故风险防范措施及应急要求</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①泄漏防范措施</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a、原料储存过程中除定期检查桶装溶剂是否发生泄露外，还应对库房地面进行水泥硬化，并作防渗处理。有机溶剂等原辅材料应按照有关消防规范分类储存，并配备必要的消防设施。</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b、在原辅料的使用过程中，应强化管理，避免溶剂在使用过程中外泄，并在车间设置沙袋，泄漏的溶剂应及时清扫。</w:t>
            </w:r>
          </w:p>
          <w:p>
            <w:pPr>
              <w:overflowPunct w:val="0"/>
              <w:autoSpaceDE w:val="0"/>
              <w:autoSpaceDN w:val="0"/>
              <w:spacing w:line="360" w:lineRule="auto"/>
              <w:ind w:firstLine="480" w:firstLineChars="200"/>
              <w:rPr>
                <w:rFonts w:hint="eastAsia" w:cs="Times New Roman"/>
                <w:color w:val="auto"/>
                <w:sz w:val="24"/>
                <w:highlight w:val="none"/>
                <w:u w:val="single"/>
                <w:lang w:val="en-US" w:eastAsia="zh-CN"/>
              </w:rPr>
            </w:pPr>
            <w:r>
              <w:rPr>
                <w:rFonts w:hint="eastAsia" w:cs="Times New Roman"/>
                <w:color w:val="auto"/>
                <w:sz w:val="24"/>
                <w:highlight w:val="none"/>
                <w:u w:val="single"/>
                <w:lang w:val="en-US" w:eastAsia="zh-CN"/>
              </w:rPr>
              <w:t>c、建议企业在原材料仓设置托盘或者围堰，防止物料流出车间。根据破损程度选用合适的堵漏材料进行堵漏抢险。</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②应急措施</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根据破损程度选用合适的堵漏材料进行堵漏抢险。发生小量泄漏时，泄漏地面区域进行覆盖吸收后进行收集，吸附了风险物质的吸油毡</w:t>
            </w:r>
            <w:r>
              <w:rPr>
                <w:rFonts w:hint="eastAsia" w:cs="Times New Roman"/>
                <w:color w:val="auto"/>
                <w:sz w:val="24"/>
                <w:highlight w:val="none"/>
                <w:u w:val="single"/>
                <w:lang w:eastAsia="zh-CN"/>
              </w:rPr>
              <w:t>、</w:t>
            </w:r>
            <w:r>
              <w:rPr>
                <w:rFonts w:hint="default" w:ascii="Times New Roman" w:hAnsi="Times New Roman" w:cs="Times New Roman"/>
                <w:color w:val="auto"/>
                <w:sz w:val="24"/>
                <w:highlight w:val="none"/>
                <w:u w:val="single"/>
              </w:rPr>
              <w:t>沙土收集后交相关有资质单位处置。大量泄漏时通过可移动的塑料桶或金属桶收集泄漏的溶剂。收集后进入污水处理厂处理。</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③建立事故救援应急机制</w:t>
            </w:r>
          </w:p>
          <w:p>
            <w:pPr>
              <w:overflowPunct w:val="0"/>
              <w:autoSpaceDE w:val="0"/>
              <w:autoSpaceDN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为保证企业及人民生命财产的安全，在发生事故时，能够迅速有序的开展就换工作，尽最大努力减少事故的危害和损失，根据《工作场所安全使用化学品规定》、《化学事故应急救援管理办法》等规定，本厂必须对危险源登记建档，进行定期检测、评估、监控，成立一负责人为总指挥，分管生产负责人为副指挥的事故应急救援队伍，指挥部下设立办公室、工程抢修救援组、医疗救护组、后勤保障组。制定《突发环境事故应急救援预案》和实施细则，组织专业队伍学习和演练，提高队伍实战能力，防患于未然，以便应急救援工作的顺利开展。同时该厂必须将本单位危险源及有关安全措施、应急措施报告地方政府的安全生产监督管理部门和有关部门，以便政府及有关部门能够及时掌握有关情况，一旦发生事故，政府及其有关部门可以调动有关方面的力量进行救援，以减少事故损失。</w:t>
            </w:r>
          </w:p>
          <w:p>
            <w:pPr>
              <w:overflowPunct w:val="0"/>
              <w:autoSpaceDE w:val="0"/>
              <w:autoSpaceDN w:val="0"/>
              <w:spacing w:line="360" w:lineRule="auto"/>
              <w:ind w:firstLine="480" w:firstLineChars="200"/>
              <w:rPr>
                <w:rFonts w:hint="eastAsia"/>
                <w:color w:val="0000FF"/>
                <w:sz w:val="24"/>
                <w:highlight w:val="none"/>
                <w:u w:val="none"/>
              </w:rPr>
            </w:pPr>
            <w:r>
              <w:rPr>
                <w:rFonts w:hint="default" w:ascii="Times New Roman" w:hAnsi="Times New Roman" w:cs="Times New Roman"/>
                <w:color w:val="auto"/>
                <w:sz w:val="24"/>
                <w:highlight w:val="none"/>
                <w:u w:val="none"/>
              </w:rPr>
              <w:t>综上所述，从环境保护角度来说，本项目在建设单位按照环评的建议落实本报告提出的风险措施，加强对员工的安全操作培训，人工做到按要求和规范操作，杜绝人为操作失误而引起的泄漏事故发生；同时制定完善、有效的环境应急预案，保证在发生事故时能采取有效的措施及时控制事故，防止事故蔓延，做好事后环境污染治理工作的前提下，项目的环境风险是可以接受的。</w:t>
            </w:r>
            <w:r>
              <w:rPr>
                <w:rFonts w:hint="eastAsia"/>
                <w:color w:val="0000FF"/>
                <w:sz w:val="24"/>
                <w:highlight w:val="none"/>
                <w:u w:val="none"/>
              </w:rPr>
              <w:t xml:space="preserve"> </w:t>
            </w:r>
          </w:p>
          <w:p>
            <w:pPr>
              <w:pStyle w:val="2"/>
              <w:overflowPunct w:val="0"/>
              <w:spacing w:after="0" w:line="360" w:lineRule="auto"/>
              <w:rPr>
                <w:b/>
                <w:bCs/>
                <w:color w:val="auto"/>
                <w:sz w:val="24"/>
                <w:highlight w:val="none"/>
                <w:u w:val="none"/>
              </w:rPr>
            </w:pPr>
            <w:r>
              <w:rPr>
                <w:rFonts w:hint="eastAsia"/>
                <w:b/>
                <w:bCs/>
                <w:color w:val="auto"/>
                <w:sz w:val="24"/>
                <w:highlight w:val="none"/>
                <w:u w:val="none"/>
              </w:rPr>
              <w:t>6、地下水和土壤环境分析</w:t>
            </w:r>
          </w:p>
          <w:p>
            <w:pPr>
              <w:pStyle w:val="23"/>
              <w:overflowPunct w:val="0"/>
              <w:adjustRightInd/>
              <w:spacing w:line="360" w:lineRule="auto"/>
              <w:ind w:firstLine="480" w:firstLineChars="20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建设项目运营期使用</w:t>
            </w:r>
            <w:r>
              <w:rPr>
                <w:rFonts w:hint="eastAsia" w:ascii="Times New Roman" w:hAnsi="Times New Roman" w:eastAsia="宋体" w:cs="Times New Roman"/>
                <w:color w:val="auto"/>
                <w:highlight w:val="none"/>
                <w:u w:val="none"/>
                <w:lang w:eastAsia="zh-CN"/>
              </w:rPr>
              <w:t>异氰酸酯</w:t>
            </w:r>
            <w:r>
              <w:rPr>
                <w:rFonts w:ascii="Times New Roman" w:hAnsi="Times New Roman" w:eastAsia="宋体" w:cs="Times New Roman"/>
                <w:color w:val="auto"/>
                <w:highlight w:val="none"/>
                <w:u w:val="none"/>
              </w:rPr>
              <w:t>，</w:t>
            </w:r>
            <w:r>
              <w:rPr>
                <w:rFonts w:hint="eastAsia" w:ascii="Times New Roman" w:hAnsi="Times New Roman" w:eastAsia="宋体" w:cs="Times New Roman"/>
                <w:color w:val="auto"/>
                <w:highlight w:val="none"/>
                <w:u w:val="none"/>
                <w:lang w:eastAsia="zh-CN"/>
              </w:rPr>
              <w:t>另外，</w:t>
            </w:r>
            <w:r>
              <w:rPr>
                <w:rFonts w:ascii="Times New Roman" w:hAnsi="Times New Roman" w:eastAsia="宋体" w:cs="Times New Roman"/>
                <w:color w:val="auto"/>
                <w:highlight w:val="none"/>
                <w:u w:val="none"/>
              </w:rPr>
              <w:t xml:space="preserve">项目生产过程中会产生危险废物，如果任意堆放在项目场地范围内，除了造成土壤肥力下降、对土壤孔隙度等理化性质产生一定的影响外，其中的有毒有害元素将可能进入土壤，对土壤造成污染，并有可能污染地下水。为减轻本项目对土壤和地下水的影响，建设方需采取以下防治措施： </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（1）源头控制措施</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①积极推行实施清洁生产，实现各类废物合理处置，减少污染物的排放量；</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②项目应根据国家现行相关规范加强环境管理，定期进行巡检并及时处理污染物跑、冒、滴、漏，若发现防渗密封材料老化或损坏，及时维修更换；</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③对管道、设备、污水储存及处理等构筑物采取控制措施，防止污染物的跑、冒、滴、漏，将污染物泄漏的环境风险事故降到最低限度。</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（2）分区防治措施</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对本项目各建设工程单元可能泄漏污染物的地面进行防渗处理，可有效防治污染物渗入地下，并及时地将渗漏的污染物收集并进行集中处理。本项目将工程各功能单元可能产生污染的地区参照《环境影响评价技术导则地下水环境》（HJ610-2016）采取分区防渗措施。污染防治区分为重点污染防治区、一般污染防治区、简单防渗区。</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①重点防渗区</w:t>
            </w:r>
          </w:p>
          <w:p>
            <w:pPr>
              <w:overflowPunct w:val="0"/>
              <w:autoSpaceDE w:val="0"/>
              <w:autoSpaceDN w:val="0"/>
              <w:spacing w:line="360" w:lineRule="auto"/>
              <w:ind w:firstLine="480" w:firstLineChars="200"/>
              <w:rPr>
                <w:color w:val="auto"/>
                <w:sz w:val="24"/>
                <w:highlight w:val="none"/>
                <w:u w:val="none"/>
              </w:rPr>
            </w:pPr>
            <w:r>
              <w:rPr>
                <w:rFonts w:hint="eastAsia"/>
                <w:color w:val="auto"/>
                <w:sz w:val="24"/>
                <w:highlight w:val="none"/>
                <w:u w:val="none"/>
                <w:lang w:eastAsia="zh-CN"/>
              </w:rPr>
              <w:t>生产车间、</w:t>
            </w:r>
            <w:r>
              <w:rPr>
                <w:rFonts w:hint="eastAsia"/>
                <w:color w:val="auto"/>
                <w:sz w:val="24"/>
                <w:highlight w:val="none"/>
                <w:u w:val="none"/>
              </w:rPr>
              <w:t>危废暂存间和原材料仓</w:t>
            </w:r>
            <w:r>
              <w:rPr>
                <w:color w:val="auto"/>
                <w:sz w:val="24"/>
                <w:highlight w:val="none"/>
                <w:u w:val="none"/>
              </w:rPr>
              <w:t>采用混凝土+2mm人工材料（HDPE）防渗层，确保等效黏土防渗层 Mb≥6.0m，K≤1×10-7cm/s。</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②一般防渗区</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生产区域</w:t>
            </w:r>
            <w:r>
              <w:rPr>
                <w:rFonts w:hint="eastAsia"/>
                <w:color w:val="auto"/>
                <w:sz w:val="24"/>
                <w:highlight w:val="none"/>
                <w:u w:val="none"/>
              </w:rPr>
              <w:t>（除</w:t>
            </w:r>
            <w:r>
              <w:rPr>
                <w:rFonts w:hint="eastAsia"/>
                <w:color w:val="auto"/>
                <w:sz w:val="24"/>
                <w:highlight w:val="none"/>
                <w:u w:val="none"/>
                <w:lang w:eastAsia="zh-CN"/>
              </w:rPr>
              <w:t>生产车间、</w:t>
            </w:r>
            <w:r>
              <w:rPr>
                <w:color w:val="auto"/>
                <w:sz w:val="24"/>
                <w:highlight w:val="none"/>
                <w:u w:val="none"/>
              </w:rPr>
              <w:t>危废暂存间和原材料仓</w:t>
            </w:r>
            <w:r>
              <w:rPr>
                <w:rFonts w:hint="eastAsia"/>
                <w:color w:val="auto"/>
                <w:sz w:val="24"/>
                <w:highlight w:val="none"/>
                <w:u w:val="none"/>
              </w:rPr>
              <w:t>）</w:t>
            </w:r>
            <w:r>
              <w:rPr>
                <w:color w:val="auto"/>
                <w:sz w:val="24"/>
                <w:highlight w:val="none"/>
                <w:u w:val="none"/>
              </w:rPr>
              <w:t>，采取铺设混凝土确保等效黏土防渗层Mb≥1.5m，K≤1×10-7cm/s。</w:t>
            </w:r>
          </w:p>
          <w:p>
            <w:pPr>
              <w:overflowPunct w:val="0"/>
              <w:autoSpaceDE w:val="0"/>
              <w:autoSpaceDN w:val="0"/>
              <w:spacing w:line="360" w:lineRule="auto"/>
              <w:ind w:firstLine="480" w:firstLineChars="200"/>
              <w:rPr>
                <w:color w:val="auto"/>
                <w:sz w:val="24"/>
                <w:highlight w:val="none"/>
                <w:u w:val="none"/>
              </w:rPr>
            </w:pPr>
            <w:r>
              <w:rPr>
                <w:color w:val="auto"/>
                <w:sz w:val="24"/>
                <w:highlight w:val="none"/>
                <w:u w:val="none"/>
              </w:rPr>
              <w:t>③简单防渗区：办公生活区，采用一般地面硬化即可。</w:t>
            </w:r>
          </w:p>
          <w:p>
            <w:pPr>
              <w:tabs>
                <w:tab w:val="left" w:pos="3500"/>
              </w:tabs>
              <w:overflowPunct w:val="0"/>
              <w:jc w:val="center"/>
              <w:rPr>
                <w:rFonts w:ascii="宋体" w:hAnsi="宋体" w:cs="宋体"/>
                <w:color w:val="auto"/>
                <w:szCs w:val="21"/>
                <w:highlight w:val="none"/>
                <w:u w:val="none"/>
              </w:rPr>
            </w:pPr>
            <w:r>
              <w:rPr>
                <w:b/>
                <w:bCs/>
                <w:color w:val="auto"/>
                <w:szCs w:val="21"/>
                <w:highlight w:val="none"/>
                <w:u w:val="none"/>
              </w:rPr>
              <w:t>表</w:t>
            </w:r>
            <w:r>
              <w:rPr>
                <w:rFonts w:hint="eastAsia"/>
                <w:b/>
                <w:bCs/>
                <w:color w:val="auto"/>
                <w:szCs w:val="21"/>
                <w:highlight w:val="none"/>
                <w:u w:val="none"/>
              </w:rPr>
              <w:t>4-1</w:t>
            </w:r>
            <w:r>
              <w:rPr>
                <w:rFonts w:hint="eastAsia"/>
                <w:b/>
                <w:bCs/>
                <w:color w:val="auto"/>
                <w:szCs w:val="21"/>
                <w:highlight w:val="none"/>
                <w:u w:val="none"/>
                <w:lang w:val="en-US" w:eastAsia="zh-CN"/>
              </w:rPr>
              <w:t xml:space="preserve">8 </w:t>
            </w:r>
            <w:r>
              <w:rPr>
                <w:rFonts w:ascii="宋体" w:hAnsi="宋体" w:cs="宋体"/>
                <w:b/>
                <w:bCs/>
                <w:color w:val="auto"/>
                <w:szCs w:val="21"/>
                <w:highlight w:val="none"/>
                <w:u w:val="none"/>
              </w:rPr>
              <w:t>项目地下水污染防渗分区措施一览表</w:t>
            </w:r>
          </w:p>
          <w:p>
            <w:pPr>
              <w:overflowPunct w:val="0"/>
              <w:spacing w:before="10"/>
              <w:rPr>
                <w:rFonts w:ascii="宋体" w:hAnsi="宋体" w:cs="宋体"/>
                <w:b/>
                <w:bCs/>
                <w:color w:val="auto"/>
                <w:sz w:val="2"/>
                <w:szCs w:val="2"/>
                <w:highlight w:val="yellow"/>
                <w:u w:val="none"/>
              </w:rPr>
            </w:pP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4"/>
              <w:gridCol w:w="1300"/>
              <w:gridCol w:w="2072"/>
              <w:gridCol w:w="2043"/>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jc w:val="center"/>
              </w:trPr>
              <w:tc>
                <w:tcPr>
                  <w:tcW w:w="371" w:type="pct"/>
                  <w:noWrap w:val="0"/>
                  <w:vAlign w:val="center"/>
                </w:tcPr>
                <w:p>
                  <w:pPr>
                    <w:overflowPunct w:val="0"/>
                    <w:jc w:val="center"/>
                    <w:rPr>
                      <w:b/>
                      <w:bCs/>
                      <w:color w:val="auto"/>
                      <w:szCs w:val="21"/>
                      <w:highlight w:val="none"/>
                      <w:u w:val="none"/>
                    </w:rPr>
                  </w:pPr>
                  <w:r>
                    <w:rPr>
                      <w:b/>
                      <w:bCs/>
                      <w:color w:val="auto"/>
                      <w:szCs w:val="21"/>
                      <w:highlight w:val="none"/>
                      <w:u w:val="none"/>
                    </w:rPr>
                    <w:t>序号</w:t>
                  </w:r>
                </w:p>
              </w:tc>
              <w:tc>
                <w:tcPr>
                  <w:tcW w:w="773" w:type="pct"/>
                  <w:noWrap w:val="0"/>
                  <w:vAlign w:val="center"/>
                </w:tcPr>
                <w:p>
                  <w:pPr>
                    <w:overflowPunct w:val="0"/>
                    <w:jc w:val="center"/>
                    <w:rPr>
                      <w:b/>
                      <w:bCs/>
                      <w:color w:val="auto"/>
                      <w:szCs w:val="21"/>
                      <w:highlight w:val="none"/>
                      <w:u w:val="none"/>
                    </w:rPr>
                  </w:pPr>
                  <w:r>
                    <w:rPr>
                      <w:b/>
                      <w:bCs/>
                      <w:color w:val="auto"/>
                      <w:szCs w:val="21"/>
                      <w:highlight w:val="none"/>
                      <w:u w:val="none"/>
                    </w:rPr>
                    <w:t>防渗分区</w:t>
                  </w:r>
                </w:p>
              </w:tc>
              <w:tc>
                <w:tcPr>
                  <w:tcW w:w="1232" w:type="pct"/>
                  <w:noWrap w:val="0"/>
                  <w:vAlign w:val="center"/>
                </w:tcPr>
                <w:p>
                  <w:pPr>
                    <w:overflowPunct w:val="0"/>
                    <w:jc w:val="center"/>
                    <w:rPr>
                      <w:b/>
                      <w:bCs/>
                      <w:color w:val="auto"/>
                      <w:szCs w:val="21"/>
                      <w:highlight w:val="none"/>
                      <w:u w:val="none"/>
                    </w:rPr>
                  </w:pPr>
                  <w:r>
                    <w:rPr>
                      <w:b/>
                      <w:bCs/>
                      <w:color w:val="auto"/>
                      <w:szCs w:val="21"/>
                      <w:highlight w:val="none"/>
                      <w:u w:val="none"/>
                    </w:rPr>
                    <w:t>位置</w:t>
                  </w:r>
                </w:p>
              </w:tc>
              <w:tc>
                <w:tcPr>
                  <w:tcW w:w="1215" w:type="pct"/>
                  <w:noWrap w:val="0"/>
                  <w:vAlign w:val="center"/>
                </w:tcPr>
                <w:p>
                  <w:pPr>
                    <w:overflowPunct w:val="0"/>
                    <w:jc w:val="center"/>
                    <w:rPr>
                      <w:b/>
                      <w:bCs/>
                      <w:color w:val="auto"/>
                      <w:szCs w:val="21"/>
                      <w:highlight w:val="none"/>
                      <w:u w:val="none"/>
                    </w:rPr>
                  </w:pPr>
                  <w:r>
                    <w:rPr>
                      <w:b/>
                      <w:bCs/>
                      <w:color w:val="auto"/>
                      <w:szCs w:val="21"/>
                      <w:highlight w:val="none"/>
                      <w:u w:val="none"/>
                    </w:rPr>
                    <w:t>防渗措施</w:t>
                  </w:r>
                </w:p>
              </w:tc>
              <w:tc>
                <w:tcPr>
                  <w:tcW w:w="1406" w:type="pct"/>
                  <w:noWrap w:val="0"/>
                  <w:vAlign w:val="center"/>
                </w:tcPr>
                <w:p>
                  <w:pPr>
                    <w:overflowPunct w:val="0"/>
                    <w:jc w:val="center"/>
                    <w:rPr>
                      <w:b/>
                      <w:bCs/>
                      <w:color w:val="auto"/>
                      <w:szCs w:val="21"/>
                      <w:highlight w:val="none"/>
                      <w:u w:val="none"/>
                    </w:rPr>
                  </w:pPr>
                  <w:r>
                    <w:rPr>
                      <w:b/>
                      <w:bCs/>
                      <w:color w:val="auto"/>
                      <w:szCs w:val="21"/>
                      <w:highlight w:val="none"/>
                      <w:u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exact"/>
                <w:jc w:val="center"/>
              </w:trPr>
              <w:tc>
                <w:tcPr>
                  <w:tcW w:w="371" w:type="pct"/>
                  <w:noWrap w:val="0"/>
                  <w:vAlign w:val="center"/>
                </w:tcPr>
                <w:p>
                  <w:pPr>
                    <w:overflowPunct w:val="0"/>
                    <w:jc w:val="center"/>
                    <w:rPr>
                      <w:color w:val="auto"/>
                      <w:szCs w:val="21"/>
                      <w:highlight w:val="none"/>
                      <w:u w:val="none"/>
                    </w:rPr>
                  </w:pPr>
                </w:p>
                <w:p>
                  <w:pPr>
                    <w:overflowPunct w:val="0"/>
                    <w:jc w:val="center"/>
                    <w:rPr>
                      <w:color w:val="auto"/>
                      <w:szCs w:val="21"/>
                      <w:highlight w:val="none"/>
                      <w:u w:val="none"/>
                    </w:rPr>
                  </w:pPr>
                  <w:r>
                    <w:rPr>
                      <w:color w:val="auto"/>
                      <w:szCs w:val="21"/>
                      <w:highlight w:val="none"/>
                      <w:u w:val="none"/>
                    </w:rPr>
                    <w:t>1</w:t>
                  </w:r>
                </w:p>
              </w:tc>
              <w:tc>
                <w:tcPr>
                  <w:tcW w:w="773" w:type="pct"/>
                  <w:noWrap w:val="0"/>
                  <w:vAlign w:val="center"/>
                </w:tcPr>
                <w:p>
                  <w:pPr>
                    <w:overflowPunct w:val="0"/>
                    <w:jc w:val="center"/>
                    <w:rPr>
                      <w:color w:val="auto"/>
                      <w:szCs w:val="21"/>
                      <w:highlight w:val="none"/>
                      <w:u w:val="none"/>
                    </w:rPr>
                  </w:pPr>
                  <w:r>
                    <w:rPr>
                      <w:color w:val="auto"/>
                      <w:szCs w:val="21"/>
                      <w:highlight w:val="none"/>
                      <w:u w:val="none"/>
                    </w:rPr>
                    <w:t>重点防渗区</w:t>
                  </w:r>
                </w:p>
              </w:tc>
              <w:tc>
                <w:tcPr>
                  <w:tcW w:w="1232" w:type="pct"/>
                  <w:noWrap w:val="0"/>
                  <w:vAlign w:val="center"/>
                </w:tcPr>
                <w:p>
                  <w:pPr>
                    <w:overflowPunct w:val="0"/>
                    <w:jc w:val="center"/>
                    <w:rPr>
                      <w:color w:val="auto"/>
                      <w:sz w:val="21"/>
                      <w:szCs w:val="21"/>
                      <w:highlight w:val="none"/>
                      <w:u w:val="none"/>
                    </w:rPr>
                  </w:pPr>
                  <w:r>
                    <w:rPr>
                      <w:rFonts w:hint="eastAsia"/>
                      <w:color w:val="auto"/>
                      <w:sz w:val="21"/>
                      <w:szCs w:val="21"/>
                      <w:highlight w:val="none"/>
                      <w:u w:val="none"/>
                      <w:lang w:eastAsia="zh-CN"/>
                    </w:rPr>
                    <w:t>生产车间、</w:t>
                  </w:r>
                  <w:r>
                    <w:rPr>
                      <w:color w:val="auto"/>
                      <w:sz w:val="21"/>
                      <w:szCs w:val="21"/>
                      <w:highlight w:val="none"/>
                      <w:u w:val="none"/>
                    </w:rPr>
                    <w:t>危废暂存间和原材料仓</w:t>
                  </w:r>
                </w:p>
              </w:tc>
              <w:tc>
                <w:tcPr>
                  <w:tcW w:w="1215" w:type="pct"/>
                  <w:noWrap w:val="0"/>
                  <w:vAlign w:val="center"/>
                </w:tcPr>
                <w:p>
                  <w:pPr>
                    <w:overflowPunct w:val="0"/>
                    <w:jc w:val="center"/>
                    <w:rPr>
                      <w:color w:val="auto"/>
                      <w:szCs w:val="21"/>
                      <w:highlight w:val="none"/>
                      <w:u w:val="none"/>
                    </w:rPr>
                  </w:pPr>
                  <w:r>
                    <w:rPr>
                      <w:color w:val="auto"/>
                      <w:szCs w:val="21"/>
                      <w:highlight w:val="none"/>
                      <w:u w:val="none"/>
                    </w:rPr>
                    <w:t>混凝土+2mm 人工材料（HDPE）防渗层</w:t>
                  </w:r>
                </w:p>
              </w:tc>
              <w:tc>
                <w:tcPr>
                  <w:tcW w:w="1406" w:type="pct"/>
                  <w:noWrap w:val="0"/>
                  <w:vAlign w:val="center"/>
                </w:tcPr>
                <w:p>
                  <w:pPr>
                    <w:overflowPunct w:val="0"/>
                    <w:jc w:val="center"/>
                    <w:rPr>
                      <w:color w:val="auto"/>
                      <w:szCs w:val="21"/>
                      <w:highlight w:val="none"/>
                      <w:u w:val="none"/>
                    </w:rPr>
                  </w:pPr>
                  <w:r>
                    <w:rPr>
                      <w:color w:val="auto"/>
                      <w:szCs w:val="21"/>
                      <w:highlight w:val="none"/>
                      <w:u w:val="none"/>
                    </w:rPr>
                    <w:t>等效黏土防渗层 Mb≥6.0m，K≤1×10-7cm/s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exact"/>
                <w:jc w:val="center"/>
              </w:trPr>
              <w:tc>
                <w:tcPr>
                  <w:tcW w:w="371" w:type="pct"/>
                  <w:noWrap w:val="0"/>
                  <w:vAlign w:val="center"/>
                </w:tcPr>
                <w:p>
                  <w:pPr>
                    <w:overflowPunct w:val="0"/>
                    <w:jc w:val="center"/>
                    <w:rPr>
                      <w:color w:val="auto"/>
                      <w:szCs w:val="21"/>
                      <w:highlight w:val="none"/>
                      <w:u w:val="none"/>
                    </w:rPr>
                  </w:pPr>
                </w:p>
                <w:p>
                  <w:pPr>
                    <w:overflowPunct w:val="0"/>
                    <w:jc w:val="center"/>
                    <w:rPr>
                      <w:color w:val="auto"/>
                      <w:szCs w:val="21"/>
                      <w:highlight w:val="none"/>
                      <w:u w:val="none"/>
                    </w:rPr>
                  </w:pPr>
                  <w:r>
                    <w:rPr>
                      <w:color w:val="auto"/>
                      <w:szCs w:val="21"/>
                      <w:highlight w:val="none"/>
                      <w:u w:val="none"/>
                    </w:rPr>
                    <w:t>2</w:t>
                  </w:r>
                </w:p>
              </w:tc>
              <w:tc>
                <w:tcPr>
                  <w:tcW w:w="773" w:type="pct"/>
                  <w:noWrap w:val="0"/>
                  <w:vAlign w:val="center"/>
                </w:tcPr>
                <w:p>
                  <w:pPr>
                    <w:overflowPunct w:val="0"/>
                    <w:jc w:val="center"/>
                    <w:rPr>
                      <w:color w:val="auto"/>
                      <w:szCs w:val="21"/>
                      <w:highlight w:val="none"/>
                      <w:u w:val="none"/>
                    </w:rPr>
                  </w:pPr>
                  <w:r>
                    <w:rPr>
                      <w:color w:val="auto"/>
                      <w:szCs w:val="21"/>
                      <w:highlight w:val="none"/>
                      <w:u w:val="none"/>
                    </w:rPr>
                    <w:t>一般防渗区</w:t>
                  </w:r>
                </w:p>
              </w:tc>
              <w:tc>
                <w:tcPr>
                  <w:tcW w:w="1232" w:type="pct"/>
                  <w:noWrap w:val="0"/>
                  <w:vAlign w:val="center"/>
                </w:tcPr>
                <w:p>
                  <w:pPr>
                    <w:overflowPunct w:val="0"/>
                    <w:jc w:val="center"/>
                    <w:rPr>
                      <w:rFonts w:hint="eastAsia"/>
                      <w:color w:val="auto"/>
                      <w:sz w:val="21"/>
                      <w:szCs w:val="21"/>
                      <w:highlight w:val="none"/>
                      <w:u w:val="none"/>
                    </w:rPr>
                  </w:pPr>
                  <w:r>
                    <w:rPr>
                      <w:color w:val="auto"/>
                      <w:sz w:val="21"/>
                      <w:szCs w:val="21"/>
                      <w:highlight w:val="none"/>
                      <w:u w:val="none"/>
                    </w:rPr>
                    <w:t>生产车间区域</w:t>
                  </w:r>
                  <w:r>
                    <w:rPr>
                      <w:rFonts w:hint="eastAsia"/>
                      <w:color w:val="auto"/>
                      <w:sz w:val="21"/>
                      <w:szCs w:val="21"/>
                      <w:highlight w:val="none"/>
                      <w:u w:val="none"/>
                    </w:rPr>
                    <w:t>（除</w:t>
                  </w:r>
                  <w:r>
                    <w:rPr>
                      <w:rFonts w:hint="eastAsia"/>
                      <w:color w:val="auto"/>
                      <w:sz w:val="21"/>
                      <w:szCs w:val="21"/>
                      <w:highlight w:val="none"/>
                      <w:u w:val="none"/>
                      <w:lang w:eastAsia="zh-CN"/>
                    </w:rPr>
                    <w:t>生产车间、</w:t>
                  </w:r>
                  <w:r>
                    <w:rPr>
                      <w:color w:val="auto"/>
                      <w:sz w:val="21"/>
                      <w:szCs w:val="21"/>
                      <w:highlight w:val="none"/>
                      <w:u w:val="none"/>
                    </w:rPr>
                    <w:t>危废暂存间和原材料仓库</w:t>
                  </w:r>
                  <w:r>
                    <w:rPr>
                      <w:rFonts w:hint="eastAsia"/>
                      <w:color w:val="auto"/>
                      <w:sz w:val="21"/>
                      <w:szCs w:val="21"/>
                      <w:highlight w:val="none"/>
                      <w:u w:val="none"/>
                    </w:rPr>
                    <w:t>）</w:t>
                  </w:r>
                </w:p>
              </w:tc>
              <w:tc>
                <w:tcPr>
                  <w:tcW w:w="1215" w:type="pct"/>
                  <w:noWrap w:val="0"/>
                  <w:vAlign w:val="center"/>
                </w:tcPr>
                <w:p>
                  <w:pPr>
                    <w:overflowPunct w:val="0"/>
                    <w:jc w:val="center"/>
                    <w:rPr>
                      <w:color w:val="auto"/>
                      <w:szCs w:val="21"/>
                      <w:highlight w:val="none"/>
                      <w:u w:val="none"/>
                    </w:rPr>
                  </w:pPr>
                  <w:r>
                    <w:rPr>
                      <w:color w:val="auto"/>
                      <w:szCs w:val="21"/>
                      <w:highlight w:val="none"/>
                      <w:u w:val="none"/>
                    </w:rPr>
                    <w:t>混凝土进行防渗处理</w:t>
                  </w:r>
                </w:p>
              </w:tc>
              <w:tc>
                <w:tcPr>
                  <w:tcW w:w="1406" w:type="pct"/>
                  <w:noWrap w:val="0"/>
                  <w:vAlign w:val="center"/>
                </w:tcPr>
                <w:p>
                  <w:pPr>
                    <w:overflowPunct w:val="0"/>
                    <w:jc w:val="center"/>
                    <w:rPr>
                      <w:color w:val="auto"/>
                      <w:szCs w:val="21"/>
                      <w:highlight w:val="none"/>
                      <w:u w:val="none"/>
                    </w:rPr>
                  </w:pPr>
                  <w:r>
                    <w:rPr>
                      <w:color w:val="auto"/>
                      <w:szCs w:val="21"/>
                      <w:highlight w:val="none"/>
                      <w:u w:val="none"/>
                    </w:rPr>
                    <w:t>等效黏土防渗层</w:t>
                  </w:r>
                </w:p>
                <w:p>
                  <w:pPr>
                    <w:overflowPunct w:val="0"/>
                    <w:jc w:val="center"/>
                    <w:rPr>
                      <w:color w:val="auto"/>
                      <w:szCs w:val="21"/>
                      <w:highlight w:val="none"/>
                      <w:u w:val="none"/>
                    </w:rPr>
                  </w:pPr>
                  <w:r>
                    <w:rPr>
                      <w:color w:val="auto"/>
                      <w:szCs w:val="21"/>
                      <w:highlight w:val="none"/>
                      <w:u w:val="none"/>
                    </w:rPr>
                    <w:t>Mb≥1.5m，K≤1×10-7cm/s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exact"/>
                <w:jc w:val="center"/>
              </w:trPr>
              <w:tc>
                <w:tcPr>
                  <w:tcW w:w="371" w:type="pct"/>
                  <w:noWrap w:val="0"/>
                  <w:vAlign w:val="center"/>
                </w:tcPr>
                <w:p>
                  <w:pPr>
                    <w:overflowPunct w:val="0"/>
                    <w:jc w:val="center"/>
                    <w:rPr>
                      <w:color w:val="auto"/>
                      <w:szCs w:val="21"/>
                      <w:highlight w:val="none"/>
                      <w:u w:val="none"/>
                    </w:rPr>
                  </w:pPr>
                  <w:r>
                    <w:rPr>
                      <w:color w:val="auto"/>
                      <w:szCs w:val="21"/>
                      <w:highlight w:val="none"/>
                      <w:u w:val="none"/>
                    </w:rPr>
                    <w:t>3</w:t>
                  </w:r>
                </w:p>
              </w:tc>
              <w:tc>
                <w:tcPr>
                  <w:tcW w:w="773" w:type="pct"/>
                  <w:noWrap w:val="0"/>
                  <w:vAlign w:val="center"/>
                </w:tcPr>
                <w:p>
                  <w:pPr>
                    <w:overflowPunct w:val="0"/>
                    <w:jc w:val="center"/>
                    <w:rPr>
                      <w:color w:val="auto"/>
                      <w:szCs w:val="21"/>
                      <w:highlight w:val="none"/>
                      <w:u w:val="none"/>
                    </w:rPr>
                  </w:pPr>
                  <w:r>
                    <w:rPr>
                      <w:color w:val="auto"/>
                      <w:szCs w:val="21"/>
                      <w:highlight w:val="none"/>
                      <w:u w:val="none"/>
                    </w:rPr>
                    <w:t>简单防渗区</w:t>
                  </w:r>
                </w:p>
              </w:tc>
              <w:tc>
                <w:tcPr>
                  <w:tcW w:w="1232" w:type="pct"/>
                  <w:noWrap w:val="0"/>
                  <w:vAlign w:val="center"/>
                </w:tcPr>
                <w:p>
                  <w:pPr>
                    <w:overflowPunct w:val="0"/>
                    <w:jc w:val="center"/>
                    <w:rPr>
                      <w:color w:val="auto"/>
                      <w:szCs w:val="21"/>
                      <w:highlight w:val="none"/>
                      <w:u w:val="none"/>
                    </w:rPr>
                  </w:pPr>
                  <w:r>
                    <w:rPr>
                      <w:color w:val="auto"/>
                      <w:szCs w:val="21"/>
                      <w:highlight w:val="none"/>
                      <w:u w:val="none"/>
                    </w:rPr>
                    <w:t>办公生活区</w:t>
                  </w:r>
                </w:p>
              </w:tc>
              <w:tc>
                <w:tcPr>
                  <w:tcW w:w="1215" w:type="pct"/>
                  <w:noWrap w:val="0"/>
                  <w:vAlign w:val="center"/>
                </w:tcPr>
                <w:p>
                  <w:pPr>
                    <w:overflowPunct w:val="0"/>
                    <w:jc w:val="center"/>
                    <w:rPr>
                      <w:color w:val="auto"/>
                      <w:szCs w:val="21"/>
                      <w:highlight w:val="none"/>
                      <w:u w:val="none"/>
                    </w:rPr>
                  </w:pPr>
                  <w:r>
                    <w:rPr>
                      <w:color w:val="auto"/>
                      <w:szCs w:val="21"/>
                      <w:highlight w:val="none"/>
                      <w:u w:val="none"/>
                    </w:rPr>
                    <w:t>厂区除绿化以外进行地面硬化</w:t>
                  </w:r>
                </w:p>
              </w:tc>
              <w:tc>
                <w:tcPr>
                  <w:tcW w:w="1406" w:type="pct"/>
                  <w:noWrap w:val="0"/>
                  <w:vAlign w:val="center"/>
                </w:tcPr>
                <w:p>
                  <w:pPr>
                    <w:overflowPunct w:val="0"/>
                    <w:jc w:val="center"/>
                    <w:rPr>
                      <w:color w:val="auto"/>
                      <w:szCs w:val="21"/>
                      <w:highlight w:val="none"/>
                      <w:u w:val="none"/>
                    </w:rPr>
                  </w:pPr>
                  <w:r>
                    <w:rPr>
                      <w:color w:val="auto"/>
                      <w:szCs w:val="21"/>
                      <w:highlight w:val="none"/>
                      <w:u w:val="none"/>
                    </w:rPr>
                    <w:t>一般地面硬化</w:t>
                  </w:r>
                </w:p>
              </w:tc>
            </w:tr>
          </w:tbl>
          <w:p>
            <w:pPr>
              <w:overflowPunct w:val="0"/>
              <w:autoSpaceDE w:val="0"/>
              <w:autoSpaceDN w:val="0"/>
              <w:spacing w:line="360" w:lineRule="auto"/>
              <w:ind w:firstLine="480" w:firstLineChars="200"/>
              <w:rPr>
                <w:rFonts w:hint="eastAsia"/>
                <w:snapToGrid w:val="0"/>
                <w:color w:val="auto"/>
                <w:sz w:val="24"/>
                <w:u w:val="none"/>
              </w:rPr>
            </w:pPr>
            <w:r>
              <w:rPr>
                <w:color w:val="auto"/>
                <w:sz w:val="24"/>
                <w:highlight w:val="none"/>
                <w:u w:val="none"/>
              </w:rPr>
              <w:t>综上</w:t>
            </w:r>
            <w:r>
              <w:rPr>
                <w:rFonts w:hint="eastAsia"/>
                <w:color w:val="auto"/>
                <w:sz w:val="24"/>
                <w:highlight w:val="none"/>
                <w:u w:val="none"/>
              </w:rPr>
              <w:t>污染途径及对应措施分析可知，项目对可能产生地下水、土壤环境影响的各项途径均进行有效预防，在确保各项防渗措施得以落实，并加强维护和厂区环境管理的前提下，可有效控制厂区内污染物下渗现象，避免污染地下水和土壤，因此采取以上措施后正常状态下，厂区的地表与地下的水力联系基本被切断，污染物不会规模性渗入地下</w:t>
            </w:r>
            <w:r>
              <w:rPr>
                <w:color w:val="auto"/>
                <w:sz w:val="24"/>
                <w:highlight w:val="none"/>
                <w:u w:val="none"/>
              </w:rPr>
              <w:t>。</w:t>
            </w:r>
          </w:p>
        </w:tc>
      </w:tr>
    </w:tbl>
    <w:p>
      <w:pPr>
        <w:rPr>
          <w:rFonts w:hint="eastAsia"/>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1"/>
        <w:jc w:val="center"/>
        <w:outlineLvl w:val="0"/>
        <w:rPr>
          <w:rFonts w:ascii="黑体" w:hAnsi="黑体" w:eastAsia="黑体"/>
          <w:snapToGrid w:val="0"/>
          <w:color w:val="auto"/>
          <w:sz w:val="30"/>
          <w:szCs w:val="30"/>
        </w:rPr>
      </w:pPr>
      <w:bookmarkStart w:id="14" w:name="_Toc26545"/>
      <w:bookmarkStart w:id="15" w:name="_Toc6347"/>
      <w:bookmarkStart w:id="16" w:name="_Toc16494"/>
      <w:r>
        <w:rPr>
          <w:rFonts w:hint="eastAsia" w:ascii="黑体" w:hAnsi="黑体" w:eastAsia="黑体"/>
          <w:snapToGrid w:val="0"/>
          <w:color w:val="auto"/>
          <w:sz w:val="30"/>
          <w:szCs w:val="30"/>
        </w:rPr>
        <w:t>五、</w:t>
      </w:r>
      <w:bookmarkStart w:id="17" w:name="_Hlk54167917"/>
      <w:r>
        <w:rPr>
          <w:rFonts w:hint="eastAsia" w:ascii="黑体" w:hAnsi="黑体" w:eastAsia="黑体"/>
          <w:snapToGrid w:val="0"/>
          <w:color w:val="auto"/>
          <w:sz w:val="30"/>
          <w:szCs w:val="30"/>
        </w:rPr>
        <w:t>环境保护措施监督检查清单</w:t>
      </w:r>
      <w:bookmarkEnd w:id="14"/>
      <w:bookmarkEnd w:id="15"/>
      <w:bookmarkEnd w:id="16"/>
      <w:bookmarkEnd w:id="17"/>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923"/>
        <w:gridCol w:w="1643"/>
        <w:gridCol w:w="1626"/>
        <w:gridCol w:w="2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tcBorders>
              <w:tl2br w:val="nil"/>
              <w:tr2bl w:val="nil"/>
            </w:tcBorders>
            <w:noWrap w:val="0"/>
            <w:vAlign w:val="top"/>
          </w:tcPr>
          <w:p>
            <w:pPr>
              <w:keepNext w:val="0"/>
              <w:keepLines w:val="0"/>
              <w:pageBreakBefore w:val="0"/>
              <w:widowControl w:val="0"/>
              <w:wordWrap/>
              <w:topLinePunct w:val="0"/>
              <w:bidi w:val="0"/>
              <w:adjustRightInd w:val="0"/>
              <w:snapToGrid w:val="0"/>
              <w:ind w:firstLine="840"/>
              <w:textAlignment w:val="auto"/>
              <w:rPr>
                <w:rFonts w:hint="eastAsia" w:ascii="宋体" w:hAnsi="宋体" w:cs="宋体"/>
                <w:color w:val="auto"/>
                <w:sz w:val="24"/>
                <w:szCs w:val="24"/>
                <w:u w:val="none"/>
              </w:rPr>
            </w:pPr>
            <w:r>
              <w:rPr>
                <w:rFonts w:hint="eastAsia" w:ascii="宋体" w:hAnsi="宋体" w:cs="宋体"/>
                <w:color w:val="auto"/>
                <w:sz w:val="24"/>
                <w:szCs w:val="24"/>
                <w:u w:val="none"/>
              </w:rPr>
              <w:t>内容</w:t>
            </w:r>
          </w:p>
          <w:p>
            <w:pPr>
              <w:keepNext w:val="0"/>
              <w:keepLines w:val="0"/>
              <w:pageBreakBefore w:val="0"/>
              <w:widowControl w:val="0"/>
              <w:wordWrap/>
              <w:topLinePunct w:val="0"/>
              <w:bidi w:val="0"/>
              <w:adjustRightInd w:val="0"/>
              <w:snapToGrid w:val="0"/>
              <w:textAlignment w:val="auto"/>
              <w:rPr>
                <w:rFonts w:hint="eastAsia" w:ascii="宋体" w:hAnsi="宋体" w:cs="宋体"/>
                <w:color w:val="auto"/>
                <w:sz w:val="24"/>
                <w:szCs w:val="24"/>
                <w:u w:val="none"/>
              </w:rPr>
            </w:pPr>
            <w:r>
              <w:rPr>
                <w:rFonts w:hint="eastAsia" w:ascii="宋体" w:hAnsi="宋体" w:cs="宋体"/>
                <w:color w:val="auto"/>
                <w:sz w:val="24"/>
                <w:szCs w:val="24"/>
                <w:u w:val="none"/>
              </w:rPr>
              <w:t>要素</w:t>
            </w:r>
          </w:p>
        </w:tc>
        <w:tc>
          <w:tcPr>
            <w:tcW w:w="1923"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排放口(编号、</w:t>
            </w:r>
          </w:p>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名称)/污染源</w:t>
            </w:r>
          </w:p>
        </w:tc>
        <w:tc>
          <w:tcPr>
            <w:tcW w:w="1643"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污染物项目</w:t>
            </w:r>
          </w:p>
        </w:tc>
        <w:tc>
          <w:tcPr>
            <w:tcW w:w="1626"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环境保护措施</w:t>
            </w:r>
          </w:p>
        </w:tc>
        <w:tc>
          <w:tcPr>
            <w:tcW w:w="2184"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restart"/>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大气环境</w:t>
            </w:r>
          </w:p>
        </w:tc>
        <w:tc>
          <w:tcPr>
            <w:tcW w:w="1923" w:type="dxa"/>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default"/>
                <w:color w:val="auto"/>
                <w:sz w:val="24"/>
                <w:szCs w:val="24"/>
                <w:u w:val="none"/>
                <w:lang w:val="en-US"/>
              </w:rPr>
            </w:pPr>
            <w:r>
              <w:rPr>
                <w:rFonts w:hint="eastAsia"/>
                <w:color w:val="auto"/>
                <w:sz w:val="24"/>
                <w:szCs w:val="24"/>
                <w:u w:val="none"/>
              </w:rPr>
              <w:t>DA001</w:t>
            </w:r>
            <w:r>
              <w:rPr>
                <w:rFonts w:hint="eastAsia"/>
                <w:color w:val="auto"/>
                <w:sz w:val="24"/>
                <w:szCs w:val="24"/>
                <w:highlight w:val="none"/>
                <w:u w:val="none"/>
              </w:rPr>
              <w:t>发泡、</w:t>
            </w:r>
            <w:r>
              <w:rPr>
                <w:rFonts w:hint="eastAsia"/>
                <w:color w:val="auto"/>
                <w:sz w:val="24"/>
                <w:szCs w:val="24"/>
                <w:highlight w:val="none"/>
                <w:u w:val="none"/>
                <w:lang w:eastAsia="zh-CN"/>
              </w:rPr>
              <w:t>搅拌工序、</w:t>
            </w:r>
            <w:r>
              <w:rPr>
                <w:rFonts w:hint="eastAsia"/>
                <w:color w:val="auto"/>
                <w:sz w:val="24"/>
                <w:szCs w:val="24"/>
                <w:highlight w:val="none"/>
                <w:u w:val="none"/>
                <w:lang w:val="en-US" w:eastAsia="zh-CN"/>
              </w:rPr>
              <w:t>熟化工序、印刷工序</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2"/>
                <w:sz w:val="24"/>
                <w:szCs w:val="24"/>
                <w:u w:val="none"/>
                <w:lang w:val="en-US" w:eastAsia="zh-CN" w:bidi="ar-SA"/>
              </w:rPr>
            </w:pPr>
            <w:r>
              <w:rPr>
                <w:rFonts w:hint="eastAsia"/>
                <w:color w:val="auto"/>
                <w:sz w:val="24"/>
                <w:szCs w:val="24"/>
                <w:u w:val="none"/>
              </w:rPr>
              <w:t>非甲烷总烃</w:t>
            </w:r>
          </w:p>
        </w:tc>
        <w:tc>
          <w:tcPr>
            <w:tcW w:w="1626" w:type="dxa"/>
            <w:vMerge w:val="restar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eastAsia="宋体"/>
                <w:color w:val="auto"/>
                <w:sz w:val="24"/>
                <w:szCs w:val="24"/>
                <w:u w:val="none"/>
                <w:lang w:eastAsia="zh-CN"/>
              </w:rPr>
            </w:pPr>
            <w:r>
              <w:rPr>
                <w:rFonts w:hint="eastAsia"/>
                <w:color w:val="auto"/>
                <w:sz w:val="24"/>
                <w:szCs w:val="24"/>
                <w:u w:val="none"/>
                <w:lang w:eastAsia="zh-CN"/>
              </w:rPr>
              <w:t>UV 光解+活性炭吸附</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4"/>
                <w:szCs w:val="24"/>
                <w:u w:val="none"/>
              </w:rPr>
            </w:pPr>
            <w:r>
              <w:rPr>
                <w:rFonts w:hint="eastAsia"/>
                <w:color w:val="auto"/>
                <w:sz w:val="24"/>
                <w:szCs w:val="24"/>
                <w:highlight w:val="none"/>
                <w:u w:val="none"/>
              </w:rPr>
              <w:t>《合成树脂工业污染物排放标准》（GB31732-2015）表 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4"/>
                <w:szCs w:val="24"/>
                <w:u w:val="none"/>
              </w:rPr>
            </w:pPr>
          </w:p>
        </w:tc>
        <w:tc>
          <w:tcPr>
            <w:tcW w:w="164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2"/>
                <w:sz w:val="24"/>
                <w:szCs w:val="24"/>
                <w:u w:val="none"/>
                <w:lang w:val="en-US" w:eastAsia="zh-CN" w:bidi="ar-SA"/>
              </w:rPr>
            </w:pPr>
            <w:r>
              <w:rPr>
                <w:rFonts w:hint="eastAsia"/>
                <w:color w:val="auto"/>
                <w:sz w:val="24"/>
                <w:szCs w:val="24"/>
                <w:u w:val="none"/>
                <w:lang w:val="en-US" w:eastAsia="zh-CN"/>
              </w:rPr>
              <w:t>VOCs</w:t>
            </w:r>
          </w:p>
        </w:tc>
        <w:tc>
          <w:tcPr>
            <w:tcW w:w="1626" w:type="dxa"/>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u w:val="none"/>
              </w:rPr>
            </w:pP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4"/>
                <w:szCs w:val="24"/>
                <w:u w:val="none"/>
              </w:rPr>
            </w:pPr>
            <w:r>
              <w:rPr>
                <w:rFonts w:hint="eastAsia"/>
                <w:color w:val="auto"/>
                <w:sz w:val="24"/>
                <w:szCs w:val="24"/>
                <w:highlight w:val="none"/>
                <w:u w:val="none"/>
              </w:rPr>
              <w:t>湖南省地方标准《印刷业挥发性有机物排放标准》(DB43/1357-2017) 表1排气筒挥发性有机物排放浓度限值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sz w:val="24"/>
                <w:szCs w:val="24"/>
                <w:u w:val="none"/>
                <w:lang w:eastAsia="zh-CN"/>
              </w:rPr>
            </w:pPr>
            <w:r>
              <w:rPr>
                <w:rFonts w:hint="eastAsia"/>
                <w:color w:val="auto"/>
                <w:sz w:val="24"/>
                <w:szCs w:val="24"/>
                <w:u w:val="none"/>
              </w:rPr>
              <w:t>DA002</w:t>
            </w:r>
            <w:r>
              <w:rPr>
                <w:rFonts w:hint="eastAsia"/>
                <w:color w:val="auto"/>
                <w:sz w:val="24"/>
                <w:szCs w:val="24"/>
                <w:u w:val="none"/>
                <w:lang w:val="en-US" w:eastAsia="zh-CN"/>
              </w:rPr>
              <w:t>热风炉</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320" w:lineRule="exact"/>
              <w:jc w:val="center"/>
              <w:textAlignment w:val="auto"/>
              <w:rPr>
                <w:rFonts w:ascii="Times New Roman" w:hAnsi="Times New Roman" w:eastAsia="宋体" w:cs="Times New Roman"/>
                <w:bCs/>
                <w:color w:val="auto"/>
                <w:kern w:val="2"/>
                <w:sz w:val="24"/>
                <w:szCs w:val="24"/>
                <w:u w:val="none"/>
                <w:lang w:val="en-US" w:eastAsia="zh-CN" w:bidi="ar-SA"/>
              </w:rPr>
            </w:pPr>
            <w:r>
              <w:rPr>
                <w:rFonts w:hint="eastAsia" w:eastAsia="宋体" w:cs="Times New Roman"/>
                <w:color w:val="000000"/>
                <w:sz w:val="24"/>
                <w:szCs w:val="24"/>
                <w:highlight w:val="none"/>
                <w:lang w:eastAsia="zh-CN"/>
              </w:rPr>
              <w:t>颗粒物</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SO</w:t>
            </w:r>
            <w:r>
              <w:rPr>
                <w:rFonts w:hint="eastAsia" w:cs="Times New Roman"/>
                <w:color w:val="000000"/>
                <w:sz w:val="24"/>
                <w:szCs w:val="24"/>
                <w:highlight w:val="none"/>
                <w:vertAlign w:val="subscript"/>
                <w:lang w:val="en-US" w:eastAsia="zh-CN"/>
              </w:rPr>
              <w:t>2</w:t>
            </w:r>
            <w:r>
              <w:rPr>
                <w:rFonts w:hint="eastAsia" w:cs="Times New Roman"/>
                <w:color w:val="000000"/>
                <w:sz w:val="24"/>
                <w:szCs w:val="24"/>
                <w:highlight w:val="none"/>
                <w:vertAlign w:val="baseline"/>
                <w:lang w:val="en-US" w:eastAsia="zh-CN"/>
              </w:rPr>
              <w:t>、</w:t>
            </w:r>
            <w:r>
              <w:rPr>
                <w:rFonts w:hint="eastAsia" w:cs="Times New Roman"/>
                <w:color w:val="000000"/>
                <w:sz w:val="24"/>
                <w:szCs w:val="24"/>
                <w:highlight w:val="none"/>
                <w:lang w:val="en-US" w:eastAsia="zh-CN"/>
              </w:rPr>
              <w:t>NO</w:t>
            </w:r>
            <w:r>
              <w:rPr>
                <w:rFonts w:hint="eastAsia" w:cs="Times New Roman"/>
                <w:color w:val="000000"/>
                <w:sz w:val="24"/>
                <w:szCs w:val="24"/>
                <w:highlight w:val="none"/>
                <w:vertAlign w:val="subscript"/>
                <w:lang w:val="en-US" w:eastAsia="zh-CN"/>
              </w:rPr>
              <w:t>X</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eastAsia="宋体"/>
                <w:color w:val="auto"/>
                <w:sz w:val="24"/>
                <w:szCs w:val="24"/>
                <w:u w:val="none"/>
                <w:lang w:val="en-US" w:eastAsia="zh-CN"/>
              </w:rPr>
            </w:pPr>
            <w:r>
              <w:rPr>
                <w:rFonts w:hint="eastAsia"/>
                <w:color w:val="auto"/>
                <w:sz w:val="24"/>
                <w:szCs w:val="24"/>
                <w:u w:val="none"/>
                <w:lang w:val="en-US" w:eastAsia="zh-CN"/>
              </w:rPr>
              <w:t>/</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both"/>
              <w:textAlignment w:val="auto"/>
              <w:rPr>
                <w:color w:val="auto"/>
                <w:sz w:val="24"/>
                <w:szCs w:val="24"/>
                <w:u w:val="none"/>
              </w:rPr>
            </w:pPr>
            <w:r>
              <w:rPr>
                <w:rFonts w:hint="eastAsia"/>
                <w:color w:val="auto"/>
                <w:sz w:val="24"/>
                <w:szCs w:val="24"/>
                <w:highlight w:val="none"/>
                <w:u w:val="none"/>
              </w:rPr>
              <w:t>《工业炉窑大气污染排放标准》（GB 9078-1996）和《工业炉窑大气污染综合治理方案》（环大气〔2019〕56号）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sz w:val="24"/>
                <w:szCs w:val="24"/>
                <w:u w:val="none"/>
                <w:lang w:eastAsia="zh-CN"/>
              </w:rPr>
            </w:pPr>
            <w:r>
              <w:rPr>
                <w:rFonts w:hint="eastAsia"/>
                <w:color w:val="auto"/>
                <w:sz w:val="24"/>
                <w:szCs w:val="24"/>
                <w:u w:val="none"/>
              </w:rPr>
              <w:t>DA00</w:t>
            </w:r>
            <w:r>
              <w:rPr>
                <w:rFonts w:hint="eastAsia"/>
                <w:color w:val="auto"/>
                <w:sz w:val="24"/>
                <w:szCs w:val="24"/>
                <w:u w:val="none"/>
                <w:lang w:val="en-US" w:eastAsia="zh-CN"/>
              </w:rPr>
              <w:t>3油烟</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color w:val="auto"/>
                <w:sz w:val="24"/>
                <w:szCs w:val="24"/>
                <w:highlight w:val="none"/>
                <w:u w:val="none"/>
                <w:lang w:eastAsia="zh-CN"/>
              </w:rPr>
              <w:t>油烟</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u w:val="none"/>
              </w:rPr>
            </w:pPr>
            <w:r>
              <w:rPr>
                <w:rFonts w:hint="eastAsia"/>
                <w:color w:val="auto"/>
                <w:sz w:val="24"/>
                <w:szCs w:val="24"/>
                <w:highlight w:val="none"/>
                <w:u w:val="none"/>
              </w:rPr>
              <w:t>静电油烟处理器</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sz w:val="24"/>
                <w:szCs w:val="24"/>
                <w:u w:val="none"/>
              </w:rPr>
            </w:pPr>
            <w:r>
              <w:rPr>
                <w:rFonts w:hint="default" w:ascii="Times New Roman" w:hAnsi="Times New Roman" w:eastAsia="宋体" w:cs="Times New Roman"/>
                <w:color w:val="000000"/>
                <w:sz w:val="24"/>
                <w:szCs w:val="24"/>
                <w:highlight w:val="none"/>
                <w:u w:val="none"/>
              </w:rPr>
              <w:t>《饮食业油烟排放标准》（GB18483-2001）</w:t>
            </w:r>
            <w:r>
              <w:rPr>
                <w:rFonts w:hint="eastAsia" w:cs="Times New Roman"/>
                <w:color w:val="000000"/>
                <w:sz w:val="24"/>
                <w:szCs w:val="24"/>
                <w:highlight w:val="none"/>
                <w:u w:val="none"/>
                <w:lang w:eastAsia="zh-CN"/>
              </w:rPr>
              <w:t>表</w:t>
            </w:r>
            <w:r>
              <w:rPr>
                <w:rFonts w:hint="eastAsia" w:cs="Times New Roman"/>
                <w:color w:val="000000"/>
                <w:sz w:val="24"/>
                <w:szCs w:val="24"/>
                <w:highlight w:val="none"/>
                <w:u w:val="none"/>
                <w:lang w:val="en-US" w:eastAsia="zh-CN"/>
              </w:rPr>
              <w:t>2中标准限制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sz w:val="24"/>
                <w:szCs w:val="24"/>
                <w:u w:val="none"/>
                <w:lang w:eastAsia="zh-CN"/>
              </w:rPr>
            </w:pPr>
            <w:r>
              <w:rPr>
                <w:rFonts w:hint="eastAsia"/>
                <w:color w:val="auto"/>
                <w:sz w:val="24"/>
                <w:szCs w:val="24"/>
                <w:highlight w:val="none"/>
                <w:u w:val="none"/>
              </w:rPr>
              <w:t>厂界</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bCs/>
                <w:color w:val="auto"/>
                <w:sz w:val="24"/>
                <w:szCs w:val="24"/>
                <w:u w:val="none"/>
                <w:lang w:eastAsia="zh-CN"/>
              </w:rPr>
            </w:pPr>
            <w:r>
              <w:rPr>
                <w:rFonts w:hint="eastAsia"/>
                <w:color w:val="auto"/>
                <w:sz w:val="24"/>
                <w:szCs w:val="24"/>
                <w:highlight w:val="none"/>
                <w:u w:val="none"/>
              </w:rPr>
              <w:t>非甲烷总烃</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4"/>
                <w:szCs w:val="24"/>
                <w:u w:val="none"/>
              </w:rPr>
            </w:pPr>
            <w:r>
              <w:rPr>
                <w:rFonts w:hint="eastAsia"/>
                <w:color w:val="auto"/>
                <w:sz w:val="24"/>
                <w:szCs w:val="24"/>
                <w:u w:val="none"/>
              </w:rPr>
              <w:t>加强车间通风</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sz w:val="24"/>
                <w:szCs w:val="24"/>
                <w:highlight w:val="none"/>
                <w:u w:val="none"/>
                <w:lang w:eastAsia="zh-CN"/>
              </w:rPr>
            </w:pPr>
            <w:r>
              <w:rPr>
                <w:rFonts w:hint="eastAsia"/>
                <w:color w:val="auto"/>
                <w:sz w:val="24"/>
                <w:szCs w:val="24"/>
                <w:highlight w:val="none"/>
                <w:u w:val="none"/>
                <w:lang w:eastAsia="zh-CN"/>
              </w:rPr>
              <w:t>《合成树脂工业污染物排放标准》（GB31572-2015）表 9 企业边界大气污染物浓度限值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color w:val="auto"/>
                <w:sz w:val="24"/>
                <w:szCs w:val="24"/>
                <w:u w:val="none"/>
                <w:lang w:eastAsia="zh-CN"/>
              </w:rPr>
            </w:pPr>
            <w:r>
              <w:rPr>
                <w:rFonts w:hint="eastAsia" w:cs="Times New Roman"/>
                <w:color w:val="000000"/>
                <w:sz w:val="24"/>
                <w:szCs w:val="24"/>
                <w:highlight w:val="none"/>
                <w:u w:val="none"/>
                <w:lang w:val="en-US" w:eastAsia="zh-CN"/>
              </w:rPr>
              <w:t>厂区</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eastAsia" w:eastAsia="宋体"/>
                <w:bCs/>
                <w:color w:val="auto"/>
                <w:kern w:val="2"/>
                <w:sz w:val="24"/>
                <w:szCs w:val="24"/>
                <w:u w:val="none"/>
                <w:lang w:val="en-US" w:eastAsia="zh-CN" w:bidi="ar-SA"/>
              </w:rPr>
            </w:pPr>
            <w:r>
              <w:rPr>
                <w:rFonts w:hint="eastAsia"/>
                <w:color w:val="auto"/>
                <w:sz w:val="24"/>
                <w:szCs w:val="24"/>
                <w:highlight w:val="none"/>
                <w:u w:val="none"/>
              </w:rPr>
              <w:t>非甲烷总烃</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kern w:val="2"/>
                <w:sz w:val="24"/>
                <w:szCs w:val="24"/>
                <w:u w:val="none"/>
                <w:lang w:val="en-US" w:eastAsia="zh-CN" w:bidi="ar-SA"/>
              </w:rPr>
            </w:pPr>
            <w:r>
              <w:rPr>
                <w:rFonts w:hint="eastAsia"/>
                <w:color w:val="auto"/>
                <w:sz w:val="24"/>
                <w:szCs w:val="24"/>
                <w:u w:val="none"/>
              </w:rPr>
              <w:t>加强车间通风</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color w:val="auto"/>
                <w:sz w:val="24"/>
                <w:szCs w:val="24"/>
                <w:highlight w:val="none"/>
                <w:u w:val="none"/>
              </w:rPr>
            </w:pPr>
            <w:r>
              <w:rPr>
                <w:rFonts w:hint="eastAsia" w:cs="Times New Roman"/>
                <w:color w:val="000000"/>
                <w:sz w:val="24"/>
                <w:szCs w:val="24"/>
                <w:highlight w:val="none"/>
                <w:u w:val="none"/>
                <w:lang w:eastAsia="zh-CN"/>
              </w:rPr>
              <w:t>《挥发性有机物无组织排放控制标准》（</w:t>
            </w:r>
            <w:r>
              <w:rPr>
                <w:rFonts w:hint="eastAsia" w:cs="Times New Roman"/>
                <w:color w:val="000000"/>
                <w:sz w:val="24"/>
                <w:szCs w:val="24"/>
                <w:highlight w:val="none"/>
                <w:u w:val="none"/>
                <w:lang w:val="en-US" w:eastAsia="zh-CN"/>
              </w:rPr>
              <w:t>GB3722-2019</w:t>
            </w:r>
            <w:r>
              <w:rPr>
                <w:rFonts w:hint="eastAsia" w:cs="Times New Roman"/>
                <w:color w:val="000000"/>
                <w:sz w:val="24"/>
                <w:szCs w:val="24"/>
                <w:highlight w:val="none"/>
                <w:u w:val="none"/>
                <w:lang w:eastAsia="zh-CN"/>
              </w:rPr>
              <w:t>）表</w:t>
            </w:r>
            <w:r>
              <w:rPr>
                <w:rFonts w:hint="eastAsia" w:cs="Times New Roman"/>
                <w:color w:val="000000"/>
                <w:sz w:val="24"/>
                <w:szCs w:val="24"/>
                <w:highlight w:val="none"/>
                <w:u w:val="none"/>
                <w:lang w:val="en-US" w:eastAsia="zh-CN"/>
              </w:rPr>
              <w:t>A.1排放限值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color w:val="auto"/>
                <w:kern w:val="2"/>
                <w:sz w:val="24"/>
                <w:szCs w:val="24"/>
                <w:u w:val="none"/>
                <w:lang w:val="en-US" w:eastAsia="zh-CN" w:bidi="ar-SA"/>
              </w:rPr>
            </w:pPr>
            <w:r>
              <w:rPr>
                <w:rFonts w:hint="eastAsia"/>
                <w:color w:val="auto"/>
                <w:sz w:val="24"/>
                <w:szCs w:val="24"/>
                <w:highlight w:val="none"/>
                <w:u w:val="none"/>
              </w:rPr>
              <w:t>厂界</w:t>
            </w:r>
            <w:r>
              <w:rPr>
                <w:rFonts w:hint="eastAsia"/>
                <w:color w:val="auto"/>
                <w:sz w:val="24"/>
                <w:szCs w:val="24"/>
                <w:highlight w:val="none"/>
                <w:u w:val="none"/>
                <w:lang w:eastAsia="zh-CN"/>
              </w:rPr>
              <w:t>、</w:t>
            </w:r>
            <w:r>
              <w:rPr>
                <w:rFonts w:hint="eastAsia" w:cs="Times New Roman"/>
                <w:color w:val="000000"/>
                <w:sz w:val="24"/>
                <w:szCs w:val="24"/>
                <w:highlight w:val="none"/>
                <w:u w:val="none"/>
                <w:lang w:val="en-US" w:eastAsia="zh-CN"/>
              </w:rPr>
              <w:t>厂区</w:t>
            </w:r>
          </w:p>
        </w:tc>
        <w:tc>
          <w:tcPr>
            <w:tcW w:w="1643"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eastAsia" w:eastAsia="宋体"/>
                <w:bCs/>
                <w:color w:val="auto"/>
                <w:kern w:val="2"/>
                <w:sz w:val="24"/>
                <w:szCs w:val="24"/>
                <w:u w:val="none"/>
                <w:lang w:val="en-US" w:eastAsia="zh-CN" w:bidi="ar-SA"/>
              </w:rPr>
            </w:pPr>
            <w:r>
              <w:rPr>
                <w:rFonts w:hint="eastAsia" w:cs="Times New Roman"/>
                <w:bCs/>
                <w:color w:val="000000"/>
                <w:sz w:val="24"/>
                <w:szCs w:val="24"/>
                <w:highlight w:val="none"/>
                <w:u w:val="none"/>
                <w:lang w:val="en-US" w:eastAsia="zh-CN"/>
              </w:rPr>
              <w:t>VOC</w:t>
            </w:r>
            <w:r>
              <w:rPr>
                <w:rFonts w:hint="eastAsia" w:cs="Times New Roman"/>
                <w:bCs/>
                <w:color w:val="000000"/>
                <w:sz w:val="24"/>
                <w:szCs w:val="24"/>
                <w:highlight w:val="none"/>
                <w:u w:val="none"/>
                <w:vertAlign w:val="subscript"/>
                <w:lang w:val="en-US" w:eastAsia="zh-CN"/>
              </w:rPr>
              <w:t>S</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kern w:val="2"/>
                <w:sz w:val="24"/>
                <w:szCs w:val="24"/>
                <w:u w:val="none"/>
                <w:lang w:val="en-US" w:eastAsia="zh-CN" w:bidi="ar-SA"/>
              </w:rPr>
            </w:pPr>
            <w:r>
              <w:rPr>
                <w:rFonts w:hint="eastAsia"/>
                <w:color w:val="auto"/>
                <w:sz w:val="24"/>
                <w:szCs w:val="24"/>
                <w:u w:val="none"/>
              </w:rPr>
              <w:t>加强车间通风</w:t>
            </w:r>
          </w:p>
        </w:tc>
        <w:tc>
          <w:tcPr>
            <w:tcW w:w="218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color w:val="auto"/>
                <w:kern w:val="2"/>
                <w:sz w:val="24"/>
                <w:szCs w:val="24"/>
                <w:u w:val="none"/>
                <w:lang w:val="en-US" w:eastAsia="zh-CN" w:bidi="ar-SA"/>
              </w:rPr>
            </w:pPr>
            <w:r>
              <w:rPr>
                <w:rFonts w:hint="eastAsia"/>
                <w:color w:val="auto"/>
                <w:sz w:val="24"/>
                <w:szCs w:val="24"/>
                <w:highlight w:val="none"/>
                <w:u w:val="none"/>
              </w:rPr>
              <w:t>湖南省地方标准《印刷业挥发性有机物排放标准》(DB43/1357-2017) 表2无组织监控点挥发性有机物浓度限值相关要求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1610" w:type="dxa"/>
            <w:vMerge w:val="restart"/>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地表水环境</w:t>
            </w:r>
          </w:p>
        </w:tc>
        <w:tc>
          <w:tcPr>
            <w:tcW w:w="1923" w:type="dxa"/>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eastAsia"/>
                <w:color w:val="auto"/>
                <w:sz w:val="24"/>
                <w:szCs w:val="24"/>
                <w:highlight w:val="none"/>
                <w:u w:val="none"/>
              </w:rPr>
            </w:pPr>
            <w:r>
              <w:rPr>
                <w:rFonts w:hint="eastAsia"/>
                <w:color w:val="auto"/>
                <w:sz w:val="24"/>
                <w:szCs w:val="24"/>
                <w:u w:val="none"/>
              </w:rPr>
              <w:t>生活污水</w:t>
            </w:r>
          </w:p>
        </w:tc>
        <w:tc>
          <w:tcPr>
            <w:tcW w:w="1643" w:type="dxa"/>
            <w:tcBorders>
              <w:tl2br w:val="nil"/>
              <w:tr2bl w:val="nil"/>
            </w:tcBorders>
            <w:noWrap w:val="0"/>
            <w:vAlign w:val="center"/>
          </w:tcPr>
          <w:p>
            <w:pPr>
              <w:keepNext w:val="0"/>
              <w:keepLines w:val="0"/>
              <w:pageBreakBefore w:val="0"/>
              <w:widowControl w:val="0"/>
              <w:wordWrap/>
              <w:topLinePunct w:val="0"/>
              <w:bidi w:val="0"/>
              <w:jc w:val="center"/>
              <w:textAlignment w:val="auto"/>
              <w:rPr>
                <w:bCs/>
                <w:color w:val="auto"/>
                <w:sz w:val="24"/>
                <w:szCs w:val="24"/>
                <w:highlight w:val="none"/>
                <w:u w:val="none"/>
              </w:rPr>
            </w:pPr>
            <w:r>
              <w:rPr>
                <w:color w:val="auto"/>
                <w:sz w:val="24"/>
                <w:szCs w:val="24"/>
                <w:u w:val="none"/>
              </w:rPr>
              <w:t>COD 、BOD</w:t>
            </w:r>
            <w:r>
              <w:rPr>
                <w:color w:val="auto"/>
                <w:sz w:val="24"/>
                <w:szCs w:val="24"/>
                <w:u w:val="none"/>
                <w:vertAlign w:val="subscript"/>
              </w:rPr>
              <w:t>5</w:t>
            </w:r>
            <w:r>
              <w:rPr>
                <w:color w:val="auto"/>
                <w:sz w:val="24"/>
                <w:szCs w:val="24"/>
                <w:u w:val="none"/>
              </w:rPr>
              <w:t>、SS、</w:t>
            </w:r>
            <w:r>
              <w:rPr>
                <w:rFonts w:hint="eastAsia"/>
                <w:color w:val="auto"/>
                <w:sz w:val="24"/>
                <w:szCs w:val="24"/>
                <w:u w:val="none"/>
              </w:rPr>
              <w:t>氨氮</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4"/>
                <w:szCs w:val="24"/>
                <w:highlight w:val="none"/>
                <w:u w:val="none"/>
              </w:rPr>
            </w:pPr>
            <w:r>
              <w:rPr>
                <w:rFonts w:hint="eastAsia"/>
                <w:color w:val="auto"/>
                <w:sz w:val="24"/>
                <w:szCs w:val="24"/>
                <w:highlight w:val="none"/>
                <w:u w:val="none"/>
              </w:rPr>
              <w:t>化粪池处理后进入新田县污水处理厂</w:t>
            </w:r>
          </w:p>
        </w:tc>
        <w:tc>
          <w:tcPr>
            <w:tcW w:w="2184" w:type="dxa"/>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4"/>
                <w:szCs w:val="24"/>
                <w:highlight w:val="none"/>
                <w:u w:val="none"/>
              </w:rPr>
            </w:pPr>
            <w:r>
              <w:rPr>
                <w:rFonts w:hint="eastAsia" w:eastAsia="宋体" w:cs="Times New Roman"/>
                <w:snapToGrid w:val="0"/>
                <w:color w:val="auto"/>
                <w:kern w:val="0"/>
                <w:sz w:val="24"/>
                <w:szCs w:val="24"/>
                <w:highlight w:val="none"/>
                <w:u w:val="none"/>
              </w:rPr>
              <w:t>《污水综合排放标准》（GB8978-1996）表4中三级排放标准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1610" w:type="dxa"/>
            <w:vMerge w:val="continue"/>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p>
        </w:tc>
        <w:tc>
          <w:tcPr>
            <w:tcW w:w="1923" w:type="dxa"/>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eastAsia"/>
                <w:color w:val="auto"/>
                <w:sz w:val="24"/>
                <w:szCs w:val="24"/>
                <w:u w:val="none"/>
              </w:rPr>
            </w:pPr>
            <w:r>
              <w:rPr>
                <w:rFonts w:hint="eastAsia"/>
                <w:color w:val="auto"/>
                <w:sz w:val="24"/>
                <w:szCs w:val="24"/>
                <w:highlight w:val="none"/>
                <w:u w:val="none"/>
                <w:lang w:val="en-US" w:eastAsia="zh-CN"/>
              </w:rPr>
              <w:t>印刷机</w:t>
            </w:r>
            <w:r>
              <w:rPr>
                <w:rFonts w:hint="eastAsia"/>
                <w:color w:val="auto"/>
                <w:sz w:val="24"/>
                <w:szCs w:val="24"/>
                <w:highlight w:val="none"/>
                <w:u w:val="none"/>
              </w:rPr>
              <w:t>清洗废水</w:t>
            </w:r>
          </w:p>
        </w:tc>
        <w:tc>
          <w:tcPr>
            <w:tcW w:w="1643" w:type="dxa"/>
            <w:tcBorders>
              <w:tl2br w:val="nil"/>
              <w:tr2bl w:val="nil"/>
            </w:tcBorders>
            <w:noWrap w:val="0"/>
            <w:vAlign w:val="center"/>
          </w:tcPr>
          <w:p>
            <w:pPr>
              <w:keepNext w:val="0"/>
              <w:keepLines w:val="0"/>
              <w:pageBreakBefore w:val="0"/>
              <w:widowControl w:val="0"/>
              <w:kinsoku/>
              <w:wordWrap/>
              <w:topLinePunct w:val="0"/>
              <w:bidi w:val="0"/>
              <w:jc w:val="center"/>
              <w:textAlignment w:val="auto"/>
              <w:rPr>
                <w:rFonts w:hint="eastAsia"/>
                <w:color w:val="auto"/>
                <w:sz w:val="24"/>
                <w:szCs w:val="24"/>
                <w:highlight w:val="none"/>
                <w:u w:val="none"/>
              </w:rPr>
            </w:pPr>
            <w:r>
              <w:rPr>
                <w:rFonts w:hint="eastAsia"/>
                <w:color w:val="auto"/>
                <w:sz w:val="24"/>
                <w:szCs w:val="24"/>
                <w:highlight w:val="none"/>
                <w:u w:val="none"/>
              </w:rPr>
              <w:t>pH 值、悬浮物、化学需</w:t>
            </w:r>
          </w:p>
          <w:p>
            <w:pPr>
              <w:keepNext w:val="0"/>
              <w:keepLines w:val="0"/>
              <w:pageBreakBefore w:val="0"/>
              <w:widowControl w:val="0"/>
              <w:kinsoku/>
              <w:wordWrap/>
              <w:topLinePunct w:val="0"/>
              <w:bidi w:val="0"/>
              <w:jc w:val="center"/>
              <w:textAlignment w:val="auto"/>
              <w:rPr>
                <w:rFonts w:hint="eastAsia"/>
                <w:color w:val="auto"/>
                <w:sz w:val="24"/>
                <w:szCs w:val="24"/>
                <w:highlight w:val="none"/>
                <w:u w:val="none"/>
              </w:rPr>
            </w:pPr>
            <w:r>
              <w:rPr>
                <w:rFonts w:hint="eastAsia"/>
                <w:color w:val="auto"/>
                <w:sz w:val="24"/>
                <w:szCs w:val="24"/>
                <w:highlight w:val="none"/>
                <w:u w:val="none"/>
              </w:rPr>
              <w:t>氧量、五日生化需氧量、</w:t>
            </w:r>
          </w:p>
          <w:p>
            <w:pPr>
              <w:keepNext w:val="0"/>
              <w:keepLines w:val="0"/>
              <w:pageBreakBefore w:val="0"/>
              <w:widowControl w:val="0"/>
              <w:kinsoku/>
              <w:wordWrap/>
              <w:topLinePunct w:val="0"/>
              <w:bidi w:val="0"/>
              <w:jc w:val="center"/>
              <w:textAlignment w:val="auto"/>
              <w:rPr>
                <w:color w:val="auto"/>
                <w:sz w:val="24"/>
                <w:szCs w:val="24"/>
                <w:highlight w:val="yellow"/>
                <w:u w:val="none"/>
              </w:rPr>
            </w:pPr>
            <w:r>
              <w:rPr>
                <w:rFonts w:hint="eastAsia"/>
                <w:color w:val="auto"/>
                <w:sz w:val="24"/>
                <w:szCs w:val="24"/>
                <w:highlight w:val="none"/>
                <w:u w:val="none"/>
              </w:rPr>
              <w:t>氨氮、总磷</w:t>
            </w:r>
          </w:p>
        </w:tc>
        <w:tc>
          <w:tcPr>
            <w:tcW w:w="1626" w:type="dxa"/>
            <w:tcBorders>
              <w:tl2br w:val="nil"/>
              <w:tr2bl w:val="nil"/>
            </w:tcBorders>
            <w:noWrap w:val="0"/>
            <w:vAlign w:val="center"/>
          </w:tcPr>
          <w:p>
            <w:pPr>
              <w:keepNext w:val="0"/>
              <w:keepLines w:val="0"/>
              <w:pageBreakBefore w:val="0"/>
              <w:widowControl w:val="0"/>
              <w:kinsoku/>
              <w:wordWrap/>
              <w:topLinePunct w:val="0"/>
              <w:bidi w:val="0"/>
              <w:jc w:val="both"/>
              <w:textAlignment w:val="auto"/>
              <w:rPr>
                <w:color w:val="auto"/>
                <w:sz w:val="24"/>
                <w:szCs w:val="24"/>
                <w:highlight w:val="yellow"/>
                <w:u w:val="none"/>
              </w:rPr>
            </w:pPr>
            <w:r>
              <w:rPr>
                <w:rFonts w:hint="eastAsia"/>
                <w:color w:val="auto"/>
                <w:sz w:val="24"/>
                <w:szCs w:val="24"/>
                <w:highlight w:val="none"/>
                <w:u w:val="none"/>
                <w:lang w:eastAsia="zh-CN"/>
              </w:rPr>
              <w:t>采用胶桶收集后交湖南普瑞达内装材料有限公司处理，不外排</w:t>
            </w:r>
          </w:p>
        </w:tc>
        <w:tc>
          <w:tcPr>
            <w:tcW w:w="2184"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highlight w:val="yellow"/>
                <w:u w:val="none"/>
              </w:rPr>
            </w:pPr>
            <w:r>
              <w:rPr>
                <w:rFonts w:hint="eastAsia"/>
                <w:color w:val="auto"/>
                <w:sz w:val="24"/>
                <w:szCs w:val="24"/>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声环境</w:t>
            </w:r>
          </w:p>
        </w:tc>
        <w:tc>
          <w:tcPr>
            <w:tcW w:w="1923"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u w:val="none"/>
              </w:rPr>
            </w:pPr>
            <w:r>
              <w:rPr>
                <w:rFonts w:hint="eastAsia"/>
                <w:color w:val="auto"/>
                <w:sz w:val="24"/>
                <w:szCs w:val="24"/>
                <w:u w:val="none"/>
              </w:rPr>
              <w:t>设备运行（热风炉、发泡机、印刷机、分条机、电子鼓风干燥箱等）</w:t>
            </w:r>
          </w:p>
        </w:tc>
        <w:tc>
          <w:tcPr>
            <w:tcW w:w="1643"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u w:val="none"/>
              </w:rPr>
            </w:pPr>
            <w:r>
              <w:rPr>
                <w:rFonts w:hint="eastAsia"/>
                <w:color w:val="auto"/>
                <w:sz w:val="24"/>
                <w:szCs w:val="24"/>
                <w:u w:val="none"/>
              </w:rPr>
              <w:t>噪声</w:t>
            </w:r>
          </w:p>
        </w:tc>
        <w:tc>
          <w:tcPr>
            <w:tcW w:w="1626" w:type="dxa"/>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4"/>
                <w:szCs w:val="24"/>
                <w:u w:val="none"/>
              </w:rPr>
            </w:pPr>
            <w:r>
              <w:rPr>
                <w:rFonts w:hint="eastAsia"/>
                <w:color w:val="auto"/>
                <w:sz w:val="24"/>
                <w:szCs w:val="24"/>
                <w:u w:val="none"/>
              </w:rPr>
              <w:t>采取减振、隔声等措施</w:t>
            </w:r>
          </w:p>
        </w:tc>
        <w:tc>
          <w:tcPr>
            <w:tcW w:w="2184" w:type="dxa"/>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4"/>
                <w:szCs w:val="24"/>
                <w:u w:val="none"/>
              </w:rPr>
            </w:pPr>
            <w:r>
              <w:rPr>
                <w:color w:val="auto"/>
                <w:sz w:val="24"/>
                <w:szCs w:val="24"/>
                <w:u w:val="none"/>
              </w:rPr>
              <w:t>《工业企业厂界环境噪声排放标准》</w:t>
            </w:r>
          </w:p>
          <w:p>
            <w:pPr>
              <w:keepNext w:val="0"/>
              <w:keepLines w:val="0"/>
              <w:pageBreakBefore w:val="0"/>
              <w:widowControl w:val="0"/>
              <w:wordWrap/>
              <w:topLinePunct w:val="0"/>
              <w:bidi w:val="0"/>
              <w:jc w:val="center"/>
              <w:textAlignment w:val="auto"/>
              <w:rPr>
                <w:rFonts w:hint="eastAsia"/>
                <w:color w:val="auto"/>
                <w:sz w:val="24"/>
                <w:szCs w:val="24"/>
                <w:u w:val="none"/>
              </w:rPr>
            </w:pPr>
            <w:r>
              <w:rPr>
                <w:color w:val="auto"/>
                <w:sz w:val="24"/>
                <w:szCs w:val="24"/>
                <w:u w:val="none"/>
              </w:rPr>
              <w:t xml:space="preserve">（GB12348-2008）中 </w:t>
            </w:r>
            <w:r>
              <w:rPr>
                <w:rFonts w:hint="eastAsia"/>
                <w:color w:val="auto"/>
                <w:sz w:val="24"/>
                <w:szCs w:val="24"/>
                <w:u w:val="none"/>
              </w:rPr>
              <w:t>3</w:t>
            </w:r>
            <w:r>
              <w:rPr>
                <w:color w:val="auto"/>
                <w:sz w:val="24"/>
                <w:szCs w:val="24"/>
                <w:u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电磁辐射</w:t>
            </w:r>
          </w:p>
        </w:tc>
        <w:tc>
          <w:tcPr>
            <w:tcW w:w="1923"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w:t>
            </w:r>
          </w:p>
        </w:tc>
        <w:tc>
          <w:tcPr>
            <w:tcW w:w="1643"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w:t>
            </w:r>
          </w:p>
        </w:tc>
        <w:tc>
          <w:tcPr>
            <w:tcW w:w="1626"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w:t>
            </w:r>
          </w:p>
        </w:tc>
        <w:tc>
          <w:tcPr>
            <w:tcW w:w="2184"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固体废物</w:t>
            </w:r>
          </w:p>
        </w:tc>
        <w:tc>
          <w:tcPr>
            <w:tcW w:w="7376" w:type="dxa"/>
            <w:gridSpan w:val="4"/>
            <w:tcBorders>
              <w:tl2br w:val="nil"/>
              <w:tr2bl w:val="nil"/>
            </w:tcBorders>
            <w:noWrap w:val="0"/>
            <w:vAlign w:val="center"/>
          </w:tcPr>
          <w:p>
            <w:pPr>
              <w:keepNext w:val="0"/>
              <w:keepLines w:val="0"/>
              <w:pageBreakBefore w:val="0"/>
              <w:widowControl w:val="0"/>
              <w:wordWrap/>
              <w:topLinePunct w:val="0"/>
              <w:bidi w:val="0"/>
              <w:spacing w:line="360" w:lineRule="auto"/>
              <w:ind w:firstLine="480" w:firstLineChars="200"/>
              <w:textAlignment w:val="auto"/>
              <w:rPr>
                <w:rFonts w:hint="eastAsia" w:ascii="宋体" w:hAnsi="宋体" w:cs="宋体"/>
                <w:color w:val="auto"/>
                <w:sz w:val="24"/>
                <w:szCs w:val="24"/>
                <w:u w:val="none"/>
              </w:rPr>
            </w:pPr>
            <w:r>
              <w:rPr>
                <w:rFonts w:ascii="宋体" w:hAnsi="宋体" w:cs="宋体"/>
                <w:color w:val="auto"/>
                <w:sz w:val="24"/>
                <w:szCs w:val="24"/>
                <w:u w:val="none"/>
              </w:rPr>
              <w:t>项目固废主要为：</w:t>
            </w:r>
            <w:r>
              <w:rPr>
                <w:rFonts w:hint="eastAsia" w:ascii="宋体" w:hAnsi="宋体" w:cs="宋体"/>
                <w:color w:val="auto"/>
                <w:sz w:val="24"/>
                <w:szCs w:val="24"/>
                <w:u w:val="none"/>
              </w:rPr>
              <w:t>废边角料、原料包装桶、废活性炭、职工生活垃圾、废紫外灯管</w:t>
            </w:r>
            <w:r>
              <w:rPr>
                <w:rFonts w:ascii="宋体" w:hAnsi="宋体" w:cs="宋体"/>
                <w:color w:val="auto"/>
                <w:sz w:val="24"/>
                <w:szCs w:val="24"/>
                <w:highlight w:val="none"/>
                <w:u w:val="none"/>
              </w:rPr>
              <w:t>。废边角料</w:t>
            </w:r>
            <w:r>
              <w:rPr>
                <w:rFonts w:hint="eastAsia" w:ascii="宋体" w:hAnsi="宋体" w:cs="宋体"/>
                <w:color w:val="auto"/>
                <w:sz w:val="24"/>
                <w:szCs w:val="24"/>
                <w:highlight w:val="none"/>
                <w:u w:val="none"/>
                <w:lang w:val="en-US" w:eastAsia="zh-CN"/>
              </w:rPr>
              <w:t>交</w:t>
            </w:r>
            <w:r>
              <w:rPr>
                <w:rFonts w:hint="eastAsia" w:ascii="宋体" w:hAnsi="宋体" w:cs="宋体"/>
                <w:color w:val="auto"/>
                <w:sz w:val="24"/>
                <w:szCs w:val="24"/>
                <w:highlight w:val="none"/>
                <w:u w:val="none"/>
              </w:rPr>
              <w:t>环卫清运</w:t>
            </w:r>
            <w:r>
              <w:rPr>
                <w:rFonts w:hint="eastAsia"/>
                <w:color w:val="auto"/>
                <w:kern w:val="0"/>
                <w:sz w:val="24"/>
                <w:szCs w:val="24"/>
                <w:highlight w:val="none"/>
                <w:u w:val="none"/>
                <w:lang w:bidi="ar"/>
              </w:rPr>
              <w:t>；</w:t>
            </w:r>
            <w:r>
              <w:rPr>
                <w:rFonts w:hint="eastAsia"/>
                <w:color w:val="auto"/>
                <w:kern w:val="0"/>
                <w:sz w:val="24"/>
                <w:szCs w:val="24"/>
                <w:highlight w:val="none"/>
                <w:u w:val="none"/>
              </w:rPr>
              <w:t>原料包装桶由废品回收单位处置</w:t>
            </w:r>
            <w:r>
              <w:rPr>
                <w:rFonts w:hint="eastAsia"/>
                <w:color w:val="auto"/>
                <w:kern w:val="0"/>
                <w:sz w:val="24"/>
                <w:szCs w:val="24"/>
                <w:highlight w:val="none"/>
                <w:u w:val="none"/>
                <w:lang w:eastAsia="zh-CN" w:bidi="ar"/>
              </w:rPr>
              <w:t>；</w:t>
            </w:r>
            <w:r>
              <w:rPr>
                <w:rFonts w:hint="eastAsia"/>
                <w:color w:val="auto"/>
                <w:kern w:val="0"/>
                <w:sz w:val="24"/>
                <w:szCs w:val="24"/>
                <w:highlight w:val="none"/>
                <w:u w:val="none"/>
              </w:rPr>
              <w:t>废活性炭</w:t>
            </w:r>
            <w:r>
              <w:rPr>
                <w:rFonts w:hint="eastAsia"/>
                <w:color w:val="auto"/>
                <w:kern w:val="0"/>
                <w:sz w:val="24"/>
                <w:szCs w:val="24"/>
                <w:highlight w:val="none"/>
                <w:u w:val="none"/>
                <w:lang w:eastAsia="zh-CN"/>
              </w:rPr>
              <w:t>、废紫外灯管</w:t>
            </w:r>
            <w:r>
              <w:rPr>
                <w:rFonts w:hint="eastAsia"/>
                <w:color w:val="auto"/>
                <w:kern w:val="0"/>
                <w:sz w:val="24"/>
                <w:szCs w:val="24"/>
                <w:highlight w:val="none"/>
                <w:u w:val="none"/>
                <w:lang w:bidi="ar"/>
              </w:rPr>
              <w:t>委托有资质</w:t>
            </w:r>
            <w:r>
              <w:rPr>
                <w:rFonts w:hint="eastAsia"/>
                <w:color w:val="auto"/>
                <w:kern w:val="0"/>
                <w:sz w:val="24"/>
                <w:szCs w:val="24"/>
                <w:u w:val="none"/>
                <w:lang w:bidi="ar"/>
              </w:rPr>
              <w:t>单位处置；</w:t>
            </w:r>
            <w:r>
              <w:rPr>
                <w:color w:val="auto"/>
                <w:kern w:val="0"/>
                <w:sz w:val="24"/>
                <w:szCs w:val="24"/>
                <w:u w:val="none"/>
              </w:rPr>
              <w:t>生活垃圾</w:t>
            </w:r>
            <w:r>
              <w:rPr>
                <w:rFonts w:hint="eastAsia"/>
                <w:color w:val="auto"/>
                <w:kern w:val="0"/>
                <w:sz w:val="24"/>
                <w:szCs w:val="24"/>
                <w:u w:val="none"/>
              </w:rPr>
              <w:t>由</w:t>
            </w:r>
            <w:r>
              <w:rPr>
                <w:rFonts w:hint="eastAsia"/>
                <w:color w:val="auto"/>
                <w:kern w:val="0"/>
                <w:sz w:val="24"/>
                <w:szCs w:val="24"/>
                <w:u w:val="none"/>
                <w:lang w:bidi="ar"/>
              </w:rPr>
              <w:t>环卫清运。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土壤及地下水污染防治措施</w:t>
            </w:r>
          </w:p>
        </w:tc>
        <w:tc>
          <w:tcPr>
            <w:tcW w:w="7376" w:type="dxa"/>
            <w:gridSpan w:val="4"/>
            <w:tcBorders>
              <w:tl2br w:val="nil"/>
              <w:tr2bl w:val="nil"/>
            </w:tcBorders>
            <w:noWrap w:val="0"/>
            <w:vAlign w:val="center"/>
          </w:tcPr>
          <w:p>
            <w:pPr>
              <w:keepNext w:val="0"/>
              <w:keepLines w:val="0"/>
              <w:pageBreakBefore w:val="0"/>
              <w:widowControl w:val="0"/>
              <w:wordWrap/>
              <w:topLinePunct w:val="0"/>
              <w:bidi w:val="0"/>
              <w:spacing w:line="360" w:lineRule="auto"/>
              <w:ind w:firstLine="480" w:firstLineChars="200"/>
              <w:textAlignment w:val="auto"/>
              <w:rPr>
                <w:rFonts w:hint="eastAsia" w:ascii="宋体" w:hAnsi="宋体" w:cs="宋体"/>
                <w:color w:val="auto"/>
                <w:sz w:val="24"/>
                <w:szCs w:val="24"/>
                <w:highlight w:val="none"/>
                <w:u w:val="none"/>
              </w:rPr>
            </w:pPr>
            <w:r>
              <w:rPr>
                <w:bCs/>
                <w:snapToGrid w:val="0"/>
                <w:color w:val="auto"/>
                <w:kern w:val="0"/>
                <w:sz w:val="24"/>
                <w:szCs w:val="24"/>
                <w:highlight w:val="none"/>
                <w:u w:val="none"/>
              </w:rPr>
              <w:t>本项目</w:t>
            </w:r>
            <w:r>
              <w:rPr>
                <w:rFonts w:hint="eastAsia"/>
                <w:bCs/>
                <w:snapToGrid w:val="0"/>
                <w:color w:val="auto"/>
                <w:kern w:val="0"/>
                <w:sz w:val="24"/>
                <w:szCs w:val="24"/>
                <w:highlight w:val="none"/>
                <w:u w:val="none"/>
                <w:lang w:eastAsia="zh-CN"/>
              </w:rPr>
              <w:t>生产车间、</w:t>
            </w:r>
            <w:r>
              <w:rPr>
                <w:bCs/>
                <w:snapToGrid w:val="0"/>
                <w:color w:val="auto"/>
                <w:kern w:val="0"/>
                <w:sz w:val="24"/>
                <w:szCs w:val="24"/>
                <w:highlight w:val="none"/>
                <w:u w:val="none"/>
              </w:rPr>
              <w:t>危废暂存间和原材料仓库需进行重点防渗</w:t>
            </w:r>
            <w:r>
              <w:rPr>
                <w:rFonts w:hint="eastAsia"/>
                <w:bCs/>
                <w:snapToGrid w:val="0"/>
                <w:color w:val="auto"/>
                <w:kern w:val="0"/>
                <w:sz w:val="24"/>
                <w:szCs w:val="24"/>
                <w:highlight w:val="none"/>
                <w:u w:val="none"/>
              </w:rPr>
              <w:t>。</w:t>
            </w:r>
            <w:r>
              <w:rPr>
                <w:bCs/>
                <w:snapToGrid w:val="0"/>
                <w:color w:val="auto"/>
                <w:kern w:val="0"/>
                <w:sz w:val="24"/>
                <w:szCs w:val="24"/>
                <w:highlight w:val="none"/>
                <w:u w:val="none"/>
              </w:rPr>
              <w:t>生产区域（除</w:t>
            </w:r>
            <w:r>
              <w:rPr>
                <w:rFonts w:hint="eastAsia"/>
                <w:bCs/>
                <w:snapToGrid w:val="0"/>
                <w:color w:val="auto"/>
                <w:kern w:val="0"/>
                <w:sz w:val="24"/>
                <w:szCs w:val="24"/>
                <w:highlight w:val="none"/>
                <w:u w:val="none"/>
                <w:lang w:eastAsia="zh-CN"/>
              </w:rPr>
              <w:t>生产车间</w:t>
            </w:r>
            <w:r>
              <w:rPr>
                <w:bCs/>
                <w:snapToGrid w:val="0"/>
                <w:color w:val="auto"/>
                <w:kern w:val="0"/>
                <w:sz w:val="24"/>
                <w:szCs w:val="24"/>
                <w:highlight w:val="none"/>
                <w:u w:val="none"/>
              </w:rPr>
              <w:t>危废暂存间和原材料仓库）需进行</w:t>
            </w:r>
            <w:r>
              <w:rPr>
                <w:color w:val="auto"/>
                <w:sz w:val="24"/>
                <w:szCs w:val="24"/>
                <w:highlight w:val="none"/>
                <w:u w:val="none"/>
              </w:rPr>
              <w:t>一般防渗</w:t>
            </w:r>
            <w:r>
              <w:rPr>
                <w:bCs/>
                <w:snapToGrid w:val="0"/>
                <w:color w:val="auto"/>
                <w:kern w:val="0"/>
                <w:sz w:val="24"/>
                <w:szCs w:val="24"/>
                <w:highlight w:val="none"/>
                <w:u w:val="none"/>
              </w:rPr>
              <w:t>。</w:t>
            </w:r>
            <w:r>
              <w:rPr>
                <w:color w:val="auto"/>
                <w:sz w:val="24"/>
                <w:szCs w:val="24"/>
                <w:highlight w:val="none"/>
                <w:u w:val="none"/>
              </w:rPr>
              <w:t>办公生活区</w:t>
            </w:r>
            <w:r>
              <w:rPr>
                <w:bCs/>
                <w:snapToGrid w:val="0"/>
                <w:color w:val="auto"/>
                <w:kern w:val="0"/>
                <w:sz w:val="24"/>
                <w:szCs w:val="24"/>
                <w:highlight w:val="none"/>
                <w:u w:val="none"/>
              </w:rPr>
              <w:t>需进行</w:t>
            </w:r>
            <w:r>
              <w:rPr>
                <w:color w:val="auto"/>
                <w:sz w:val="24"/>
                <w:szCs w:val="24"/>
                <w:highlight w:val="none"/>
                <w:u w:val="none"/>
              </w:rPr>
              <w:t>简单防渗</w:t>
            </w:r>
            <w:r>
              <w:rPr>
                <w:rFonts w:hint="eastAsia"/>
                <w:color w:val="auto"/>
                <w:sz w:val="24"/>
                <w:szCs w:val="24"/>
                <w:highlight w:val="none"/>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z w:val="24"/>
                <w:szCs w:val="24"/>
                <w:u w:val="none"/>
              </w:rPr>
            </w:pPr>
            <w:r>
              <w:rPr>
                <w:rFonts w:hint="eastAsia" w:ascii="宋体" w:hAnsi="宋体" w:cs="宋体"/>
                <w:color w:val="auto"/>
                <w:sz w:val="24"/>
                <w:szCs w:val="24"/>
                <w:u w:val="none"/>
              </w:rPr>
              <w:t>生态保护措施</w:t>
            </w:r>
          </w:p>
        </w:tc>
        <w:tc>
          <w:tcPr>
            <w:tcW w:w="7376" w:type="dxa"/>
            <w:gridSpan w:val="4"/>
            <w:tcBorders>
              <w:tl2br w:val="nil"/>
              <w:tr2bl w:val="nil"/>
            </w:tcBorders>
            <w:noWrap w:val="0"/>
            <w:vAlign w:val="center"/>
          </w:tcPr>
          <w:p>
            <w:pPr>
              <w:keepNext w:val="0"/>
              <w:keepLines w:val="0"/>
              <w:pageBreakBefore w:val="0"/>
              <w:widowControl w:val="0"/>
              <w:wordWrap/>
              <w:topLinePunct w:val="0"/>
              <w:bidi w:val="0"/>
              <w:spacing w:line="360" w:lineRule="auto"/>
              <w:ind w:firstLine="480" w:firstLineChars="200"/>
              <w:textAlignment w:val="auto"/>
              <w:rPr>
                <w:rFonts w:ascii="宋体" w:hAnsi="宋体" w:cs="宋体"/>
                <w:color w:val="auto"/>
                <w:sz w:val="24"/>
                <w:szCs w:val="24"/>
                <w:u w:val="none"/>
              </w:rPr>
            </w:pPr>
            <w:r>
              <w:rPr>
                <w:rFonts w:ascii="宋体" w:hAnsi="宋体" w:cs="宋体"/>
                <w:color w:val="auto"/>
                <w:sz w:val="24"/>
                <w:szCs w:val="24"/>
                <w:u w:val="none"/>
              </w:rPr>
              <w:t>在项目运营后要进一步加强管理，确保所有设施的正常运行。在厂区周围边界进行绿化；道路及其他地面硬化，消除因水土流失对生态环境产生影响；绿化植物兼顾较强的除臭、减噪功能，以使该项目运营对厂区周围生态环境的影响减少到最低程度</w:t>
            </w:r>
            <w:r>
              <w:rPr>
                <w:rFonts w:hint="eastAsia" w:ascii="宋体" w:hAnsi="宋体" w:cs="宋体"/>
                <w:color w:val="auto"/>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2"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ascii="宋体" w:hAnsi="宋体" w:cs="宋体"/>
                <w:color w:val="auto"/>
                <w:spacing w:val="-8"/>
                <w:sz w:val="24"/>
                <w:szCs w:val="24"/>
                <w:u w:val="none"/>
              </w:rPr>
            </w:pPr>
            <w:r>
              <w:rPr>
                <w:rFonts w:hint="eastAsia" w:ascii="宋体" w:hAnsi="宋体" w:cs="宋体"/>
                <w:color w:val="auto"/>
                <w:spacing w:val="-8"/>
                <w:sz w:val="24"/>
                <w:szCs w:val="24"/>
                <w:u w:val="none"/>
              </w:rPr>
              <w:t>环境风险</w:t>
            </w:r>
          </w:p>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pacing w:val="-8"/>
                <w:sz w:val="24"/>
                <w:szCs w:val="24"/>
                <w:u w:val="none"/>
              </w:rPr>
            </w:pPr>
            <w:r>
              <w:rPr>
                <w:rFonts w:hint="eastAsia" w:ascii="宋体" w:hAnsi="宋体" w:cs="宋体"/>
                <w:color w:val="auto"/>
                <w:spacing w:val="-8"/>
                <w:sz w:val="24"/>
                <w:szCs w:val="24"/>
                <w:u w:val="none"/>
              </w:rPr>
              <w:t>防范措施</w:t>
            </w:r>
          </w:p>
        </w:tc>
        <w:tc>
          <w:tcPr>
            <w:tcW w:w="737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（1）工程设计中应采取的防治措施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①严格执行国家及有关部门颁布的标准、规范和规定。设计中坚持生产必须安全、认真贯彻执行“安全第一、预防为主”的规定。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②总平面布置充分考虑布局的安全性，生产区与区外道路保持畅通，以便进行安全疏散和消防车辆通行，并设有完善的消防设施。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③设备、管道设计留有较大的安全系数，关键设备均考虑备用，并对关键设备设有保安电源。各工段采用仪表进行集中控制和检测，现场需定时巡视，并设置完善的报警及自动连锁系统，以防事故发生。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④生产、使用、贮存危险化学品岗位必须配备面具和防护服，并定期检查，以防失效。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（2）贮存过程风险防范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原辅料贮存区域和危废暂存间做好防风、防雨、防晒、防渗漏“四防”措施，防止二次污染。地面采用坚固、防渗、耐腐蚀的材料建造，库内废物定期由有资质单位的专用运输车辆运输。危险废物按照类别分置于防渗漏的专用包装物或者密闭的容器内，专用包装物、容器设有明显的警示标识和警示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（3）生产过程风险防范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①事故性泄漏常与装置设备故障相关联，安全管理中要密切注意事故易发部位，做好运行监督检查与维修保养，防患于未然。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②工作时严禁吸烟、携带火种。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③操作和维修等采用不发火工具，当必须进行动火作业时，必须按动火手续办理动火证，并制定方案，报主管领导批准并有监管人员在场方可进行。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（4）末端处置过程风险防范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①废气等末端治理措施必须确保日常运行，如发现人为原因不开废气治理设施，责任人应受行政和经济处罚，并承担事故排放责任。若末端治理措施因故不能运行，则生产必须停止。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②为确保处理效率，在车间设备检修期间，末端处理系统也应同时进行检修，日常应有专人负责进行维护。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③建立事故排放事先申报制度，未经批准不得排放。这样便于相关部门应急防范，防止出现超标排放。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（5）强化风险意识、加强安全管理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安全生产是企业立厂之本，对事故风险较大的企业来说，一定要强化风险意识、加强安全管理，具体要求如下：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①必须将“安全第一，预防为主”作为公司经营的基本原则；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②必须进行广泛系统的培训，使所有操作人员熟悉自己的岗位，树立严谨规范的操作作风，并且在任何紧急状况下都能随时对工艺装置进行控制，并及时、独立、正确地实施相关应急措施；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③建立完备的应急组织体系。建立风险应急领导小组，小组分为厂内和厂外两部分。厂内部分落实厂内应急防范措施，厂外部分负责上报当地政府、安全、消防、环保、监测站等相关部门；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single"/>
              </w:rPr>
            </w:pPr>
            <w:r>
              <w:rPr>
                <w:rFonts w:hint="eastAsia"/>
                <w:color w:val="auto"/>
                <w:sz w:val="24"/>
                <w:szCs w:val="24"/>
                <w:u w:val="single"/>
              </w:rPr>
              <w:t>④按《劳动法》有关规定，为职工提供劳动安全条件和劳动防护用品。为使环境风险减少到最低限度，必须加强劳动、安全、卫生和环境的管理。从人、物、环境和管理四个方面寻找影响事故的原因，制定完备、有效的安全防范措施，尽可能降低本项目环境风险事故发生的概率，减少事故的损失和危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u w:val="none"/>
              </w:rPr>
            </w:pPr>
            <w:r>
              <w:rPr>
                <w:rFonts w:hint="eastAsia"/>
                <w:color w:val="auto"/>
                <w:sz w:val="24"/>
                <w:szCs w:val="24"/>
                <w:u w:val="single"/>
              </w:rPr>
              <w:t>根据预测，项目废气非正常排放将会导致厂区周边部分区域环境浓度大幅度升高。因此，一旦发生事故，应立即停止生产，尽快进行检修，以防非正常排放对企业周边敏感保护目标产生不良影响。企业应落实本环评提出的各项污染物治理措施，加强管理，及时维修设备，使各设备均处于正常运行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1" w:hRule="atLeast"/>
          <w:jc w:val="center"/>
        </w:trPr>
        <w:tc>
          <w:tcPr>
            <w:tcW w:w="1610" w:type="dxa"/>
            <w:tcBorders>
              <w:tl2br w:val="nil"/>
              <w:tr2bl w:val="nil"/>
            </w:tcBorders>
            <w:noWrap w:val="0"/>
            <w:vAlign w:val="center"/>
          </w:tcPr>
          <w:p>
            <w:pPr>
              <w:keepNext w:val="0"/>
              <w:keepLines w:val="0"/>
              <w:pageBreakBefore w:val="0"/>
              <w:widowControl w:val="0"/>
              <w:wordWrap/>
              <w:topLinePunct w:val="0"/>
              <w:bidi w:val="0"/>
              <w:adjustRightInd w:val="0"/>
              <w:snapToGrid w:val="0"/>
              <w:jc w:val="center"/>
              <w:textAlignment w:val="auto"/>
              <w:rPr>
                <w:rFonts w:ascii="宋体" w:hAnsi="宋体" w:cs="宋体"/>
                <w:color w:val="auto"/>
                <w:spacing w:val="-8"/>
                <w:sz w:val="24"/>
                <w:szCs w:val="24"/>
                <w:u w:val="none"/>
              </w:rPr>
            </w:pPr>
            <w:r>
              <w:rPr>
                <w:rFonts w:hint="eastAsia" w:ascii="宋体" w:hAnsi="宋体" w:cs="宋体"/>
                <w:color w:val="auto"/>
                <w:spacing w:val="-8"/>
                <w:sz w:val="24"/>
                <w:szCs w:val="24"/>
                <w:u w:val="none"/>
              </w:rPr>
              <w:t>其他环境</w:t>
            </w:r>
          </w:p>
          <w:p>
            <w:pPr>
              <w:keepNext w:val="0"/>
              <w:keepLines w:val="0"/>
              <w:pageBreakBefore w:val="0"/>
              <w:widowControl w:val="0"/>
              <w:wordWrap/>
              <w:topLinePunct w:val="0"/>
              <w:bidi w:val="0"/>
              <w:adjustRightInd w:val="0"/>
              <w:snapToGrid w:val="0"/>
              <w:jc w:val="center"/>
              <w:textAlignment w:val="auto"/>
              <w:rPr>
                <w:rFonts w:hint="eastAsia" w:ascii="宋体" w:hAnsi="宋体" w:cs="宋体"/>
                <w:color w:val="auto"/>
                <w:spacing w:val="-8"/>
                <w:sz w:val="24"/>
                <w:szCs w:val="24"/>
                <w:u w:val="none"/>
              </w:rPr>
            </w:pPr>
            <w:r>
              <w:rPr>
                <w:rFonts w:hint="eastAsia" w:ascii="宋体" w:hAnsi="宋体" w:cs="宋体"/>
                <w:color w:val="auto"/>
                <w:spacing w:val="-8"/>
                <w:sz w:val="24"/>
                <w:szCs w:val="24"/>
                <w:u w:val="none"/>
              </w:rPr>
              <w:t>管理要求</w:t>
            </w:r>
          </w:p>
        </w:tc>
        <w:tc>
          <w:tcPr>
            <w:tcW w:w="7376" w:type="dxa"/>
            <w:gridSpan w:val="4"/>
            <w:tcBorders>
              <w:tl2br w:val="nil"/>
              <w:tr2bl w:val="nil"/>
            </w:tcBorders>
            <w:noWrap w:val="0"/>
            <w:vAlign w:val="center"/>
          </w:tcPr>
          <w:p>
            <w:pPr>
              <w:pStyle w:val="32"/>
              <w:keepNext w:val="0"/>
              <w:keepLines w:val="0"/>
              <w:pageBreakBefore w:val="0"/>
              <w:widowControl w:val="0"/>
              <w:numPr>
                <w:ilvl w:val="0"/>
                <w:numId w:val="6"/>
              </w:numPr>
              <w:wordWrap/>
              <w:topLinePunct w:val="0"/>
              <w:bidi w:val="0"/>
              <w:ind w:firstLine="420"/>
              <w:jc w:val="both"/>
              <w:textAlignment w:val="auto"/>
              <w:rPr>
                <w:rFonts w:hint="eastAsia"/>
                <w:color w:val="auto"/>
                <w:sz w:val="24"/>
                <w:szCs w:val="24"/>
                <w:u w:val="none"/>
              </w:rPr>
            </w:pPr>
            <w:r>
              <w:rPr>
                <w:rFonts w:hint="eastAsia"/>
                <w:color w:val="auto"/>
                <w:sz w:val="24"/>
                <w:szCs w:val="24"/>
                <w:u w:val="none"/>
                <w:lang w:eastAsia="zh-CN"/>
              </w:rPr>
              <w:t>建立排污许可制度</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color w:val="auto"/>
                <w:sz w:val="24"/>
                <w:szCs w:val="24"/>
                <w:u w:val="single"/>
              </w:rPr>
            </w:pPr>
            <w:r>
              <w:rPr>
                <w:rFonts w:hint="eastAsia"/>
                <w:color w:val="auto"/>
                <w:sz w:val="24"/>
                <w:szCs w:val="24"/>
                <w:u w:val="single"/>
              </w:rPr>
              <w:t>应按有关法规的要求，严格执行排污许可制度。根据《国民经济行业分类》（GB/T4754-2017），本项目属于“C2924泡沫塑料制造”，</w:t>
            </w:r>
            <w:r>
              <w:rPr>
                <w:rFonts w:hint="eastAsia"/>
                <w:color w:val="auto"/>
                <w:sz w:val="24"/>
                <w:szCs w:val="24"/>
                <w:u w:val="single"/>
                <w:lang w:eastAsia="zh-CN"/>
              </w:rPr>
              <w:t>由于聚氨酯泡绵年产量为340万米，1m聚氨酯泡绵约1kg，故合计年产聚氨酯泡绵3400t/a。</w:t>
            </w:r>
            <w:r>
              <w:rPr>
                <w:rFonts w:hint="eastAsia"/>
                <w:color w:val="auto"/>
                <w:sz w:val="24"/>
                <w:szCs w:val="24"/>
                <w:u w:val="single"/>
              </w:rPr>
              <w:t>对照《固定污染源排污许可分类管理名录》（2019 年版）中“二十</w:t>
            </w:r>
            <w:r>
              <w:rPr>
                <w:rFonts w:hint="eastAsia"/>
                <w:color w:val="auto"/>
                <w:sz w:val="24"/>
                <w:szCs w:val="24"/>
                <w:u w:val="single"/>
                <w:lang w:val="en-US" w:eastAsia="zh-CN"/>
              </w:rPr>
              <w:t>四橡胶和塑料制品业</w:t>
            </w:r>
            <w:r>
              <w:rPr>
                <w:rFonts w:hint="eastAsia"/>
                <w:color w:val="auto"/>
                <w:sz w:val="24"/>
                <w:szCs w:val="24"/>
                <w:u w:val="single"/>
              </w:rPr>
              <w:t>”中“</w:t>
            </w:r>
            <w:r>
              <w:rPr>
                <w:rFonts w:hint="eastAsia"/>
                <w:color w:val="auto"/>
                <w:sz w:val="24"/>
                <w:szCs w:val="24"/>
                <w:u w:val="single"/>
                <w:lang w:val="en-US" w:eastAsia="zh-CN"/>
              </w:rPr>
              <w:t>塑料制品业</w:t>
            </w:r>
            <w:r>
              <w:rPr>
                <w:rFonts w:hint="eastAsia"/>
                <w:color w:val="auto"/>
                <w:sz w:val="24"/>
                <w:szCs w:val="24"/>
                <w:u w:val="single"/>
              </w:rPr>
              <w:t>”</w:t>
            </w:r>
            <w:r>
              <w:rPr>
                <w:rFonts w:hint="eastAsia"/>
                <w:color w:val="auto"/>
                <w:sz w:val="24"/>
                <w:szCs w:val="24"/>
                <w:u w:val="single"/>
                <w:lang w:eastAsia="zh-CN"/>
              </w:rPr>
              <w:t>其他类别</w:t>
            </w:r>
            <w:r>
              <w:rPr>
                <w:rFonts w:hint="eastAsia"/>
                <w:color w:val="auto"/>
                <w:sz w:val="24"/>
                <w:szCs w:val="24"/>
                <w:u w:val="single"/>
              </w:rPr>
              <w:t>，实施“</w:t>
            </w:r>
            <w:r>
              <w:rPr>
                <w:rFonts w:hint="eastAsia"/>
                <w:color w:val="auto"/>
                <w:sz w:val="24"/>
                <w:szCs w:val="24"/>
                <w:u w:val="single"/>
                <w:lang w:eastAsia="zh-CN"/>
              </w:rPr>
              <w:t>登记管理</w:t>
            </w:r>
            <w:r>
              <w:rPr>
                <w:rFonts w:hint="eastAsia"/>
                <w:color w:val="auto"/>
                <w:sz w:val="24"/>
                <w:szCs w:val="24"/>
                <w:u w:val="single"/>
              </w:rPr>
              <w:t xml:space="preserve">”。 </w:t>
            </w:r>
          </w:p>
          <w:p>
            <w:pPr>
              <w:pStyle w:val="32"/>
              <w:keepNext w:val="0"/>
              <w:keepLines w:val="0"/>
              <w:pageBreakBefore w:val="0"/>
              <w:widowControl w:val="0"/>
              <w:numPr>
                <w:ilvl w:val="0"/>
                <w:numId w:val="6"/>
              </w:numPr>
              <w:wordWrap/>
              <w:topLinePunct w:val="0"/>
              <w:bidi w:val="0"/>
              <w:ind w:left="0" w:leftChars="0" w:firstLine="480" w:firstLineChars="200"/>
              <w:jc w:val="both"/>
              <w:textAlignment w:val="auto"/>
              <w:rPr>
                <w:rFonts w:hint="eastAsia"/>
                <w:color w:val="auto"/>
                <w:sz w:val="24"/>
                <w:szCs w:val="24"/>
                <w:u w:val="none"/>
                <w:lang w:eastAsia="zh-CN"/>
              </w:rPr>
            </w:pPr>
            <w:r>
              <w:rPr>
                <w:rFonts w:hint="eastAsia"/>
                <w:color w:val="auto"/>
                <w:sz w:val="24"/>
                <w:szCs w:val="24"/>
                <w:u w:val="none"/>
                <w:lang w:eastAsia="zh-CN"/>
              </w:rPr>
              <w:t>企业自主环保验收建议</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①建设项目竣工后，建设单位应当如实查验、监测、记载建设项目环境保护设施的建设和调试情况，编制验收监测（调查）报告。</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以排放污染物为主的建设项目，参照《建设项目竣工环境保护验收技术指南 污染影响类》编制验收监测报告；主要对生态造成影响的建设项目，按照《建设项目竣工环境保护验收技术规范 生态影响类》编制验收调查报告；火力发电、石油炼制、水利水电、核与辐射等已发布行业验收技术规范的建设项目，按照该行业验收技术规范编制验收监测报告或者验收调查报告。</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②需要对建设项目配套建设的环境保护设施进行调试的，建设单位应当确保调试期间污染物排放符合国家和地方有关污染物排放标准和排污许可等相关管理规定。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③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④建设项目环境保护设施存在下列情形之一的，不得提出验收合格的意见：</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A.未按环境影响报告书（表）及其审批部门审批决定要求建成环境保护设施，或者环境保护设施不能与主体工程同时投产或者使用的；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B.污染物排放不符合国家和地方相关标准、环境影响报告书（表）及其审批部门审批决定或者重点污染物排放总量控制指标要求的；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C.环境影响报告书（表）经批准后，该建设项目的性质、规模、地点、采用的生产工艺或者防治污染、防止生态破坏的措施发生重大变动，建设单位未重新报批环境影响报告书（表）或者环境影响报告书（表）未经批准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D.建设过程中造成重大环境污染未治理完成，或者造成重大生态破坏未恢复的；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E.纳入排污许可管理的建设项目，无证排污或者不按证排污的；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F.分期建设、分期投入生产或者使用依法应当分期验收的建设项目，其分期建设、分期投入生产或者使用的环境保护设施防治环境污染和生态破坏的能力不能满足其相应主体工程需要的；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G.建设单位因该建设项目违反国家和地方环境保护法律法规受到处罚，被责令改正，尚未改正完成的；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H.验收报告的基础资料数据明显不实，内容存在重大缺项、遗漏，或者验收结论不明确、不合理的；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I.其他环境保护法律法规规章等规定不得通过环境保护验收的。</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⑤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⑥建设单位在“其他需要说明的事项”中应当如实记载环境保护设施设计、施工和验收过程简况、环境影响报告书（表）及其审批部门审批决定中提出的除环境保护设施外的其他环境保护对策措施的实施情况，以及整改工作情况等。相关地方政府或者政府部门承诺负责实施与项目建设配套的防护距离内居民搬迁、功能置换、栖息地保护等环境保护对策措施的，建设单位应当积极配合地方政府或部门在所承诺的时限内完成，并在“其他需要说明的事项”中如实记载前述环境保护对策措施的实施情况。</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⑦除按照国家需要保密的情形外，建设单位应当通过其网站或其他便于公众知晓的方式，向社会公开下列信息：</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A.建设项目配套建设的环境保护设施竣工后，公开竣工日期；</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B.对建设项目配套建设的环境保护设施进行调试前，公开调试的起止日期；</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C.验收报告编制完成后5个工作日内，公开验收报告，公示的期限不得少于20个工作日。建设单位公开上述信息的同时，应当向所在地县级以上环境保护主管部门报送相关信息，并接受监督检查。</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⑧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⑨验收报告公示期满后5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u w:val="none"/>
              </w:rPr>
            </w:pPr>
            <w:r>
              <w:rPr>
                <w:rFonts w:hint="eastAsia"/>
                <w:color w:val="auto"/>
                <w:sz w:val="24"/>
                <w:szCs w:val="24"/>
                <w:u w:val="none"/>
              </w:rPr>
              <w:t>⑩纳入排污许可管理的建设项目，排污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olor w:val="auto"/>
                <w:sz w:val="24"/>
                <w:szCs w:val="24"/>
                <w:highlight w:val="none"/>
                <w:u w:val="none"/>
                <w:lang w:eastAsia="zh-CN"/>
              </w:rPr>
            </w:pPr>
            <w:r>
              <w:rPr>
                <w:rFonts w:hint="eastAsia"/>
                <w:color w:val="auto"/>
                <w:sz w:val="24"/>
                <w:szCs w:val="24"/>
                <w:highlight w:val="none"/>
                <w:u w:val="none"/>
                <w:lang w:eastAsia="zh-CN"/>
              </w:rPr>
              <w:t>项目在进行三同时验收时建议达到下表要求。</w:t>
            </w:r>
          </w:p>
          <w:p>
            <w:pPr>
              <w:pStyle w:val="2"/>
              <w:keepNext w:val="0"/>
              <w:keepLines w:val="0"/>
              <w:pageBreakBefore w:val="0"/>
              <w:widowControl w:val="0"/>
              <w:wordWrap/>
              <w:topLinePunct w:val="0"/>
              <w:bidi w:val="0"/>
              <w:jc w:val="center"/>
              <w:textAlignment w:val="auto"/>
              <w:rPr>
                <w:rFonts w:hint="default"/>
                <w:color w:val="auto"/>
                <w:sz w:val="24"/>
                <w:szCs w:val="24"/>
                <w:highlight w:val="none"/>
                <w:u w:val="none"/>
                <w:vertAlign w:val="baseline"/>
                <w:lang w:val="en-US" w:eastAsia="zh-CN"/>
              </w:rPr>
            </w:pPr>
            <w:r>
              <w:rPr>
                <w:rFonts w:hint="default" w:ascii="Times New Roman" w:hAnsi="Times New Roman" w:cs="Times New Roman"/>
                <w:b/>
                <w:bCs/>
                <w:color w:val="auto"/>
                <w:sz w:val="24"/>
                <w:szCs w:val="24"/>
                <w:highlight w:val="none"/>
                <w:u w:val="none"/>
                <w:lang w:eastAsia="zh-CN"/>
              </w:rPr>
              <w:t>表</w:t>
            </w:r>
            <w:r>
              <w:rPr>
                <w:rFonts w:hint="default" w:ascii="Times New Roman" w:hAnsi="Times New Roman" w:cs="Times New Roman"/>
                <w:b/>
                <w:bCs/>
                <w:color w:val="auto"/>
                <w:sz w:val="24"/>
                <w:szCs w:val="24"/>
                <w:highlight w:val="none"/>
                <w:u w:val="none"/>
                <w:lang w:val="en-US" w:eastAsia="zh-CN"/>
              </w:rPr>
              <w:t>5-1 建设项目竣工环保验收</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04"/>
              <w:gridCol w:w="1235"/>
              <w:gridCol w:w="1136"/>
              <w:gridCol w:w="782"/>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类别</w:t>
                  </w:r>
                </w:p>
              </w:tc>
              <w:tc>
                <w:tcPr>
                  <w:tcW w:w="772"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污染</w:t>
                  </w:r>
                </w:p>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工序</w:t>
                  </w:r>
                </w:p>
              </w:tc>
              <w:tc>
                <w:tcPr>
                  <w:tcW w:w="86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监测</w:t>
                  </w:r>
                </w:p>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因子</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环保设施名称及治理内容</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监测</w:t>
                  </w:r>
                </w:p>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点位</w:t>
                  </w:r>
                </w:p>
              </w:tc>
              <w:tc>
                <w:tcPr>
                  <w:tcW w:w="154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废气</w:t>
                  </w:r>
                </w:p>
              </w:tc>
              <w:tc>
                <w:tcPr>
                  <w:tcW w:w="772"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kern w:val="2"/>
                      <w:sz w:val="21"/>
                      <w:szCs w:val="21"/>
                      <w:u w:val="none"/>
                      <w:lang w:val="en-US" w:eastAsia="zh-CN" w:bidi="ar-SA"/>
                    </w:rPr>
                    <w:t>发泡、搅拌、熟化</w:t>
                  </w:r>
                </w:p>
              </w:tc>
              <w:tc>
                <w:tcPr>
                  <w:tcW w:w="864"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olor w:val="auto"/>
                      <w:sz w:val="21"/>
                      <w:szCs w:val="21"/>
                      <w:u w:val="none"/>
                    </w:rPr>
                    <w:t>非甲烷总烃</w:t>
                  </w:r>
                </w:p>
              </w:tc>
              <w:tc>
                <w:tcPr>
                  <w:tcW w:w="794" w:type="pct"/>
                  <w:vMerge w:val="restart"/>
                  <w:tcBorders>
                    <w:tl2br w:val="nil"/>
                    <w:tr2bl w:val="nil"/>
                  </w:tcBorders>
                  <w:noWrap w:val="0"/>
                  <w:vAlign w:val="center"/>
                </w:tcPr>
                <w:p>
                  <w:pPr>
                    <w:keepNext w:val="0"/>
                    <w:keepLines w:val="0"/>
                    <w:pageBreakBefore w:val="0"/>
                    <w:widowControl w:val="0"/>
                    <w:wordWrap/>
                    <w:topLinePunct w:val="0"/>
                    <w:bidi w:val="0"/>
                    <w:jc w:val="both"/>
                    <w:textAlignment w:val="auto"/>
                    <w:rPr>
                      <w:rFonts w:hint="default" w:ascii="Times New Roman" w:hAnsi="Times New Roman" w:eastAsia="宋体" w:cs="Times New Roman"/>
                      <w:color w:val="auto"/>
                      <w:sz w:val="21"/>
                      <w:szCs w:val="21"/>
                      <w:highlight w:val="none"/>
                      <w:u w:val="none"/>
                      <w:lang w:val="en-US" w:eastAsia="zh-CN"/>
                    </w:rPr>
                  </w:pPr>
                  <w:r>
                    <w:rPr>
                      <w:rFonts w:hint="eastAsia"/>
                      <w:color w:val="auto"/>
                      <w:sz w:val="21"/>
                      <w:szCs w:val="21"/>
                      <w:highlight w:val="none"/>
                      <w:u w:val="none"/>
                    </w:rPr>
                    <w:t>“</w:t>
                  </w:r>
                  <w:r>
                    <w:rPr>
                      <w:rFonts w:hint="eastAsia"/>
                      <w:color w:val="auto"/>
                      <w:sz w:val="21"/>
                      <w:szCs w:val="21"/>
                      <w:highlight w:val="none"/>
                      <w:u w:val="none"/>
                      <w:lang w:eastAsia="zh-CN"/>
                    </w:rPr>
                    <w:t>UV光解+活性炭吸附</w:t>
                  </w:r>
                  <w:r>
                    <w:rPr>
                      <w:rFonts w:hint="eastAsia"/>
                      <w:color w:val="auto"/>
                      <w:sz w:val="21"/>
                      <w:szCs w:val="21"/>
                      <w:highlight w:val="none"/>
                      <w:u w:val="none"/>
                    </w:rPr>
                    <w:t>”</w:t>
                  </w:r>
                  <w:r>
                    <w:rPr>
                      <w:rFonts w:hint="eastAsia"/>
                      <w:color w:val="auto"/>
                      <w:sz w:val="21"/>
                      <w:szCs w:val="21"/>
                      <w:highlight w:val="none"/>
                      <w:u w:val="none"/>
                      <w:lang w:val="en-US" w:eastAsia="zh-CN"/>
                    </w:rPr>
                    <w:t>+15m高排气筒</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排气筒排口</w:t>
                  </w:r>
                </w:p>
              </w:tc>
              <w:tc>
                <w:tcPr>
                  <w:tcW w:w="1544"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eastAsia"/>
                      <w:color w:val="auto"/>
                      <w:sz w:val="21"/>
                      <w:szCs w:val="21"/>
                      <w:highlight w:val="none"/>
                      <w:u w:val="none"/>
                    </w:rPr>
                    <w:t>《合成树脂工业污染物排放标准》（GB31732-2015）表 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p>
              </w:tc>
              <w:tc>
                <w:tcPr>
                  <w:tcW w:w="772"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kern w:val="2"/>
                      <w:sz w:val="21"/>
                      <w:szCs w:val="21"/>
                      <w:u w:val="none"/>
                      <w:lang w:val="en-US" w:eastAsia="zh-CN" w:bidi="ar-SA"/>
                    </w:rPr>
                    <w:t>印刷</w:t>
                  </w:r>
                </w:p>
              </w:tc>
              <w:tc>
                <w:tcPr>
                  <w:tcW w:w="864"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olor w:val="auto"/>
                      <w:sz w:val="21"/>
                      <w:szCs w:val="21"/>
                      <w:u w:val="none"/>
                      <w:lang w:val="en-US" w:eastAsia="zh-CN"/>
                    </w:rPr>
                    <w:t>VOCs</w:t>
                  </w:r>
                </w:p>
              </w:tc>
              <w:tc>
                <w:tcPr>
                  <w:tcW w:w="794" w:type="pct"/>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排气筒排口</w:t>
                  </w:r>
                </w:p>
              </w:tc>
              <w:tc>
                <w:tcPr>
                  <w:tcW w:w="1544"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eastAsia"/>
                      <w:color w:val="auto"/>
                      <w:sz w:val="21"/>
                      <w:szCs w:val="21"/>
                      <w:highlight w:val="none"/>
                      <w:u w:val="none"/>
                    </w:rPr>
                    <w:t>《印刷业挥发性有机物排放标准》(DB43/1357-2017) 表1排气筒挥发性有机物排放浓度限值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p>
              </w:tc>
              <w:tc>
                <w:tcPr>
                  <w:tcW w:w="772"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u w:val="none"/>
                      <w:lang w:val="en-US" w:eastAsia="zh-CN" w:bidi="ar-SA"/>
                    </w:rPr>
                    <w:t>热风炉</w:t>
                  </w:r>
                </w:p>
              </w:tc>
              <w:tc>
                <w:tcPr>
                  <w:tcW w:w="864" w:type="pct"/>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eastAsia="宋体" w:cs="Times New Roman"/>
                      <w:color w:val="000000"/>
                      <w:sz w:val="21"/>
                      <w:szCs w:val="21"/>
                      <w:highlight w:val="none"/>
                      <w:u w:val="none"/>
                      <w:lang w:eastAsia="zh-CN"/>
                    </w:rPr>
                    <w:t>颗粒物</w:t>
                  </w:r>
                  <w:r>
                    <w:rPr>
                      <w:rFonts w:hint="eastAsia" w:cs="Times New Roman"/>
                      <w:color w:val="000000"/>
                      <w:sz w:val="21"/>
                      <w:szCs w:val="21"/>
                      <w:highlight w:val="none"/>
                      <w:u w:val="none"/>
                      <w:lang w:eastAsia="zh-CN"/>
                    </w:rPr>
                    <w:t>、</w:t>
                  </w:r>
                  <w:r>
                    <w:rPr>
                      <w:rFonts w:hint="eastAsia" w:cs="Times New Roman"/>
                      <w:color w:val="000000"/>
                      <w:sz w:val="21"/>
                      <w:szCs w:val="21"/>
                      <w:highlight w:val="none"/>
                      <w:u w:val="none"/>
                      <w:lang w:val="en-US" w:eastAsia="zh-CN"/>
                    </w:rPr>
                    <w:t>SO</w:t>
                  </w:r>
                  <w:r>
                    <w:rPr>
                      <w:rFonts w:hint="eastAsia" w:cs="Times New Roman"/>
                      <w:color w:val="000000"/>
                      <w:sz w:val="21"/>
                      <w:szCs w:val="21"/>
                      <w:highlight w:val="none"/>
                      <w:u w:val="none"/>
                      <w:vertAlign w:val="subscript"/>
                      <w:lang w:val="en-US" w:eastAsia="zh-CN"/>
                    </w:rPr>
                    <w:t>2</w:t>
                  </w:r>
                  <w:r>
                    <w:rPr>
                      <w:rFonts w:hint="eastAsia" w:cs="Times New Roman"/>
                      <w:color w:val="000000"/>
                      <w:sz w:val="21"/>
                      <w:szCs w:val="21"/>
                      <w:highlight w:val="none"/>
                      <w:u w:val="none"/>
                      <w:vertAlign w:val="baseline"/>
                      <w:lang w:val="en-US" w:eastAsia="zh-CN"/>
                    </w:rPr>
                    <w:t>、</w:t>
                  </w:r>
                  <w:r>
                    <w:rPr>
                      <w:rFonts w:hint="eastAsia" w:cs="Times New Roman"/>
                      <w:color w:val="000000"/>
                      <w:sz w:val="21"/>
                      <w:szCs w:val="21"/>
                      <w:highlight w:val="none"/>
                      <w:u w:val="none"/>
                      <w:lang w:val="en-US" w:eastAsia="zh-CN"/>
                    </w:rPr>
                    <w:t>NO</w:t>
                  </w:r>
                  <w:r>
                    <w:rPr>
                      <w:rFonts w:hint="eastAsia" w:cs="Times New Roman"/>
                      <w:color w:val="000000"/>
                      <w:sz w:val="21"/>
                      <w:szCs w:val="21"/>
                      <w:highlight w:val="none"/>
                      <w:u w:val="none"/>
                      <w:vertAlign w:val="subscript"/>
                      <w:lang w:val="en-US" w:eastAsia="zh-CN"/>
                    </w:rPr>
                    <w:t>X</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排气筒排口</w:t>
                  </w:r>
                </w:p>
              </w:tc>
              <w:tc>
                <w:tcPr>
                  <w:tcW w:w="1544"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color w:val="auto"/>
                      <w:sz w:val="21"/>
                      <w:szCs w:val="21"/>
                      <w:u w:val="none"/>
                    </w:rPr>
                  </w:pPr>
                  <w:r>
                    <w:rPr>
                      <w:rFonts w:hint="eastAsia"/>
                      <w:color w:val="auto"/>
                      <w:sz w:val="21"/>
                      <w:szCs w:val="21"/>
                      <w:highlight w:val="none"/>
                      <w:u w:val="none"/>
                    </w:rPr>
                    <w:t>《工业炉窑大气污染排放标准》（GB9078-1996）和《工业炉窑大气污染综合治理方案》（环大气〔2019〕56号）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p>
              </w:tc>
              <w:tc>
                <w:tcPr>
                  <w:tcW w:w="772"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eastAsia="zh-CN"/>
                    </w:rPr>
                  </w:pPr>
                  <w:r>
                    <w:rPr>
                      <w:rFonts w:hint="eastAsia"/>
                      <w:color w:val="auto"/>
                      <w:sz w:val="21"/>
                      <w:szCs w:val="21"/>
                      <w:u w:val="none"/>
                      <w:lang w:eastAsia="zh-CN"/>
                    </w:rPr>
                    <w:t>食堂</w:t>
                  </w:r>
                </w:p>
              </w:tc>
              <w:tc>
                <w:tcPr>
                  <w:tcW w:w="864" w:type="pct"/>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320" w:lineRule="exact"/>
                    <w:jc w:val="center"/>
                    <w:textAlignment w:val="auto"/>
                    <w:rPr>
                      <w:rFonts w:hint="eastAsia"/>
                      <w:color w:val="auto"/>
                      <w:sz w:val="21"/>
                      <w:szCs w:val="21"/>
                      <w:highlight w:val="none"/>
                      <w:u w:val="none"/>
                    </w:rPr>
                  </w:pPr>
                  <w:r>
                    <w:rPr>
                      <w:rFonts w:hint="eastAsia"/>
                      <w:color w:val="auto"/>
                      <w:sz w:val="21"/>
                      <w:szCs w:val="21"/>
                      <w:highlight w:val="none"/>
                      <w:u w:val="none"/>
                      <w:lang w:eastAsia="zh-CN"/>
                    </w:rPr>
                    <w:t>油烟</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1"/>
                      <w:szCs w:val="21"/>
                      <w:highlight w:val="none"/>
                      <w:u w:val="none"/>
                    </w:rPr>
                  </w:pPr>
                  <w:r>
                    <w:rPr>
                      <w:rFonts w:hint="eastAsia"/>
                      <w:color w:val="auto"/>
                      <w:sz w:val="21"/>
                      <w:szCs w:val="21"/>
                      <w:highlight w:val="none"/>
                      <w:u w:val="none"/>
                    </w:rPr>
                    <w:t>“静电油烟处理器”</w:t>
                  </w:r>
                  <w:r>
                    <w:rPr>
                      <w:rFonts w:hint="eastAsia"/>
                      <w:color w:val="auto"/>
                      <w:sz w:val="21"/>
                      <w:szCs w:val="21"/>
                      <w:highlight w:val="none"/>
                      <w:u w:val="none"/>
                      <w:lang w:val="en-US" w:eastAsia="zh-CN"/>
                    </w:rPr>
                    <w:t>+15m高排气筒</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排气筒排口</w:t>
                  </w:r>
                </w:p>
              </w:tc>
              <w:tc>
                <w:tcPr>
                  <w:tcW w:w="1544"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color w:val="auto"/>
                      <w:sz w:val="21"/>
                      <w:szCs w:val="21"/>
                      <w:u w:val="none"/>
                    </w:rPr>
                  </w:pPr>
                  <w:r>
                    <w:rPr>
                      <w:rFonts w:hint="default" w:ascii="Times New Roman" w:hAnsi="Times New Roman" w:cs="Times New Roman"/>
                      <w:color w:val="000000"/>
                      <w:sz w:val="21"/>
                      <w:szCs w:val="21"/>
                      <w:highlight w:val="none"/>
                      <w:u w:val="none"/>
                      <w:lang w:val="en-US" w:eastAsia="zh-CN"/>
                    </w:rPr>
                    <w:t>《饮食业油烟排放标准》（GB18483-2001）表2标准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废水</w:t>
                  </w:r>
                </w:p>
              </w:tc>
              <w:tc>
                <w:tcPr>
                  <w:tcW w:w="772"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default" w:ascii="Times New Roman" w:hAnsi="Times New Roman" w:eastAsia="宋体" w:cs="Times New Roman"/>
                      <w:color w:val="auto"/>
                      <w:sz w:val="21"/>
                      <w:szCs w:val="21"/>
                      <w:highlight w:val="none"/>
                      <w:u w:val="none"/>
                      <w:lang w:eastAsia="zh-CN"/>
                    </w:rPr>
                  </w:pPr>
                  <w:r>
                    <w:rPr>
                      <w:rFonts w:hint="eastAsia"/>
                      <w:color w:val="auto"/>
                      <w:sz w:val="21"/>
                      <w:szCs w:val="21"/>
                      <w:u w:val="none"/>
                    </w:rPr>
                    <w:t>生活污水</w:t>
                  </w:r>
                </w:p>
              </w:tc>
              <w:tc>
                <w:tcPr>
                  <w:tcW w:w="86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bCs/>
                      <w:color w:val="auto"/>
                      <w:kern w:val="2"/>
                      <w:sz w:val="21"/>
                      <w:szCs w:val="21"/>
                      <w:highlight w:val="none"/>
                      <w:u w:val="none"/>
                      <w:lang w:val="en-US" w:eastAsia="zh-CN" w:bidi="ar-SA"/>
                    </w:rPr>
                  </w:pPr>
                  <w:r>
                    <w:rPr>
                      <w:color w:val="auto"/>
                      <w:sz w:val="21"/>
                      <w:szCs w:val="21"/>
                      <w:u w:val="none"/>
                    </w:rPr>
                    <w:t>COD 、BOD</w:t>
                  </w:r>
                  <w:r>
                    <w:rPr>
                      <w:color w:val="auto"/>
                      <w:sz w:val="21"/>
                      <w:szCs w:val="21"/>
                      <w:u w:val="none"/>
                      <w:vertAlign w:val="subscript"/>
                    </w:rPr>
                    <w:t>5</w:t>
                  </w:r>
                  <w:r>
                    <w:rPr>
                      <w:color w:val="auto"/>
                      <w:sz w:val="21"/>
                      <w:szCs w:val="21"/>
                      <w:u w:val="none"/>
                    </w:rPr>
                    <w:t>、SS、</w:t>
                  </w:r>
                  <w:r>
                    <w:rPr>
                      <w:rFonts w:hint="eastAsia"/>
                      <w:color w:val="auto"/>
                      <w:sz w:val="21"/>
                      <w:szCs w:val="21"/>
                      <w:u w:val="none"/>
                    </w:rPr>
                    <w:t>氨氮</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kern w:val="2"/>
                      <w:sz w:val="21"/>
                      <w:szCs w:val="21"/>
                      <w:highlight w:val="none"/>
                      <w:u w:val="none"/>
                      <w:lang w:val="en-US" w:eastAsia="zh-CN" w:bidi="ar-SA"/>
                    </w:rPr>
                  </w:pPr>
                  <w:r>
                    <w:rPr>
                      <w:rFonts w:hint="eastAsia"/>
                      <w:color w:val="auto"/>
                      <w:sz w:val="21"/>
                      <w:szCs w:val="21"/>
                      <w:highlight w:val="none"/>
                      <w:u w:val="none"/>
                    </w:rPr>
                    <w:t>化粪池</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olor w:val="auto"/>
                      <w:sz w:val="21"/>
                      <w:szCs w:val="21"/>
                      <w:highlight w:val="none"/>
                      <w:u w:val="none"/>
                    </w:rPr>
                    <w:t>化粪池</w:t>
                  </w:r>
                </w:p>
              </w:tc>
              <w:tc>
                <w:tcPr>
                  <w:tcW w:w="1544" w:type="pct"/>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1"/>
                      <w:szCs w:val="21"/>
                      <w:u w:val="none"/>
                    </w:rPr>
                  </w:pPr>
                  <w:r>
                    <w:rPr>
                      <w:rFonts w:hint="eastAsia" w:eastAsia="宋体" w:cs="Times New Roman"/>
                      <w:snapToGrid w:val="0"/>
                      <w:color w:val="auto"/>
                      <w:kern w:val="0"/>
                      <w:sz w:val="21"/>
                      <w:szCs w:val="21"/>
                      <w:highlight w:val="none"/>
                      <w:u w:val="none"/>
                    </w:rPr>
                    <w:t>《污水综合排放标准》（GB8978-1996）表4中三级排放标准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pPr>
                    <w:keepNext w:val="0"/>
                    <w:keepLines w:val="0"/>
                    <w:pageBreakBefore w:val="0"/>
                    <w:widowControl w:val="0"/>
                    <w:wordWrap/>
                    <w:topLinePunct w:val="0"/>
                    <w:bidi w:val="0"/>
                    <w:jc w:val="center"/>
                    <w:textAlignment w:val="auto"/>
                    <w:rPr>
                      <w:rFonts w:hint="default" w:ascii="Times New Roman" w:hAnsi="Times New Roman" w:eastAsia="宋体" w:cs="Times New Roman"/>
                      <w:color w:val="auto"/>
                      <w:sz w:val="21"/>
                      <w:szCs w:val="21"/>
                      <w:u w:val="none"/>
                      <w:lang w:val="en-US" w:eastAsia="zh-CN"/>
                    </w:rPr>
                  </w:pPr>
                </w:p>
              </w:tc>
              <w:tc>
                <w:tcPr>
                  <w:tcW w:w="772" w:type="pct"/>
                  <w:tcBorders>
                    <w:tl2br w:val="nil"/>
                    <w:tr2bl w:val="nil"/>
                  </w:tcBorders>
                  <w:noWrap w:val="0"/>
                  <w:vAlign w:val="center"/>
                </w:tcPr>
                <w:p>
                  <w:pPr>
                    <w:keepNext w:val="0"/>
                    <w:keepLines w:val="0"/>
                    <w:pageBreakBefore w:val="0"/>
                    <w:widowControl w:val="0"/>
                    <w:wordWrap/>
                    <w:overflowPunct w:val="0"/>
                    <w:topLinePunct w:val="0"/>
                    <w:bidi w:val="0"/>
                    <w:jc w:val="center"/>
                    <w:textAlignment w:val="auto"/>
                    <w:rPr>
                      <w:rFonts w:hint="eastAsia"/>
                      <w:color w:val="auto"/>
                      <w:sz w:val="21"/>
                      <w:szCs w:val="21"/>
                      <w:u w:val="none"/>
                      <w:lang w:eastAsia="zh-CN"/>
                    </w:rPr>
                  </w:pPr>
                  <w:r>
                    <w:rPr>
                      <w:rFonts w:hint="eastAsia"/>
                      <w:color w:val="auto"/>
                      <w:sz w:val="21"/>
                      <w:szCs w:val="21"/>
                      <w:highlight w:val="none"/>
                      <w:u w:val="none"/>
                      <w:lang w:val="en-US" w:eastAsia="zh-CN"/>
                    </w:rPr>
                    <w:t>印刷机</w:t>
                  </w:r>
                  <w:r>
                    <w:rPr>
                      <w:rFonts w:hint="eastAsia"/>
                      <w:color w:val="auto"/>
                      <w:sz w:val="21"/>
                      <w:szCs w:val="21"/>
                      <w:highlight w:val="none"/>
                      <w:u w:val="none"/>
                    </w:rPr>
                    <w:t>清洗</w:t>
                  </w:r>
                </w:p>
              </w:tc>
              <w:tc>
                <w:tcPr>
                  <w:tcW w:w="864" w:type="pct"/>
                  <w:tcBorders>
                    <w:tl2br w:val="nil"/>
                    <w:tr2bl w:val="nil"/>
                  </w:tcBorders>
                  <w:noWrap w:val="0"/>
                  <w:vAlign w:val="center"/>
                </w:tcPr>
                <w:p>
                  <w:pPr>
                    <w:keepNext w:val="0"/>
                    <w:keepLines w:val="0"/>
                    <w:pageBreakBefore w:val="0"/>
                    <w:widowControl w:val="0"/>
                    <w:kinsoku/>
                    <w:wordWrap/>
                    <w:topLinePunct w:val="0"/>
                    <w:bidi w:val="0"/>
                    <w:jc w:val="center"/>
                    <w:textAlignment w:val="auto"/>
                    <w:rPr>
                      <w:rFonts w:hint="eastAsia"/>
                      <w:snapToGrid w:val="0"/>
                      <w:color w:val="auto"/>
                      <w:kern w:val="0"/>
                      <w:sz w:val="21"/>
                      <w:szCs w:val="21"/>
                      <w:highlight w:val="none"/>
                      <w:u w:val="none"/>
                    </w:rPr>
                  </w:pPr>
                  <w:r>
                    <w:rPr>
                      <w:rFonts w:hint="eastAsia"/>
                      <w:color w:val="auto"/>
                      <w:sz w:val="21"/>
                      <w:szCs w:val="21"/>
                      <w:highlight w:val="none"/>
                      <w:u w:val="none"/>
                    </w:rPr>
                    <w:t>pH 值、悬浮物、化学需氧量、五日生化需氧量、氨氮、总磷</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1"/>
                      <w:szCs w:val="21"/>
                      <w:highlight w:val="none"/>
                      <w:u w:val="none"/>
                      <w:lang w:eastAsia="zh-CN"/>
                    </w:rPr>
                  </w:pPr>
                  <w:r>
                    <w:rPr>
                      <w:rFonts w:hint="eastAsia"/>
                      <w:color w:val="auto"/>
                      <w:sz w:val="21"/>
                      <w:szCs w:val="21"/>
                      <w:highlight w:val="none"/>
                      <w:u w:val="none"/>
                      <w:lang w:eastAsia="zh-CN"/>
                    </w:rPr>
                    <w:t>采用胶桶收集后交湖南普瑞达内装材料有限公司处理，不外排</w:t>
                  </w:r>
                </w:p>
              </w:tc>
              <w:tc>
                <w:tcPr>
                  <w:tcW w:w="547" w:type="pct"/>
                  <w:tcBorders>
                    <w:tl2br w:val="nil"/>
                    <w:tr2bl w:val="nil"/>
                  </w:tcBorders>
                  <w:noWrap w:val="0"/>
                  <w:vAlign w:val="center"/>
                </w:tcPr>
                <w:p>
                  <w:pPr>
                    <w:keepNext w:val="0"/>
                    <w:keepLines w:val="0"/>
                    <w:pageBreakBefore w:val="0"/>
                    <w:widowControl w:val="0"/>
                    <w:kinsoku/>
                    <w:wordWrap/>
                    <w:topLinePunct w:val="0"/>
                    <w:bidi w:val="0"/>
                    <w:jc w:val="center"/>
                    <w:textAlignment w:val="auto"/>
                    <w:rPr>
                      <w:rFonts w:hint="default"/>
                      <w:color w:val="auto"/>
                      <w:sz w:val="21"/>
                      <w:szCs w:val="21"/>
                      <w:highlight w:val="none"/>
                      <w:u w:val="none"/>
                      <w:lang w:val="en-US" w:eastAsia="zh-CN"/>
                    </w:rPr>
                  </w:pPr>
                  <w:r>
                    <w:rPr>
                      <w:rFonts w:hint="eastAsia"/>
                      <w:color w:val="auto"/>
                      <w:sz w:val="21"/>
                      <w:szCs w:val="21"/>
                      <w:u w:val="none"/>
                      <w:lang w:val="en-US" w:eastAsia="zh-CN"/>
                    </w:rPr>
                    <w:t>/</w:t>
                  </w:r>
                </w:p>
              </w:tc>
              <w:tc>
                <w:tcPr>
                  <w:tcW w:w="154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1"/>
                      <w:szCs w:val="21"/>
                      <w:highlight w:val="none"/>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噪声</w:t>
                  </w:r>
                </w:p>
              </w:tc>
              <w:tc>
                <w:tcPr>
                  <w:tcW w:w="772"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sz w:val="21"/>
                      <w:szCs w:val="21"/>
                      <w:highlight w:val="none"/>
                      <w:u w:val="none"/>
                    </w:rPr>
                  </w:pPr>
                  <w:r>
                    <w:rPr>
                      <w:rFonts w:hint="eastAsia"/>
                      <w:color w:val="auto"/>
                      <w:sz w:val="21"/>
                      <w:szCs w:val="21"/>
                      <w:u w:val="none"/>
                    </w:rPr>
                    <w:t>生产设备（热风炉、发泡机、印刷机、分条机、电子鼓风干燥箱）</w:t>
                  </w:r>
                </w:p>
              </w:tc>
              <w:tc>
                <w:tcPr>
                  <w:tcW w:w="86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kern w:val="2"/>
                      <w:sz w:val="21"/>
                      <w:szCs w:val="21"/>
                      <w:u w:val="none"/>
                      <w:lang w:val="en-US" w:eastAsia="zh-CN" w:bidi="ar-SA"/>
                    </w:rPr>
                  </w:pPr>
                  <w:r>
                    <w:rPr>
                      <w:rFonts w:hint="eastAsia"/>
                      <w:color w:val="auto"/>
                      <w:sz w:val="21"/>
                      <w:szCs w:val="21"/>
                      <w:u w:val="none"/>
                    </w:rPr>
                    <w:t>噪声</w:t>
                  </w:r>
                </w:p>
              </w:tc>
              <w:tc>
                <w:tcPr>
                  <w:tcW w:w="794"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color w:val="auto"/>
                      <w:kern w:val="2"/>
                      <w:sz w:val="21"/>
                      <w:szCs w:val="21"/>
                      <w:u w:val="none"/>
                      <w:lang w:val="en-US" w:eastAsia="zh-CN" w:bidi="ar-SA"/>
                    </w:rPr>
                  </w:pPr>
                  <w:r>
                    <w:rPr>
                      <w:rFonts w:hint="eastAsia"/>
                      <w:color w:val="auto"/>
                      <w:sz w:val="21"/>
                      <w:szCs w:val="21"/>
                      <w:u w:val="none"/>
                    </w:rPr>
                    <w:t>采取减振、隔声等措施</w:t>
                  </w:r>
                </w:p>
              </w:tc>
              <w:tc>
                <w:tcPr>
                  <w:tcW w:w="547" w:type="pct"/>
                  <w:tcBorders>
                    <w:tl2br w:val="nil"/>
                    <w:tr2bl w:val="nil"/>
                  </w:tcBorders>
                  <w:noWrap w:val="0"/>
                  <w:vAlign w:val="center"/>
                </w:tcPr>
                <w:p>
                  <w:pPr>
                    <w:keepNext w:val="0"/>
                    <w:keepLines w:val="0"/>
                    <w:pageBreakBefore w:val="0"/>
                    <w:widowControl w:val="0"/>
                    <w:wordWrap/>
                    <w:topLinePunct w:val="0"/>
                    <w:bidi w:val="0"/>
                    <w:jc w:val="center"/>
                    <w:textAlignment w:val="auto"/>
                    <w:rPr>
                      <w:rFonts w:hint="eastAsia" w:eastAsia="宋体"/>
                      <w:color w:val="auto"/>
                      <w:sz w:val="21"/>
                      <w:szCs w:val="21"/>
                      <w:highlight w:val="none"/>
                      <w:u w:val="none"/>
                      <w:lang w:eastAsia="zh-CN"/>
                    </w:rPr>
                  </w:pPr>
                  <w:r>
                    <w:rPr>
                      <w:rFonts w:hint="eastAsia"/>
                      <w:color w:val="auto"/>
                      <w:sz w:val="21"/>
                      <w:szCs w:val="21"/>
                      <w:highlight w:val="none"/>
                      <w:u w:val="none"/>
                      <w:lang w:eastAsia="zh-CN"/>
                    </w:rPr>
                    <w:t>厂界</w:t>
                  </w:r>
                </w:p>
              </w:tc>
              <w:tc>
                <w:tcPr>
                  <w:tcW w:w="1544" w:type="pct"/>
                  <w:tcBorders>
                    <w:tl2br w:val="nil"/>
                    <w:tr2bl w:val="nil"/>
                  </w:tcBorders>
                  <w:noWrap w:val="0"/>
                  <w:vAlign w:val="center"/>
                </w:tcPr>
                <w:p>
                  <w:pPr>
                    <w:keepNext w:val="0"/>
                    <w:keepLines w:val="0"/>
                    <w:pageBreakBefore w:val="0"/>
                    <w:widowControl w:val="0"/>
                    <w:wordWrap/>
                    <w:topLinePunct w:val="0"/>
                    <w:bidi w:val="0"/>
                    <w:jc w:val="center"/>
                    <w:textAlignment w:val="auto"/>
                    <w:rPr>
                      <w:color w:val="auto"/>
                      <w:sz w:val="21"/>
                      <w:szCs w:val="21"/>
                      <w:u w:val="none"/>
                    </w:rPr>
                  </w:pPr>
                  <w:r>
                    <w:rPr>
                      <w:color w:val="auto"/>
                      <w:sz w:val="21"/>
                      <w:szCs w:val="21"/>
                      <w:u w:val="none"/>
                    </w:rPr>
                    <w:t>《工业企业厂界环境噪声排放标准》</w:t>
                  </w:r>
                </w:p>
                <w:p>
                  <w:pPr>
                    <w:keepNext w:val="0"/>
                    <w:keepLines w:val="0"/>
                    <w:pageBreakBefore w:val="0"/>
                    <w:widowControl w:val="0"/>
                    <w:wordWrap/>
                    <w:topLinePunct w:val="0"/>
                    <w:bidi w:val="0"/>
                    <w:jc w:val="center"/>
                    <w:textAlignment w:val="auto"/>
                    <w:rPr>
                      <w:rFonts w:hint="eastAsia"/>
                      <w:color w:val="auto"/>
                      <w:sz w:val="21"/>
                      <w:szCs w:val="21"/>
                      <w:highlight w:val="none"/>
                      <w:u w:val="none"/>
                    </w:rPr>
                  </w:pPr>
                  <w:r>
                    <w:rPr>
                      <w:color w:val="auto"/>
                      <w:sz w:val="21"/>
                      <w:szCs w:val="21"/>
                      <w:u w:val="none"/>
                    </w:rPr>
                    <w:t xml:space="preserve">（GB12348-2008）中 </w:t>
                  </w:r>
                  <w:r>
                    <w:rPr>
                      <w:rFonts w:hint="eastAsia"/>
                      <w:color w:val="auto"/>
                      <w:sz w:val="21"/>
                      <w:szCs w:val="21"/>
                      <w:u w:val="none"/>
                    </w:rPr>
                    <w:t>3</w:t>
                  </w:r>
                  <w:r>
                    <w:rPr>
                      <w:color w:val="auto"/>
                      <w:sz w:val="21"/>
                      <w:szCs w:val="21"/>
                      <w:u w:val="none"/>
                    </w:rPr>
                    <w:t>类标准</w:t>
                  </w:r>
                </w:p>
              </w:tc>
            </w:tr>
          </w:tbl>
          <w:p>
            <w:pPr>
              <w:pStyle w:val="32"/>
              <w:keepNext w:val="0"/>
              <w:keepLines w:val="0"/>
              <w:pageBreakBefore w:val="0"/>
              <w:widowControl w:val="0"/>
              <w:numPr>
                <w:ilvl w:val="0"/>
                <w:numId w:val="0"/>
              </w:numPr>
              <w:wordWrap/>
              <w:topLinePunct w:val="0"/>
              <w:bidi w:val="0"/>
              <w:ind w:leftChars="200"/>
              <w:jc w:val="both"/>
              <w:textAlignment w:val="auto"/>
              <w:rPr>
                <w:rFonts w:hint="eastAsia"/>
                <w:color w:val="auto"/>
                <w:sz w:val="24"/>
                <w:szCs w:val="24"/>
                <w:u w:val="single"/>
                <w:lang w:eastAsia="zh-CN"/>
              </w:rPr>
            </w:pPr>
            <w:r>
              <w:rPr>
                <w:rFonts w:hint="eastAsia"/>
                <w:color w:val="auto"/>
                <w:sz w:val="24"/>
                <w:szCs w:val="24"/>
                <w:u w:val="single"/>
                <w:lang w:val="en-US" w:eastAsia="zh-CN"/>
              </w:rPr>
              <w:t>3、</w:t>
            </w:r>
            <w:r>
              <w:rPr>
                <w:rFonts w:hint="eastAsia"/>
                <w:color w:val="auto"/>
                <w:sz w:val="24"/>
                <w:szCs w:val="24"/>
                <w:u w:val="single"/>
                <w:lang w:eastAsia="zh-CN"/>
              </w:rPr>
              <w:t>企业</w:t>
            </w:r>
            <w:r>
              <w:rPr>
                <w:rFonts w:hint="eastAsia"/>
                <w:color w:val="auto"/>
                <w:sz w:val="24"/>
                <w:szCs w:val="24"/>
                <w:u w:val="single"/>
                <w:lang w:val="en-US" w:eastAsia="zh-CN"/>
              </w:rPr>
              <w:t>突发环境事故应急预案</w:t>
            </w:r>
            <w:r>
              <w:rPr>
                <w:rFonts w:hint="eastAsia"/>
                <w:color w:val="auto"/>
                <w:sz w:val="24"/>
                <w:szCs w:val="24"/>
                <w:u w:val="single"/>
                <w:lang w:eastAsia="zh-CN"/>
              </w:rPr>
              <w:t>建议</w:t>
            </w:r>
          </w:p>
          <w:p>
            <w:pPr>
              <w:pStyle w:val="46"/>
              <w:keepNext w:val="0"/>
              <w:keepLines w:val="0"/>
              <w:pageBreakBefore w:val="0"/>
              <w:widowControl w:val="0"/>
              <w:wordWrap/>
              <w:topLinePunct w:val="0"/>
              <w:bidi w:val="0"/>
              <w:adjustRightInd/>
              <w:spacing w:line="360" w:lineRule="auto"/>
              <w:ind w:right="0" w:firstLine="480" w:firstLineChars="200"/>
              <w:textAlignment w:val="auto"/>
              <w:rPr>
                <w:rFonts w:hint="eastAsia"/>
                <w:color w:val="000000" w:themeColor="text1"/>
                <w:sz w:val="24"/>
                <w:szCs w:val="24"/>
                <w:u w:val="single"/>
                <w:lang w:eastAsia="zh-CN"/>
                <w14:textFill>
                  <w14:solidFill>
                    <w14:schemeClr w14:val="tx1"/>
                  </w14:solidFill>
                </w14:textFill>
              </w:rPr>
            </w:pPr>
            <w:r>
              <w:rPr>
                <w:rFonts w:hint="eastAsia"/>
                <w:color w:val="000000" w:themeColor="text1"/>
                <w:sz w:val="24"/>
                <w:szCs w:val="24"/>
                <w:u w:val="single"/>
                <w14:textFill>
                  <w14:solidFill>
                    <w14:schemeClr w14:val="tx1"/>
                  </w14:solidFill>
                </w14:textFill>
              </w:rPr>
              <w:t>为预防事故发生，规范项目应急管理和应急响应程序，迅速有效地控制和处置可能发生的事故，降低事故造成人员伤亡和财产损失，根据国家有关规定，工程运行前，建设单位应编制环境风险的应急预案，并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应急预案内容见下表</w:t>
            </w:r>
            <w:r>
              <w:rPr>
                <w:rFonts w:hint="eastAsia"/>
                <w:color w:val="000000" w:themeColor="text1"/>
                <w:sz w:val="24"/>
                <w:szCs w:val="24"/>
                <w:u w:val="single"/>
                <w:lang w:eastAsia="zh-CN"/>
                <w14:textFill>
                  <w14:solidFill>
                    <w14:schemeClr w14:val="tx1"/>
                  </w14:solidFill>
                </w14:textFill>
              </w:rPr>
              <w:t>：</w:t>
            </w:r>
          </w:p>
          <w:p>
            <w:pPr>
              <w:pStyle w:val="2"/>
              <w:keepNext w:val="0"/>
              <w:keepLines w:val="0"/>
              <w:pageBreakBefore w:val="0"/>
              <w:widowControl w:val="0"/>
              <w:kinsoku w:val="0"/>
              <w:wordWrap/>
              <w:overflowPunct w:val="0"/>
              <w:topLinePunct w:val="0"/>
              <w:autoSpaceDE w:val="0"/>
              <w:autoSpaceDN w:val="0"/>
              <w:bidi w:val="0"/>
              <w:adjustRightInd/>
              <w:snapToGrid w:val="0"/>
              <w:spacing w:before="0" w:after="0" w:line="240" w:lineRule="auto"/>
              <w:ind w:right="0" w:firstLine="422" w:firstLineChars="200"/>
              <w:jc w:val="center"/>
              <w:textAlignment w:val="auto"/>
              <w:rPr>
                <w:rFonts w:ascii="Times New Roman" w:hAnsi="Times New Roman" w:eastAsia="宋体" w:cs="Times New Roman"/>
                <w:b/>
                <w:bCs/>
                <w:color w:val="000000" w:themeColor="text1"/>
                <w:sz w:val="21"/>
                <w:szCs w:val="21"/>
                <w:u w:val="single"/>
                <w:lang w:val="zh-CN"/>
                <w14:textFill>
                  <w14:solidFill>
                    <w14:schemeClr w14:val="tx1"/>
                  </w14:solidFill>
                </w14:textFill>
              </w:rPr>
            </w:pPr>
            <w:r>
              <w:rPr>
                <w:rFonts w:ascii="Times New Roman" w:hAnsi="Times New Roman" w:eastAsia="宋体" w:cs="Times New Roman"/>
                <w:b/>
                <w:bCs/>
                <w:color w:val="000000" w:themeColor="text1"/>
                <w:sz w:val="21"/>
                <w:szCs w:val="21"/>
                <w:u w:val="single"/>
                <w:lang w:val="zh-CN"/>
                <w14:textFill>
                  <w14:solidFill>
                    <w14:schemeClr w14:val="tx1"/>
                  </w14:solidFill>
                </w14:textFill>
              </w:rPr>
              <w:t>表</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5</w:t>
            </w:r>
            <w:r>
              <w:rPr>
                <w:rFonts w:hint="eastAsia" w:ascii="Times New Roman" w:hAnsi="Times New Roman" w:eastAsia="宋体" w:cs="Times New Roman"/>
                <w:b/>
                <w:bCs/>
                <w:color w:val="000000" w:themeColor="text1"/>
                <w:sz w:val="21"/>
                <w:szCs w:val="21"/>
                <w:u w:val="single"/>
                <w:lang w:val="zh-CN"/>
                <w14:textFill>
                  <w14:solidFill>
                    <w14:schemeClr w14:val="tx1"/>
                  </w14:solidFill>
                </w14:textFill>
              </w:rPr>
              <w:t>-</w:t>
            </w:r>
            <w:r>
              <w:rPr>
                <w:rFonts w:hint="eastAsia" w:ascii="Times New Roman" w:hAnsi="Times New Roman" w:cs="Times New Roman"/>
                <w:b/>
                <w:bCs/>
                <w:color w:val="000000" w:themeColor="text1"/>
                <w:sz w:val="21"/>
                <w:szCs w:val="21"/>
                <w:u w:val="single"/>
                <w:lang w:val="en-US" w:eastAsia="zh-CN"/>
                <w14:textFill>
                  <w14:solidFill>
                    <w14:schemeClr w14:val="tx1"/>
                  </w14:solidFill>
                </w14:textFill>
              </w:rPr>
              <w:t>2</w:t>
            </w:r>
            <w:r>
              <w:rPr>
                <w:rFonts w:ascii="Times New Roman" w:hAnsi="Times New Roman" w:eastAsia="宋体" w:cs="Times New Roman"/>
                <w:b/>
                <w:bCs/>
                <w:color w:val="000000" w:themeColor="text1"/>
                <w:sz w:val="21"/>
                <w:szCs w:val="21"/>
                <w:u w:val="single"/>
                <w:lang w:val="zh-CN"/>
                <w14:textFill>
                  <w14:solidFill>
                    <w14:schemeClr w14:val="tx1"/>
                  </w14:solidFill>
                </w14:textFill>
              </w:rPr>
              <w:t xml:space="preserve"> 环境风险的突发性事故制定应急预案</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31"/>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b/>
                      <w:color w:val="000000" w:themeColor="text1"/>
                      <w:sz w:val="21"/>
                      <w:szCs w:val="21"/>
                      <w:u w:val="single"/>
                      <w14:textFill>
                        <w14:solidFill>
                          <w14:schemeClr w14:val="tx1"/>
                        </w14:solidFill>
                      </w14:textFill>
                    </w:rPr>
                  </w:pPr>
                  <w:r>
                    <w:rPr>
                      <w:b/>
                      <w:color w:val="000000" w:themeColor="text1"/>
                      <w:sz w:val="21"/>
                      <w:szCs w:val="21"/>
                      <w:u w:val="single"/>
                      <w14:textFill>
                        <w14:solidFill>
                          <w14:schemeClr w14:val="tx1"/>
                        </w14:solidFill>
                      </w14:textFill>
                    </w:rPr>
                    <w:t>序号</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b/>
                      <w:color w:val="000000" w:themeColor="text1"/>
                      <w:sz w:val="21"/>
                      <w:szCs w:val="21"/>
                      <w:u w:val="single"/>
                      <w14:textFill>
                        <w14:solidFill>
                          <w14:schemeClr w14:val="tx1"/>
                        </w14:solidFill>
                      </w14:textFill>
                    </w:rPr>
                  </w:pPr>
                  <w:r>
                    <w:rPr>
                      <w:b/>
                      <w:color w:val="000000" w:themeColor="text1"/>
                      <w:sz w:val="21"/>
                      <w:szCs w:val="21"/>
                      <w:u w:val="single"/>
                      <w14:textFill>
                        <w14:solidFill>
                          <w14:schemeClr w14:val="tx1"/>
                        </w14:solidFill>
                      </w14:textFill>
                    </w:rPr>
                    <w:t>项目</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b/>
                      <w:color w:val="000000" w:themeColor="text1"/>
                      <w:sz w:val="21"/>
                      <w:szCs w:val="21"/>
                      <w:u w:val="single"/>
                      <w14:textFill>
                        <w14:solidFill>
                          <w14:schemeClr w14:val="tx1"/>
                        </w14:solidFill>
                      </w14:textFill>
                    </w:rPr>
                  </w:pPr>
                  <w:r>
                    <w:rPr>
                      <w:b/>
                      <w:color w:val="000000" w:themeColor="text1"/>
                      <w:sz w:val="21"/>
                      <w:szCs w:val="21"/>
                      <w:u w:val="single"/>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危险源情况</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2</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应急计划区</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生产车间</w:t>
                  </w:r>
                  <w:r>
                    <w:rPr>
                      <w:color w:val="000000" w:themeColor="text1"/>
                      <w:sz w:val="21"/>
                      <w:szCs w:val="21"/>
                      <w:u w:val="single"/>
                      <w14:textFill>
                        <w14:solidFill>
                          <w14:schemeClr w14:val="tx1"/>
                        </w14:solidFill>
                      </w14:textFill>
                    </w:rPr>
                    <w:t>、临近地区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3</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应急组织</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企业：成立公司应急指挥小组，由公司最高领导层担任小组长，负责现场全面指挥，专业救援队伍负责事故控制、救援和善后处理。</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临近地区：地区指挥部—负责企业附近地区全面指挥，救援，管制和疏散</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4</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应急状态分类应急响应程序</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规定环境风险事故的级别及相应的应急状态分类，以此制定相应的应急响应程序</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应急设施</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设备与材料</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生产区：防火灾事故的应急设施、设备与材料，主要为消防器材、消防服等；防有毒有害物质外溢、扩散，主要是水、喷淋设备、防毒服和中毒人员急救所用的一些药品、器材</w:t>
                  </w:r>
                  <w:r>
                    <w:rPr>
                      <w:rFonts w:hint="eastAsia"/>
                      <w:color w:val="000000" w:themeColor="text1"/>
                      <w:sz w:val="21"/>
                      <w:szCs w:val="2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临界地区：烧伤、中毒人员急救所用的一些药品、器材</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6</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应急通讯</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通告与交通</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规定应急状态下的通讯、通告方式和交通保障、管制等事项</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7</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应急环境监测及事故后评估</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由专业人员对环境风险事故现场进行应急监测，对事故性质、严重程度等所造成的环境危害后果进行评估，吸取经验教训免再次发生事故，为指挥部门提供决策依据</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8</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应急防护措施消除泄漏措施及需使用器材</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事故现场：控制事故发展，防止扩大、蔓延及连锁反应；清除现场泄漏物，降低危害；相应的设施器材配备</w:t>
                  </w:r>
                  <w:r>
                    <w:rPr>
                      <w:rFonts w:hint="eastAsia"/>
                      <w:color w:val="000000" w:themeColor="text1"/>
                      <w:sz w:val="21"/>
                      <w:szCs w:val="2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临近地区：划分腐蚀区域，控制和消除环境污染的措施及相应的设备配备</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9</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应急剂量控制撤离组织计划医疗救护与保护公众健康</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事故现场：事故处理人员制定毒物的应急剂量、现场及临近装置人员的撤离组织计划和紧急救护方案</w:t>
                  </w:r>
                  <w:r>
                    <w:rPr>
                      <w:rFonts w:hint="eastAsia"/>
                      <w:color w:val="000000" w:themeColor="text1"/>
                      <w:sz w:val="21"/>
                      <w:szCs w:val="2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临近地区：制定受事故影响的临近地区内人员对毒物的应急剂量、公众的疏散组织计划和紧急救护方案</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10</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应急状态中止恢复措施</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事故现场：规定应急状态终止秩序：事故现场善后处理，恢复生产措施</w:t>
                  </w:r>
                  <w:r>
                    <w:rPr>
                      <w:rFonts w:hint="eastAsia"/>
                      <w:color w:val="000000" w:themeColor="text1"/>
                      <w:sz w:val="21"/>
                      <w:szCs w:val="2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临近地区：解除事故警戒、公众返回和善后恢复措施</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11</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人员培训与演习</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000000" w:themeColor="text1"/>
                      <w:sz w:val="21"/>
                      <w:szCs w:val="21"/>
                      <w:u w:val="single"/>
                      <w:lang w:eastAsia="zh-CN"/>
                      <w14:textFill>
                        <w14:solidFill>
                          <w14:schemeClr w14:val="tx1"/>
                        </w14:solidFill>
                      </w14:textFill>
                    </w:rPr>
                  </w:pPr>
                  <w:r>
                    <w:rPr>
                      <w:color w:val="000000" w:themeColor="text1"/>
                      <w:sz w:val="21"/>
                      <w:szCs w:val="21"/>
                      <w:u w:val="single"/>
                      <w14:textFill>
                        <w14:solidFill>
                          <w14:schemeClr w14:val="tx1"/>
                        </w14:solidFill>
                      </w14:textFill>
                    </w:rPr>
                    <w:t>应急计划制定后，平时安排事故处理人员进行相关知识培训进行事故应急处理演习；对加油站内工人进行安全卫生教育</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olor w:val="000000" w:themeColor="text1"/>
                      <w:sz w:val="21"/>
                      <w:szCs w:val="21"/>
                      <w:u w:val="single"/>
                      <w14:textFill>
                        <w14:solidFill>
                          <w14:schemeClr w14:val="tx1"/>
                        </w14:solidFill>
                      </w14:textFill>
                    </w:rPr>
                    <w:t>12</w:t>
                  </w:r>
                </w:p>
              </w:tc>
              <w:tc>
                <w:tcPr>
                  <w:tcW w:w="9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公众教育信息发布</w:t>
                  </w:r>
                </w:p>
              </w:tc>
              <w:tc>
                <w:tcPr>
                  <w:tcW w:w="35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对</w:t>
                  </w:r>
                  <w:r>
                    <w:rPr>
                      <w:rFonts w:hint="eastAsia"/>
                      <w:color w:val="000000" w:themeColor="text1"/>
                      <w:sz w:val="21"/>
                      <w:szCs w:val="21"/>
                      <w:u w:val="single"/>
                      <w14:textFill>
                        <w14:solidFill>
                          <w14:schemeClr w14:val="tx1"/>
                        </w14:solidFill>
                      </w14:textFill>
                    </w:rPr>
                    <w:t>企业</w:t>
                  </w:r>
                  <w:r>
                    <w:rPr>
                      <w:color w:val="000000" w:themeColor="text1"/>
                      <w:sz w:val="21"/>
                      <w:szCs w:val="21"/>
                      <w:u w:val="single"/>
                      <w14:textFill>
                        <w14:solidFill>
                          <w14:schemeClr w14:val="tx1"/>
                        </w14:solidFill>
                      </w14:textFill>
                    </w:rPr>
                    <w:t>临近地区公众开展环境风险事故预防教育、应急知识培训并定期发布相关信息</w:t>
                  </w:r>
                  <w:r>
                    <w:rPr>
                      <w:rFonts w:hint="eastAsia"/>
                      <w:color w:val="000000" w:themeColor="text1"/>
                      <w:sz w:val="21"/>
                      <w:szCs w:val="21"/>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olor w:val="000000" w:themeColor="text1"/>
                      <w:sz w:val="21"/>
                      <w:szCs w:val="21"/>
                      <w:u w:val="single"/>
                      <w14:textFill>
                        <w14:solidFill>
                          <w14:schemeClr w14:val="tx1"/>
                        </w14:solidFill>
                      </w14:textFill>
                    </w:rPr>
                    <w:t>13</w:t>
                  </w:r>
                </w:p>
              </w:tc>
              <w:tc>
                <w:tcPr>
                  <w:tcW w:w="931"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记录和报告</w:t>
                  </w:r>
                </w:p>
              </w:tc>
              <w:tc>
                <w:tcPr>
                  <w:tcW w:w="358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eastAsia"/>
                      <w:color w:val="000000" w:themeColor="text1"/>
                      <w:sz w:val="21"/>
                      <w:szCs w:val="21"/>
                      <w:u w:val="single"/>
                      <w14:textFill>
                        <w14:solidFill>
                          <w14:schemeClr w14:val="tx1"/>
                        </w14:solidFill>
                      </w14:textFill>
                    </w:rPr>
                    <w:t>14</w:t>
                  </w:r>
                </w:p>
              </w:tc>
              <w:tc>
                <w:tcPr>
                  <w:tcW w:w="931"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附件</w:t>
                  </w:r>
                </w:p>
              </w:tc>
              <w:tc>
                <w:tcPr>
                  <w:tcW w:w="3589" w:type="pct"/>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color w:val="000000" w:themeColor="text1"/>
                      <w:sz w:val="21"/>
                      <w:szCs w:val="21"/>
                      <w:u w:val="single"/>
                      <w14:textFill>
                        <w14:solidFill>
                          <w14:schemeClr w14:val="tx1"/>
                        </w14:solidFill>
                      </w14:textFill>
                    </w:rPr>
                    <w:t>准备并形成环境风险事故应急处理有关的附件材料</w:t>
                  </w:r>
                </w:p>
              </w:tc>
            </w:tr>
          </w:tbl>
          <w:p>
            <w:pPr>
              <w:pStyle w:val="32"/>
              <w:keepNext w:val="0"/>
              <w:keepLines w:val="0"/>
              <w:pageBreakBefore w:val="0"/>
              <w:widowControl w:val="0"/>
              <w:numPr>
                <w:ilvl w:val="0"/>
                <w:numId w:val="0"/>
              </w:numPr>
              <w:wordWrap/>
              <w:topLinePunct w:val="0"/>
              <w:bidi w:val="0"/>
              <w:ind w:leftChars="200"/>
              <w:jc w:val="both"/>
              <w:textAlignment w:val="auto"/>
              <w:rPr>
                <w:rFonts w:hint="eastAsia"/>
                <w:color w:val="auto"/>
                <w:sz w:val="24"/>
                <w:szCs w:val="24"/>
                <w:u w:val="none"/>
                <w:lang w:eastAsia="zh-CN"/>
              </w:rPr>
            </w:pPr>
            <w:r>
              <w:rPr>
                <w:rFonts w:hint="eastAsia"/>
                <w:color w:val="auto"/>
                <w:sz w:val="24"/>
                <w:szCs w:val="24"/>
                <w:u w:val="none"/>
                <w:lang w:val="en-US" w:eastAsia="zh-CN"/>
              </w:rPr>
              <w:t>4、</w:t>
            </w:r>
            <w:r>
              <w:rPr>
                <w:rFonts w:hint="eastAsia"/>
                <w:color w:val="auto"/>
                <w:sz w:val="24"/>
                <w:szCs w:val="24"/>
                <w:u w:val="none"/>
                <w:lang w:eastAsia="zh-CN"/>
              </w:rPr>
              <w:t>排放口规范化建设要求</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color w:val="auto"/>
                <w:sz w:val="24"/>
                <w:szCs w:val="24"/>
                <w:u w:val="none"/>
              </w:rPr>
            </w:pPr>
            <w:r>
              <w:rPr>
                <w:color w:val="auto"/>
                <w:sz w:val="24"/>
                <w:szCs w:val="24"/>
                <w:u w:val="none"/>
              </w:rPr>
              <w:t>标示牌的设置应按《关于印发排放口标志牌技术规格的通知》（环办[2003]95号）中的相关规定实施，统计所有排污口的名称、位置、数量，以及排放的污染物名称、数量等内容上报当地环保部门，以便进行验收和排污口的规范化管理。图形符号分为提示图形和警告图形符号两种，分别按（GB15562.1-1995）、（GB15562.2-1995）执行。环境保护图形标志的形状及颜色见下表。</w:t>
            </w:r>
          </w:p>
          <w:p>
            <w:pPr>
              <w:pStyle w:val="39"/>
              <w:keepNext w:val="0"/>
              <w:keepLines w:val="0"/>
              <w:pageBreakBefore w:val="0"/>
              <w:widowControl w:val="0"/>
              <w:wordWrap/>
              <w:topLinePunct w:val="0"/>
              <w:bidi w:val="0"/>
              <w:textAlignment w:val="auto"/>
              <w:rPr>
                <w:rFonts w:eastAsia="宋体"/>
                <w:b/>
                <w:bCs/>
                <w:color w:val="auto"/>
                <w:sz w:val="24"/>
                <w:szCs w:val="24"/>
                <w:u w:val="none"/>
              </w:rPr>
            </w:pPr>
            <w:r>
              <w:rPr>
                <w:rFonts w:eastAsia="宋体"/>
                <w:b/>
                <w:bCs/>
                <w:color w:val="auto"/>
                <w:sz w:val="24"/>
                <w:szCs w:val="24"/>
                <w:u w:val="none"/>
              </w:rPr>
              <w:t>表5-</w:t>
            </w:r>
            <w:r>
              <w:rPr>
                <w:rFonts w:hint="eastAsia" w:eastAsia="宋体"/>
                <w:b/>
                <w:bCs/>
                <w:color w:val="auto"/>
                <w:sz w:val="24"/>
                <w:szCs w:val="24"/>
                <w:u w:val="none"/>
                <w:lang w:val="en-US" w:eastAsia="zh-CN"/>
              </w:rPr>
              <w:t xml:space="preserve">2  </w:t>
            </w:r>
            <w:r>
              <w:rPr>
                <w:rFonts w:eastAsia="宋体"/>
                <w:b/>
                <w:bCs/>
                <w:color w:val="auto"/>
                <w:sz w:val="24"/>
                <w:szCs w:val="24"/>
                <w:u w:val="none"/>
              </w:rPr>
              <w:t>环境保护图形符号一览表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518"/>
              <w:gridCol w:w="204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7" w:type="dxa"/>
                  <w:noWrap w:val="0"/>
                  <w:vAlign w:val="center"/>
                </w:tcPr>
                <w:p>
                  <w:pPr>
                    <w:pStyle w:val="41"/>
                    <w:keepNext w:val="0"/>
                    <w:keepLines w:val="0"/>
                    <w:pageBreakBefore w:val="0"/>
                    <w:widowControl w:val="0"/>
                    <w:wordWrap/>
                    <w:topLinePunct w:val="0"/>
                    <w:bidi w:val="0"/>
                    <w:textAlignment w:val="auto"/>
                    <w:rPr>
                      <w:b/>
                      <w:bCs/>
                      <w:color w:val="auto"/>
                      <w:sz w:val="21"/>
                      <w:szCs w:val="21"/>
                      <w:u w:val="none"/>
                    </w:rPr>
                  </w:pPr>
                  <w:r>
                    <w:rPr>
                      <w:b/>
                      <w:bCs/>
                      <w:color w:val="auto"/>
                      <w:sz w:val="21"/>
                      <w:szCs w:val="21"/>
                      <w:u w:val="none"/>
                    </w:rPr>
                    <w:t>序号</w:t>
                  </w:r>
                </w:p>
              </w:tc>
              <w:tc>
                <w:tcPr>
                  <w:tcW w:w="1518" w:type="dxa"/>
                  <w:noWrap w:val="0"/>
                  <w:vAlign w:val="center"/>
                </w:tcPr>
                <w:p>
                  <w:pPr>
                    <w:pStyle w:val="41"/>
                    <w:keepNext w:val="0"/>
                    <w:keepLines w:val="0"/>
                    <w:pageBreakBefore w:val="0"/>
                    <w:widowControl w:val="0"/>
                    <w:wordWrap/>
                    <w:topLinePunct w:val="0"/>
                    <w:bidi w:val="0"/>
                    <w:textAlignment w:val="auto"/>
                    <w:rPr>
                      <w:b/>
                      <w:bCs/>
                      <w:color w:val="auto"/>
                      <w:sz w:val="21"/>
                      <w:szCs w:val="21"/>
                      <w:u w:val="none"/>
                    </w:rPr>
                  </w:pPr>
                  <w:r>
                    <w:rPr>
                      <w:b/>
                      <w:bCs/>
                      <w:color w:val="auto"/>
                      <w:sz w:val="21"/>
                      <w:szCs w:val="21"/>
                      <w:u w:val="none"/>
                    </w:rPr>
                    <w:t>排放口名称</w:t>
                  </w:r>
                </w:p>
              </w:tc>
              <w:tc>
                <w:tcPr>
                  <w:tcW w:w="2042" w:type="dxa"/>
                  <w:noWrap w:val="0"/>
                  <w:vAlign w:val="center"/>
                </w:tcPr>
                <w:p>
                  <w:pPr>
                    <w:pStyle w:val="41"/>
                    <w:keepNext w:val="0"/>
                    <w:keepLines w:val="0"/>
                    <w:pageBreakBefore w:val="0"/>
                    <w:widowControl w:val="0"/>
                    <w:wordWrap/>
                    <w:topLinePunct w:val="0"/>
                    <w:bidi w:val="0"/>
                    <w:textAlignment w:val="auto"/>
                    <w:rPr>
                      <w:b/>
                      <w:bCs/>
                      <w:color w:val="auto"/>
                      <w:sz w:val="21"/>
                      <w:szCs w:val="21"/>
                      <w:u w:val="none"/>
                    </w:rPr>
                  </w:pPr>
                  <w:r>
                    <w:rPr>
                      <w:rFonts w:hint="eastAsia"/>
                      <w:b/>
                      <w:bCs/>
                      <w:color w:val="auto"/>
                      <w:sz w:val="21"/>
                      <w:szCs w:val="21"/>
                      <w:u w:val="none"/>
                    </w:rPr>
                    <w:t>提示/警告图形符号</w:t>
                  </w:r>
                </w:p>
              </w:tc>
              <w:tc>
                <w:tcPr>
                  <w:tcW w:w="2572" w:type="dxa"/>
                  <w:noWrap w:val="0"/>
                  <w:vAlign w:val="center"/>
                </w:tcPr>
                <w:p>
                  <w:pPr>
                    <w:pStyle w:val="41"/>
                    <w:keepNext w:val="0"/>
                    <w:keepLines w:val="0"/>
                    <w:pageBreakBefore w:val="0"/>
                    <w:widowControl w:val="0"/>
                    <w:wordWrap/>
                    <w:topLinePunct w:val="0"/>
                    <w:bidi w:val="0"/>
                    <w:textAlignment w:val="auto"/>
                    <w:rPr>
                      <w:b/>
                      <w:bCs/>
                      <w:color w:val="auto"/>
                      <w:sz w:val="21"/>
                      <w:szCs w:val="21"/>
                      <w:u w:val="none"/>
                    </w:rPr>
                  </w:pPr>
                  <w:r>
                    <w:rPr>
                      <w:b/>
                      <w:bCs/>
                      <w:color w:val="auto"/>
                      <w:sz w:val="21"/>
                      <w:szCs w:val="21"/>
                      <w:u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27"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1</w:t>
                  </w:r>
                </w:p>
              </w:tc>
              <w:tc>
                <w:tcPr>
                  <w:tcW w:w="1518"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lang w:eastAsia="en-US"/>
                    </w:rPr>
                    <w:t>废水排放口</w:t>
                  </w:r>
                </w:p>
              </w:tc>
              <w:tc>
                <w:tcPr>
                  <w:tcW w:w="204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drawing>
                      <wp:inline distT="0" distB="0" distL="114300" distR="114300">
                        <wp:extent cx="464185" cy="396240"/>
                        <wp:effectExtent l="0" t="0" r="2540"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2"/>
                                <a:stretch>
                                  <a:fillRect/>
                                </a:stretch>
                              </pic:blipFill>
                              <pic:spPr>
                                <a:xfrm>
                                  <a:off x="0" y="0"/>
                                  <a:ext cx="464185" cy="396240"/>
                                </a:xfrm>
                                <a:prstGeom prst="rect">
                                  <a:avLst/>
                                </a:prstGeom>
                                <a:noFill/>
                                <a:ln>
                                  <a:noFill/>
                                </a:ln>
                              </pic:spPr>
                            </pic:pic>
                          </a:graphicData>
                        </a:graphic>
                      </wp:inline>
                    </w:drawing>
                  </w:r>
                </w:p>
              </w:tc>
              <w:tc>
                <w:tcPr>
                  <w:tcW w:w="257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rFonts w:hint="eastAsia"/>
                      <w:color w:val="auto"/>
                      <w:sz w:val="21"/>
                      <w:szCs w:val="21"/>
                      <w:u w:val="none"/>
                      <w:lang w:eastAsia="en-US"/>
                    </w:rPr>
                    <w:t>表示污水向水体排放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27"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2</w:t>
                  </w:r>
                </w:p>
              </w:tc>
              <w:tc>
                <w:tcPr>
                  <w:tcW w:w="1518"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排气筒</w:t>
                  </w:r>
                </w:p>
              </w:tc>
              <w:tc>
                <w:tcPr>
                  <w:tcW w:w="204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drawing>
                      <wp:inline distT="0" distB="0" distL="114300" distR="114300">
                        <wp:extent cx="458470" cy="426720"/>
                        <wp:effectExtent l="0" t="0" r="8255" b="190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3"/>
                                <a:stretch>
                                  <a:fillRect/>
                                </a:stretch>
                              </pic:blipFill>
                              <pic:spPr>
                                <a:xfrm>
                                  <a:off x="0" y="0"/>
                                  <a:ext cx="458470" cy="426720"/>
                                </a:xfrm>
                                <a:prstGeom prst="rect">
                                  <a:avLst/>
                                </a:prstGeom>
                                <a:noFill/>
                                <a:ln>
                                  <a:noFill/>
                                </a:ln>
                              </pic:spPr>
                            </pic:pic>
                          </a:graphicData>
                        </a:graphic>
                      </wp:inline>
                    </w:drawing>
                  </w:r>
                </w:p>
              </w:tc>
              <w:tc>
                <w:tcPr>
                  <w:tcW w:w="257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27"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3</w:t>
                  </w:r>
                </w:p>
              </w:tc>
              <w:tc>
                <w:tcPr>
                  <w:tcW w:w="1518"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噪声源</w:t>
                  </w:r>
                </w:p>
              </w:tc>
              <w:tc>
                <w:tcPr>
                  <w:tcW w:w="204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drawing>
                      <wp:inline distT="0" distB="0" distL="114300" distR="114300">
                        <wp:extent cx="458470" cy="426720"/>
                        <wp:effectExtent l="0" t="0" r="8255" b="190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24"/>
                                <a:stretch>
                                  <a:fillRect/>
                                </a:stretch>
                              </pic:blipFill>
                              <pic:spPr>
                                <a:xfrm>
                                  <a:off x="0" y="0"/>
                                  <a:ext cx="458470" cy="426720"/>
                                </a:xfrm>
                                <a:prstGeom prst="rect">
                                  <a:avLst/>
                                </a:prstGeom>
                                <a:noFill/>
                                <a:ln>
                                  <a:noFill/>
                                </a:ln>
                              </pic:spPr>
                            </pic:pic>
                          </a:graphicData>
                        </a:graphic>
                      </wp:inline>
                    </w:drawing>
                  </w:r>
                </w:p>
              </w:tc>
              <w:tc>
                <w:tcPr>
                  <w:tcW w:w="257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27"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4</w:t>
                  </w:r>
                </w:p>
              </w:tc>
              <w:tc>
                <w:tcPr>
                  <w:tcW w:w="1518"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rFonts w:hint="eastAsia"/>
                      <w:color w:val="auto"/>
                      <w:sz w:val="21"/>
                      <w:szCs w:val="21"/>
                      <w:u w:val="none"/>
                    </w:rPr>
                    <w:t>一般固废</w:t>
                  </w:r>
                  <w:r>
                    <w:rPr>
                      <w:color w:val="auto"/>
                      <w:sz w:val="21"/>
                      <w:szCs w:val="21"/>
                      <w:u w:val="none"/>
                    </w:rPr>
                    <w:t>堆放</w:t>
                  </w:r>
                  <w:r>
                    <w:rPr>
                      <w:rFonts w:hint="eastAsia"/>
                      <w:color w:val="auto"/>
                      <w:sz w:val="21"/>
                      <w:szCs w:val="21"/>
                      <w:u w:val="none"/>
                    </w:rPr>
                    <w:t>场</w:t>
                  </w:r>
                  <w:r>
                    <w:rPr>
                      <w:color w:val="auto"/>
                      <w:sz w:val="21"/>
                      <w:szCs w:val="21"/>
                      <w:u w:val="none"/>
                    </w:rPr>
                    <w:t>所</w:t>
                  </w:r>
                </w:p>
              </w:tc>
              <w:tc>
                <w:tcPr>
                  <w:tcW w:w="204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drawing>
                      <wp:inline distT="0" distB="0" distL="114300" distR="114300">
                        <wp:extent cx="458470" cy="426720"/>
                        <wp:effectExtent l="0" t="0" r="8255" b="190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5"/>
                                <a:stretch>
                                  <a:fillRect/>
                                </a:stretch>
                              </pic:blipFill>
                              <pic:spPr>
                                <a:xfrm>
                                  <a:off x="0" y="0"/>
                                  <a:ext cx="458470" cy="426720"/>
                                </a:xfrm>
                                <a:prstGeom prst="rect">
                                  <a:avLst/>
                                </a:prstGeom>
                                <a:noFill/>
                                <a:ln>
                                  <a:noFill/>
                                </a:ln>
                              </pic:spPr>
                            </pic:pic>
                          </a:graphicData>
                        </a:graphic>
                      </wp:inline>
                    </w:drawing>
                  </w:r>
                </w:p>
              </w:tc>
              <w:tc>
                <w:tcPr>
                  <w:tcW w:w="257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color w:val="auto"/>
                      <w:sz w:val="21"/>
                      <w:szCs w:val="21"/>
                      <w:u w:val="none"/>
                    </w:rPr>
                    <w:t>表示</w:t>
                  </w:r>
                  <w:r>
                    <w:rPr>
                      <w:rFonts w:hint="eastAsia"/>
                      <w:color w:val="auto"/>
                      <w:sz w:val="21"/>
                      <w:szCs w:val="21"/>
                      <w:u w:val="none"/>
                    </w:rPr>
                    <w:t>一般固废</w:t>
                  </w:r>
                  <w:r>
                    <w:rPr>
                      <w:color w:val="auto"/>
                      <w:sz w:val="21"/>
                      <w:szCs w:val="21"/>
                      <w:u w:val="none"/>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27" w:type="dxa"/>
                  <w:noWrap w:val="0"/>
                  <w:vAlign w:val="center"/>
                </w:tcPr>
                <w:p>
                  <w:pPr>
                    <w:pStyle w:val="41"/>
                    <w:keepNext w:val="0"/>
                    <w:keepLines w:val="0"/>
                    <w:pageBreakBefore w:val="0"/>
                    <w:widowControl w:val="0"/>
                    <w:wordWrap/>
                    <w:topLinePunct w:val="0"/>
                    <w:bidi w:val="0"/>
                    <w:textAlignment w:val="auto"/>
                    <w:rPr>
                      <w:rFonts w:hint="eastAsia" w:eastAsia="宋体"/>
                      <w:color w:val="auto"/>
                      <w:sz w:val="21"/>
                      <w:szCs w:val="21"/>
                      <w:u w:val="single"/>
                      <w:lang w:val="en-US" w:eastAsia="zh-CN"/>
                    </w:rPr>
                  </w:pPr>
                  <w:r>
                    <w:rPr>
                      <w:rFonts w:hint="eastAsia"/>
                      <w:color w:val="auto"/>
                      <w:sz w:val="21"/>
                      <w:szCs w:val="21"/>
                      <w:u w:val="single"/>
                      <w:lang w:val="en-US" w:eastAsia="zh-CN"/>
                    </w:rPr>
                    <w:t>5</w:t>
                  </w:r>
                </w:p>
              </w:tc>
              <w:tc>
                <w:tcPr>
                  <w:tcW w:w="1518" w:type="dxa"/>
                  <w:noWrap w:val="0"/>
                  <w:vAlign w:val="center"/>
                </w:tcPr>
                <w:p>
                  <w:pPr>
                    <w:pStyle w:val="41"/>
                    <w:keepNext w:val="0"/>
                    <w:keepLines w:val="0"/>
                    <w:pageBreakBefore w:val="0"/>
                    <w:widowControl w:val="0"/>
                    <w:wordWrap/>
                    <w:topLinePunct w:val="0"/>
                    <w:bidi w:val="0"/>
                    <w:textAlignment w:val="auto"/>
                    <w:rPr>
                      <w:rFonts w:hint="eastAsia"/>
                      <w:color w:val="auto"/>
                      <w:sz w:val="21"/>
                      <w:szCs w:val="21"/>
                      <w:u w:val="single"/>
                    </w:rPr>
                  </w:pPr>
                  <w:r>
                    <w:rPr>
                      <w:rFonts w:hint="default" w:ascii="Times New Roman" w:hAnsi="Times New Roman" w:eastAsia="宋体" w:cs="Times New Roman"/>
                      <w:b w:val="0"/>
                      <w:bCs w:val="0"/>
                      <w:color w:val="auto"/>
                      <w:sz w:val="21"/>
                      <w:szCs w:val="21"/>
                      <w:highlight w:val="none"/>
                      <w:u w:val="single"/>
                      <w:lang w:val="en-US" w:eastAsia="zh-CN"/>
                    </w:rPr>
                    <w:t>危险废物</w:t>
                  </w:r>
                </w:p>
              </w:tc>
              <w:tc>
                <w:tcPr>
                  <w:tcW w:w="204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drawing>
                      <wp:inline distT="0" distB="0" distL="114300" distR="114300">
                        <wp:extent cx="695325" cy="59055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6"/>
                                <a:stretch>
                                  <a:fillRect/>
                                </a:stretch>
                              </pic:blipFill>
                              <pic:spPr>
                                <a:xfrm>
                                  <a:off x="0" y="0"/>
                                  <a:ext cx="695325" cy="590550"/>
                                </a:xfrm>
                                <a:prstGeom prst="rect">
                                  <a:avLst/>
                                </a:prstGeom>
                                <a:noFill/>
                                <a:ln>
                                  <a:noFill/>
                                </a:ln>
                              </pic:spPr>
                            </pic:pic>
                          </a:graphicData>
                        </a:graphic>
                      </wp:inline>
                    </w:drawing>
                  </w:r>
                </w:p>
              </w:tc>
              <w:tc>
                <w:tcPr>
                  <w:tcW w:w="2572" w:type="dxa"/>
                  <w:noWrap w:val="0"/>
                  <w:vAlign w:val="center"/>
                </w:tcPr>
                <w:p>
                  <w:pPr>
                    <w:pStyle w:val="41"/>
                    <w:keepNext w:val="0"/>
                    <w:keepLines w:val="0"/>
                    <w:pageBreakBefore w:val="0"/>
                    <w:widowControl w:val="0"/>
                    <w:wordWrap/>
                    <w:topLinePunct w:val="0"/>
                    <w:bidi w:val="0"/>
                    <w:textAlignment w:val="auto"/>
                    <w:rPr>
                      <w:color w:val="auto"/>
                      <w:sz w:val="21"/>
                      <w:szCs w:val="21"/>
                      <w:u w:val="none"/>
                    </w:rPr>
                  </w:pPr>
                  <w:r>
                    <w:rPr>
                      <w:rFonts w:hint="default" w:ascii="Times New Roman" w:hAnsi="Times New Roman" w:eastAsia="宋体" w:cs="Times New Roman"/>
                      <w:b w:val="0"/>
                      <w:bCs w:val="0"/>
                      <w:color w:val="auto"/>
                      <w:sz w:val="21"/>
                      <w:szCs w:val="21"/>
                      <w:highlight w:val="none"/>
                      <w:u w:val="single"/>
                      <w:lang w:val="en-US" w:eastAsia="zh-CN"/>
                    </w:rPr>
                    <w:t>表示危险废物贮存、处置场所</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none"/>
              </w:rPr>
            </w:pPr>
            <w:r>
              <w:rPr>
                <w:rFonts w:hint="eastAsia" w:cs="Times New Roman"/>
                <w:color w:val="auto"/>
                <w:sz w:val="24"/>
                <w:szCs w:val="24"/>
                <w:u w:val="none"/>
                <w:lang w:val="en-US" w:eastAsia="zh-CN"/>
              </w:rPr>
              <w:t>5</w:t>
            </w:r>
            <w:r>
              <w:rPr>
                <w:rFonts w:hint="default" w:ascii="Times New Roman" w:hAnsi="Times New Roman" w:eastAsia="宋体" w:cs="Times New Roman"/>
                <w:sz w:val="24"/>
                <w:szCs w:val="24"/>
                <w:u w:val="none"/>
              </w:rPr>
              <w:t>、监督检查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①各级环境保护主管部门应当按照《建设项目环境保护事中事后监督管理办法（试行）》等规定，通过“双随机一公开”抽查制度，强化建设项目环境保护事中事后监督管理。要充分依托建设项目竣工环境保护验收信息平台，采取随机抽取检查对象和随机选派执法检查人员的方式，同时结合重点建设项目定点检查，对建设项目环境保护设施“三同时”落实情况、竣工验收等情况进行监督性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②需要配套建设的环境保护设施未建成、未经验收或者经验收不合格，建设项目已投入生产或者使用的，或者在验收中弄虚作假的，或者建设单位未依法向社会公开验收报告的，县级以上环境保护主管部门应当依照《建设项目环境保护管理条例》的规定予以处罚，并将建设项目有关环境违法信息及时记入诚信档案，及时向社会公开违法者名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③相关地方政府或者政府部门承诺负责实施的环境保护对策措施未按时完成的，环境保护主管部门可以依照法律法规和有关规定采取约谈、综合督查等方式督促相关政府或者政府部门抓紧实施。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 w:leftChars="0"/>
              <w:textAlignment w:val="auto"/>
              <w:rPr>
                <w:rFonts w:hint="eastAsia" w:cs="Times New Roman"/>
                <w:sz w:val="24"/>
                <w:szCs w:val="24"/>
                <w:u w:val="single"/>
                <w:lang w:val="en-US" w:eastAsia="zh-CN"/>
              </w:rPr>
            </w:pPr>
            <w:r>
              <w:rPr>
                <w:rFonts w:hint="eastAsia" w:cs="Times New Roman"/>
                <w:sz w:val="24"/>
                <w:szCs w:val="24"/>
                <w:u w:val="single"/>
                <w:lang w:val="en-US" w:eastAsia="zh-CN"/>
              </w:rPr>
              <w:t>6、环境保护管理要求</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cs="Times New Roman"/>
                <w:sz w:val="24"/>
                <w:szCs w:val="24"/>
                <w:u w:val="single"/>
                <w:lang w:val="en-US" w:eastAsia="zh-CN"/>
              </w:rPr>
            </w:pPr>
            <w:r>
              <w:rPr>
                <w:rFonts w:hint="eastAsia" w:cs="Times New Roman"/>
                <w:sz w:val="24"/>
                <w:szCs w:val="24"/>
                <w:u w:val="single"/>
                <w:lang w:val="en-US" w:eastAsia="zh-CN"/>
              </w:rPr>
              <w:t>需对生产设施与污染处理设施的运行要设置专门的管理人员并建立规范的台账记录，要求有纸质和电子台账。</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u w:val="none"/>
                <w:lang w:val="en-US" w:eastAsia="zh-CN"/>
              </w:rPr>
            </w:pPr>
            <w:r>
              <w:rPr>
                <w:rFonts w:hint="eastAsia" w:cs="Times New Roman"/>
                <w:sz w:val="24"/>
                <w:szCs w:val="24"/>
                <w:u w:val="single"/>
                <w:lang w:val="en-US" w:eastAsia="zh-CN"/>
              </w:rPr>
              <w:t>组织宣传贯彻国家环保方针政策和进行职工环保专业知识的教育。</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u w:val="none"/>
                <w:lang w:val="en-US" w:eastAsia="zh-CN"/>
              </w:rPr>
            </w:pPr>
            <w:r>
              <w:rPr>
                <w:rFonts w:hint="eastAsia" w:cs="Times New Roman"/>
                <w:sz w:val="24"/>
                <w:szCs w:val="24"/>
                <w:u w:val="single"/>
                <w:lang w:val="en-US" w:eastAsia="zh-CN"/>
              </w:rPr>
              <w:t>建议公司在发展过程中一直对设备进行维护、更新和改造，逐步淘汰能耗高、生产落后的设备，另外，需制定有规范的设备巡检制度，有专门的人员对生产设备进行保养、维护和检修，能够及时处理设备出现的故障。</w:t>
            </w:r>
          </w:p>
        </w:tc>
      </w:tr>
    </w:tbl>
    <w:p>
      <w:pPr>
        <w:pStyle w:val="11"/>
        <w:jc w:val="center"/>
        <w:outlineLvl w:val="0"/>
        <w:rPr>
          <w:rFonts w:ascii="黑体" w:hAnsi="黑体" w:eastAsia="黑体"/>
          <w:snapToGrid w:val="0"/>
          <w:color w:val="auto"/>
          <w:sz w:val="30"/>
          <w:szCs w:val="30"/>
        </w:rPr>
      </w:pPr>
      <w:r>
        <w:rPr>
          <w:snapToGrid w:val="0"/>
          <w:color w:val="auto"/>
        </w:rPr>
        <w:br w:type="page"/>
      </w:r>
      <w:bookmarkStart w:id="18" w:name="_Toc15716"/>
      <w:bookmarkStart w:id="19" w:name="_Toc12002"/>
      <w:bookmarkStart w:id="20" w:name="_Toc17456"/>
      <w:r>
        <w:rPr>
          <w:rFonts w:hint="eastAsia" w:ascii="黑体" w:hAnsi="黑体" w:eastAsia="黑体"/>
          <w:snapToGrid w:val="0"/>
          <w:color w:val="auto"/>
          <w:sz w:val="30"/>
          <w:szCs w:val="30"/>
        </w:rPr>
        <w:t>六、结论</w:t>
      </w:r>
      <w:bookmarkEnd w:id="18"/>
      <w:bookmarkEnd w:id="19"/>
      <w:bookmarkEnd w:id="20"/>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center"/>
          </w:tcPr>
          <w:p>
            <w:pPr>
              <w:spacing w:line="360" w:lineRule="auto"/>
              <w:ind w:firstLine="480" w:firstLineChars="200"/>
              <w:rPr>
                <w:rFonts w:hint="eastAsia" w:ascii="宋体" w:cs="宋体"/>
                <w:color w:val="auto"/>
                <w:sz w:val="24"/>
              </w:rPr>
            </w:pPr>
            <w:r>
              <w:rPr>
                <w:rFonts w:ascii="宋体" w:hAnsi="宋体"/>
                <w:snapToGrid w:val="0"/>
                <w:color w:val="auto"/>
                <w:kern w:val="0"/>
                <w:sz w:val="24"/>
              </w:rPr>
              <w:t>本项目</w:t>
            </w:r>
            <w:r>
              <w:rPr>
                <w:rFonts w:hint="eastAsia" w:ascii="宋体" w:hAnsi="宋体"/>
                <w:snapToGrid w:val="0"/>
                <w:color w:val="auto"/>
                <w:kern w:val="0"/>
                <w:sz w:val="24"/>
              </w:rPr>
              <w:t>为</w:t>
            </w:r>
            <w:r>
              <w:rPr>
                <w:rFonts w:hint="default" w:ascii="Times New Roman" w:hAnsi="Times New Roman" w:cs="Times New Roman"/>
                <w:snapToGrid w:val="0"/>
                <w:color w:val="auto"/>
                <w:kern w:val="0"/>
                <w:sz w:val="24"/>
              </w:rPr>
              <w:t>年产340万米聚氨酯泡绵项目，选址于</w:t>
            </w:r>
            <w:r>
              <w:rPr>
                <w:rFonts w:hint="default" w:ascii="Times New Roman" w:hAnsi="Times New Roman" w:cs="Times New Roman"/>
                <w:snapToGrid w:val="0"/>
                <w:color w:val="auto"/>
                <w:kern w:val="0"/>
                <w:sz w:val="24"/>
                <w:lang w:eastAsia="zh-CN"/>
              </w:rPr>
              <w:t>湖南省永州市新田县电子信息产业园</w:t>
            </w:r>
            <w:r>
              <w:rPr>
                <w:rFonts w:hint="default" w:ascii="Times New Roman" w:hAnsi="Times New Roman" w:cs="Times New Roman"/>
                <w:snapToGrid w:val="0"/>
                <w:color w:val="auto"/>
                <w:kern w:val="0"/>
                <w:sz w:val="24"/>
              </w:rPr>
              <w:t>，符合国家及地方产业政策，选址符合用地规划要求；项目生产过程中产生的污染在采取有效的治理措施之后，对周围环境影响较小，不会改变当地环境质量现状；同时本项目对周边环境产生的影响较小，事故风险水平可被接受。因此，从环保的角度出发，该项目在坚持“三同时”原则并按照本报告中提出的各项环保措施治</w:t>
            </w:r>
            <w:r>
              <w:rPr>
                <w:rFonts w:ascii="宋体" w:hAnsi="宋体"/>
                <w:snapToGrid w:val="0"/>
                <w:color w:val="auto"/>
                <w:kern w:val="0"/>
                <w:sz w:val="24"/>
              </w:rPr>
              <w:t>理后是可行的</w:t>
            </w:r>
            <w:r>
              <w:rPr>
                <w:rFonts w:hint="eastAsia" w:ascii="宋体" w:hAnsi="宋体"/>
                <w:snapToGrid w:val="0"/>
                <w:color w:val="auto"/>
                <w:kern w:val="0"/>
                <w:sz w:val="24"/>
              </w:rPr>
              <w:t>。</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1"/>
        <w:adjustRightInd w:val="0"/>
        <w:snapToGrid w:val="0"/>
        <w:spacing w:before="0" w:beforeAutospacing="0" w:after="0" w:afterAutospacing="0"/>
        <w:outlineLvl w:val="0"/>
        <w:rPr>
          <w:rFonts w:hint="eastAsia" w:cs="宋体"/>
          <w:snapToGrid w:val="0"/>
          <w:color w:val="auto"/>
          <w:sz w:val="28"/>
          <w:szCs w:val="28"/>
          <w:highlight w:val="none"/>
        </w:rPr>
      </w:pPr>
      <w:bookmarkStart w:id="21" w:name="_Toc24168"/>
      <w:bookmarkStart w:id="22" w:name="_Toc20646"/>
      <w:bookmarkStart w:id="23" w:name="_Toc3663"/>
      <w:bookmarkStart w:id="24" w:name="_Toc29546"/>
      <w:r>
        <w:rPr>
          <w:rFonts w:hint="eastAsia" w:cs="宋体"/>
          <w:snapToGrid w:val="0"/>
          <w:color w:val="auto"/>
          <w:sz w:val="28"/>
          <w:szCs w:val="28"/>
        </w:rPr>
        <w:t>附表</w:t>
      </w:r>
      <w:bookmarkEnd w:id="21"/>
      <w:bookmarkEnd w:id="22"/>
      <w:bookmarkEnd w:id="23"/>
      <w:bookmarkEnd w:id="24"/>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cs="Times New Roman"/>
          <w:b/>
          <w:bCs/>
          <w:snapToGrid w:val="0"/>
          <w:color w:val="auto"/>
          <w:szCs w:val="24"/>
          <w:highlight w:val="none"/>
        </w:rPr>
      </w:pPr>
      <w:bookmarkStart w:id="25" w:name="_Toc2347"/>
      <w:bookmarkStart w:id="26" w:name="_Toc3992"/>
      <w:r>
        <w:rPr>
          <w:rFonts w:hint="eastAsia" w:cs="宋体"/>
          <w:b/>
          <w:bCs/>
          <w:snapToGrid w:val="0"/>
          <w:color w:val="auto"/>
          <w:szCs w:val="24"/>
          <w:highlight w:val="none"/>
        </w:rPr>
        <w:t>建设项目污染物排放量汇总表</w:t>
      </w:r>
      <w:bookmarkEnd w:id="25"/>
      <w:bookmarkEnd w:id="26"/>
      <w:r>
        <w:rPr>
          <w:rFonts w:hint="eastAsia" w:cs="宋体"/>
          <w:b/>
          <w:bCs/>
          <w:snapToGrid w:val="0"/>
          <w:color w:val="auto"/>
          <w:szCs w:val="24"/>
          <w:highlight w:val="none"/>
        </w:rPr>
        <w:t xml:space="preserve"> </w:t>
      </w:r>
      <w:r>
        <w:rPr>
          <w:rFonts w:hint="default" w:ascii="Times New Roman" w:hAnsi="Times New Roman" w:cs="Times New Roman"/>
          <w:b/>
          <w:bCs/>
          <w:snapToGrid w:val="0"/>
          <w:color w:val="auto"/>
          <w:szCs w:val="24"/>
          <w:highlight w:val="none"/>
        </w:rPr>
        <w:t>单位：t/a</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94"/>
        <w:gridCol w:w="1624"/>
        <w:gridCol w:w="1276"/>
        <w:gridCol w:w="1701"/>
        <w:gridCol w:w="1559"/>
        <w:gridCol w:w="1585"/>
        <w:gridCol w:w="1875"/>
        <w:gridCol w:w="10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nil"/>
              <w:tr2bl w:val="nil"/>
            </w:tcBorders>
            <w:noWrap w:val="0"/>
            <w:tcMar>
              <w:left w:w="28" w:type="dxa"/>
              <w:right w:w="28" w:type="dxa"/>
            </w:tcMar>
            <w:vAlign w:val="center"/>
          </w:tcPr>
          <w:p>
            <w:pPr>
              <w:pStyle w:val="38"/>
              <w:spacing w:beforeLines="0" w:afterLines="0" w:line="240" w:lineRule="atLeast"/>
              <w:jc w:val="righ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pPr>
              <w:pStyle w:val="38"/>
              <w:spacing w:beforeLines="0" w:afterLines="0" w:line="240" w:lineRule="atLeast"/>
              <w:jc w:val="lef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494"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624"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1276" w:type="dxa"/>
            <w:tcBorders>
              <w:tl2br w:val="nil"/>
              <w:tr2bl w:val="nil"/>
            </w:tcBorders>
            <w:noWrap w:val="0"/>
            <w:tcMar>
              <w:left w:w="28" w:type="dxa"/>
              <w:right w:w="28" w:type="dxa"/>
            </w:tcMar>
            <w:vAlign w:val="center"/>
          </w:tcPr>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701"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9"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585"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w:t>
            </w:r>
          </w:p>
          <w:p>
            <w:pPr>
              <w:pStyle w:val="38"/>
              <w:spacing w:beforeLines="0" w:afterLines="0" w:line="240" w:lineRule="atLeast"/>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875" w:type="dxa"/>
            <w:tcBorders>
              <w:tl2br w:val="nil"/>
              <w:tr2bl w:val="nil"/>
            </w:tcBorders>
            <w:noWrap w:val="0"/>
            <w:tcMar>
              <w:left w:w="28" w:type="dxa"/>
              <w:right w:w="28" w:type="dxa"/>
            </w:tcMar>
            <w:vAlign w:val="center"/>
          </w:tcPr>
          <w:p>
            <w:pPr>
              <w:pStyle w:val="38"/>
              <w:spacing w:beforeLines="0" w:afterLines="0" w:line="240" w:lineRule="atLeast"/>
              <w:rPr>
                <w:rFonts w:hint="eastAsia"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pPr>
              <w:pStyle w:val="38"/>
              <w:spacing w:beforeLines="0" w:afterLines="0" w:line="240" w:lineRule="atLeast"/>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1086" w:type="dxa"/>
            <w:tcBorders>
              <w:tl2br w:val="nil"/>
              <w:tr2bl w:val="nil"/>
            </w:tcBorders>
            <w:noWrap w:val="0"/>
            <w:tcMar>
              <w:left w:w="28" w:type="dxa"/>
              <w:right w:w="28" w:type="dxa"/>
            </w:tcMar>
            <w:vAlign w:val="center"/>
          </w:tcPr>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pPr>
              <w:pStyle w:val="38"/>
              <w:spacing w:beforeLines="0" w:afterLines="0" w:line="240" w:lineRule="atLeast"/>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88" w:type="dxa"/>
            <w:vMerge w:val="restart"/>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r>
              <w:rPr>
                <w:rFonts w:hint="eastAsia" w:hAnsi="宋体" w:cs="宋体"/>
                <w:snapToGrid w:val="0"/>
                <w:color w:val="auto"/>
                <w:kern w:val="21"/>
                <w:szCs w:val="21"/>
              </w:rPr>
              <w:t>废气</w:t>
            </w:r>
          </w:p>
        </w:tc>
        <w:tc>
          <w:tcPr>
            <w:tcW w:w="1494" w:type="dxa"/>
            <w:tcBorders>
              <w:tl2br w:val="nil"/>
              <w:tr2bl w:val="nil"/>
            </w:tcBorders>
            <w:noWrap w:val="0"/>
            <w:vAlign w:val="center"/>
          </w:tcPr>
          <w:p>
            <w:pPr>
              <w:pStyle w:val="38"/>
              <w:spacing w:beforeLines="0" w:afterLines="0" w:line="240" w:lineRule="atLeast"/>
              <w:rPr>
                <w:rFonts w:ascii="Times New Roman"/>
                <w:snapToGrid w:val="0"/>
                <w:color w:val="auto"/>
                <w:kern w:val="21"/>
                <w:szCs w:val="21"/>
              </w:rPr>
            </w:pPr>
            <w:r>
              <w:rPr>
                <w:rFonts w:hint="eastAsia" w:ascii="Times New Roman"/>
                <w:snapToGrid w:val="0"/>
                <w:color w:val="auto"/>
                <w:kern w:val="21"/>
                <w:szCs w:val="21"/>
              </w:rPr>
              <w:t>SO</w:t>
            </w:r>
            <w:r>
              <w:rPr>
                <w:rFonts w:hint="eastAsia" w:ascii="Times New Roman"/>
                <w:snapToGrid w:val="0"/>
                <w:color w:val="auto"/>
                <w:kern w:val="21"/>
                <w:szCs w:val="21"/>
                <w:vertAlign w:val="subscript"/>
              </w:rPr>
              <w:t>2</w:t>
            </w:r>
          </w:p>
        </w:tc>
        <w:tc>
          <w:tcPr>
            <w:tcW w:w="1624"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701"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559"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c>
          <w:tcPr>
            <w:tcW w:w="1585"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c>
          <w:tcPr>
            <w:tcW w:w="1086"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eastAsia"/>
                <w:snapToGrid w:val="0"/>
                <w:color w:val="auto"/>
                <w:kern w:val="21"/>
                <w:szCs w:val="21"/>
              </w:rPr>
              <w:t>+</w:t>
            </w:r>
            <w:r>
              <w:rPr>
                <w:rFonts w:hint="default" w:ascii="Times New Roman" w:hAnsi="Times New Roman" w:eastAsia="宋体" w:cs="Times New Roman"/>
                <w:i w:val="0"/>
                <w:iCs w:val="0"/>
                <w:color w:val="000000"/>
                <w:kern w:val="0"/>
                <w:sz w:val="21"/>
                <w:szCs w:val="21"/>
                <w:highlight w:val="none"/>
                <w:u w:val="none"/>
                <w:lang w:val="en-US" w:eastAsia="zh-CN" w:bidi="ar"/>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pStyle w:val="38"/>
              <w:spacing w:beforeLines="0" w:afterLines="0" w:line="240" w:lineRule="atLeast"/>
              <w:rPr>
                <w:rFonts w:ascii="Times New Roman"/>
                <w:snapToGrid w:val="0"/>
                <w:color w:val="auto"/>
                <w:kern w:val="21"/>
                <w:szCs w:val="21"/>
              </w:rPr>
            </w:pPr>
            <w:r>
              <w:rPr>
                <w:rFonts w:hint="eastAsia" w:ascii="Times New Roman"/>
                <w:snapToGrid w:val="0"/>
                <w:color w:val="auto"/>
                <w:kern w:val="21"/>
                <w:szCs w:val="21"/>
              </w:rPr>
              <w:t>NO</w:t>
            </w:r>
            <w:r>
              <w:rPr>
                <w:rFonts w:hint="eastAsia" w:ascii="Times New Roman"/>
                <w:snapToGrid w:val="0"/>
                <w:color w:val="auto"/>
                <w:kern w:val="21"/>
                <w:szCs w:val="21"/>
                <w:vertAlign w:val="subscript"/>
              </w:rPr>
              <w:t>X</w:t>
            </w:r>
          </w:p>
        </w:tc>
        <w:tc>
          <w:tcPr>
            <w:tcW w:w="1624"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701"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559"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71</w:t>
            </w:r>
          </w:p>
        </w:tc>
        <w:tc>
          <w:tcPr>
            <w:tcW w:w="1585"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71</w:t>
            </w:r>
          </w:p>
        </w:tc>
        <w:tc>
          <w:tcPr>
            <w:tcW w:w="1086"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eastAsia"/>
                <w:snapToGrid w:val="0"/>
                <w:color w:val="auto"/>
                <w:kern w:val="21"/>
                <w:szCs w:val="21"/>
              </w:rPr>
              <w:t>+</w:t>
            </w: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pStyle w:val="38"/>
              <w:spacing w:beforeLines="0" w:afterLines="0" w:line="240" w:lineRule="atLeast"/>
              <w:rPr>
                <w:rFonts w:ascii="Times New Roman"/>
                <w:snapToGrid w:val="0"/>
                <w:color w:val="auto"/>
                <w:kern w:val="21"/>
                <w:szCs w:val="21"/>
              </w:rPr>
            </w:pPr>
            <w:r>
              <w:rPr>
                <w:rFonts w:hint="eastAsia" w:ascii="Times New Roman"/>
                <w:snapToGrid w:val="0"/>
                <w:color w:val="auto"/>
                <w:kern w:val="21"/>
                <w:szCs w:val="21"/>
              </w:rPr>
              <w:t>颗粒物</w:t>
            </w:r>
          </w:p>
        </w:tc>
        <w:tc>
          <w:tcPr>
            <w:tcW w:w="1624"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701"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0</w:t>
            </w:r>
          </w:p>
        </w:tc>
        <w:tc>
          <w:tcPr>
            <w:tcW w:w="1559" w:type="dxa"/>
            <w:tcBorders>
              <w:tl2br w:val="nil"/>
              <w:tr2bl w:val="nil"/>
            </w:tcBorders>
            <w:noWrap w:val="0"/>
            <w:vAlign w:val="center"/>
          </w:tcPr>
          <w:p>
            <w:pPr>
              <w:keepNext w:val="0"/>
              <w:keepLines w:val="0"/>
              <w:widowControl/>
              <w:suppressLineNumbers w:val="0"/>
              <w:jc w:val="center"/>
              <w:textAlignment w:val="center"/>
              <w:rPr>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0.11</w:t>
            </w:r>
          </w:p>
        </w:tc>
        <w:tc>
          <w:tcPr>
            <w:tcW w:w="1585"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default" w:ascii="Times New Roman" w:hAnsi="Times New Roman" w:eastAsia="宋体" w:cs="Times New Roman"/>
                <w:i w:val="0"/>
                <w:iCs w:val="0"/>
                <w:color w:val="000000"/>
                <w:kern w:val="0"/>
                <w:sz w:val="21"/>
                <w:szCs w:val="21"/>
                <w:highlight w:val="none"/>
                <w:u w:val="none"/>
                <w:lang w:val="en-US" w:eastAsia="zh-CN" w:bidi="ar"/>
              </w:rPr>
              <w:t>0.11</w:t>
            </w:r>
          </w:p>
        </w:tc>
        <w:tc>
          <w:tcPr>
            <w:tcW w:w="1086"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eastAsia"/>
                <w:snapToGrid w:val="0"/>
                <w:color w:val="auto"/>
                <w:kern w:val="21"/>
                <w:szCs w:val="21"/>
              </w:rPr>
              <w:t>+</w:t>
            </w:r>
            <w:r>
              <w:rPr>
                <w:rFonts w:hint="default" w:ascii="Times New Roman" w:hAnsi="Times New Roman" w:eastAsia="宋体" w:cs="Times New Roman"/>
                <w:i w:val="0"/>
                <w:iCs w:val="0"/>
                <w:color w:val="000000"/>
                <w:kern w:val="0"/>
                <w:sz w:val="21"/>
                <w:szCs w:val="21"/>
                <w:highlight w:val="none"/>
                <w:u w:val="none"/>
                <w:lang w:val="en-US" w:eastAsia="zh-CN" w:bidi="ar"/>
              </w:rPr>
              <w:t>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pStyle w:val="38"/>
              <w:spacing w:beforeLines="0" w:afterLines="0" w:line="240" w:lineRule="atLeast"/>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VOCs</w:t>
            </w:r>
          </w:p>
        </w:tc>
        <w:tc>
          <w:tcPr>
            <w:tcW w:w="1624" w:type="dxa"/>
            <w:tcBorders>
              <w:tl2br w:val="nil"/>
              <w:tr2bl w:val="nil"/>
            </w:tcBorders>
            <w:noWrap w:val="0"/>
            <w:vAlign w:val="center"/>
          </w:tcPr>
          <w:p>
            <w:pPr>
              <w:spacing w:line="240" w:lineRule="atLeast"/>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w:t>
            </w:r>
          </w:p>
        </w:tc>
        <w:tc>
          <w:tcPr>
            <w:tcW w:w="1701" w:type="dxa"/>
            <w:tcBorders>
              <w:tl2br w:val="nil"/>
              <w:tr2bl w:val="nil"/>
            </w:tcBorders>
            <w:noWrap w:val="0"/>
            <w:vAlign w:val="center"/>
          </w:tcPr>
          <w:p>
            <w:pPr>
              <w:spacing w:line="240" w:lineRule="atLeast"/>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w:t>
            </w:r>
          </w:p>
        </w:tc>
        <w:tc>
          <w:tcPr>
            <w:tcW w:w="15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0.03</w:t>
            </w:r>
          </w:p>
        </w:tc>
        <w:tc>
          <w:tcPr>
            <w:tcW w:w="1585" w:type="dxa"/>
            <w:tcBorders>
              <w:tl2br w:val="nil"/>
              <w:tr2bl w:val="nil"/>
            </w:tcBorders>
            <w:noWrap w:val="0"/>
            <w:vAlign w:val="center"/>
          </w:tcPr>
          <w:p>
            <w:pPr>
              <w:spacing w:line="240" w:lineRule="atLeast"/>
              <w:jc w:val="center"/>
              <w:rPr>
                <w:rFonts w:hint="eastAsia"/>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0.03</w:t>
            </w:r>
          </w:p>
        </w:tc>
        <w:tc>
          <w:tcPr>
            <w:tcW w:w="1086" w:type="dxa"/>
            <w:tcBorders>
              <w:tl2br w:val="nil"/>
              <w:tr2bl w:val="nil"/>
            </w:tcBorders>
            <w:noWrap w:val="0"/>
            <w:vAlign w:val="center"/>
          </w:tcPr>
          <w:p>
            <w:pPr>
              <w:keepNext w:val="0"/>
              <w:keepLines w:val="0"/>
              <w:widowControl/>
              <w:suppressLineNumbers w:val="0"/>
              <w:jc w:val="center"/>
              <w:textAlignment w:val="center"/>
              <w:rPr>
                <w:rFonts w:hint="eastAsia"/>
                <w:snapToGrid w:val="0"/>
                <w:color w:val="auto"/>
                <w:kern w:val="21"/>
                <w:szCs w:val="21"/>
              </w:rPr>
            </w:pPr>
            <w:r>
              <w:rPr>
                <w:rFonts w:hint="eastAsia"/>
                <w:snapToGrid w:val="0"/>
                <w:color w:val="auto"/>
                <w:kern w:val="21"/>
                <w:szCs w:val="21"/>
              </w:rPr>
              <w:t>+</w:t>
            </w:r>
            <w:r>
              <w:rPr>
                <w:rFonts w:hint="eastAsia" w:cs="Times New Roman"/>
                <w:i w:val="0"/>
                <w:iCs w:val="0"/>
                <w:color w:val="000000"/>
                <w:kern w:val="0"/>
                <w:sz w:val="21"/>
                <w:szCs w:val="21"/>
                <w:highlight w:val="none"/>
                <w:u w:val="none"/>
                <w:lang w:val="en-US" w:eastAsia="zh-CN" w:bidi="ar"/>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88" w:type="dxa"/>
            <w:vMerge w:val="restart"/>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r>
              <w:rPr>
                <w:rFonts w:hint="eastAsia" w:hAnsi="宋体" w:cs="宋体"/>
                <w:snapToGrid w:val="0"/>
                <w:color w:val="auto"/>
                <w:kern w:val="21"/>
                <w:szCs w:val="21"/>
              </w:rPr>
              <w:t>废水</w:t>
            </w:r>
          </w:p>
        </w:tc>
        <w:tc>
          <w:tcPr>
            <w:tcW w:w="1494" w:type="dxa"/>
            <w:tcBorders>
              <w:tl2br w:val="nil"/>
              <w:tr2bl w:val="nil"/>
            </w:tcBorders>
            <w:noWrap w:val="0"/>
            <w:vAlign w:val="center"/>
          </w:tcPr>
          <w:p>
            <w:pPr>
              <w:overflowPunct w:val="0"/>
              <w:jc w:val="center"/>
              <w:rPr>
                <w:rFonts w:ascii="Times New Roman"/>
                <w:snapToGrid w:val="0"/>
                <w:color w:val="auto"/>
                <w:kern w:val="21"/>
                <w:szCs w:val="21"/>
                <w:highlight w:val="none"/>
              </w:rPr>
            </w:pPr>
            <w:r>
              <w:rPr>
                <w:color w:val="auto"/>
                <w:sz w:val="21"/>
                <w:szCs w:val="21"/>
                <w:highlight w:val="none"/>
                <w:u w:val="none"/>
              </w:rPr>
              <w:t>CODcr</w:t>
            </w:r>
          </w:p>
        </w:tc>
        <w:tc>
          <w:tcPr>
            <w:tcW w:w="1624"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276"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701"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559" w:type="dxa"/>
            <w:tcBorders>
              <w:tl2br w:val="nil"/>
              <w:tr2bl w:val="nil"/>
            </w:tcBorders>
            <w:noWrap w:val="0"/>
            <w:vAlign w:val="center"/>
          </w:tcPr>
          <w:p>
            <w:pPr>
              <w:overflowPunct w:val="0"/>
              <w:jc w:val="center"/>
              <w:rPr>
                <w:rFonts w:hint="default" w:eastAsia="宋体"/>
                <w:color w:val="auto"/>
                <w:szCs w:val="21"/>
                <w:highlight w:val="none"/>
                <w:lang w:val="en-US" w:eastAsia="zh-CN"/>
              </w:rPr>
            </w:pPr>
            <w:r>
              <w:rPr>
                <w:rFonts w:hint="eastAsia"/>
                <w:color w:val="auto"/>
                <w:sz w:val="21"/>
                <w:szCs w:val="21"/>
                <w:highlight w:val="none"/>
                <w:u w:val="none"/>
                <w:lang w:val="en-US" w:eastAsia="zh-CN"/>
              </w:rPr>
              <w:t>0.09</w:t>
            </w:r>
          </w:p>
        </w:tc>
        <w:tc>
          <w:tcPr>
            <w:tcW w:w="1585"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w:t>
            </w:r>
          </w:p>
        </w:tc>
        <w:tc>
          <w:tcPr>
            <w:tcW w:w="1875"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0.09</w:t>
            </w:r>
          </w:p>
        </w:tc>
        <w:tc>
          <w:tcPr>
            <w:tcW w:w="1086" w:type="dxa"/>
            <w:tcBorders>
              <w:tl2br w:val="nil"/>
              <w:tr2bl w:val="nil"/>
            </w:tcBorders>
            <w:noWrap w:val="0"/>
            <w:vAlign w:val="center"/>
          </w:tcPr>
          <w:p>
            <w:pPr>
              <w:overflowPunct w:val="0"/>
              <w:jc w:val="center"/>
              <w:rPr>
                <w:rFonts w:hint="default" w:ascii="宋体" w:hAnsi="宋体" w:cs="宋体"/>
                <w:snapToGrid w:val="0"/>
                <w:color w:val="auto"/>
                <w:kern w:val="21"/>
                <w:szCs w:val="21"/>
                <w:highlight w:val="none"/>
                <w:lang w:val="en-US"/>
              </w:rPr>
            </w:pPr>
            <w:r>
              <w:rPr>
                <w:rFonts w:hint="eastAsia"/>
                <w:snapToGrid w:val="0"/>
                <w:color w:val="auto"/>
                <w:kern w:val="21"/>
                <w:szCs w:val="21"/>
              </w:rPr>
              <w:t>+</w:t>
            </w:r>
            <w:r>
              <w:rPr>
                <w:rFonts w:hint="eastAsia"/>
                <w:color w:val="auto"/>
                <w:sz w:val="21"/>
                <w:szCs w:val="21"/>
                <w:highlight w:val="none"/>
                <w:u w:val="none"/>
                <w:lang w:val="en-US" w:eastAsia="zh-CN"/>
              </w:rPr>
              <w:t>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overflowPunct w:val="0"/>
              <w:jc w:val="center"/>
              <w:rPr>
                <w:rFonts w:ascii="Times New Roman"/>
                <w:snapToGrid w:val="0"/>
                <w:color w:val="auto"/>
                <w:kern w:val="21"/>
                <w:szCs w:val="21"/>
                <w:highlight w:val="none"/>
              </w:rPr>
            </w:pPr>
            <w:r>
              <w:rPr>
                <w:color w:val="auto"/>
                <w:sz w:val="21"/>
                <w:szCs w:val="21"/>
                <w:highlight w:val="none"/>
                <w:u w:val="none"/>
              </w:rPr>
              <w:t>BOD</w:t>
            </w:r>
            <w:r>
              <w:rPr>
                <w:color w:val="auto"/>
                <w:sz w:val="21"/>
                <w:szCs w:val="21"/>
                <w:highlight w:val="none"/>
                <w:u w:val="none"/>
                <w:vertAlign w:val="subscript"/>
              </w:rPr>
              <w:t>5</w:t>
            </w:r>
          </w:p>
        </w:tc>
        <w:tc>
          <w:tcPr>
            <w:tcW w:w="1624"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276"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701"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559"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0.054</w:t>
            </w:r>
          </w:p>
        </w:tc>
        <w:tc>
          <w:tcPr>
            <w:tcW w:w="1585"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w:t>
            </w:r>
          </w:p>
        </w:tc>
        <w:tc>
          <w:tcPr>
            <w:tcW w:w="1875"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0.054</w:t>
            </w:r>
          </w:p>
        </w:tc>
        <w:tc>
          <w:tcPr>
            <w:tcW w:w="1086" w:type="dxa"/>
            <w:tcBorders>
              <w:tl2br w:val="nil"/>
              <w:tr2bl w:val="nil"/>
            </w:tcBorders>
            <w:noWrap w:val="0"/>
            <w:vAlign w:val="center"/>
          </w:tcPr>
          <w:p>
            <w:pPr>
              <w:overflowPunct w:val="0"/>
              <w:jc w:val="center"/>
              <w:rPr>
                <w:rFonts w:hint="eastAsia" w:hAnsi="宋体" w:cs="宋体"/>
                <w:snapToGrid w:val="0"/>
                <w:color w:val="auto"/>
                <w:kern w:val="21"/>
                <w:szCs w:val="21"/>
                <w:highlight w:val="none"/>
              </w:rPr>
            </w:pPr>
            <w:r>
              <w:rPr>
                <w:rFonts w:hint="eastAsia"/>
                <w:snapToGrid w:val="0"/>
                <w:color w:val="auto"/>
                <w:kern w:val="21"/>
                <w:szCs w:val="21"/>
              </w:rPr>
              <w:t>+</w:t>
            </w:r>
            <w:r>
              <w:rPr>
                <w:rFonts w:hint="eastAsia"/>
                <w:color w:val="auto"/>
                <w:sz w:val="21"/>
                <w:szCs w:val="21"/>
                <w:highlight w:val="none"/>
                <w:u w:val="none"/>
                <w:lang w:val="en-US" w:eastAsia="zh-CN"/>
              </w:rPr>
              <w:t>0.054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overflowPunct w:val="0"/>
              <w:jc w:val="center"/>
              <w:rPr>
                <w:rFonts w:ascii="Times New Roman"/>
                <w:snapToGrid w:val="0"/>
                <w:color w:val="auto"/>
                <w:kern w:val="21"/>
                <w:szCs w:val="21"/>
                <w:highlight w:val="none"/>
              </w:rPr>
            </w:pPr>
            <w:r>
              <w:rPr>
                <w:color w:val="auto"/>
                <w:sz w:val="21"/>
                <w:szCs w:val="21"/>
                <w:highlight w:val="none"/>
                <w:u w:val="none"/>
              </w:rPr>
              <w:t>SS</w:t>
            </w:r>
          </w:p>
        </w:tc>
        <w:tc>
          <w:tcPr>
            <w:tcW w:w="1624"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276"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701"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559"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0.072</w:t>
            </w:r>
          </w:p>
        </w:tc>
        <w:tc>
          <w:tcPr>
            <w:tcW w:w="1585"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w:t>
            </w:r>
          </w:p>
        </w:tc>
        <w:tc>
          <w:tcPr>
            <w:tcW w:w="1875"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0.072</w:t>
            </w:r>
          </w:p>
        </w:tc>
        <w:tc>
          <w:tcPr>
            <w:tcW w:w="1086" w:type="dxa"/>
            <w:tcBorders>
              <w:tl2br w:val="nil"/>
              <w:tr2bl w:val="nil"/>
            </w:tcBorders>
            <w:noWrap w:val="0"/>
            <w:vAlign w:val="center"/>
          </w:tcPr>
          <w:p>
            <w:pPr>
              <w:overflowPunct w:val="0"/>
              <w:jc w:val="center"/>
              <w:rPr>
                <w:rFonts w:hint="eastAsia" w:hAnsi="宋体" w:cs="宋体"/>
                <w:snapToGrid w:val="0"/>
                <w:color w:val="auto"/>
                <w:kern w:val="21"/>
                <w:szCs w:val="21"/>
                <w:highlight w:val="none"/>
              </w:rPr>
            </w:pPr>
            <w:r>
              <w:rPr>
                <w:rFonts w:hint="eastAsia"/>
                <w:snapToGrid w:val="0"/>
                <w:color w:val="auto"/>
                <w:kern w:val="21"/>
                <w:szCs w:val="21"/>
              </w:rPr>
              <w:t>+</w:t>
            </w:r>
            <w:r>
              <w:rPr>
                <w:rFonts w:hint="eastAsia"/>
                <w:color w:val="auto"/>
                <w:sz w:val="21"/>
                <w:szCs w:val="21"/>
                <w:highlight w:val="none"/>
                <w:u w:val="none"/>
                <w:lang w:val="en-US" w:eastAsia="zh-CN"/>
              </w:rPr>
              <w:t>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overflowPunct w:val="0"/>
              <w:jc w:val="center"/>
              <w:rPr>
                <w:rFonts w:ascii="Times New Roman"/>
                <w:snapToGrid w:val="0"/>
                <w:color w:val="auto"/>
                <w:kern w:val="21"/>
                <w:szCs w:val="21"/>
                <w:highlight w:val="none"/>
              </w:rPr>
            </w:pPr>
            <w:r>
              <w:rPr>
                <w:color w:val="auto"/>
                <w:sz w:val="21"/>
                <w:szCs w:val="21"/>
                <w:highlight w:val="none"/>
                <w:u w:val="none"/>
              </w:rPr>
              <w:t>NH</w:t>
            </w:r>
            <w:r>
              <w:rPr>
                <w:color w:val="auto"/>
                <w:sz w:val="21"/>
                <w:szCs w:val="21"/>
                <w:highlight w:val="none"/>
                <w:u w:val="none"/>
                <w:vertAlign w:val="subscript"/>
              </w:rPr>
              <w:t>3</w:t>
            </w:r>
            <w:r>
              <w:rPr>
                <w:color w:val="auto"/>
                <w:sz w:val="21"/>
                <w:szCs w:val="21"/>
                <w:highlight w:val="none"/>
                <w:u w:val="none"/>
              </w:rPr>
              <w:t xml:space="preserve">-H </w:t>
            </w:r>
          </w:p>
        </w:tc>
        <w:tc>
          <w:tcPr>
            <w:tcW w:w="1624"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276"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701"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0</w:t>
            </w:r>
          </w:p>
        </w:tc>
        <w:tc>
          <w:tcPr>
            <w:tcW w:w="1559"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0.0072</w:t>
            </w:r>
          </w:p>
        </w:tc>
        <w:tc>
          <w:tcPr>
            <w:tcW w:w="1585" w:type="dxa"/>
            <w:tcBorders>
              <w:tl2br w:val="nil"/>
              <w:tr2bl w:val="nil"/>
            </w:tcBorders>
            <w:noWrap w:val="0"/>
            <w:vAlign w:val="center"/>
          </w:tcPr>
          <w:p>
            <w:pPr>
              <w:spacing w:line="240" w:lineRule="atLeast"/>
              <w:jc w:val="center"/>
              <w:rPr>
                <w:snapToGrid w:val="0"/>
                <w:color w:val="auto"/>
                <w:kern w:val="21"/>
                <w:szCs w:val="21"/>
                <w:highlight w:val="none"/>
              </w:rPr>
            </w:pPr>
            <w:r>
              <w:rPr>
                <w:rFonts w:hint="eastAsia"/>
                <w:snapToGrid w:val="0"/>
                <w:color w:val="auto"/>
                <w:kern w:val="21"/>
                <w:szCs w:val="21"/>
                <w:highlight w:val="none"/>
              </w:rPr>
              <w:t>-</w:t>
            </w:r>
          </w:p>
        </w:tc>
        <w:tc>
          <w:tcPr>
            <w:tcW w:w="1875" w:type="dxa"/>
            <w:tcBorders>
              <w:tl2br w:val="nil"/>
              <w:tr2bl w:val="nil"/>
            </w:tcBorders>
            <w:noWrap w:val="0"/>
            <w:vAlign w:val="center"/>
          </w:tcPr>
          <w:p>
            <w:pPr>
              <w:overflowPunct w:val="0"/>
              <w:jc w:val="center"/>
              <w:rPr>
                <w:color w:val="auto"/>
                <w:szCs w:val="21"/>
                <w:highlight w:val="none"/>
              </w:rPr>
            </w:pPr>
            <w:r>
              <w:rPr>
                <w:rFonts w:hint="eastAsia"/>
                <w:color w:val="auto"/>
                <w:sz w:val="21"/>
                <w:szCs w:val="21"/>
                <w:highlight w:val="none"/>
                <w:u w:val="none"/>
                <w:lang w:val="en-US" w:eastAsia="zh-CN"/>
              </w:rPr>
              <w:t>0.0072</w:t>
            </w:r>
          </w:p>
        </w:tc>
        <w:tc>
          <w:tcPr>
            <w:tcW w:w="1086" w:type="dxa"/>
            <w:tcBorders>
              <w:tl2br w:val="nil"/>
              <w:tr2bl w:val="nil"/>
            </w:tcBorders>
            <w:noWrap w:val="0"/>
            <w:vAlign w:val="center"/>
          </w:tcPr>
          <w:p>
            <w:pPr>
              <w:overflowPunct w:val="0"/>
              <w:jc w:val="center"/>
              <w:rPr>
                <w:rFonts w:hint="eastAsia" w:hAnsi="宋体" w:cs="宋体"/>
                <w:snapToGrid w:val="0"/>
                <w:color w:val="auto"/>
                <w:kern w:val="21"/>
                <w:szCs w:val="21"/>
                <w:highlight w:val="none"/>
              </w:rPr>
            </w:pPr>
            <w:r>
              <w:rPr>
                <w:rFonts w:hint="eastAsia"/>
                <w:snapToGrid w:val="0"/>
                <w:color w:val="auto"/>
                <w:kern w:val="21"/>
                <w:szCs w:val="21"/>
              </w:rPr>
              <w:t>+</w:t>
            </w:r>
            <w:r>
              <w:rPr>
                <w:rFonts w:hint="eastAsia"/>
                <w:color w:val="auto"/>
                <w:sz w:val="21"/>
                <w:szCs w:val="21"/>
                <w:highlight w:val="none"/>
                <w:u w:val="none"/>
                <w:lang w:val="en-US" w:eastAsia="zh-CN"/>
              </w:rPr>
              <w:t>0.0072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tcBorders>
              <w:tl2br w:val="nil"/>
              <w:tr2bl w:val="nil"/>
            </w:tcBorders>
            <w:noWrap w:val="0"/>
            <w:vAlign w:val="center"/>
          </w:tcPr>
          <w:p>
            <w:pPr>
              <w:pStyle w:val="38"/>
              <w:spacing w:beforeLines="0" w:afterLines="0" w:line="240" w:lineRule="atLeast"/>
              <w:rPr>
                <w:rFonts w:hAnsi="宋体" w:cs="宋体"/>
                <w:snapToGrid w:val="0"/>
                <w:color w:val="auto"/>
                <w:kern w:val="21"/>
                <w:szCs w:val="21"/>
              </w:rPr>
            </w:pPr>
            <w:r>
              <w:rPr>
                <w:rFonts w:hint="eastAsia" w:hAnsi="宋体" w:cs="宋体"/>
                <w:snapToGrid w:val="0"/>
                <w:color w:val="auto"/>
                <w:kern w:val="21"/>
                <w:szCs w:val="21"/>
              </w:rPr>
              <w:t>一般工业</w:t>
            </w:r>
          </w:p>
          <w:p>
            <w:pPr>
              <w:pStyle w:val="38"/>
              <w:spacing w:beforeLines="0" w:afterLines="0" w:line="240" w:lineRule="atLeast"/>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1494" w:type="dxa"/>
            <w:tcBorders>
              <w:tl2br w:val="nil"/>
              <w:tr2bl w:val="nil"/>
            </w:tcBorders>
            <w:noWrap w:val="0"/>
            <w:vAlign w:val="center"/>
          </w:tcPr>
          <w:p>
            <w:pPr>
              <w:pStyle w:val="30"/>
              <w:overflowPunct w:val="0"/>
              <w:adjustRightInd/>
              <w:jc w:val="center"/>
              <w:rPr>
                <w:rFonts w:hint="eastAsia"/>
                <w:color w:val="auto"/>
                <w:sz w:val="21"/>
                <w:szCs w:val="21"/>
              </w:rPr>
            </w:pPr>
            <w:r>
              <w:rPr>
                <w:rFonts w:hint="eastAsia"/>
                <w:color w:val="auto"/>
                <w:sz w:val="21"/>
                <w:szCs w:val="21"/>
                <w:highlight w:val="none"/>
                <w:u w:val="none"/>
              </w:rPr>
              <w:t>废边角料</w:t>
            </w:r>
          </w:p>
        </w:tc>
        <w:tc>
          <w:tcPr>
            <w:tcW w:w="1624"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0</w:t>
            </w:r>
          </w:p>
        </w:tc>
        <w:tc>
          <w:tcPr>
            <w:tcW w:w="1701" w:type="dxa"/>
            <w:tcBorders>
              <w:tl2br w:val="nil"/>
              <w:tr2bl w:val="nil"/>
            </w:tcBorders>
            <w:noWrap w:val="0"/>
            <w:vAlign w:val="center"/>
          </w:tcPr>
          <w:p>
            <w:pPr>
              <w:overflowPunct w:val="0"/>
              <w:jc w:val="center"/>
              <w:rPr>
                <w:color w:val="auto"/>
                <w:kern w:val="0"/>
                <w:szCs w:val="21"/>
              </w:rPr>
            </w:pPr>
            <w:r>
              <w:rPr>
                <w:rFonts w:hint="eastAsia"/>
                <w:snapToGrid w:val="0"/>
                <w:color w:val="auto"/>
                <w:kern w:val="21"/>
                <w:szCs w:val="21"/>
              </w:rPr>
              <w:t>0</w:t>
            </w:r>
          </w:p>
        </w:tc>
        <w:tc>
          <w:tcPr>
            <w:tcW w:w="1559" w:type="dxa"/>
            <w:tcBorders>
              <w:tl2br w:val="nil"/>
              <w:tr2bl w:val="nil"/>
            </w:tcBorders>
            <w:noWrap w:val="0"/>
            <w:vAlign w:val="center"/>
          </w:tcPr>
          <w:p>
            <w:pPr>
              <w:widowControl/>
              <w:overflowPunct w:val="0"/>
              <w:jc w:val="center"/>
              <w:textAlignment w:val="center"/>
              <w:rPr>
                <w:rFonts w:hint="default"/>
                <w:color w:val="auto"/>
                <w:kern w:val="0"/>
                <w:szCs w:val="21"/>
                <w:lang w:val="en-US" w:bidi="ar"/>
              </w:rPr>
            </w:pPr>
            <w:r>
              <w:rPr>
                <w:rFonts w:hint="eastAsia"/>
                <w:color w:val="auto"/>
                <w:kern w:val="0"/>
                <w:szCs w:val="21"/>
                <w:highlight w:val="none"/>
                <w:u w:val="none"/>
                <w:lang w:val="en-US" w:eastAsia="zh-CN" w:bidi="ar"/>
              </w:rPr>
              <w:t>34</w:t>
            </w:r>
          </w:p>
        </w:tc>
        <w:tc>
          <w:tcPr>
            <w:tcW w:w="1585"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widowControl/>
              <w:overflowPunct w:val="0"/>
              <w:jc w:val="center"/>
              <w:textAlignment w:val="center"/>
              <w:rPr>
                <w:color w:val="auto"/>
                <w:kern w:val="0"/>
                <w:szCs w:val="21"/>
                <w:lang w:bidi="ar"/>
              </w:rPr>
            </w:pPr>
            <w:r>
              <w:rPr>
                <w:rFonts w:hint="eastAsia"/>
                <w:color w:val="auto"/>
                <w:kern w:val="0"/>
                <w:szCs w:val="21"/>
                <w:highlight w:val="none"/>
                <w:u w:val="none"/>
                <w:lang w:val="en-US" w:eastAsia="zh-CN" w:bidi="ar"/>
              </w:rPr>
              <w:t>34</w:t>
            </w:r>
          </w:p>
        </w:tc>
        <w:tc>
          <w:tcPr>
            <w:tcW w:w="1086" w:type="dxa"/>
            <w:tcBorders>
              <w:tl2br w:val="nil"/>
              <w:tr2bl w:val="nil"/>
            </w:tcBorders>
            <w:noWrap w:val="0"/>
            <w:vAlign w:val="center"/>
          </w:tcPr>
          <w:p>
            <w:pPr>
              <w:widowControl/>
              <w:overflowPunct w:val="0"/>
              <w:jc w:val="center"/>
              <w:textAlignment w:val="center"/>
              <w:rPr>
                <w:color w:val="auto"/>
                <w:kern w:val="0"/>
                <w:szCs w:val="21"/>
                <w:lang w:bidi="ar"/>
              </w:rPr>
            </w:pPr>
            <w:r>
              <w:rPr>
                <w:rFonts w:hint="eastAsia"/>
                <w:snapToGrid w:val="0"/>
                <w:color w:val="auto"/>
                <w:kern w:val="21"/>
                <w:szCs w:val="21"/>
              </w:rPr>
              <w:t>+</w:t>
            </w:r>
            <w:r>
              <w:rPr>
                <w:rFonts w:hint="eastAsia"/>
                <w:color w:val="auto"/>
                <w:kern w:val="0"/>
                <w:szCs w:val="21"/>
                <w:highlight w:val="none"/>
                <w:u w:val="none"/>
                <w:lang w:val="en-US" w:eastAsia="zh-CN" w:bidi="ar"/>
              </w:rPr>
              <w:t>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Ansi="宋体" w:cs="宋体"/>
                <w:snapToGrid w:val="0"/>
                <w:color w:val="auto"/>
                <w:kern w:val="21"/>
                <w:szCs w:val="21"/>
              </w:rPr>
            </w:pPr>
          </w:p>
        </w:tc>
        <w:tc>
          <w:tcPr>
            <w:tcW w:w="1494" w:type="dxa"/>
            <w:tcBorders>
              <w:tl2br w:val="nil"/>
              <w:tr2bl w:val="nil"/>
            </w:tcBorders>
            <w:noWrap w:val="0"/>
            <w:vAlign w:val="center"/>
          </w:tcPr>
          <w:p>
            <w:pPr>
              <w:pStyle w:val="30"/>
              <w:overflowPunct w:val="0"/>
              <w:adjustRightInd/>
              <w:jc w:val="center"/>
              <w:rPr>
                <w:rFonts w:hint="eastAsia"/>
                <w:color w:val="auto"/>
                <w:sz w:val="21"/>
                <w:szCs w:val="21"/>
              </w:rPr>
            </w:pPr>
            <w:r>
              <w:rPr>
                <w:rFonts w:hint="eastAsia"/>
                <w:color w:val="auto"/>
                <w:sz w:val="21"/>
                <w:szCs w:val="21"/>
                <w:highlight w:val="none"/>
                <w:u w:val="none"/>
                <w:lang w:eastAsia="zh-CN"/>
              </w:rPr>
              <w:t>原料</w:t>
            </w:r>
            <w:r>
              <w:rPr>
                <w:rFonts w:hint="eastAsia"/>
                <w:color w:val="auto"/>
                <w:sz w:val="21"/>
                <w:szCs w:val="21"/>
                <w:highlight w:val="none"/>
                <w:u w:val="none"/>
              </w:rPr>
              <w:t>包装桶</w:t>
            </w:r>
          </w:p>
        </w:tc>
        <w:tc>
          <w:tcPr>
            <w:tcW w:w="1624"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0</w:t>
            </w:r>
          </w:p>
        </w:tc>
        <w:tc>
          <w:tcPr>
            <w:tcW w:w="1701" w:type="dxa"/>
            <w:tcBorders>
              <w:tl2br w:val="nil"/>
              <w:tr2bl w:val="nil"/>
            </w:tcBorders>
            <w:noWrap w:val="0"/>
            <w:vAlign w:val="center"/>
          </w:tcPr>
          <w:p>
            <w:pPr>
              <w:overflowPunct w:val="0"/>
              <w:jc w:val="center"/>
              <w:rPr>
                <w:color w:val="auto"/>
                <w:kern w:val="0"/>
                <w:szCs w:val="21"/>
              </w:rPr>
            </w:pPr>
            <w:r>
              <w:rPr>
                <w:rFonts w:hint="eastAsia"/>
                <w:snapToGrid w:val="0"/>
                <w:color w:val="auto"/>
                <w:kern w:val="21"/>
                <w:szCs w:val="21"/>
              </w:rPr>
              <w:t>0</w:t>
            </w:r>
          </w:p>
        </w:tc>
        <w:tc>
          <w:tcPr>
            <w:tcW w:w="1559" w:type="dxa"/>
            <w:tcBorders>
              <w:tl2br w:val="nil"/>
              <w:tr2bl w:val="nil"/>
            </w:tcBorders>
            <w:noWrap w:val="0"/>
            <w:vAlign w:val="center"/>
          </w:tcPr>
          <w:p>
            <w:pPr>
              <w:widowControl/>
              <w:overflowPunct w:val="0"/>
              <w:jc w:val="center"/>
              <w:textAlignment w:val="center"/>
              <w:rPr>
                <w:color w:val="auto"/>
                <w:kern w:val="0"/>
                <w:szCs w:val="21"/>
                <w:lang w:bidi="ar"/>
              </w:rPr>
            </w:pPr>
            <w:r>
              <w:rPr>
                <w:rFonts w:hint="eastAsia"/>
                <w:color w:val="auto"/>
                <w:kern w:val="0"/>
                <w:szCs w:val="21"/>
                <w:highlight w:val="none"/>
                <w:u w:val="none"/>
                <w:lang w:val="en-US" w:eastAsia="zh-CN" w:bidi="ar"/>
              </w:rPr>
              <w:t>7</w:t>
            </w:r>
          </w:p>
        </w:tc>
        <w:tc>
          <w:tcPr>
            <w:tcW w:w="1585" w:type="dxa"/>
            <w:tcBorders>
              <w:tl2br w:val="nil"/>
              <w:tr2bl w:val="nil"/>
            </w:tcBorders>
            <w:noWrap w:val="0"/>
            <w:vAlign w:val="center"/>
          </w:tcPr>
          <w:p>
            <w:pPr>
              <w:spacing w:line="240" w:lineRule="atLeast"/>
              <w:jc w:val="center"/>
              <w:rPr>
                <w:snapToGrid w:val="0"/>
                <w:color w:val="auto"/>
                <w:kern w:val="21"/>
                <w:szCs w:val="21"/>
              </w:rPr>
            </w:pPr>
            <w:r>
              <w:rPr>
                <w:rFonts w:hint="eastAsia"/>
                <w:snapToGrid w:val="0"/>
                <w:color w:val="auto"/>
                <w:kern w:val="21"/>
                <w:szCs w:val="21"/>
              </w:rPr>
              <w:t>-</w:t>
            </w:r>
          </w:p>
        </w:tc>
        <w:tc>
          <w:tcPr>
            <w:tcW w:w="1875" w:type="dxa"/>
            <w:tcBorders>
              <w:tl2br w:val="nil"/>
              <w:tr2bl w:val="nil"/>
            </w:tcBorders>
            <w:noWrap w:val="0"/>
            <w:vAlign w:val="center"/>
          </w:tcPr>
          <w:p>
            <w:pPr>
              <w:widowControl/>
              <w:overflowPunct w:val="0"/>
              <w:jc w:val="center"/>
              <w:textAlignment w:val="center"/>
              <w:rPr>
                <w:color w:val="auto"/>
                <w:kern w:val="0"/>
                <w:szCs w:val="21"/>
                <w:lang w:bidi="ar"/>
              </w:rPr>
            </w:pPr>
            <w:r>
              <w:rPr>
                <w:rFonts w:hint="eastAsia"/>
                <w:color w:val="auto"/>
                <w:kern w:val="0"/>
                <w:szCs w:val="21"/>
                <w:highlight w:val="none"/>
                <w:u w:val="none"/>
                <w:lang w:val="en-US" w:eastAsia="zh-CN" w:bidi="ar"/>
              </w:rPr>
              <w:t>7</w:t>
            </w:r>
          </w:p>
        </w:tc>
        <w:tc>
          <w:tcPr>
            <w:tcW w:w="1086" w:type="dxa"/>
            <w:tcBorders>
              <w:tl2br w:val="nil"/>
              <w:tr2bl w:val="nil"/>
            </w:tcBorders>
            <w:noWrap w:val="0"/>
            <w:vAlign w:val="center"/>
          </w:tcPr>
          <w:p>
            <w:pPr>
              <w:widowControl/>
              <w:overflowPunct w:val="0"/>
              <w:jc w:val="center"/>
              <w:textAlignment w:val="center"/>
              <w:rPr>
                <w:color w:val="auto"/>
                <w:kern w:val="0"/>
                <w:szCs w:val="21"/>
                <w:lang w:bidi="ar"/>
              </w:rPr>
            </w:pPr>
            <w:r>
              <w:rPr>
                <w:rFonts w:hint="eastAsia"/>
                <w:snapToGrid w:val="0"/>
                <w:color w:val="auto"/>
                <w:kern w:val="21"/>
                <w:szCs w:val="21"/>
              </w:rPr>
              <w:t>+</w:t>
            </w:r>
            <w:r>
              <w:rPr>
                <w:rFonts w:hint="eastAsia"/>
                <w:color w:val="auto"/>
                <w:kern w:val="0"/>
                <w:szCs w:val="21"/>
                <w:highlight w:val="none"/>
                <w:u w:val="none"/>
                <w:lang w:val="en-US" w:eastAsia="zh-CN" w:bidi="ar"/>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p>
        </w:tc>
        <w:tc>
          <w:tcPr>
            <w:tcW w:w="1494" w:type="dxa"/>
            <w:tcBorders>
              <w:tl2br w:val="nil"/>
              <w:tr2bl w:val="nil"/>
            </w:tcBorders>
            <w:noWrap w:val="0"/>
            <w:vAlign w:val="center"/>
          </w:tcPr>
          <w:p>
            <w:pPr>
              <w:pStyle w:val="30"/>
              <w:overflowPunct w:val="0"/>
              <w:adjustRightInd/>
              <w:jc w:val="center"/>
              <w:rPr>
                <w:rFonts w:hint="eastAsia" w:ascii="Times New Roman" w:hAnsi="Times New Roman" w:eastAsia="宋体" w:cs="Times New Roman"/>
                <w:color w:val="auto"/>
                <w:kern w:val="0"/>
                <w:sz w:val="21"/>
                <w:szCs w:val="21"/>
                <w:lang w:val="en-US" w:eastAsia="zh-CN" w:bidi="ar-SA"/>
              </w:rPr>
            </w:pPr>
            <w:r>
              <w:rPr>
                <w:color w:val="auto"/>
                <w:sz w:val="21"/>
                <w:szCs w:val="21"/>
                <w:highlight w:val="none"/>
                <w:u w:val="none"/>
              </w:rPr>
              <w:t>生活垃圾</w:t>
            </w:r>
          </w:p>
        </w:tc>
        <w:tc>
          <w:tcPr>
            <w:tcW w:w="1624" w:type="dxa"/>
            <w:tcBorders>
              <w:tl2br w:val="nil"/>
              <w:tr2bl w:val="nil"/>
            </w:tcBorders>
            <w:noWrap w:val="0"/>
            <w:vAlign w:val="center"/>
          </w:tcPr>
          <w:p>
            <w:pPr>
              <w:spacing w:line="240" w:lineRule="atLeast"/>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w:t>
            </w:r>
          </w:p>
        </w:tc>
        <w:tc>
          <w:tcPr>
            <w:tcW w:w="1701" w:type="dxa"/>
            <w:tcBorders>
              <w:tl2br w:val="nil"/>
              <w:tr2bl w:val="nil"/>
            </w:tcBorders>
            <w:noWrap w:val="0"/>
            <w:vAlign w:val="center"/>
          </w:tcPr>
          <w:p>
            <w:pPr>
              <w:overflowPunct w:val="0"/>
              <w:jc w:val="center"/>
              <w:rPr>
                <w:rFonts w:hint="eastAsia" w:ascii="Times New Roman" w:hAnsi="Times New Roman" w:eastAsia="宋体" w:cs="Times New Roman"/>
                <w:color w:val="auto"/>
                <w:kern w:val="0"/>
                <w:sz w:val="21"/>
                <w:szCs w:val="21"/>
                <w:lang w:val="en-US" w:eastAsia="zh-CN" w:bidi="ar-SA"/>
              </w:rPr>
            </w:pPr>
            <w:r>
              <w:rPr>
                <w:rFonts w:hint="eastAsia"/>
                <w:snapToGrid w:val="0"/>
                <w:color w:val="auto"/>
                <w:kern w:val="21"/>
                <w:szCs w:val="21"/>
              </w:rPr>
              <w:t>0</w:t>
            </w:r>
          </w:p>
        </w:tc>
        <w:tc>
          <w:tcPr>
            <w:tcW w:w="1559" w:type="dxa"/>
            <w:tcBorders>
              <w:tl2br w:val="nil"/>
              <w:tr2bl w:val="nil"/>
            </w:tcBorders>
            <w:noWrap w:val="0"/>
            <w:vAlign w:val="center"/>
          </w:tcPr>
          <w:p>
            <w:pPr>
              <w:widowControl/>
              <w:overflowPunct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highlight w:val="none"/>
                <w:u w:val="none"/>
                <w:lang w:val="en-US" w:eastAsia="zh-CN" w:bidi="ar"/>
              </w:rPr>
              <w:t>4.5</w:t>
            </w:r>
          </w:p>
        </w:tc>
        <w:tc>
          <w:tcPr>
            <w:tcW w:w="1585"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w:t>
            </w:r>
          </w:p>
        </w:tc>
        <w:tc>
          <w:tcPr>
            <w:tcW w:w="1875" w:type="dxa"/>
            <w:tcBorders>
              <w:tl2br w:val="nil"/>
              <w:tr2bl w:val="nil"/>
            </w:tcBorders>
            <w:noWrap w:val="0"/>
            <w:vAlign w:val="center"/>
          </w:tcPr>
          <w:p>
            <w:pPr>
              <w:widowControl/>
              <w:overflowPunct w:val="0"/>
              <w:jc w:val="center"/>
              <w:textAlignment w:val="center"/>
              <w:rPr>
                <w:rFonts w:hint="eastAsia"/>
                <w:snapToGrid w:val="0"/>
                <w:color w:val="auto"/>
                <w:kern w:val="21"/>
                <w:sz w:val="21"/>
                <w:szCs w:val="21"/>
                <w:lang w:val="en-US" w:eastAsia="zh-CN" w:bidi="ar-SA"/>
              </w:rPr>
            </w:pPr>
            <w:r>
              <w:rPr>
                <w:rFonts w:hint="eastAsia"/>
                <w:color w:val="auto"/>
                <w:kern w:val="0"/>
                <w:szCs w:val="21"/>
                <w:highlight w:val="none"/>
                <w:u w:val="none"/>
                <w:lang w:val="en-US" w:eastAsia="zh-CN" w:bidi="ar"/>
              </w:rPr>
              <w:t>4.5</w:t>
            </w:r>
          </w:p>
        </w:tc>
        <w:tc>
          <w:tcPr>
            <w:tcW w:w="1086" w:type="dxa"/>
            <w:tcBorders>
              <w:tl2br w:val="nil"/>
              <w:tr2bl w:val="nil"/>
            </w:tcBorders>
            <w:noWrap w:val="0"/>
            <w:vAlign w:val="center"/>
          </w:tcPr>
          <w:p>
            <w:pPr>
              <w:widowControl/>
              <w:overflowPunct w:val="0"/>
              <w:jc w:val="center"/>
              <w:textAlignment w:val="center"/>
              <w:rPr>
                <w:rFonts w:hint="eastAsia"/>
                <w:snapToGrid w:val="0"/>
                <w:color w:val="auto"/>
                <w:kern w:val="21"/>
                <w:sz w:val="21"/>
                <w:szCs w:val="21"/>
                <w:lang w:val="en-US" w:eastAsia="zh-CN" w:bidi="ar-SA"/>
              </w:rPr>
            </w:pPr>
            <w:r>
              <w:rPr>
                <w:rFonts w:hint="eastAsia"/>
                <w:snapToGrid w:val="0"/>
                <w:color w:val="auto"/>
                <w:kern w:val="21"/>
                <w:szCs w:val="21"/>
              </w:rPr>
              <w:t>+</w:t>
            </w:r>
            <w:r>
              <w:rPr>
                <w:rFonts w:hint="eastAsia"/>
                <w:color w:val="auto"/>
                <w:kern w:val="0"/>
                <w:szCs w:val="21"/>
                <w:highlight w:val="none"/>
                <w:u w:val="none"/>
                <w:lang w:val="en-US" w:eastAsia="zh-CN" w:bidi="ar"/>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494" w:type="dxa"/>
            <w:tcBorders>
              <w:tl2br w:val="nil"/>
              <w:tr2bl w:val="nil"/>
            </w:tcBorders>
            <w:noWrap w:val="0"/>
            <w:vAlign w:val="center"/>
          </w:tcPr>
          <w:p>
            <w:pPr>
              <w:pStyle w:val="30"/>
              <w:overflowPunct w:val="0"/>
              <w:adjustRightInd/>
              <w:jc w:val="center"/>
              <w:rPr>
                <w:rFonts w:hint="eastAsia"/>
                <w:snapToGrid w:val="0"/>
                <w:color w:val="auto"/>
                <w:kern w:val="21"/>
                <w:sz w:val="21"/>
                <w:szCs w:val="21"/>
                <w:lang w:val="en-US" w:eastAsia="zh-CN" w:bidi="ar-SA"/>
              </w:rPr>
            </w:pPr>
            <w:r>
              <w:rPr>
                <w:rFonts w:hint="eastAsia"/>
                <w:color w:val="auto"/>
                <w:sz w:val="21"/>
                <w:szCs w:val="21"/>
                <w:highlight w:val="none"/>
                <w:u w:val="none"/>
              </w:rPr>
              <w:t>废活性炭</w:t>
            </w:r>
          </w:p>
        </w:tc>
        <w:tc>
          <w:tcPr>
            <w:tcW w:w="1624"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0</w:t>
            </w:r>
          </w:p>
        </w:tc>
        <w:tc>
          <w:tcPr>
            <w:tcW w:w="1701" w:type="dxa"/>
            <w:tcBorders>
              <w:tl2br w:val="nil"/>
              <w:tr2bl w:val="nil"/>
            </w:tcBorders>
            <w:noWrap w:val="0"/>
            <w:vAlign w:val="center"/>
          </w:tcPr>
          <w:p>
            <w:pPr>
              <w:overflowPunct w:val="0"/>
              <w:jc w:val="center"/>
              <w:rPr>
                <w:rFonts w:hint="eastAsia"/>
                <w:color w:val="auto"/>
                <w:kern w:val="0"/>
                <w:sz w:val="21"/>
                <w:szCs w:val="21"/>
                <w:lang w:val="en-US" w:eastAsia="zh-CN" w:bidi="ar-SA"/>
              </w:rPr>
            </w:pPr>
            <w:r>
              <w:rPr>
                <w:rFonts w:hint="eastAsia"/>
                <w:snapToGrid w:val="0"/>
                <w:color w:val="auto"/>
                <w:kern w:val="21"/>
                <w:szCs w:val="21"/>
              </w:rPr>
              <w:t>0</w:t>
            </w:r>
          </w:p>
        </w:tc>
        <w:tc>
          <w:tcPr>
            <w:tcW w:w="1559" w:type="dxa"/>
            <w:tcBorders>
              <w:tl2br w:val="nil"/>
              <w:tr2bl w:val="nil"/>
            </w:tcBorders>
            <w:noWrap w:val="0"/>
            <w:vAlign w:val="center"/>
          </w:tcPr>
          <w:p>
            <w:pPr>
              <w:widowControl/>
              <w:overflowPunct w:val="0"/>
              <w:jc w:val="center"/>
              <w:textAlignment w:val="center"/>
              <w:rPr>
                <w:rFonts w:hint="eastAsia" w:eastAsia="宋体"/>
                <w:snapToGrid w:val="0"/>
                <w:color w:val="auto"/>
                <w:kern w:val="21"/>
                <w:sz w:val="21"/>
                <w:szCs w:val="21"/>
                <w:lang w:val="en-US" w:eastAsia="zh-CN" w:bidi="ar-SA"/>
              </w:rPr>
            </w:pPr>
            <w:r>
              <w:rPr>
                <w:rFonts w:hint="eastAsia" w:eastAsia="宋体"/>
                <w:color w:val="auto"/>
                <w:kern w:val="0"/>
                <w:szCs w:val="21"/>
                <w:highlight w:val="none"/>
                <w:u w:val="none"/>
                <w:lang w:val="en-US" w:eastAsia="zh-CN" w:bidi="ar"/>
              </w:rPr>
              <w:t>7.72</w:t>
            </w:r>
          </w:p>
        </w:tc>
        <w:tc>
          <w:tcPr>
            <w:tcW w:w="1585"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w:t>
            </w:r>
          </w:p>
        </w:tc>
        <w:tc>
          <w:tcPr>
            <w:tcW w:w="1875" w:type="dxa"/>
            <w:tcBorders>
              <w:tl2br w:val="nil"/>
              <w:tr2bl w:val="nil"/>
            </w:tcBorders>
            <w:noWrap w:val="0"/>
            <w:vAlign w:val="center"/>
          </w:tcPr>
          <w:p>
            <w:pPr>
              <w:widowControl/>
              <w:overflowPunct w:val="0"/>
              <w:jc w:val="center"/>
              <w:textAlignment w:val="center"/>
              <w:rPr>
                <w:rFonts w:hint="eastAsia"/>
                <w:snapToGrid w:val="0"/>
                <w:color w:val="auto"/>
                <w:kern w:val="21"/>
                <w:sz w:val="21"/>
                <w:szCs w:val="21"/>
                <w:lang w:val="en-US" w:eastAsia="zh-CN" w:bidi="ar-SA"/>
              </w:rPr>
            </w:pPr>
            <w:r>
              <w:rPr>
                <w:rFonts w:hint="eastAsia" w:eastAsia="宋体"/>
                <w:color w:val="auto"/>
                <w:kern w:val="0"/>
                <w:szCs w:val="21"/>
                <w:highlight w:val="none"/>
                <w:u w:val="none"/>
                <w:lang w:val="en-US" w:eastAsia="zh-CN" w:bidi="ar"/>
              </w:rPr>
              <w:t>7.72</w:t>
            </w:r>
          </w:p>
        </w:tc>
        <w:tc>
          <w:tcPr>
            <w:tcW w:w="1086" w:type="dxa"/>
            <w:tcBorders>
              <w:tl2br w:val="nil"/>
              <w:tr2bl w:val="nil"/>
            </w:tcBorders>
            <w:noWrap w:val="0"/>
            <w:vAlign w:val="center"/>
          </w:tcPr>
          <w:p>
            <w:pPr>
              <w:widowControl/>
              <w:overflowPunct w:val="0"/>
              <w:jc w:val="center"/>
              <w:textAlignment w:val="center"/>
              <w:rPr>
                <w:rFonts w:hint="eastAsia"/>
                <w:snapToGrid w:val="0"/>
                <w:color w:val="auto"/>
                <w:kern w:val="21"/>
                <w:sz w:val="21"/>
                <w:szCs w:val="21"/>
                <w:lang w:val="en-US" w:eastAsia="zh-CN" w:bidi="ar-SA"/>
              </w:rPr>
            </w:pPr>
            <w:r>
              <w:rPr>
                <w:rFonts w:hint="eastAsia"/>
                <w:snapToGrid w:val="0"/>
                <w:color w:val="auto"/>
                <w:kern w:val="21"/>
                <w:szCs w:val="21"/>
              </w:rPr>
              <w:t>+</w:t>
            </w:r>
            <w:r>
              <w:rPr>
                <w:rFonts w:hint="eastAsia" w:eastAsia="宋体"/>
                <w:color w:val="auto"/>
                <w:kern w:val="0"/>
                <w:szCs w:val="21"/>
                <w:highlight w:val="none"/>
                <w:u w:val="none"/>
                <w:lang w:val="en-US" w:eastAsia="zh-CN" w:bidi="ar"/>
              </w:rPr>
              <w:t>7.72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tcBorders>
              <w:tl2br w:val="nil"/>
              <w:tr2bl w:val="nil"/>
            </w:tcBorders>
            <w:noWrap w:val="0"/>
            <w:vAlign w:val="center"/>
          </w:tcPr>
          <w:p>
            <w:pPr>
              <w:pStyle w:val="38"/>
              <w:spacing w:beforeLines="0" w:afterLines="0" w:line="240" w:lineRule="atLeast"/>
              <w:rPr>
                <w:rFonts w:hint="eastAsia" w:hAnsi="宋体" w:cs="宋体"/>
                <w:snapToGrid w:val="0"/>
                <w:color w:val="auto"/>
                <w:kern w:val="21"/>
                <w:szCs w:val="21"/>
              </w:rPr>
            </w:pPr>
            <w:bookmarkStart w:id="27" w:name="_Toc27520"/>
            <w:bookmarkStart w:id="28" w:name="_Toc2688"/>
          </w:p>
        </w:tc>
        <w:tc>
          <w:tcPr>
            <w:tcW w:w="1494" w:type="dxa"/>
            <w:tcBorders>
              <w:tl2br w:val="nil"/>
              <w:tr2bl w:val="nil"/>
            </w:tcBorders>
            <w:noWrap w:val="0"/>
            <w:vAlign w:val="center"/>
          </w:tcPr>
          <w:p>
            <w:pPr>
              <w:pStyle w:val="30"/>
              <w:overflowPunct w:val="0"/>
              <w:adjustRightInd/>
              <w:jc w:val="center"/>
              <w:rPr>
                <w:rFonts w:hint="eastAsia" w:eastAsia="宋体"/>
                <w:color w:val="auto"/>
                <w:kern w:val="0"/>
                <w:sz w:val="21"/>
                <w:szCs w:val="21"/>
                <w:lang w:val="en-US" w:eastAsia="zh-CN" w:bidi="ar-SA"/>
              </w:rPr>
            </w:pPr>
            <w:r>
              <w:rPr>
                <w:rFonts w:hint="eastAsia"/>
                <w:color w:val="auto"/>
                <w:sz w:val="21"/>
                <w:szCs w:val="21"/>
                <w:highlight w:val="none"/>
                <w:u w:val="none"/>
              </w:rPr>
              <w:t>废紫外灯管</w:t>
            </w:r>
          </w:p>
        </w:tc>
        <w:tc>
          <w:tcPr>
            <w:tcW w:w="1624"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0</w:t>
            </w:r>
          </w:p>
        </w:tc>
        <w:tc>
          <w:tcPr>
            <w:tcW w:w="1276"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0</w:t>
            </w:r>
          </w:p>
        </w:tc>
        <w:tc>
          <w:tcPr>
            <w:tcW w:w="1701" w:type="dxa"/>
            <w:tcBorders>
              <w:tl2br w:val="nil"/>
              <w:tr2bl w:val="nil"/>
            </w:tcBorders>
            <w:noWrap w:val="0"/>
            <w:vAlign w:val="center"/>
          </w:tcPr>
          <w:p>
            <w:pPr>
              <w:overflowPunct w:val="0"/>
              <w:jc w:val="center"/>
              <w:rPr>
                <w:rFonts w:hint="eastAsia"/>
                <w:color w:val="auto"/>
                <w:kern w:val="0"/>
                <w:sz w:val="21"/>
                <w:szCs w:val="21"/>
                <w:lang w:val="en-US" w:eastAsia="zh-CN" w:bidi="ar-SA"/>
              </w:rPr>
            </w:pPr>
            <w:r>
              <w:rPr>
                <w:rFonts w:hint="eastAsia"/>
                <w:snapToGrid w:val="0"/>
                <w:color w:val="auto"/>
                <w:kern w:val="21"/>
                <w:szCs w:val="21"/>
              </w:rPr>
              <w:t>0</w:t>
            </w:r>
          </w:p>
        </w:tc>
        <w:tc>
          <w:tcPr>
            <w:tcW w:w="1559" w:type="dxa"/>
            <w:tcBorders>
              <w:tl2br w:val="nil"/>
              <w:tr2bl w:val="nil"/>
            </w:tcBorders>
            <w:noWrap w:val="0"/>
            <w:vAlign w:val="center"/>
          </w:tcPr>
          <w:p>
            <w:pPr>
              <w:widowControl/>
              <w:overflowPunct w:val="0"/>
              <w:jc w:val="center"/>
              <w:textAlignment w:val="center"/>
              <w:rPr>
                <w:rFonts w:hint="default" w:eastAsia="宋体"/>
                <w:color w:val="auto"/>
                <w:kern w:val="0"/>
                <w:sz w:val="21"/>
                <w:szCs w:val="21"/>
                <w:lang w:val="en-US" w:eastAsia="zh-CN" w:bidi="ar"/>
              </w:rPr>
            </w:pPr>
            <w:r>
              <w:rPr>
                <w:rFonts w:hint="eastAsia"/>
                <w:color w:val="auto"/>
                <w:kern w:val="0"/>
                <w:szCs w:val="21"/>
                <w:highlight w:val="none"/>
                <w:u w:val="none"/>
                <w:lang w:val="en-US" w:eastAsia="zh-CN" w:bidi="ar"/>
              </w:rPr>
              <w:t>0.02</w:t>
            </w:r>
          </w:p>
        </w:tc>
        <w:tc>
          <w:tcPr>
            <w:tcW w:w="1585"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w:t>
            </w:r>
          </w:p>
        </w:tc>
        <w:tc>
          <w:tcPr>
            <w:tcW w:w="1875" w:type="dxa"/>
            <w:tcBorders>
              <w:tl2br w:val="nil"/>
              <w:tr2bl w:val="nil"/>
            </w:tcBorders>
            <w:noWrap w:val="0"/>
            <w:vAlign w:val="center"/>
          </w:tcPr>
          <w:p>
            <w:pPr>
              <w:widowControl/>
              <w:overflowPunct w:val="0"/>
              <w:jc w:val="center"/>
              <w:textAlignment w:val="center"/>
              <w:rPr>
                <w:rFonts w:hint="eastAsia"/>
                <w:color w:val="auto"/>
                <w:kern w:val="0"/>
                <w:sz w:val="21"/>
                <w:szCs w:val="21"/>
                <w:lang w:val="en-US" w:eastAsia="zh-CN" w:bidi="ar"/>
              </w:rPr>
            </w:pPr>
            <w:r>
              <w:rPr>
                <w:rFonts w:hint="eastAsia"/>
                <w:color w:val="auto"/>
                <w:kern w:val="0"/>
                <w:szCs w:val="21"/>
                <w:highlight w:val="none"/>
                <w:u w:val="none"/>
                <w:lang w:val="en-US" w:eastAsia="zh-CN" w:bidi="ar"/>
              </w:rPr>
              <w:t>0.02</w:t>
            </w:r>
          </w:p>
        </w:tc>
        <w:tc>
          <w:tcPr>
            <w:tcW w:w="1086" w:type="dxa"/>
            <w:tcBorders>
              <w:tl2br w:val="nil"/>
              <w:tr2bl w:val="nil"/>
            </w:tcBorders>
            <w:noWrap w:val="0"/>
            <w:vAlign w:val="center"/>
          </w:tcPr>
          <w:p>
            <w:pPr>
              <w:spacing w:line="240" w:lineRule="atLeast"/>
              <w:jc w:val="center"/>
              <w:rPr>
                <w:rFonts w:hint="eastAsia"/>
                <w:snapToGrid w:val="0"/>
                <w:color w:val="auto"/>
                <w:kern w:val="21"/>
                <w:sz w:val="21"/>
                <w:szCs w:val="21"/>
                <w:lang w:val="en-US" w:eastAsia="zh-CN" w:bidi="ar-SA"/>
              </w:rPr>
            </w:pPr>
            <w:r>
              <w:rPr>
                <w:rFonts w:hint="eastAsia"/>
                <w:snapToGrid w:val="0"/>
                <w:color w:val="auto"/>
                <w:kern w:val="21"/>
                <w:szCs w:val="21"/>
              </w:rPr>
              <w:t>+</w:t>
            </w:r>
            <w:r>
              <w:rPr>
                <w:rFonts w:hint="eastAsia"/>
                <w:color w:val="auto"/>
                <w:kern w:val="0"/>
                <w:szCs w:val="21"/>
                <w:highlight w:val="none"/>
                <w:u w:val="none"/>
                <w:lang w:val="en-US" w:eastAsia="zh-CN" w:bidi="ar"/>
              </w:rPr>
              <w:t>0.02</w:t>
            </w:r>
          </w:p>
        </w:tc>
      </w:tr>
    </w:tbl>
    <w:p>
      <w:pPr>
        <w:pStyle w:val="38"/>
        <w:spacing w:before="192" w:beforeLines="80" w:after="24" w:line="260" w:lineRule="auto"/>
        <w:ind w:firstLine="840" w:firstLineChars="400"/>
        <w:jc w:val="left"/>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bookmarkEnd w:id="27"/>
      <w:bookmarkEnd w:id="28"/>
    </w:p>
    <w:sectPr>
      <w:footerReference r:id="rId5"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DC2FD"/>
    <w:multiLevelType w:val="singleLevel"/>
    <w:tmpl w:val="C46DC2FD"/>
    <w:lvl w:ilvl="0" w:tentative="0">
      <w:start w:val="2"/>
      <w:numFmt w:val="decimal"/>
      <w:suff w:val="nothing"/>
      <w:lvlText w:val="%1、"/>
      <w:lvlJc w:val="left"/>
    </w:lvl>
  </w:abstractNum>
  <w:abstractNum w:abstractNumId="1">
    <w:nsid w:val="D3AA2273"/>
    <w:multiLevelType w:val="singleLevel"/>
    <w:tmpl w:val="D3AA2273"/>
    <w:lvl w:ilvl="0" w:tentative="0">
      <w:start w:val="1"/>
      <w:numFmt w:val="decimal"/>
      <w:suff w:val="nothing"/>
      <w:lvlText w:val="%1、"/>
      <w:lvlJc w:val="left"/>
    </w:lvl>
  </w:abstractNum>
  <w:abstractNum w:abstractNumId="2">
    <w:nsid w:val="FDD3CDAC"/>
    <w:multiLevelType w:val="singleLevel"/>
    <w:tmpl w:val="FDD3CDAC"/>
    <w:lvl w:ilvl="0" w:tentative="0">
      <w:start w:val="1"/>
      <w:numFmt w:val="decimal"/>
      <w:suff w:val="nothing"/>
      <w:lvlText w:val="（%1）"/>
      <w:lvlJc w:val="left"/>
    </w:lvl>
  </w:abstractNum>
  <w:abstractNum w:abstractNumId="3">
    <w:nsid w:val="3DE6F11F"/>
    <w:multiLevelType w:val="singleLevel"/>
    <w:tmpl w:val="3DE6F11F"/>
    <w:lvl w:ilvl="0" w:tentative="0">
      <w:start w:val="1"/>
      <w:numFmt w:val="decimal"/>
      <w:suff w:val="nothing"/>
      <w:lvlText w:val="%1、"/>
      <w:lvlJc w:val="left"/>
      <w:pPr>
        <w:ind w:left="148"/>
      </w:pPr>
    </w:lvl>
  </w:abstractNum>
  <w:abstractNum w:abstractNumId="4">
    <w:nsid w:val="43F3A5E9"/>
    <w:multiLevelType w:val="singleLevel"/>
    <w:tmpl w:val="43F3A5E9"/>
    <w:lvl w:ilvl="0" w:tentative="0">
      <w:start w:val="1"/>
      <w:numFmt w:val="decimal"/>
      <w:suff w:val="nothing"/>
      <w:lvlText w:val="%1、"/>
      <w:lvlJc w:val="left"/>
    </w:lvl>
  </w:abstractNum>
  <w:abstractNum w:abstractNumId="5">
    <w:nsid w:val="4BABCC5C"/>
    <w:multiLevelType w:val="singleLevel"/>
    <w:tmpl w:val="4BABCC5C"/>
    <w:lvl w:ilvl="0" w:tentative="0">
      <w:start w:val="1"/>
      <w:numFmt w:val="decimal"/>
      <w:suff w:val="nothing"/>
      <w:lvlText w:val="（%1）"/>
      <w:lvlJc w:val="left"/>
    </w:lvl>
  </w:abstractNum>
  <w:abstractNum w:abstractNumId="6">
    <w:nsid w:val="732759FB"/>
    <w:multiLevelType w:val="singleLevel"/>
    <w:tmpl w:val="732759FB"/>
    <w:lvl w:ilvl="0" w:tentative="0">
      <w:start w:val="2"/>
      <w:numFmt w:val="decimal"/>
      <w:suff w:val="nothing"/>
      <w:lvlText w:val="（%1）"/>
      <w:lvlJc w:val="left"/>
    </w:lvl>
  </w:abstractNum>
  <w:num w:numId="1">
    <w:abstractNumId w:val="0"/>
  </w:num>
  <w:num w:numId="2">
    <w:abstractNumId w:val="2"/>
  </w:num>
  <w:num w:numId="3">
    <w:abstractNumId w:val="3"/>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1ZGI3MzcwOTg4ZTI1ZTBiYWZiMDQxMGNlYTU5NzcifQ=="/>
  </w:docVars>
  <w:rsids>
    <w:rsidRoot w:val="00000000"/>
    <w:rsid w:val="003D21B2"/>
    <w:rsid w:val="004479E5"/>
    <w:rsid w:val="00494FFB"/>
    <w:rsid w:val="00844285"/>
    <w:rsid w:val="008B1170"/>
    <w:rsid w:val="009A7605"/>
    <w:rsid w:val="009C512B"/>
    <w:rsid w:val="00D20B4D"/>
    <w:rsid w:val="00D91EDB"/>
    <w:rsid w:val="00E30FAC"/>
    <w:rsid w:val="00E54D24"/>
    <w:rsid w:val="00E84814"/>
    <w:rsid w:val="00FB4547"/>
    <w:rsid w:val="010F1DA1"/>
    <w:rsid w:val="011473B7"/>
    <w:rsid w:val="01730582"/>
    <w:rsid w:val="01852FBD"/>
    <w:rsid w:val="01D134FA"/>
    <w:rsid w:val="01F33470"/>
    <w:rsid w:val="01F41614"/>
    <w:rsid w:val="01F9035B"/>
    <w:rsid w:val="01FB40D3"/>
    <w:rsid w:val="02076F1C"/>
    <w:rsid w:val="021653B1"/>
    <w:rsid w:val="021A6C4F"/>
    <w:rsid w:val="0250441F"/>
    <w:rsid w:val="025832D3"/>
    <w:rsid w:val="02750329"/>
    <w:rsid w:val="027F4D04"/>
    <w:rsid w:val="02820350"/>
    <w:rsid w:val="02B01361"/>
    <w:rsid w:val="02CD1F13"/>
    <w:rsid w:val="02ED6112"/>
    <w:rsid w:val="02F32FFC"/>
    <w:rsid w:val="02F474A0"/>
    <w:rsid w:val="02FA082F"/>
    <w:rsid w:val="02FE3E7B"/>
    <w:rsid w:val="031F6B1B"/>
    <w:rsid w:val="0337738D"/>
    <w:rsid w:val="03391357"/>
    <w:rsid w:val="034D095E"/>
    <w:rsid w:val="036D7252"/>
    <w:rsid w:val="037759DB"/>
    <w:rsid w:val="03914CEF"/>
    <w:rsid w:val="03CB66FA"/>
    <w:rsid w:val="03CF3A69"/>
    <w:rsid w:val="03D472D2"/>
    <w:rsid w:val="04124462"/>
    <w:rsid w:val="04365896"/>
    <w:rsid w:val="04390EE3"/>
    <w:rsid w:val="043D6C25"/>
    <w:rsid w:val="04531FA4"/>
    <w:rsid w:val="045A77D7"/>
    <w:rsid w:val="047A1C27"/>
    <w:rsid w:val="04C9495C"/>
    <w:rsid w:val="05085485"/>
    <w:rsid w:val="05143E2A"/>
    <w:rsid w:val="05410997"/>
    <w:rsid w:val="05502988"/>
    <w:rsid w:val="05616943"/>
    <w:rsid w:val="056703FD"/>
    <w:rsid w:val="056D178C"/>
    <w:rsid w:val="057330D8"/>
    <w:rsid w:val="05B11678"/>
    <w:rsid w:val="05B9677F"/>
    <w:rsid w:val="05C059EA"/>
    <w:rsid w:val="05CA273A"/>
    <w:rsid w:val="05D80FC6"/>
    <w:rsid w:val="05DD246D"/>
    <w:rsid w:val="05E41A4E"/>
    <w:rsid w:val="060E1232"/>
    <w:rsid w:val="061435C4"/>
    <w:rsid w:val="061B09E7"/>
    <w:rsid w:val="06293905"/>
    <w:rsid w:val="064E336B"/>
    <w:rsid w:val="064F2C3F"/>
    <w:rsid w:val="06915006"/>
    <w:rsid w:val="069A65B0"/>
    <w:rsid w:val="06E25862"/>
    <w:rsid w:val="06E33EC7"/>
    <w:rsid w:val="06E67100"/>
    <w:rsid w:val="06F85085"/>
    <w:rsid w:val="07056538"/>
    <w:rsid w:val="07155C37"/>
    <w:rsid w:val="071E2D3E"/>
    <w:rsid w:val="0733430F"/>
    <w:rsid w:val="074A3B33"/>
    <w:rsid w:val="077E558A"/>
    <w:rsid w:val="078057A6"/>
    <w:rsid w:val="07A42E2C"/>
    <w:rsid w:val="07AB0349"/>
    <w:rsid w:val="07B02B10"/>
    <w:rsid w:val="07BB058C"/>
    <w:rsid w:val="07CD4764"/>
    <w:rsid w:val="07DC471E"/>
    <w:rsid w:val="08017F69"/>
    <w:rsid w:val="081845DE"/>
    <w:rsid w:val="081B2D8A"/>
    <w:rsid w:val="08275C22"/>
    <w:rsid w:val="08326375"/>
    <w:rsid w:val="086F1377"/>
    <w:rsid w:val="0892162C"/>
    <w:rsid w:val="089332B7"/>
    <w:rsid w:val="08AA0601"/>
    <w:rsid w:val="08C4345B"/>
    <w:rsid w:val="08DD2784"/>
    <w:rsid w:val="08F24482"/>
    <w:rsid w:val="08F33D56"/>
    <w:rsid w:val="08FB2C0B"/>
    <w:rsid w:val="091C1203"/>
    <w:rsid w:val="0926412B"/>
    <w:rsid w:val="093700E7"/>
    <w:rsid w:val="095073FA"/>
    <w:rsid w:val="098470A4"/>
    <w:rsid w:val="0995305F"/>
    <w:rsid w:val="099C619C"/>
    <w:rsid w:val="09B6253B"/>
    <w:rsid w:val="09BE4364"/>
    <w:rsid w:val="09CD45A7"/>
    <w:rsid w:val="09F14739"/>
    <w:rsid w:val="0A14667A"/>
    <w:rsid w:val="0A2F7010"/>
    <w:rsid w:val="0A454A85"/>
    <w:rsid w:val="0A670558"/>
    <w:rsid w:val="0A717628"/>
    <w:rsid w:val="0A917CCA"/>
    <w:rsid w:val="0A960E3D"/>
    <w:rsid w:val="0AA338DC"/>
    <w:rsid w:val="0ADD6A6C"/>
    <w:rsid w:val="0AF049F1"/>
    <w:rsid w:val="0AF65D7F"/>
    <w:rsid w:val="0B2B77D7"/>
    <w:rsid w:val="0B30303F"/>
    <w:rsid w:val="0B364677"/>
    <w:rsid w:val="0B4B60CB"/>
    <w:rsid w:val="0B505490"/>
    <w:rsid w:val="0B6C7DF0"/>
    <w:rsid w:val="0B812064"/>
    <w:rsid w:val="0B896BF3"/>
    <w:rsid w:val="0B93537C"/>
    <w:rsid w:val="0BA27697"/>
    <w:rsid w:val="0BCA3494"/>
    <w:rsid w:val="0BE65DF4"/>
    <w:rsid w:val="0BFC73C5"/>
    <w:rsid w:val="0C126BE9"/>
    <w:rsid w:val="0C662A91"/>
    <w:rsid w:val="0C8510A9"/>
    <w:rsid w:val="0CA361D6"/>
    <w:rsid w:val="0CA904A4"/>
    <w:rsid w:val="0CD520F0"/>
    <w:rsid w:val="0CDB522D"/>
    <w:rsid w:val="0CEE4F60"/>
    <w:rsid w:val="0CFF53BF"/>
    <w:rsid w:val="0D136775"/>
    <w:rsid w:val="0D2C3CDA"/>
    <w:rsid w:val="0D411534"/>
    <w:rsid w:val="0D58062B"/>
    <w:rsid w:val="0D6214AA"/>
    <w:rsid w:val="0DA50A51"/>
    <w:rsid w:val="0DB00467"/>
    <w:rsid w:val="0DE0038F"/>
    <w:rsid w:val="0E0407B3"/>
    <w:rsid w:val="0E06277D"/>
    <w:rsid w:val="0E121122"/>
    <w:rsid w:val="0E15476E"/>
    <w:rsid w:val="0E19600D"/>
    <w:rsid w:val="0E2C3066"/>
    <w:rsid w:val="0E4D215A"/>
    <w:rsid w:val="0E550C71"/>
    <w:rsid w:val="0E576B35"/>
    <w:rsid w:val="0E7308B2"/>
    <w:rsid w:val="0E947D89"/>
    <w:rsid w:val="0E9D4E90"/>
    <w:rsid w:val="0EB126E9"/>
    <w:rsid w:val="0ECA37AB"/>
    <w:rsid w:val="0EF44384"/>
    <w:rsid w:val="0F0A004B"/>
    <w:rsid w:val="0F144A26"/>
    <w:rsid w:val="0F20786F"/>
    <w:rsid w:val="0F327BF0"/>
    <w:rsid w:val="0F3A0931"/>
    <w:rsid w:val="0F403A6D"/>
    <w:rsid w:val="0F4E618A"/>
    <w:rsid w:val="0F5B2655"/>
    <w:rsid w:val="0F615EBD"/>
    <w:rsid w:val="0FAC4C5F"/>
    <w:rsid w:val="0FB75E77"/>
    <w:rsid w:val="0FBC1346"/>
    <w:rsid w:val="0FCC70AF"/>
    <w:rsid w:val="10014FAA"/>
    <w:rsid w:val="103F5AD3"/>
    <w:rsid w:val="104355C3"/>
    <w:rsid w:val="104D4D44"/>
    <w:rsid w:val="10523A58"/>
    <w:rsid w:val="10572E1C"/>
    <w:rsid w:val="10853E2D"/>
    <w:rsid w:val="1092654A"/>
    <w:rsid w:val="10DB1C9F"/>
    <w:rsid w:val="10DD77C5"/>
    <w:rsid w:val="10E01064"/>
    <w:rsid w:val="10E34150"/>
    <w:rsid w:val="10F16AE3"/>
    <w:rsid w:val="11423ACC"/>
    <w:rsid w:val="11627CCB"/>
    <w:rsid w:val="116972AB"/>
    <w:rsid w:val="119105B0"/>
    <w:rsid w:val="11943BFC"/>
    <w:rsid w:val="11967974"/>
    <w:rsid w:val="11B5604C"/>
    <w:rsid w:val="11CC15E8"/>
    <w:rsid w:val="11D44511"/>
    <w:rsid w:val="11F272A1"/>
    <w:rsid w:val="11F7576D"/>
    <w:rsid w:val="11F8062F"/>
    <w:rsid w:val="120314AE"/>
    <w:rsid w:val="120E1C01"/>
    <w:rsid w:val="126D6927"/>
    <w:rsid w:val="129D771A"/>
    <w:rsid w:val="12E0534B"/>
    <w:rsid w:val="131055BF"/>
    <w:rsid w:val="132F1E2E"/>
    <w:rsid w:val="13C609E5"/>
    <w:rsid w:val="13DA623E"/>
    <w:rsid w:val="13DC1FB6"/>
    <w:rsid w:val="13F84916"/>
    <w:rsid w:val="14027543"/>
    <w:rsid w:val="14172FEE"/>
    <w:rsid w:val="145C6C53"/>
    <w:rsid w:val="146B50E8"/>
    <w:rsid w:val="14B940A6"/>
    <w:rsid w:val="14BF71E2"/>
    <w:rsid w:val="14CA1097"/>
    <w:rsid w:val="14DC1B42"/>
    <w:rsid w:val="14E44281"/>
    <w:rsid w:val="150A66AF"/>
    <w:rsid w:val="15121A08"/>
    <w:rsid w:val="15127C5A"/>
    <w:rsid w:val="154F67B8"/>
    <w:rsid w:val="15747FCD"/>
    <w:rsid w:val="15892CDA"/>
    <w:rsid w:val="15A24B3A"/>
    <w:rsid w:val="15AF7257"/>
    <w:rsid w:val="15B42E8F"/>
    <w:rsid w:val="15DD5B72"/>
    <w:rsid w:val="15F07F9B"/>
    <w:rsid w:val="15F1161D"/>
    <w:rsid w:val="162E0AC3"/>
    <w:rsid w:val="16353C00"/>
    <w:rsid w:val="16375F32"/>
    <w:rsid w:val="16646293"/>
    <w:rsid w:val="166D15EC"/>
    <w:rsid w:val="16873D30"/>
    <w:rsid w:val="16924BAE"/>
    <w:rsid w:val="169326D4"/>
    <w:rsid w:val="169528F0"/>
    <w:rsid w:val="169D3553"/>
    <w:rsid w:val="16AB3EC2"/>
    <w:rsid w:val="16B632BB"/>
    <w:rsid w:val="16D43419"/>
    <w:rsid w:val="16E55626"/>
    <w:rsid w:val="16F2389F"/>
    <w:rsid w:val="17263548"/>
    <w:rsid w:val="1735378C"/>
    <w:rsid w:val="173739A8"/>
    <w:rsid w:val="175400B6"/>
    <w:rsid w:val="179D7CAF"/>
    <w:rsid w:val="17B2302E"/>
    <w:rsid w:val="17DF02C7"/>
    <w:rsid w:val="17EC4792"/>
    <w:rsid w:val="17EC6540"/>
    <w:rsid w:val="17EE22B8"/>
    <w:rsid w:val="18047D2E"/>
    <w:rsid w:val="18153469"/>
    <w:rsid w:val="1821268E"/>
    <w:rsid w:val="186C142F"/>
    <w:rsid w:val="188B3FAB"/>
    <w:rsid w:val="18D019BE"/>
    <w:rsid w:val="18D07C10"/>
    <w:rsid w:val="18D92F68"/>
    <w:rsid w:val="18DA0A8E"/>
    <w:rsid w:val="18DA283C"/>
    <w:rsid w:val="190C57C8"/>
    <w:rsid w:val="191C4C03"/>
    <w:rsid w:val="191F64A1"/>
    <w:rsid w:val="193261D5"/>
    <w:rsid w:val="19434886"/>
    <w:rsid w:val="194D300E"/>
    <w:rsid w:val="19874772"/>
    <w:rsid w:val="199B6470"/>
    <w:rsid w:val="19A77FC0"/>
    <w:rsid w:val="19AD1CFF"/>
    <w:rsid w:val="19B72B7E"/>
    <w:rsid w:val="19E03E83"/>
    <w:rsid w:val="19E41BC5"/>
    <w:rsid w:val="19F57A56"/>
    <w:rsid w:val="19F811CC"/>
    <w:rsid w:val="19F93196"/>
    <w:rsid w:val="1A0F29BA"/>
    <w:rsid w:val="1A1E49AB"/>
    <w:rsid w:val="1A451B76"/>
    <w:rsid w:val="1A501008"/>
    <w:rsid w:val="1A590792"/>
    <w:rsid w:val="1A592BA3"/>
    <w:rsid w:val="1A7171D0"/>
    <w:rsid w:val="1A8B2040"/>
    <w:rsid w:val="1A8C55EC"/>
    <w:rsid w:val="1A974E89"/>
    <w:rsid w:val="1AA90718"/>
    <w:rsid w:val="1AB1581F"/>
    <w:rsid w:val="1ACC02B2"/>
    <w:rsid w:val="1AD559B1"/>
    <w:rsid w:val="1ADC6D40"/>
    <w:rsid w:val="1AF20311"/>
    <w:rsid w:val="1B2B737F"/>
    <w:rsid w:val="1B506DE6"/>
    <w:rsid w:val="1B527002"/>
    <w:rsid w:val="1B5E59A7"/>
    <w:rsid w:val="1BA334FB"/>
    <w:rsid w:val="1BC17CE4"/>
    <w:rsid w:val="1BD01CD5"/>
    <w:rsid w:val="1BDB0DA5"/>
    <w:rsid w:val="1BEC0C12"/>
    <w:rsid w:val="1BF14125"/>
    <w:rsid w:val="1C1B73F4"/>
    <w:rsid w:val="1C3E1334"/>
    <w:rsid w:val="1C4F709D"/>
    <w:rsid w:val="1C56042C"/>
    <w:rsid w:val="1C5F3784"/>
    <w:rsid w:val="1C784A0B"/>
    <w:rsid w:val="1C8C6544"/>
    <w:rsid w:val="1C9C3C42"/>
    <w:rsid w:val="1CCE090A"/>
    <w:rsid w:val="1CD51C99"/>
    <w:rsid w:val="1CD92947"/>
    <w:rsid w:val="1CF540E9"/>
    <w:rsid w:val="1D036A25"/>
    <w:rsid w:val="1D1327C1"/>
    <w:rsid w:val="1D175E0D"/>
    <w:rsid w:val="1D2247B2"/>
    <w:rsid w:val="1D277E4F"/>
    <w:rsid w:val="1D584EAC"/>
    <w:rsid w:val="1D7603FC"/>
    <w:rsid w:val="1D8B2357"/>
    <w:rsid w:val="1DA33B45"/>
    <w:rsid w:val="1DAF4298"/>
    <w:rsid w:val="1DB00010"/>
    <w:rsid w:val="1DE228BA"/>
    <w:rsid w:val="1DEA52D0"/>
    <w:rsid w:val="1DFC5003"/>
    <w:rsid w:val="1E05210A"/>
    <w:rsid w:val="1E2307E2"/>
    <w:rsid w:val="1E2702D2"/>
    <w:rsid w:val="1E2C3B3A"/>
    <w:rsid w:val="1E37428D"/>
    <w:rsid w:val="1E766B63"/>
    <w:rsid w:val="1E780B2E"/>
    <w:rsid w:val="1E796654"/>
    <w:rsid w:val="1E894AE9"/>
    <w:rsid w:val="1E94348E"/>
    <w:rsid w:val="1E960FB4"/>
    <w:rsid w:val="1EBC3110"/>
    <w:rsid w:val="1EBD29E4"/>
    <w:rsid w:val="1ED65854"/>
    <w:rsid w:val="1EEE3647"/>
    <w:rsid w:val="1F1D16D5"/>
    <w:rsid w:val="1F264A2D"/>
    <w:rsid w:val="1F2B537E"/>
    <w:rsid w:val="1F533349"/>
    <w:rsid w:val="1F5A6CC9"/>
    <w:rsid w:val="1F6258ED"/>
    <w:rsid w:val="1F815130"/>
    <w:rsid w:val="1F9F033C"/>
    <w:rsid w:val="1FCB7383"/>
    <w:rsid w:val="1FCF6E73"/>
    <w:rsid w:val="1FD91AA0"/>
    <w:rsid w:val="1FDB5917"/>
    <w:rsid w:val="1FEA3ECA"/>
    <w:rsid w:val="1FF42436"/>
    <w:rsid w:val="20144886"/>
    <w:rsid w:val="203E6DB6"/>
    <w:rsid w:val="20481E19"/>
    <w:rsid w:val="204A02A8"/>
    <w:rsid w:val="205B4263"/>
    <w:rsid w:val="206A6B9C"/>
    <w:rsid w:val="20A110F3"/>
    <w:rsid w:val="20C80F25"/>
    <w:rsid w:val="20D254D7"/>
    <w:rsid w:val="20F052F3"/>
    <w:rsid w:val="20FF72E4"/>
    <w:rsid w:val="210112AE"/>
    <w:rsid w:val="21050673"/>
    <w:rsid w:val="21117017"/>
    <w:rsid w:val="21325907"/>
    <w:rsid w:val="21336F8E"/>
    <w:rsid w:val="21472A39"/>
    <w:rsid w:val="214C62A1"/>
    <w:rsid w:val="21666272"/>
    <w:rsid w:val="218E2416"/>
    <w:rsid w:val="21D20555"/>
    <w:rsid w:val="21D7200F"/>
    <w:rsid w:val="21D97B35"/>
    <w:rsid w:val="21F04E7F"/>
    <w:rsid w:val="220A3304"/>
    <w:rsid w:val="221B014E"/>
    <w:rsid w:val="222039B6"/>
    <w:rsid w:val="2222301D"/>
    <w:rsid w:val="222334A6"/>
    <w:rsid w:val="223905D4"/>
    <w:rsid w:val="22462CF1"/>
    <w:rsid w:val="22482F0D"/>
    <w:rsid w:val="22511DC1"/>
    <w:rsid w:val="22794E74"/>
    <w:rsid w:val="22A55C69"/>
    <w:rsid w:val="22AB3C75"/>
    <w:rsid w:val="22AC524A"/>
    <w:rsid w:val="22CB4FE6"/>
    <w:rsid w:val="22D9209E"/>
    <w:rsid w:val="22DD18A7"/>
    <w:rsid w:val="22DE117B"/>
    <w:rsid w:val="22E26EBD"/>
    <w:rsid w:val="22F15352"/>
    <w:rsid w:val="22FF181D"/>
    <w:rsid w:val="231F3C6E"/>
    <w:rsid w:val="2322550C"/>
    <w:rsid w:val="232F735E"/>
    <w:rsid w:val="2353270D"/>
    <w:rsid w:val="239408B4"/>
    <w:rsid w:val="23A81EB5"/>
    <w:rsid w:val="23B5012E"/>
    <w:rsid w:val="23CB5BA3"/>
    <w:rsid w:val="23F70746"/>
    <w:rsid w:val="243C43AB"/>
    <w:rsid w:val="244871F4"/>
    <w:rsid w:val="247B1377"/>
    <w:rsid w:val="24D9609E"/>
    <w:rsid w:val="24E567F1"/>
    <w:rsid w:val="24F904EE"/>
    <w:rsid w:val="25007ACF"/>
    <w:rsid w:val="250A0792"/>
    <w:rsid w:val="252202D5"/>
    <w:rsid w:val="25445C0D"/>
    <w:rsid w:val="254C4AC2"/>
    <w:rsid w:val="25565CCE"/>
    <w:rsid w:val="255D6CCF"/>
    <w:rsid w:val="25897AC4"/>
    <w:rsid w:val="259326F1"/>
    <w:rsid w:val="25AD6DA4"/>
    <w:rsid w:val="25C74149"/>
    <w:rsid w:val="25D32AED"/>
    <w:rsid w:val="25E836EC"/>
    <w:rsid w:val="26123616"/>
    <w:rsid w:val="266013C0"/>
    <w:rsid w:val="269C7383"/>
    <w:rsid w:val="26A5448A"/>
    <w:rsid w:val="26C1503C"/>
    <w:rsid w:val="26C2328E"/>
    <w:rsid w:val="26EA4592"/>
    <w:rsid w:val="27321A96"/>
    <w:rsid w:val="2758774E"/>
    <w:rsid w:val="277F1584"/>
    <w:rsid w:val="27914A0E"/>
    <w:rsid w:val="27AC5CEC"/>
    <w:rsid w:val="27CB43C4"/>
    <w:rsid w:val="27F51441"/>
    <w:rsid w:val="280751E1"/>
    <w:rsid w:val="28340A9C"/>
    <w:rsid w:val="28397580"/>
    <w:rsid w:val="286248FC"/>
    <w:rsid w:val="288D1679"/>
    <w:rsid w:val="28976054"/>
    <w:rsid w:val="290C4C94"/>
    <w:rsid w:val="2936586D"/>
    <w:rsid w:val="295403E9"/>
    <w:rsid w:val="296D5007"/>
    <w:rsid w:val="29752839"/>
    <w:rsid w:val="299B6018"/>
    <w:rsid w:val="29C72969"/>
    <w:rsid w:val="29C824DB"/>
    <w:rsid w:val="29D357B2"/>
    <w:rsid w:val="29DF5F05"/>
    <w:rsid w:val="29F714A0"/>
    <w:rsid w:val="2A202079"/>
    <w:rsid w:val="2A2C0A1E"/>
    <w:rsid w:val="2A3C5105"/>
    <w:rsid w:val="2A524929"/>
    <w:rsid w:val="2A8E16D9"/>
    <w:rsid w:val="2AAD1B5F"/>
    <w:rsid w:val="2AB76469"/>
    <w:rsid w:val="2AB96756"/>
    <w:rsid w:val="2AF07C9E"/>
    <w:rsid w:val="2B177920"/>
    <w:rsid w:val="2B3758CC"/>
    <w:rsid w:val="2B4A5600"/>
    <w:rsid w:val="2B514BE0"/>
    <w:rsid w:val="2B6C1A1A"/>
    <w:rsid w:val="2B6F32B8"/>
    <w:rsid w:val="2B710DDE"/>
    <w:rsid w:val="2BC058C2"/>
    <w:rsid w:val="2BD63337"/>
    <w:rsid w:val="2BE9306B"/>
    <w:rsid w:val="2BF3002A"/>
    <w:rsid w:val="2BF51A0F"/>
    <w:rsid w:val="2BFA5278"/>
    <w:rsid w:val="2BFB4B4C"/>
    <w:rsid w:val="2C0E0D23"/>
    <w:rsid w:val="2C1520B2"/>
    <w:rsid w:val="2C387B4E"/>
    <w:rsid w:val="2C825656"/>
    <w:rsid w:val="2C901738"/>
    <w:rsid w:val="2CAB6572"/>
    <w:rsid w:val="2CD51841"/>
    <w:rsid w:val="2CDF446E"/>
    <w:rsid w:val="2CFC6DCE"/>
    <w:rsid w:val="2D01290C"/>
    <w:rsid w:val="2D12214D"/>
    <w:rsid w:val="2D287BC3"/>
    <w:rsid w:val="2D360531"/>
    <w:rsid w:val="2D524C40"/>
    <w:rsid w:val="2D7352E2"/>
    <w:rsid w:val="2D880661"/>
    <w:rsid w:val="2D940DB4"/>
    <w:rsid w:val="2D986AF6"/>
    <w:rsid w:val="2DA236F5"/>
    <w:rsid w:val="2DB15E0A"/>
    <w:rsid w:val="2DB41456"/>
    <w:rsid w:val="2DBD030B"/>
    <w:rsid w:val="2DBD655D"/>
    <w:rsid w:val="2DBF0527"/>
    <w:rsid w:val="2DC07DFB"/>
    <w:rsid w:val="2DE56F06"/>
    <w:rsid w:val="2DEA131C"/>
    <w:rsid w:val="2DFD2883"/>
    <w:rsid w:val="2E0A551A"/>
    <w:rsid w:val="2E163EBF"/>
    <w:rsid w:val="2E424CB4"/>
    <w:rsid w:val="2E47051C"/>
    <w:rsid w:val="2E56250D"/>
    <w:rsid w:val="2E6115DE"/>
    <w:rsid w:val="2E8452CD"/>
    <w:rsid w:val="2E8928E3"/>
    <w:rsid w:val="2E933762"/>
    <w:rsid w:val="2EB21E3A"/>
    <w:rsid w:val="2ECE479A"/>
    <w:rsid w:val="2EDE198D"/>
    <w:rsid w:val="2EDE49DD"/>
    <w:rsid w:val="2EF02945"/>
    <w:rsid w:val="2EFA558F"/>
    <w:rsid w:val="2F067A90"/>
    <w:rsid w:val="2F087CAC"/>
    <w:rsid w:val="2F0B154A"/>
    <w:rsid w:val="2F3C6DC2"/>
    <w:rsid w:val="2F4874EF"/>
    <w:rsid w:val="2F6D7B0F"/>
    <w:rsid w:val="2F7166FB"/>
    <w:rsid w:val="2F9B0B20"/>
    <w:rsid w:val="2FBE6B00"/>
    <w:rsid w:val="2FC8743B"/>
    <w:rsid w:val="2FD66FEA"/>
    <w:rsid w:val="2FDB53C0"/>
    <w:rsid w:val="2FE853E7"/>
    <w:rsid w:val="2FF87D20"/>
    <w:rsid w:val="300C557A"/>
    <w:rsid w:val="300E30A0"/>
    <w:rsid w:val="303B19BB"/>
    <w:rsid w:val="305D6C11"/>
    <w:rsid w:val="309A2B85"/>
    <w:rsid w:val="309B06AC"/>
    <w:rsid w:val="30A27C8C"/>
    <w:rsid w:val="30BF25EC"/>
    <w:rsid w:val="30BF439A"/>
    <w:rsid w:val="30C714A1"/>
    <w:rsid w:val="30DC4F4C"/>
    <w:rsid w:val="30E97669"/>
    <w:rsid w:val="310224D9"/>
    <w:rsid w:val="31046251"/>
    <w:rsid w:val="312106D4"/>
    <w:rsid w:val="312468F3"/>
    <w:rsid w:val="317E4255"/>
    <w:rsid w:val="319B6BB5"/>
    <w:rsid w:val="31D6745B"/>
    <w:rsid w:val="31EA7C43"/>
    <w:rsid w:val="32290665"/>
    <w:rsid w:val="323B3EF4"/>
    <w:rsid w:val="323C7DCD"/>
    <w:rsid w:val="32584AA6"/>
    <w:rsid w:val="32785148"/>
    <w:rsid w:val="32935ADE"/>
    <w:rsid w:val="32A94C5F"/>
    <w:rsid w:val="32AE0B6A"/>
    <w:rsid w:val="32B36180"/>
    <w:rsid w:val="32DA54BB"/>
    <w:rsid w:val="32E0684A"/>
    <w:rsid w:val="32E9317E"/>
    <w:rsid w:val="330662B0"/>
    <w:rsid w:val="333F7A14"/>
    <w:rsid w:val="33522800"/>
    <w:rsid w:val="336456CD"/>
    <w:rsid w:val="3381627F"/>
    <w:rsid w:val="338B4A07"/>
    <w:rsid w:val="338C4B2C"/>
    <w:rsid w:val="33D12D62"/>
    <w:rsid w:val="33D86D5F"/>
    <w:rsid w:val="33EA2B55"/>
    <w:rsid w:val="33EB57CA"/>
    <w:rsid w:val="341449FD"/>
    <w:rsid w:val="341D2EC6"/>
    <w:rsid w:val="342015F4"/>
    <w:rsid w:val="342B1D46"/>
    <w:rsid w:val="342C7F98"/>
    <w:rsid w:val="347B4A7C"/>
    <w:rsid w:val="348778C5"/>
    <w:rsid w:val="34897199"/>
    <w:rsid w:val="348F0527"/>
    <w:rsid w:val="34A83397"/>
    <w:rsid w:val="34C75F13"/>
    <w:rsid w:val="351153E0"/>
    <w:rsid w:val="351A24E7"/>
    <w:rsid w:val="351A6043"/>
    <w:rsid w:val="35571045"/>
    <w:rsid w:val="35635719"/>
    <w:rsid w:val="3566572C"/>
    <w:rsid w:val="357339A5"/>
    <w:rsid w:val="35824CBB"/>
    <w:rsid w:val="35926521"/>
    <w:rsid w:val="359A7184"/>
    <w:rsid w:val="35B04BF9"/>
    <w:rsid w:val="35B069A7"/>
    <w:rsid w:val="35C81F43"/>
    <w:rsid w:val="35DF103A"/>
    <w:rsid w:val="361E6007"/>
    <w:rsid w:val="362B4280"/>
    <w:rsid w:val="3639699D"/>
    <w:rsid w:val="36560203"/>
    <w:rsid w:val="36621224"/>
    <w:rsid w:val="36657792"/>
    <w:rsid w:val="366F0610"/>
    <w:rsid w:val="36721EAF"/>
    <w:rsid w:val="36AA379A"/>
    <w:rsid w:val="36AD2EE7"/>
    <w:rsid w:val="36CF7301"/>
    <w:rsid w:val="36E16BA3"/>
    <w:rsid w:val="36F54FB9"/>
    <w:rsid w:val="373D426B"/>
    <w:rsid w:val="373E3B81"/>
    <w:rsid w:val="37441A9D"/>
    <w:rsid w:val="375515B4"/>
    <w:rsid w:val="375810A4"/>
    <w:rsid w:val="375C6DE7"/>
    <w:rsid w:val="379245B6"/>
    <w:rsid w:val="37E8067A"/>
    <w:rsid w:val="37EE37B7"/>
    <w:rsid w:val="380D6333"/>
    <w:rsid w:val="381E5E4A"/>
    <w:rsid w:val="38547ABE"/>
    <w:rsid w:val="38597582"/>
    <w:rsid w:val="386A5533"/>
    <w:rsid w:val="386C12AB"/>
    <w:rsid w:val="388A3751"/>
    <w:rsid w:val="388C54AA"/>
    <w:rsid w:val="388D1222"/>
    <w:rsid w:val="38A722E3"/>
    <w:rsid w:val="38B44A00"/>
    <w:rsid w:val="38F875FA"/>
    <w:rsid w:val="38FB262F"/>
    <w:rsid w:val="39227BBC"/>
    <w:rsid w:val="392842A9"/>
    <w:rsid w:val="395104A1"/>
    <w:rsid w:val="39650B88"/>
    <w:rsid w:val="399D7242"/>
    <w:rsid w:val="39A71E6F"/>
    <w:rsid w:val="39AB7BB1"/>
    <w:rsid w:val="39C12F31"/>
    <w:rsid w:val="39C26CA9"/>
    <w:rsid w:val="39C90037"/>
    <w:rsid w:val="39D0586A"/>
    <w:rsid w:val="3A255EE2"/>
    <w:rsid w:val="3A396F6B"/>
    <w:rsid w:val="3A5405D4"/>
    <w:rsid w:val="3A577D39"/>
    <w:rsid w:val="3A5E4C24"/>
    <w:rsid w:val="3A660FFC"/>
    <w:rsid w:val="3AAF1923"/>
    <w:rsid w:val="3AB72586"/>
    <w:rsid w:val="3B0D21A6"/>
    <w:rsid w:val="3B1479D8"/>
    <w:rsid w:val="3B383C42"/>
    <w:rsid w:val="3BC1190E"/>
    <w:rsid w:val="3BC35686"/>
    <w:rsid w:val="3BCB176B"/>
    <w:rsid w:val="3BE178BA"/>
    <w:rsid w:val="3BE417CC"/>
    <w:rsid w:val="3BE455FD"/>
    <w:rsid w:val="3C1E0B0E"/>
    <w:rsid w:val="3C2123AD"/>
    <w:rsid w:val="3C2E5D9B"/>
    <w:rsid w:val="3C6B3628"/>
    <w:rsid w:val="3C834E15"/>
    <w:rsid w:val="3C885F88"/>
    <w:rsid w:val="3C8B5A78"/>
    <w:rsid w:val="3C926E07"/>
    <w:rsid w:val="3CB274A9"/>
    <w:rsid w:val="3D115F7D"/>
    <w:rsid w:val="3D172B8F"/>
    <w:rsid w:val="3D9372DA"/>
    <w:rsid w:val="3D98044D"/>
    <w:rsid w:val="3DC76F84"/>
    <w:rsid w:val="3DCE20C0"/>
    <w:rsid w:val="3DD1570D"/>
    <w:rsid w:val="3DFB09DB"/>
    <w:rsid w:val="3E506F79"/>
    <w:rsid w:val="3E682515"/>
    <w:rsid w:val="3E6A003B"/>
    <w:rsid w:val="3E6F5651"/>
    <w:rsid w:val="3E815385"/>
    <w:rsid w:val="3E950E30"/>
    <w:rsid w:val="3EA64DEB"/>
    <w:rsid w:val="3EC314F9"/>
    <w:rsid w:val="3EDC25BB"/>
    <w:rsid w:val="3EE66DAB"/>
    <w:rsid w:val="3F073ADC"/>
    <w:rsid w:val="3F163047"/>
    <w:rsid w:val="3F1B1335"/>
    <w:rsid w:val="3F1D32FF"/>
    <w:rsid w:val="3F3D5750"/>
    <w:rsid w:val="3F4E170B"/>
    <w:rsid w:val="3F591E5E"/>
    <w:rsid w:val="3F9D1D4A"/>
    <w:rsid w:val="3FBB0422"/>
    <w:rsid w:val="3FBD419A"/>
    <w:rsid w:val="3FEB6F5A"/>
    <w:rsid w:val="401C35B7"/>
    <w:rsid w:val="40265D04"/>
    <w:rsid w:val="4061225A"/>
    <w:rsid w:val="40712EDE"/>
    <w:rsid w:val="407A02DD"/>
    <w:rsid w:val="407D1B7C"/>
    <w:rsid w:val="40970E8F"/>
    <w:rsid w:val="40AA5E59"/>
    <w:rsid w:val="40D07EFD"/>
    <w:rsid w:val="40D23C76"/>
    <w:rsid w:val="40D317EF"/>
    <w:rsid w:val="40D45C40"/>
    <w:rsid w:val="40DF6392"/>
    <w:rsid w:val="40F736DC"/>
    <w:rsid w:val="40FE0F0E"/>
    <w:rsid w:val="411424E0"/>
    <w:rsid w:val="41261227"/>
    <w:rsid w:val="414508EB"/>
    <w:rsid w:val="415D3F68"/>
    <w:rsid w:val="41654AEA"/>
    <w:rsid w:val="418D5DEE"/>
    <w:rsid w:val="419C135A"/>
    <w:rsid w:val="41C757A4"/>
    <w:rsid w:val="41CA7043"/>
    <w:rsid w:val="41D028AB"/>
    <w:rsid w:val="41DD6D76"/>
    <w:rsid w:val="41E9571B"/>
    <w:rsid w:val="42186000"/>
    <w:rsid w:val="42562684"/>
    <w:rsid w:val="425F3C2F"/>
    <w:rsid w:val="427D5E63"/>
    <w:rsid w:val="42B20202"/>
    <w:rsid w:val="42DE59E4"/>
    <w:rsid w:val="42ED2FE9"/>
    <w:rsid w:val="42EF4FB3"/>
    <w:rsid w:val="430622FC"/>
    <w:rsid w:val="43086074"/>
    <w:rsid w:val="430A3B9B"/>
    <w:rsid w:val="434C241E"/>
    <w:rsid w:val="435A0E6C"/>
    <w:rsid w:val="4390200E"/>
    <w:rsid w:val="43B65AD0"/>
    <w:rsid w:val="43BD6E5F"/>
    <w:rsid w:val="43CF26EE"/>
    <w:rsid w:val="43D61CCF"/>
    <w:rsid w:val="43E4263E"/>
    <w:rsid w:val="43E77A38"/>
    <w:rsid w:val="43FB34E3"/>
    <w:rsid w:val="440E1469"/>
    <w:rsid w:val="440F51E1"/>
    <w:rsid w:val="441D5B50"/>
    <w:rsid w:val="442E5667"/>
    <w:rsid w:val="44625310"/>
    <w:rsid w:val="44673154"/>
    <w:rsid w:val="447251C8"/>
    <w:rsid w:val="448259B3"/>
    <w:rsid w:val="44AD6ED3"/>
    <w:rsid w:val="44B813D4"/>
    <w:rsid w:val="44C63AF1"/>
    <w:rsid w:val="44CE6E4A"/>
    <w:rsid w:val="44E81CBA"/>
    <w:rsid w:val="45196317"/>
    <w:rsid w:val="45592BB7"/>
    <w:rsid w:val="457F63EC"/>
    <w:rsid w:val="458B0897"/>
    <w:rsid w:val="458D50F5"/>
    <w:rsid w:val="45A81449"/>
    <w:rsid w:val="45D71D2E"/>
    <w:rsid w:val="45D93CF8"/>
    <w:rsid w:val="46E12E64"/>
    <w:rsid w:val="46ED1809"/>
    <w:rsid w:val="46F31C44"/>
    <w:rsid w:val="472965B9"/>
    <w:rsid w:val="47330B3B"/>
    <w:rsid w:val="47372A84"/>
    <w:rsid w:val="473A4323"/>
    <w:rsid w:val="47413903"/>
    <w:rsid w:val="47470441"/>
    <w:rsid w:val="47705F96"/>
    <w:rsid w:val="478B4B7E"/>
    <w:rsid w:val="47A7379B"/>
    <w:rsid w:val="47B916EB"/>
    <w:rsid w:val="48007F78"/>
    <w:rsid w:val="482A7C30"/>
    <w:rsid w:val="483376F0"/>
    <w:rsid w:val="48382F58"/>
    <w:rsid w:val="48561630"/>
    <w:rsid w:val="486378A9"/>
    <w:rsid w:val="48677399"/>
    <w:rsid w:val="488937B4"/>
    <w:rsid w:val="48A04659"/>
    <w:rsid w:val="48E374F8"/>
    <w:rsid w:val="48E617D4"/>
    <w:rsid w:val="48EC5AF0"/>
    <w:rsid w:val="49044BE8"/>
    <w:rsid w:val="49137521"/>
    <w:rsid w:val="492359B6"/>
    <w:rsid w:val="49261002"/>
    <w:rsid w:val="49267254"/>
    <w:rsid w:val="493E00E4"/>
    <w:rsid w:val="49521DF7"/>
    <w:rsid w:val="49543DC1"/>
    <w:rsid w:val="49684DD4"/>
    <w:rsid w:val="497C50C6"/>
    <w:rsid w:val="498D2E30"/>
    <w:rsid w:val="49B063EE"/>
    <w:rsid w:val="49B44860"/>
    <w:rsid w:val="49C820BA"/>
    <w:rsid w:val="49D071C0"/>
    <w:rsid w:val="49D90EAE"/>
    <w:rsid w:val="49E8275C"/>
    <w:rsid w:val="4A02381D"/>
    <w:rsid w:val="4A0D3F70"/>
    <w:rsid w:val="4A1452FF"/>
    <w:rsid w:val="4A153456"/>
    <w:rsid w:val="4A1672C9"/>
    <w:rsid w:val="4A4C6847"/>
    <w:rsid w:val="4A5E657A"/>
    <w:rsid w:val="4A742241"/>
    <w:rsid w:val="4A835FE1"/>
    <w:rsid w:val="4A965D14"/>
    <w:rsid w:val="4A9A1CA8"/>
    <w:rsid w:val="4AAE5753"/>
    <w:rsid w:val="4ABA5EA6"/>
    <w:rsid w:val="4AE747C1"/>
    <w:rsid w:val="4AFA6EC3"/>
    <w:rsid w:val="4B2652EA"/>
    <w:rsid w:val="4B5A4F93"/>
    <w:rsid w:val="4B6814DC"/>
    <w:rsid w:val="4B68207B"/>
    <w:rsid w:val="4B9A2DF3"/>
    <w:rsid w:val="4BDE7972"/>
    <w:rsid w:val="4BE11211"/>
    <w:rsid w:val="4BE34F89"/>
    <w:rsid w:val="4BE56F53"/>
    <w:rsid w:val="4BED5E07"/>
    <w:rsid w:val="4C194E4E"/>
    <w:rsid w:val="4C1A34BB"/>
    <w:rsid w:val="4C237A7B"/>
    <w:rsid w:val="4C2D4456"/>
    <w:rsid w:val="4C63256E"/>
    <w:rsid w:val="4C6D519A"/>
    <w:rsid w:val="4C8D34B8"/>
    <w:rsid w:val="4CB42DC9"/>
    <w:rsid w:val="4CC50B32"/>
    <w:rsid w:val="4CC96874"/>
    <w:rsid w:val="4CD945DE"/>
    <w:rsid w:val="4CE27936"/>
    <w:rsid w:val="4CE849E2"/>
    <w:rsid w:val="4CF82CB6"/>
    <w:rsid w:val="4D043409"/>
    <w:rsid w:val="4D386F94"/>
    <w:rsid w:val="4D423F31"/>
    <w:rsid w:val="4D4B1038"/>
    <w:rsid w:val="4D6F01C5"/>
    <w:rsid w:val="4D7F4451"/>
    <w:rsid w:val="4D834C75"/>
    <w:rsid w:val="4D8409ED"/>
    <w:rsid w:val="4D907392"/>
    <w:rsid w:val="4DBF5582"/>
    <w:rsid w:val="4DCD7C9F"/>
    <w:rsid w:val="4DD94895"/>
    <w:rsid w:val="4E037B64"/>
    <w:rsid w:val="4E832A53"/>
    <w:rsid w:val="4E870795"/>
    <w:rsid w:val="4E8D38D2"/>
    <w:rsid w:val="4E8D742E"/>
    <w:rsid w:val="4E97758E"/>
    <w:rsid w:val="4EBB043F"/>
    <w:rsid w:val="4EF15C0F"/>
    <w:rsid w:val="4F133DD7"/>
    <w:rsid w:val="4F2E6E63"/>
    <w:rsid w:val="4F3E53F4"/>
    <w:rsid w:val="4F651DD9"/>
    <w:rsid w:val="4F675ED1"/>
    <w:rsid w:val="4F730D1A"/>
    <w:rsid w:val="4F960564"/>
    <w:rsid w:val="4FB629B4"/>
    <w:rsid w:val="4FBC621D"/>
    <w:rsid w:val="4FCB2904"/>
    <w:rsid w:val="4FD5108C"/>
    <w:rsid w:val="4FF754A7"/>
    <w:rsid w:val="500E557E"/>
    <w:rsid w:val="50371D47"/>
    <w:rsid w:val="504D3319"/>
    <w:rsid w:val="50577CF3"/>
    <w:rsid w:val="506D39BB"/>
    <w:rsid w:val="509251CF"/>
    <w:rsid w:val="50A078EC"/>
    <w:rsid w:val="50BB2978"/>
    <w:rsid w:val="50EA500B"/>
    <w:rsid w:val="51136310"/>
    <w:rsid w:val="51491D32"/>
    <w:rsid w:val="514C537E"/>
    <w:rsid w:val="515D4046"/>
    <w:rsid w:val="51622DF4"/>
    <w:rsid w:val="518E5997"/>
    <w:rsid w:val="518F170F"/>
    <w:rsid w:val="51A67184"/>
    <w:rsid w:val="51DF61F2"/>
    <w:rsid w:val="51E23F34"/>
    <w:rsid w:val="51E31A1C"/>
    <w:rsid w:val="51ED4DB3"/>
    <w:rsid w:val="51EE0B2B"/>
    <w:rsid w:val="51FC4FF6"/>
    <w:rsid w:val="52097713"/>
    <w:rsid w:val="521560B8"/>
    <w:rsid w:val="5221680B"/>
    <w:rsid w:val="52306A4E"/>
    <w:rsid w:val="52350508"/>
    <w:rsid w:val="523A1735"/>
    <w:rsid w:val="5257222D"/>
    <w:rsid w:val="525941F7"/>
    <w:rsid w:val="52860D64"/>
    <w:rsid w:val="528648C0"/>
    <w:rsid w:val="52CE189B"/>
    <w:rsid w:val="52D23FA9"/>
    <w:rsid w:val="53311AB3"/>
    <w:rsid w:val="533D7674"/>
    <w:rsid w:val="53403178"/>
    <w:rsid w:val="535C417D"/>
    <w:rsid w:val="53740BBC"/>
    <w:rsid w:val="537D2167"/>
    <w:rsid w:val="538E6122"/>
    <w:rsid w:val="53990623"/>
    <w:rsid w:val="53A05E55"/>
    <w:rsid w:val="53B13BBE"/>
    <w:rsid w:val="543534D1"/>
    <w:rsid w:val="54353DA3"/>
    <w:rsid w:val="545F186C"/>
    <w:rsid w:val="54815C87"/>
    <w:rsid w:val="548A4B3B"/>
    <w:rsid w:val="54905ECA"/>
    <w:rsid w:val="549A4653"/>
    <w:rsid w:val="549B548E"/>
    <w:rsid w:val="54A35BFD"/>
    <w:rsid w:val="54C142D5"/>
    <w:rsid w:val="54CD4A28"/>
    <w:rsid w:val="54D2037C"/>
    <w:rsid w:val="54E35FFA"/>
    <w:rsid w:val="54E65AEA"/>
    <w:rsid w:val="551E6B2A"/>
    <w:rsid w:val="552A7440"/>
    <w:rsid w:val="55371339"/>
    <w:rsid w:val="55546EF7"/>
    <w:rsid w:val="5560764A"/>
    <w:rsid w:val="55766E6E"/>
    <w:rsid w:val="558E2409"/>
    <w:rsid w:val="558F1CDD"/>
    <w:rsid w:val="55AE6607"/>
    <w:rsid w:val="55B17B55"/>
    <w:rsid w:val="562B6483"/>
    <w:rsid w:val="563F226F"/>
    <w:rsid w:val="5647080A"/>
    <w:rsid w:val="56834170"/>
    <w:rsid w:val="56941CA1"/>
    <w:rsid w:val="56A95021"/>
    <w:rsid w:val="56B23ED5"/>
    <w:rsid w:val="56D36A74"/>
    <w:rsid w:val="56DC53F6"/>
    <w:rsid w:val="56E36785"/>
    <w:rsid w:val="56EE0C86"/>
    <w:rsid w:val="56F049FE"/>
    <w:rsid w:val="56F42740"/>
    <w:rsid w:val="57157B0E"/>
    <w:rsid w:val="57201787"/>
    <w:rsid w:val="57457270"/>
    <w:rsid w:val="57460AC2"/>
    <w:rsid w:val="57476D14"/>
    <w:rsid w:val="5748081E"/>
    <w:rsid w:val="576D24F2"/>
    <w:rsid w:val="57757B5A"/>
    <w:rsid w:val="57923D07"/>
    <w:rsid w:val="57945CD1"/>
    <w:rsid w:val="579655A5"/>
    <w:rsid w:val="5798756F"/>
    <w:rsid w:val="57A8352A"/>
    <w:rsid w:val="57AC3163"/>
    <w:rsid w:val="57F549C2"/>
    <w:rsid w:val="58011B93"/>
    <w:rsid w:val="580B5F93"/>
    <w:rsid w:val="58242BB1"/>
    <w:rsid w:val="58310C72"/>
    <w:rsid w:val="587F24DD"/>
    <w:rsid w:val="58873140"/>
    <w:rsid w:val="588F784E"/>
    <w:rsid w:val="589046EA"/>
    <w:rsid w:val="58A61818"/>
    <w:rsid w:val="58B56844"/>
    <w:rsid w:val="58BD4DB3"/>
    <w:rsid w:val="58DF2F7C"/>
    <w:rsid w:val="58F5454D"/>
    <w:rsid w:val="59066C26"/>
    <w:rsid w:val="590B5B1F"/>
    <w:rsid w:val="593432C8"/>
    <w:rsid w:val="594B23BF"/>
    <w:rsid w:val="595A2602"/>
    <w:rsid w:val="59613991"/>
    <w:rsid w:val="596671F9"/>
    <w:rsid w:val="597A4A53"/>
    <w:rsid w:val="597E7244"/>
    <w:rsid w:val="598853C1"/>
    <w:rsid w:val="59B74EE0"/>
    <w:rsid w:val="59C53F20"/>
    <w:rsid w:val="59EF3692"/>
    <w:rsid w:val="59EF5441"/>
    <w:rsid w:val="5A0A4028"/>
    <w:rsid w:val="5A1B2858"/>
    <w:rsid w:val="5A6B0F6B"/>
    <w:rsid w:val="5A736072"/>
    <w:rsid w:val="5A762FF3"/>
    <w:rsid w:val="5A7D0C9E"/>
    <w:rsid w:val="5A7D47FA"/>
    <w:rsid w:val="5A897643"/>
    <w:rsid w:val="5A8B6F17"/>
    <w:rsid w:val="5AC02939"/>
    <w:rsid w:val="5AEC372E"/>
    <w:rsid w:val="5AFF7905"/>
    <w:rsid w:val="5B154FF4"/>
    <w:rsid w:val="5B1A029B"/>
    <w:rsid w:val="5B370E4D"/>
    <w:rsid w:val="5B525C87"/>
    <w:rsid w:val="5B694D7F"/>
    <w:rsid w:val="5B6F6839"/>
    <w:rsid w:val="5B8A71CF"/>
    <w:rsid w:val="5B8F6EDB"/>
    <w:rsid w:val="5BA81D4B"/>
    <w:rsid w:val="5BAC0136"/>
    <w:rsid w:val="5BD82630"/>
    <w:rsid w:val="5BD91F04"/>
    <w:rsid w:val="5BE865EB"/>
    <w:rsid w:val="5BFD387C"/>
    <w:rsid w:val="5C0C22DA"/>
    <w:rsid w:val="5C274129"/>
    <w:rsid w:val="5C2A09B2"/>
    <w:rsid w:val="5C384E7D"/>
    <w:rsid w:val="5C45759A"/>
    <w:rsid w:val="5C543CD7"/>
    <w:rsid w:val="5C693288"/>
    <w:rsid w:val="5C8C6F77"/>
    <w:rsid w:val="5CA72002"/>
    <w:rsid w:val="5CB63FF4"/>
    <w:rsid w:val="5CBD29A0"/>
    <w:rsid w:val="5CC26E3C"/>
    <w:rsid w:val="5CE84AF5"/>
    <w:rsid w:val="5D086F45"/>
    <w:rsid w:val="5D0E3E30"/>
    <w:rsid w:val="5D1217CA"/>
    <w:rsid w:val="5D177188"/>
    <w:rsid w:val="5D1A0A26"/>
    <w:rsid w:val="5D243653"/>
    <w:rsid w:val="5D315147"/>
    <w:rsid w:val="5D880074"/>
    <w:rsid w:val="5D916F3A"/>
    <w:rsid w:val="5DBA7B13"/>
    <w:rsid w:val="5DC170F4"/>
    <w:rsid w:val="5DE84681"/>
    <w:rsid w:val="5DFE20F6"/>
    <w:rsid w:val="5E0F1C0D"/>
    <w:rsid w:val="5E2A7515"/>
    <w:rsid w:val="5E316028"/>
    <w:rsid w:val="5E6C3504"/>
    <w:rsid w:val="5E8C325E"/>
    <w:rsid w:val="5E9B238B"/>
    <w:rsid w:val="5EA44A4C"/>
    <w:rsid w:val="5EDF5A84"/>
    <w:rsid w:val="5EE74938"/>
    <w:rsid w:val="5F100333"/>
    <w:rsid w:val="5F5C0E82"/>
    <w:rsid w:val="5F6E0BB6"/>
    <w:rsid w:val="5F773F0E"/>
    <w:rsid w:val="5F795ED8"/>
    <w:rsid w:val="5F8623A3"/>
    <w:rsid w:val="5FA42829"/>
    <w:rsid w:val="5FB76D6F"/>
    <w:rsid w:val="600B4656"/>
    <w:rsid w:val="6031230F"/>
    <w:rsid w:val="6054424F"/>
    <w:rsid w:val="60545FFD"/>
    <w:rsid w:val="60575AEE"/>
    <w:rsid w:val="60583D40"/>
    <w:rsid w:val="607B5C80"/>
    <w:rsid w:val="60844B35"/>
    <w:rsid w:val="60870181"/>
    <w:rsid w:val="60A01243"/>
    <w:rsid w:val="60AD570E"/>
    <w:rsid w:val="60C009B1"/>
    <w:rsid w:val="60DA0BF8"/>
    <w:rsid w:val="60E455D3"/>
    <w:rsid w:val="60F63558"/>
    <w:rsid w:val="60FF240D"/>
    <w:rsid w:val="610F5757"/>
    <w:rsid w:val="611F2AAF"/>
    <w:rsid w:val="61243C22"/>
    <w:rsid w:val="61260F78"/>
    <w:rsid w:val="61273712"/>
    <w:rsid w:val="61355E2F"/>
    <w:rsid w:val="614C4F26"/>
    <w:rsid w:val="619A2136"/>
    <w:rsid w:val="61A46B11"/>
    <w:rsid w:val="61B16D09"/>
    <w:rsid w:val="61B31169"/>
    <w:rsid w:val="61D52281"/>
    <w:rsid w:val="61DC274E"/>
    <w:rsid w:val="61E3588B"/>
    <w:rsid w:val="61EB473F"/>
    <w:rsid w:val="62014C73"/>
    <w:rsid w:val="620D0B5A"/>
    <w:rsid w:val="62326812"/>
    <w:rsid w:val="624327CD"/>
    <w:rsid w:val="62570027"/>
    <w:rsid w:val="626F5370"/>
    <w:rsid w:val="6292105F"/>
    <w:rsid w:val="62944DD7"/>
    <w:rsid w:val="62F15D85"/>
    <w:rsid w:val="63060C67"/>
    <w:rsid w:val="630A6E47"/>
    <w:rsid w:val="631B1054"/>
    <w:rsid w:val="63273E9D"/>
    <w:rsid w:val="63471E49"/>
    <w:rsid w:val="63696264"/>
    <w:rsid w:val="63A64C07"/>
    <w:rsid w:val="63B82D47"/>
    <w:rsid w:val="63BF5E84"/>
    <w:rsid w:val="63EF5B81"/>
    <w:rsid w:val="63F02E36"/>
    <w:rsid w:val="64095351"/>
    <w:rsid w:val="64513101"/>
    <w:rsid w:val="648F5856"/>
    <w:rsid w:val="64921A25"/>
    <w:rsid w:val="64B41760"/>
    <w:rsid w:val="64B452BD"/>
    <w:rsid w:val="64BB2AEF"/>
    <w:rsid w:val="64BD6867"/>
    <w:rsid w:val="64DD0CB7"/>
    <w:rsid w:val="64DE2339"/>
    <w:rsid w:val="64F733FB"/>
    <w:rsid w:val="651C3BF4"/>
    <w:rsid w:val="65227847"/>
    <w:rsid w:val="65257F68"/>
    <w:rsid w:val="65384140"/>
    <w:rsid w:val="656E36C0"/>
    <w:rsid w:val="657F3B1C"/>
    <w:rsid w:val="659F7D1B"/>
    <w:rsid w:val="65A2780B"/>
    <w:rsid w:val="65B0017A"/>
    <w:rsid w:val="65E6594A"/>
    <w:rsid w:val="65ED4F2A"/>
    <w:rsid w:val="661204ED"/>
    <w:rsid w:val="6615622F"/>
    <w:rsid w:val="66285F62"/>
    <w:rsid w:val="662A7F2C"/>
    <w:rsid w:val="663012BB"/>
    <w:rsid w:val="663743F7"/>
    <w:rsid w:val="66576847"/>
    <w:rsid w:val="66A575B3"/>
    <w:rsid w:val="66E0683D"/>
    <w:rsid w:val="67087B42"/>
    <w:rsid w:val="670C13E0"/>
    <w:rsid w:val="676254A4"/>
    <w:rsid w:val="67BC1058"/>
    <w:rsid w:val="67BD26DA"/>
    <w:rsid w:val="67BF28F6"/>
    <w:rsid w:val="67C615F0"/>
    <w:rsid w:val="67D0240D"/>
    <w:rsid w:val="67D57A24"/>
    <w:rsid w:val="67F012C2"/>
    <w:rsid w:val="67F3434E"/>
    <w:rsid w:val="683D6E27"/>
    <w:rsid w:val="68465D84"/>
    <w:rsid w:val="6848469A"/>
    <w:rsid w:val="68880F3A"/>
    <w:rsid w:val="68AE2423"/>
    <w:rsid w:val="690F51B7"/>
    <w:rsid w:val="692112C9"/>
    <w:rsid w:val="69216C99"/>
    <w:rsid w:val="69981651"/>
    <w:rsid w:val="699F29DF"/>
    <w:rsid w:val="69AE677E"/>
    <w:rsid w:val="6A0960AB"/>
    <w:rsid w:val="6A1A3E14"/>
    <w:rsid w:val="6A30582F"/>
    <w:rsid w:val="6A617C95"/>
    <w:rsid w:val="6A6257BB"/>
    <w:rsid w:val="6A633A0D"/>
    <w:rsid w:val="6A694D9B"/>
    <w:rsid w:val="6A6D03E7"/>
    <w:rsid w:val="6A7774B8"/>
    <w:rsid w:val="6AD71D05"/>
    <w:rsid w:val="6AE663EC"/>
    <w:rsid w:val="6B122D3D"/>
    <w:rsid w:val="6B1564D2"/>
    <w:rsid w:val="6B234F4A"/>
    <w:rsid w:val="6B43383E"/>
    <w:rsid w:val="6B657311"/>
    <w:rsid w:val="6B7457A6"/>
    <w:rsid w:val="6B7C1D01"/>
    <w:rsid w:val="6BAA11C7"/>
    <w:rsid w:val="6BB9765C"/>
    <w:rsid w:val="6BC4672D"/>
    <w:rsid w:val="6BC56001"/>
    <w:rsid w:val="6BD050D2"/>
    <w:rsid w:val="6BD34BC2"/>
    <w:rsid w:val="6BF40694"/>
    <w:rsid w:val="6BF608B1"/>
    <w:rsid w:val="6C05633C"/>
    <w:rsid w:val="6C066D46"/>
    <w:rsid w:val="6C1A459F"/>
    <w:rsid w:val="6C4C04D0"/>
    <w:rsid w:val="6C5D623A"/>
    <w:rsid w:val="6C6367AC"/>
    <w:rsid w:val="6CC369E5"/>
    <w:rsid w:val="6CF3094C"/>
    <w:rsid w:val="6D145958"/>
    <w:rsid w:val="6D21195D"/>
    <w:rsid w:val="6D2B458A"/>
    <w:rsid w:val="6D2E2789"/>
    <w:rsid w:val="6D5B6C1D"/>
    <w:rsid w:val="6D5E2269"/>
    <w:rsid w:val="6D65184A"/>
    <w:rsid w:val="6D667370"/>
    <w:rsid w:val="6D68133A"/>
    <w:rsid w:val="6D6B4986"/>
    <w:rsid w:val="6D7B72BF"/>
    <w:rsid w:val="6D940381"/>
    <w:rsid w:val="6DA46816"/>
    <w:rsid w:val="6DB4457F"/>
    <w:rsid w:val="6DCE5641"/>
    <w:rsid w:val="6DE24C48"/>
    <w:rsid w:val="6DEF55B7"/>
    <w:rsid w:val="6DF835FD"/>
    <w:rsid w:val="6E05302D"/>
    <w:rsid w:val="6E0F17B6"/>
    <w:rsid w:val="6E160D96"/>
    <w:rsid w:val="6E173B94"/>
    <w:rsid w:val="6E2A65EF"/>
    <w:rsid w:val="6E313E22"/>
    <w:rsid w:val="6E492F1A"/>
    <w:rsid w:val="6E69536A"/>
    <w:rsid w:val="6E8126B3"/>
    <w:rsid w:val="6EAB5982"/>
    <w:rsid w:val="6EC30F1E"/>
    <w:rsid w:val="6ED44ED9"/>
    <w:rsid w:val="6EE82732"/>
    <w:rsid w:val="6EFE0E88"/>
    <w:rsid w:val="6F0230C8"/>
    <w:rsid w:val="6F327E52"/>
    <w:rsid w:val="6F4436E1"/>
    <w:rsid w:val="6F4A6F49"/>
    <w:rsid w:val="6F60051B"/>
    <w:rsid w:val="6F6F4C26"/>
    <w:rsid w:val="6F912DCA"/>
    <w:rsid w:val="6F944668"/>
    <w:rsid w:val="6FB940CF"/>
    <w:rsid w:val="6FD66A2F"/>
    <w:rsid w:val="6FF2313D"/>
    <w:rsid w:val="700F3CEF"/>
    <w:rsid w:val="70357BF9"/>
    <w:rsid w:val="703D085C"/>
    <w:rsid w:val="70891CF3"/>
    <w:rsid w:val="708C3591"/>
    <w:rsid w:val="709541F4"/>
    <w:rsid w:val="709D754D"/>
    <w:rsid w:val="70D54F38"/>
    <w:rsid w:val="70E433CD"/>
    <w:rsid w:val="70EB02B8"/>
    <w:rsid w:val="70FF3D63"/>
    <w:rsid w:val="7113156F"/>
    <w:rsid w:val="713003C1"/>
    <w:rsid w:val="71502811"/>
    <w:rsid w:val="71520337"/>
    <w:rsid w:val="715658E9"/>
    <w:rsid w:val="717209D9"/>
    <w:rsid w:val="717402AD"/>
    <w:rsid w:val="718A1378"/>
    <w:rsid w:val="71A60683"/>
    <w:rsid w:val="71B42DA0"/>
    <w:rsid w:val="71CF6831"/>
    <w:rsid w:val="721750DD"/>
    <w:rsid w:val="72331F17"/>
    <w:rsid w:val="72395053"/>
    <w:rsid w:val="72541E8D"/>
    <w:rsid w:val="72A76461"/>
    <w:rsid w:val="72BA43E6"/>
    <w:rsid w:val="73163537"/>
    <w:rsid w:val="73320420"/>
    <w:rsid w:val="73357F10"/>
    <w:rsid w:val="733F2B3D"/>
    <w:rsid w:val="735E1215"/>
    <w:rsid w:val="73661E78"/>
    <w:rsid w:val="737A5923"/>
    <w:rsid w:val="73852C46"/>
    <w:rsid w:val="738F7621"/>
    <w:rsid w:val="73A17354"/>
    <w:rsid w:val="73AB3D2F"/>
    <w:rsid w:val="73B057E9"/>
    <w:rsid w:val="73C22D32"/>
    <w:rsid w:val="73E13BF4"/>
    <w:rsid w:val="73E3171A"/>
    <w:rsid w:val="73F92CEC"/>
    <w:rsid w:val="741C4C2C"/>
    <w:rsid w:val="74212243"/>
    <w:rsid w:val="74290773"/>
    <w:rsid w:val="74327C85"/>
    <w:rsid w:val="74367A9C"/>
    <w:rsid w:val="744A1799"/>
    <w:rsid w:val="746C354F"/>
    <w:rsid w:val="74D3353D"/>
    <w:rsid w:val="750E27C7"/>
    <w:rsid w:val="75243D99"/>
    <w:rsid w:val="753A66FC"/>
    <w:rsid w:val="75491A51"/>
    <w:rsid w:val="755C3532"/>
    <w:rsid w:val="756B5E6B"/>
    <w:rsid w:val="756E14B8"/>
    <w:rsid w:val="75750399"/>
    <w:rsid w:val="75907680"/>
    <w:rsid w:val="75B570E6"/>
    <w:rsid w:val="75C5557C"/>
    <w:rsid w:val="75F53987"/>
    <w:rsid w:val="75F95225"/>
    <w:rsid w:val="76065B94"/>
    <w:rsid w:val="761958C7"/>
    <w:rsid w:val="76283D5C"/>
    <w:rsid w:val="76294523"/>
    <w:rsid w:val="763B3A90"/>
    <w:rsid w:val="765D3A06"/>
    <w:rsid w:val="766034F6"/>
    <w:rsid w:val="766A7ED1"/>
    <w:rsid w:val="76911902"/>
    <w:rsid w:val="769B452E"/>
    <w:rsid w:val="76A35191"/>
    <w:rsid w:val="76A944F7"/>
    <w:rsid w:val="76A96C4B"/>
    <w:rsid w:val="76B63116"/>
    <w:rsid w:val="76EF03D6"/>
    <w:rsid w:val="771C566F"/>
    <w:rsid w:val="77253DF8"/>
    <w:rsid w:val="77440722"/>
    <w:rsid w:val="77664B3C"/>
    <w:rsid w:val="78267E28"/>
    <w:rsid w:val="783267CC"/>
    <w:rsid w:val="78811502"/>
    <w:rsid w:val="78941235"/>
    <w:rsid w:val="78B10039"/>
    <w:rsid w:val="78E81581"/>
    <w:rsid w:val="78F477F3"/>
    <w:rsid w:val="79052133"/>
    <w:rsid w:val="79202AC9"/>
    <w:rsid w:val="79366790"/>
    <w:rsid w:val="793F1D99"/>
    <w:rsid w:val="79863274"/>
    <w:rsid w:val="79960FDD"/>
    <w:rsid w:val="79C97604"/>
    <w:rsid w:val="79E93803"/>
    <w:rsid w:val="79EB757B"/>
    <w:rsid w:val="79ED32F3"/>
    <w:rsid w:val="7A1E525A"/>
    <w:rsid w:val="7A1F7224"/>
    <w:rsid w:val="7A304F8E"/>
    <w:rsid w:val="7A7255A6"/>
    <w:rsid w:val="7AAA2F92"/>
    <w:rsid w:val="7AC04563"/>
    <w:rsid w:val="7AF661D7"/>
    <w:rsid w:val="7B041F22"/>
    <w:rsid w:val="7B073F40"/>
    <w:rsid w:val="7B0E17E2"/>
    <w:rsid w:val="7B0F7299"/>
    <w:rsid w:val="7B4A02D1"/>
    <w:rsid w:val="7B5573A2"/>
    <w:rsid w:val="7B5F5B2A"/>
    <w:rsid w:val="7B86755B"/>
    <w:rsid w:val="7B935BB4"/>
    <w:rsid w:val="7BAD0F8C"/>
    <w:rsid w:val="7C0A3B9C"/>
    <w:rsid w:val="7C2A1162"/>
    <w:rsid w:val="7C683105"/>
    <w:rsid w:val="7C920181"/>
    <w:rsid w:val="7CA91CC9"/>
    <w:rsid w:val="7CB1685A"/>
    <w:rsid w:val="7D1E5AD5"/>
    <w:rsid w:val="7D4A280A"/>
    <w:rsid w:val="7D6531A0"/>
    <w:rsid w:val="7D80622C"/>
    <w:rsid w:val="7D8A34CA"/>
    <w:rsid w:val="7DB55ED6"/>
    <w:rsid w:val="7DB61057"/>
    <w:rsid w:val="7DBD7BFC"/>
    <w:rsid w:val="7DE20C95"/>
    <w:rsid w:val="7E0155BF"/>
    <w:rsid w:val="7E046E5D"/>
    <w:rsid w:val="7E2608D0"/>
    <w:rsid w:val="7E320950"/>
    <w:rsid w:val="7E462FD2"/>
    <w:rsid w:val="7E7F0292"/>
    <w:rsid w:val="7E9F0934"/>
    <w:rsid w:val="7EB9429C"/>
    <w:rsid w:val="7EBB39C0"/>
    <w:rsid w:val="7EE60311"/>
    <w:rsid w:val="7EEA7E01"/>
    <w:rsid w:val="7EF173E1"/>
    <w:rsid w:val="7EFA0975"/>
    <w:rsid w:val="7F0D1D41"/>
    <w:rsid w:val="7F2822B2"/>
    <w:rsid w:val="7F390D88"/>
    <w:rsid w:val="7F604567"/>
    <w:rsid w:val="7F792F33"/>
    <w:rsid w:val="7FAB3A34"/>
    <w:rsid w:val="7FB6091C"/>
    <w:rsid w:val="7FE8461C"/>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qFormat/>
    <w:uiPriority w:val="0"/>
    <w:pPr>
      <w:keepNext/>
      <w:keepLines/>
      <w:spacing w:before="260" w:beforeLines="0" w:after="260" w:afterLines="0" w:line="416" w:lineRule="auto"/>
      <w:outlineLvl w:val="2"/>
    </w:pPr>
    <w:rPr>
      <w:rFonts w:hint="default" w:ascii="Times New Roman" w:hAnsi="Times New Roman"/>
      <w:b/>
      <w:bCs/>
      <w:kern w:val="2"/>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kern w:val="0"/>
      <w:sz w:val="20"/>
    </w:rPr>
  </w:style>
  <w:style w:type="paragraph" w:customStyle="1" w:styleId="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styleId="5">
    <w:name w:val="caption"/>
    <w:basedOn w:val="1"/>
    <w:next w:val="1"/>
    <w:qFormat/>
    <w:uiPriority w:val="35"/>
    <w:rPr>
      <w:rFonts w:ascii="Cambria" w:hAnsi="Cambria" w:eastAsia="黑体" w:cs="Times New Roman"/>
      <w:sz w:val="20"/>
      <w:szCs w:val="20"/>
    </w:rPr>
  </w:style>
  <w:style w:type="paragraph" w:styleId="6">
    <w:name w:val="Plain Text"/>
    <w:basedOn w:val="1"/>
    <w:next w:val="7"/>
    <w:qFormat/>
    <w:uiPriority w:val="0"/>
    <w:rPr>
      <w:rFonts w:ascii="宋体" w:hAnsi="Courier New"/>
      <w:szCs w:val="20"/>
    </w:rPr>
  </w:style>
  <w:style w:type="paragraph" w:customStyle="1" w:styleId="7">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pPr>
      <w:tabs>
        <w:tab w:val="left" w:pos="420"/>
        <w:tab w:val="right" w:leader="dot" w:pos="8948"/>
      </w:tabs>
      <w:spacing w:line="360" w:lineRule="auto"/>
    </w:pPr>
  </w:style>
  <w:style w:type="paragraph" w:styleId="1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2">
    <w:name w:val="Body Text First Indent"/>
    <w:basedOn w:val="2"/>
    <w:next w:val="1"/>
    <w:qFormat/>
    <w:uiPriority w:val="0"/>
    <w:pPr>
      <w:ind w:firstLine="420" w:firstLineChars="100"/>
    </w:pPr>
  </w:style>
  <w:style w:type="paragraph" w:styleId="13">
    <w:name w:val="Body Text First Indent 2"/>
    <w:basedOn w:val="1"/>
    <w:next w:val="1"/>
    <w:qFormat/>
    <w:uiPriority w:val="99"/>
    <w:pPr>
      <w:spacing w:after="120"/>
      <w:ind w:left="420" w:firstLine="21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annotation reference"/>
    <w:semiHidden/>
    <w:qFormat/>
    <w:uiPriority w:val="0"/>
    <w:rPr>
      <w:sz w:val="21"/>
    </w:rPr>
  </w:style>
  <w:style w:type="paragraph" w:customStyle="1" w:styleId="18">
    <w:name w:val="报告正文"/>
    <w:qFormat/>
    <w:uiPriority w:val="0"/>
    <w:pPr>
      <w:spacing w:line="360" w:lineRule="auto"/>
      <w:ind w:firstLine="480" w:firstLineChars="200"/>
      <w:jc w:val="both"/>
    </w:pPr>
    <w:rPr>
      <w:rFonts w:eastAsia="宋体" w:asciiTheme="minorAscii" w:hAnsiTheme="minorAscii" w:cstheme="minorEastAsia"/>
      <w:color w:val="auto"/>
      <w:sz w:val="24"/>
    </w:rPr>
  </w:style>
  <w:style w:type="paragraph" w:customStyle="1" w:styleId="19">
    <w:name w:val="报告标题1"/>
    <w:next w:val="1"/>
    <w:qFormat/>
    <w:uiPriority w:val="0"/>
    <w:pPr>
      <w:keepNext/>
      <w:keepLines/>
      <w:spacing w:before="50" w:beforeLines="50" w:after="50" w:afterLines="50" w:line="360" w:lineRule="auto"/>
      <w:jc w:val="left"/>
      <w:outlineLvl w:val="0"/>
    </w:pPr>
    <w:rPr>
      <w:rFonts w:hint="eastAsia" w:ascii="宋体" w:hAnsi="宋体" w:eastAsia="宋体" w:cs="宋体"/>
      <w:b/>
      <w:bCs/>
      <w:kern w:val="44"/>
      <w:sz w:val="36"/>
      <w:szCs w:val="36"/>
    </w:rPr>
  </w:style>
  <w:style w:type="paragraph" w:customStyle="1" w:styleId="20">
    <w:name w:val="报告标题2"/>
    <w:next w:val="18"/>
    <w:qFormat/>
    <w:uiPriority w:val="0"/>
    <w:pPr>
      <w:spacing w:line="360" w:lineRule="auto"/>
      <w:ind w:firstLine="0" w:firstLineChars="0"/>
      <w:outlineLvl w:val="1"/>
    </w:pPr>
    <w:rPr>
      <w:rFonts w:ascii="Times New Roman" w:hAnsi="Times New Roman" w:eastAsia="宋体" w:cs="Times New Roman"/>
      <w:b/>
      <w:color w:val="auto"/>
      <w:sz w:val="30"/>
    </w:rPr>
  </w:style>
  <w:style w:type="paragraph" w:customStyle="1" w:styleId="21">
    <w:name w:val="报告标题3"/>
    <w:next w:val="18"/>
    <w:qFormat/>
    <w:uiPriority w:val="0"/>
    <w:pPr>
      <w:spacing w:before="50" w:beforeLines="50" w:after="50" w:afterLines="50" w:line="360" w:lineRule="auto"/>
      <w:ind w:firstLine="0" w:firstLineChars="0"/>
      <w:outlineLvl w:val="2"/>
    </w:pPr>
    <w:rPr>
      <w:rFonts w:ascii="Times New Roman" w:hAnsi="Times New Roman" w:eastAsia="宋体" w:cs="Times New Roman"/>
      <w:b/>
      <w:color w:val="auto"/>
      <w:sz w:val="28"/>
    </w:rPr>
  </w:style>
  <w:style w:type="paragraph" w:customStyle="1" w:styleId="22">
    <w:name w:val="报告标题4"/>
    <w:qFormat/>
    <w:uiPriority w:val="0"/>
    <w:pPr>
      <w:spacing w:line="360" w:lineRule="auto"/>
      <w:ind w:firstLine="0" w:firstLineChars="0"/>
    </w:pPr>
    <w:rPr>
      <w:rFonts w:ascii="Times New Roman" w:hAnsi="Times New Roman" w:eastAsia="宋体" w:cs="Times New Roman"/>
      <w:b/>
      <w:color w:val="auto"/>
      <w:sz w:val="24"/>
    </w:rPr>
  </w:style>
  <w:style w:type="paragraph" w:customStyle="1" w:styleId="23">
    <w:name w:val="Default"/>
    <w:basedOn w:val="24"/>
    <w:next w:val="25"/>
    <w:qFormat/>
    <w:uiPriority w:val="0"/>
    <w:pPr>
      <w:widowControl w:val="0"/>
      <w:autoSpaceDE w:val="0"/>
      <w:autoSpaceDN w:val="0"/>
      <w:adjustRightInd w:val="0"/>
    </w:pPr>
    <w:rPr>
      <w:rFonts w:ascii="宋体" w:eastAsia="微软雅黑" w:cs="宋体"/>
      <w:color w:val="000000"/>
      <w:sz w:val="24"/>
      <w:szCs w:val="24"/>
      <w:lang w:val="en-US" w:eastAsia="zh-CN" w:bidi="ar-SA"/>
    </w:rPr>
  </w:style>
  <w:style w:type="paragraph" w:customStyle="1" w:styleId="24">
    <w:name w:val="纯文本1"/>
    <w:basedOn w:val="1"/>
    <w:qFormat/>
    <w:uiPriority w:val="0"/>
    <w:rPr>
      <w:rFonts w:ascii="宋体" w:hAnsi="Courier New"/>
    </w:rPr>
  </w:style>
  <w:style w:type="paragraph" w:customStyle="1" w:styleId="25">
    <w:name w:val="样式35"/>
    <w:basedOn w:val="1"/>
    <w:next w:val="1"/>
    <w:qFormat/>
    <w:uiPriority w:val="0"/>
    <w:pPr>
      <w:spacing w:line="312" w:lineRule="auto"/>
      <w:ind w:firstLine="567"/>
    </w:pPr>
    <w:rPr>
      <w:rFonts w:ascii="宋体"/>
      <w:sz w:val="28"/>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S报告正文"/>
    <w:basedOn w:val="1"/>
    <w:qFormat/>
    <w:uiPriority w:val="0"/>
    <w:pPr>
      <w:adjustRightInd w:val="0"/>
      <w:snapToGrid w:val="0"/>
      <w:spacing w:line="480" w:lineRule="exact"/>
      <w:ind w:firstLine="510"/>
      <w:jc w:val="left"/>
    </w:pPr>
    <w:rPr>
      <w:sz w:val="24"/>
    </w:rPr>
  </w:style>
  <w:style w:type="paragraph" w:customStyle="1" w:styleId="28">
    <w:name w:val="S表名图名"/>
    <w:basedOn w:val="27"/>
    <w:qFormat/>
    <w:uiPriority w:val="1"/>
    <w:pPr>
      <w:ind w:firstLine="0"/>
      <w:jc w:val="center"/>
    </w:pPr>
    <w:rPr>
      <w:b/>
      <w:szCs w:val="23"/>
    </w:rPr>
  </w:style>
  <w:style w:type="paragraph" w:customStyle="1" w:styleId="29">
    <w:name w:val="S表格文字"/>
    <w:basedOn w:val="12"/>
    <w:qFormat/>
    <w:uiPriority w:val="0"/>
    <w:pPr>
      <w:adjustRightInd w:val="0"/>
      <w:snapToGrid w:val="0"/>
      <w:spacing w:before="20" w:after="20"/>
      <w:ind w:firstLine="0" w:firstLineChars="0"/>
      <w:jc w:val="center"/>
    </w:pPr>
    <w:rPr>
      <w:szCs w:val="20"/>
    </w:rPr>
  </w:style>
  <w:style w:type="paragraph" w:customStyle="1" w:styleId="30">
    <w:name w:val="Table Paragraph"/>
    <w:basedOn w:val="1"/>
    <w:qFormat/>
    <w:uiPriority w:val="0"/>
    <w:pPr>
      <w:autoSpaceDE w:val="0"/>
      <w:autoSpaceDN w:val="0"/>
      <w:adjustRightInd w:val="0"/>
      <w:jc w:val="left"/>
    </w:pPr>
    <w:rPr>
      <w:kern w:val="0"/>
      <w:sz w:val="24"/>
    </w:rPr>
  </w:style>
  <w:style w:type="paragraph" w:customStyle="1" w:styleId="31">
    <w:name w:val="1 正文"/>
    <w:basedOn w:val="1"/>
    <w:qFormat/>
    <w:uiPriority w:val="0"/>
    <w:pPr>
      <w:adjustRightInd w:val="0"/>
      <w:snapToGrid w:val="0"/>
      <w:spacing w:line="360" w:lineRule="auto"/>
      <w:ind w:firstLine="200" w:firstLineChars="200"/>
    </w:pPr>
    <w:rPr>
      <w:kern w:val="0"/>
      <w:sz w:val="24"/>
      <w:szCs w:val="20"/>
    </w:rPr>
  </w:style>
  <w:style w:type="paragraph" w:customStyle="1" w:styleId="32">
    <w:name w:val="报告表正文"/>
    <w:basedOn w:val="1"/>
    <w:qFormat/>
    <w:uiPriority w:val="0"/>
    <w:pPr>
      <w:spacing w:line="360" w:lineRule="auto"/>
      <w:ind w:firstLine="720" w:firstLineChars="200"/>
      <w:jc w:val="left"/>
    </w:pPr>
    <w:rPr>
      <w:sz w:val="24"/>
    </w:rPr>
  </w:style>
  <w:style w:type="paragraph" w:customStyle="1" w:styleId="33">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表格1"/>
    <w:basedOn w:val="1"/>
    <w:qFormat/>
    <w:uiPriority w:val="0"/>
    <w:pPr>
      <w:adjustRightInd w:val="0"/>
      <w:spacing w:line="400" w:lineRule="atLeast"/>
      <w:jc w:val="center"/>
    </w:pPr>
    <w:rPr>
      <w:kern w:val="0"/>
    </w:rPr>
  </w:style>
  <w:style w:type="character" w:customStyle="1" w:styleId="35">
    <w:name w:val="font51"/>
    <w:basedOn w:val="16"/>
    <w:qFormat/>
    <w:uiPriority w:val="0"/>
    <w:rPr>
      <w:rFonts w:hint="default" w:ascii="Times New Roman" w:hAnsi="Times New Roman" w:cs="Times New Roman"/>
      <w:b/>
      <w:bCs/>
      <w:color w:val="000000"/>
      <w:sz w:val="21"/>
      <w:szCs w:val="21"/>
      <w:u w:val="none"/>
    </w:rPr>
  </w:style>
  <w:style w:type="paragraph" w:customStyle="1" w:styleId="36">
    <w:name w:val="正文 首行缩进:  2 字符"/>
    <w:basedOn w:val="1"/>
    <w:qFormat/>
    <w:uiPriority w:val="99"/>
    <w:pPr>
      <w:ind w:firstLine="579" w:firstLineChars="200"/>
    </w:pPr>
    <w:rPr>
      <w:rFonts w:eastAsia="等线" w:cs="宋体"/>
      <w:szCs w:val="20"/>
    </w:rPr>
  </w:style>
  <w:style w:type="paragraph" w:customStyle="1" w:styleId="37">
    <w:name w:val="T表格文字"/>
    <w:basedOn w:val="1"/>
    <w:qFormat/>
    <w:uiPriority w:val="0"/>
    <w:pPr>
      <w:spacing w:line="240" w:lineRule="auto"/>
      <w:ind w:firstLine="0" w:firstLineChars="0"/>
      <w:jc w:val="center"/>
    </w:pPr>
    <w:rPr>
      <w:rFonts w:ascii="Times New Roman" w:hAnsi="Times New Roman" w:eastAsia="宋体" w:cs="Times New Roman"/>
      <w:sz w:val="21"/>
    </w:rPr>
  </w:style>
  <w:style w:type="paragraph" w:customStyle="1" w:styleId="3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9">
    <w:name w:val="表格标题"/>
    <w:basedOn w:val="5"/>
    <w:next w:val="40"/>
    <w:qFormat/>
    <w:uiPriority w:val="0"/>
    <w:pPr>
      <w:spacing w:line="240" w:lineRule="auto"/>
      <w:ind w:firstLine="0" w:firstLineChars="0"/>
      <w:jc w:val="center"/>
    </w:pPr>
    <w:rPr>
      <w:rFonts w:ascii="Times New Roman" w:hAnsi="Times New Roman" w:eastAsia="黑体"/>
      <w:sz w:val="21"/>
    </w:rPr>
  </w:style>
  <w:style w:type="paragraph" w:customStyle="1" w:styleId="40">
    <w:name w:val="表格内容"/>
    <w:basedOn w:val="39"/>
    <w:next w:val="1"/>
    <w:qFormat/>
    <w:uiPriority w:val="0"/>
    <w:pPr>
      <w:spacing w:line="240" w:lineRule="atLeast"/>
      <w:jc w:val="center"/>
    </w:pPr>
    <w:rPr>
      <w:rFonts w:eastAsia="宋体"/>
      <w:sz w:val="21"/>
    </w:rPr>
  </w:style>
  <w:style w:type="paragraph" w:customStyle="1" w:styleId="41">
    <w:name w:val="表格5号"/>
    <w:basedOn w:val="1"/>
    <w:qFormat/>
    <w:uiPriority w:val="0"/>
    <w:pPr>
      <w:spacing w:line="240" w:lineRule="auto"/>
      <w:ind w:firstLine="0" w:firstLineChars="0"/>
      <w:jc w:val="center"/>
    </w:pPr>
    <w:rPr>
      <w:rFonts w:ascii="Times New Roman" w:hAnsi="Times New Roman" w:eastAsia="宋体"/>
      <w:sz w:val="21"/>
    </w:rPr>
  </w:style>
  <w:style w:type="character" w:customStyle="1" w:styleId="42">
    <w:name w:val="font31"/>
    <w:basedOn w:val="16"/>
    <w:qFormat/>
    <w:uiPriority w:val="0"/>
    <w:rPr>
      <w:rFonts w:hint="eastAsia" w:ascii="宋体" w:hAnsi="宋体" w:eastAsia="宋体" w:cs="宋体"/>
      <w:color w:val="000000"/>
      <w:sz w:val="21"/>
      <w:szCs w:val="21"/>
      <w:u w:val="none"/>
    </w:rPr>
  </w:style>
  <w:style w:type="character" w:customStyle="1" w:styleId="43">
    <w:name w:val="font41"/>
    <w:basedOn w:val="16"/>
    <w:qFormat/>
    <w:uiPriority w:val="0"/>
    <w:rPr>
      <w:rFonts w:hint="default" w:ascii="Times New Roman" w:hAnsi="Times New Roman" w:cs="Times New Roman"/>
      <w:color w:val="000000"/>
      <w:sz w:val="21"/>
      <w:szCs w:val="21"/>
      <w:u w:val="none"/>
    </w:rPr>
  </w:style>
  <w:style w:type="character" w:customStyle="1" w:styleId="44">
    <w:name w:val="font11"/>
    <w:basedOn w:val="16"/>
    <w:qFormat/>
    <w:uiPriority w:val="0"/>
    <w:rPr>
      <w:rFonts w:hint="eastAsia" w:ascii="宋体" w:hAnsi="宋体" w:eastAsia="宋体" w:cs="宋体"/>
      <w:color w:val="000000"/>
      <w:sz w:val="21"/>
      <w:szCs w:val="21"/>
      <w:u w:val="none"/>
    </w:rPr>
  </w:style>
  <w:style w:type="character" w:customStyle="1" w:styleId="45">
    <w:name w:val="font01"/>
    <w:basedOn w:val="16"/>
    <w:qFormat/>
    <w:uiPriority w:val="0"/>
    <w:rPr>
      <w:rFonts w:hint="default" w:ascii="Times New Roman" w:hAnsi="Times New Roman" w:cs="Times New Roman"/>
      <w:color w:val="000000"/>
      <w:sz w:val="21"/>
      <w:szCs w:val="21"/>
      <w:u w:val="none"/>
    </w:rPr>
  </w:style>
  <w:style w:type="paragraph" w:customStyle="1" w:styleId="46">
    <w:name w:val="样式 样式 样式 小四 首行缩进:  2.25 字符 + 首行缩进:  2.25 字符 + 首行缩进:  2 字符"/>
    <w:basedOn w:val="1"/>
    <w:qFormat/>
    <w:uiPriority w:val="0"/>
    <w:pPr>
      <w:spacing w:line="440" w:lineRule="exact"/>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31140</Words>
  <Characters>35672</Characters>
  <Lines>0</Lines>
  <Paragraphs>0</Paragraphs>
  <TotalTime>1</TotalTime>
  <ScaleCrop>false</ScaleCrop>
  <LinksUpToDate>false</LinksUpToDate>
  <CharactersWithSpaces>35993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2022-08-20T06:25:00Z</dcterms:created>
  <dc:creator>金琳</dc:creator>
  <cp:lastModifiedBy>drifter</cp:lastModifiedBy>
  <dcterms:modified xsi:type="dcterms:W3CDTF">2023-06-12T07:51:00Z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54F257CC62084BA8A4B4F472EE3167F1</vt:lpwstr>
  </property>
</Properties>
</file>