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JPG" ContentType="image/.jp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overflowPunct w:val="0"/>
        <w:autoSpaceDE w:val="0"/>
        <w:autoSpaceDN w:val="0"/>
        <w:adjustRightInd w:val="0"/>
        <w:spacing w:before="312"/>
        <w:jc w:val="center"/>
        <w:textAlignment w:val="baseline"/>
        <w:rPr>
          <w:rFonts w:hint="default" w:ascii="Times New Roman" w:hAnsi="Times New Roman" w:cs="Times New Roman" w:eastAsiaTheme="minorEastAsia"/>
          <w:b/>
          <w:color w:val="000000" w:themeColor="text1"/>
          <w:sz w:val="72"/>
          <w:szCs w:val="72"/>
          <w:highlight w:val="none"/>
          <w:u w:val="none" w:color="auto"/>
          <w14:textFill>
            <w14:solidFill>
              <w14:schemeClr w14:val="tx1"/>
            </w14:solidFill>
          </w14:textFill>
        </w:rPr>
      </w:pPr>
      <w:bookmarkStart w:id="13" w:name="_GoBack"/>
      <w:bookmarkEnd w:id="13"/>
    </w:p>
    <w:p>
      <w:pPr>
        <w:overflowPunct w:val="0"/>
        <w:autoSpaceDE w:val="0"/>
        <w:autoSpaceDN w:val="0"/>
        <w:adjustRightInd w:val="0"/>
        <w:spacing w:before="312"/>
        <w:ind w:left="0" w:leftChars="0" w:firstLine="0" w:firstLineChars="0"/>
        <w:jc w:val="center"/>
        <w:textAlignment w:val="baseline"/>
        <w:rPr>
          <w:rFonts w:hint="default" w:ascii="Times New Roman" w:hAnsi="Times New Roman" w:cs="Times New Roman" w:eastAsiaTheme="minorEastAsia"/>
          <w:b/>
          <w:color w:val="000000" w:themeColor="text1"/>
          <w:sz w:val="48"/>
          <w:szCs w:val="48"/>
          <w:highlight w:val="none"/>
          <w:u w:val="none" w:color="auto"/>
          <w14:textFill>
            <w14:solidFill>
              <w14:schemeClr w14:val="tx1"/>
            </w14:solidFill>
          </w14:textFill>
        </w:rPr>
      </w:pPr>
      <w:r>
        <w:rPr>
          <w:rFonts w:hint="default" w:ascii="Times New Roman" w:hAnsi="Times New Roman" w:cs="Times New Roman" w:eastAsiaTheme="minorEastAsia"/>
          <w:b/>
          <w:color w:val="000000" w:themeColor="text1"/>
          <w:sz w:val="72"/>
          <w:szCs w:val="72"/>
          <w:highlight w:val="none"/>
          <w:u w:val="none" w:color="auto"/>
          <w14:textFill>
            <w14:solidFill>
              <w14:schemeClr w14:val="tx1"/>
            </w14:solidFill>
          </w14:textFill>
        </w:rPr>
        <w:t>建设项目环境影响报告表</w:t>
      </w:r>
    </w:p>
    <w:p>
      <w:pPr>
        <w:overflowPunct w:val="0"/>
        <w:autoSpaceDE w:val="0"/>
        <w:autoSpaceDN w:val="0"/>
        <w:adjustRightInd w:val="0"/>
        <w:spacing w:before="312"/>
        <w:ind w:left="0" w:leftChars="0" w:firstLine="0" w:firstLineChars="0"/>
        <w:jc w:val="center"/>
        <w:textAlignment w:val="baseline"/>
        <w:rPr>
          <w:rFonts w:hint="default" w:ascii="Times New Roman" w:hAnsi="Times New Roman" w:cs="Times New Roman" w:eastAsiaTheme="minorEastAsia"/>
          <w:b/>
          <w:bCs/>
          <w:color w:val="000000" w:themeColor="text1"/>
          <w:sz w:val="40"/>
          <w:szCs w:val="28"/>
          <w:highlight w:val="none"/>
          <w:u w:val="none" w:color="auto"/>
          <w14:textFill>
            <w14:solidFill>
              <w14:schemeClr w14:val="tx1"/>
            </w14:solidFill>
          </w14:textFill>
        </w:rPr>
      </w:pPr>
      <w:r>
        <w:rPr>
          <w:rFonts w:hint="default" w:ascii="Times New Roman" w:hAnsi="Times New Roman" w:cs="Times New Roman" w:eastAsiaTheme="minorEastAsia"/>
          <w:b/>
          <w:bCs/>
          <w:color w:val="000000" w:themeColor="text1"/>
          <w:sz w:val="40"/>
          <w:szCs w:val="28"/>
          <w:highlight w:val="none"/>
          <w:u w:val="none" w:color="auto"/>
          <w14:textFill>
            <w14:solidFill>
              <w14:schemeClr w14:val="tx1"/>
            </w14:solidFill>
          </w14:textFill>
        </w:rPr>
        <w:t>（</w:t>
      </w:r>
      <w:r>
        <w:rPr>
          <w:rFonts w:hint="default" w:ascii="Times New Roman" w:hAnsi="Times New Roman" w:cs="Times New Roman" w:eastAsiaTheme="minorEastAsia"/>
          <w:b/>
          <w:bCs/>
          <w:color w:val="000000" w:themeColor="text1"/>
          <w:sz w:val="40"/>
          <w:szCs w:val="28"/>
          <w:highlight w:val="none"/>
          <w:u w:val="none" w:color="auto"/>
          <w:lang w:val="en-US" w:eastAsia="zh-CN"/>
          <w14:textFill>
            <w14:solidFill>
              <w14:schemeClr w14:val="tx1"/>
            </w14:solidFill>
          </w14:textFill>
        </w:rPr>
        <w:t>污染影响类</w:t>
      </w:r>
      <w:r>
        <w:rPr>
          <w:rFonts w:hint="default" w:ascii="Times New Roman" w:hAnsi="Times New Roman" w:cs="Times New Roman" w:eastAsiaTheme="minorEastAsia"/>
          <w:b/>
          <w:bCs/>
          <w:color w:val="000000" w:themeColor="text1"/>
          <w:sz w:val="40"/>
          <w:szCs w:val="28"/>
          <w:highlight w:val="none"/>
          <w:u w:val="none" w:color="auto"/>
          <w14:textFill>
            <w14:solidFill>
              <w14:schemeClr w14:val="tx1"/>
            </w14:solidFill>
          </w14:textFill>
        </w:rPr>
        <w:t>）</w:t>
      </w:r>
    </w:p>
    <w:p>
      <w:pPr>
        <w:pageBreakBefore w:val="0"/>
        <w:widowControl w:val="0"/>
        <w:kinsoku/>
        <w:wordWrap/>
        <w:overflowPunct/>
        <w:topLinePunct w:val="0"/>
        <w:bidi w:val="0"/>
        <w:adjustRightInd w:val="0"/>
        <w:snapToGrid w:val="0"/>
        <w:spacing w:line="360" w:lineRule="auto"/>
        <w:ind w:left="0" w:firstLine="0" w:firstLineChars="0"/>
        <w:jc w:val="center"/>
        <w:textAlignment w:val="auto"/>
        <w:rPr>
          <w:rFonts w:hint="default" w:ascii="Times New Roman" w:hAnsi="Times New Roman" w:cs="Times New Roman" w:eastAsiaTheme="minorEastAsia"/>
          <w:b/>
          <w:color w:val="000000" w:themeColor="text1"/>
          <w:w w:val="110"/>
          <w:kern w:val="0"/>
          <w:sz w:val="44"/>
          <w:szCs w:val="44"/>
          <w:highlight w:val="none"/>
          <w:u w:val="none" w:color="auto"/>
          <w14:textFill>
            <w14:solidFill>
              <w14:schemeClr w14:val="tx1"/>
            </w14:solidFill>
          </w14:textFill>
        </w:rPr>
      </w:pPr>
    </w:p>
    <w:p>
      <w:pPr>
        <w:pageBreakBefore w:val="0"/>
        <w:widowControl w:val="0"/>
        <w:kinsoku/>
        <w:wordWrap/>
        <w:overflowPunct/>
        <w:topLinePunct w:val="0"/>
        <w:bidi w:val="0"/>
        <w:adjustRightInd w:val="0"/>
        <w:snapToGrid w:val="0"/>
        <w:ind w:left="0" w:firstLine="0" w:firstLineChars="0"/>
        <w:jc w:val="center"/>
        <w:textAlignment w:val="auto"/>
        <w:rPr>
          <w:rFonts w:hint="default" w:ascii="Times New Roman" w:hAnsi="Times New Roman" w:cs="Times New Roman" w:eastAsiaTheme="minorEastAsia"/>
          <w:color w:val="000000" w:themeColor="text1"/>
          <w:sz w:val="28"/>
          <w:szCs w:val="20"/>
          <w:highlight w:val="none"/>
          <w:u w:val="none" w:color="auto"/>
          <w14:textFill>
            <w14:solidFill>
              <w14:schemeClr w14:val="tx1"/>
            </w14:solidFill>
          </w14:textFill>
        </w:rPr>
      </w:pPr>
    </w:p>
    <w:p>
      <w:pPr>
        <w:pageBreakBefore w:val="0"/>
        <w:widowControl w:val="0"/>
        <w:kinsoku/>
        <w:wordWrap/>
        <w:overflowPunct/>
        <w:topLinePunct w:val="0"/>
        <w:autoSpaceDE w:val="0"/>
        <w:autoSpaceDN w:val="0"/>
        <w:bidi w:val="0"/>
        <w:adjustRightInd w:val="0"/>
        <w:snapToGrid w:val="0"/>
        <w:ind w:left="0" w:firstLine="0" w:firstLineChars="0"/>
        <w:jc w:val="left"/>
        <w:textAlignment w:val="auto"/>
        <w:rPr>
          <w:rFonts w:hint="default" w:ascii="Times New Roman" w:hAnsi="Times New Roman" w:cs="Times New Roman" w:eastAsiaTheme="minorEastAsia"/>
          <w:color w:val="000000" w:themeColor="text1"/>
          <w:kern w:val="0"/>
          <w:sz w:val="28"/>
          <w:szCs w:val="24"/>
          <w:highlight w:val="none"/>
          <w:u w:val="none" w:color="auto"/>
          <w:lang w:val="en-US" w:eastAsia="zh-CN" w:bidi="ar-SA"/>
          <w14:textFill>
            <w14:solidFill>
              <w14:schemeClr w14:val="tx1"/>
            </w14:solidFill>
          </w14:textFill>
        </w:rPr>
      </w:pPr>
    </w:p>
    <w:p>
      <w:pPr>
        <w:pageBreakBefore w:val="0"/>
        <w:widowControl w:val="0"/>
        <w:kinsoku/>
        <w:wordWrap/>
        <w:overflowPunct/>
        <w:topLinePunct w:val="0"/>
        <w:autoSpaceDE w:val="0"/>
        <w:autoSpaceDN w:val="0"/>
        <w:bidi w:val="0"/>
        <w:adjustRightInd w:val="0"/>
        <w:snapToGrid w:val="0"/>
        <w:ind w:left="0" w:firstLine="0" w:firstLineChars="0"/>
        <w:jc w:val="left"/>
        <w:textAlignment w:val="auto"/>
        <w:rPr>
          <w:rFonts w:hint="default" w:ascii="Times New Roman" w:hAnsi="Times New Roman" w:cs="Times New Roman" w:eastAsiaTheme="minorEastAsia"/>
          <w:color w:val="000000" w:themeColor="text1"/>
          <w:kern w:val="0"/>
          <w:sz w:val="28"/>
          <w:szCs w:val="24"/>
          <w:highlight w:val="none"/>
          <w:u w:val="none" w:color="auto"/>
          <w:lang w:val="en-US" w:eastAsia="zh-CN" w:bidi="ar-SA"/>
          <w14:textFill>
            <w14:solidFill>
              <w14:schemeClr w14:val="tx1"/>
            </w14:solidFill>
          </w14:textFill>
        </w:rPr>
      </w:pPr>
    </w:p>
    <w:p>
      <w:pPr>
        <w:pStyle w:val="5"/>
        <w:pageBreakBefore w:val="0"/>
        <w:widowControl w:val="0"/>
        <w:numPr>
          <w:ilvl w:val="2"/>
          <w:numId w:val="0"/>
        </w:numPr>
        <w:kinsoku/>
        <w:wordWrap/>
        <w:overflowPunct/>
        <w:topLinePunct w:val="0"/>
        <w:bidi w:val="0"/>
        <w:adjustRightInd w:val="0"/>
        <w:snapToGrid w:val="0"/>
        <w:ind w:left="0" w:leftChars="0" w:firstLine="0" w:firstLineChars="0"/>
        <w:textAlignment w:val="auto"/>
        <w:rPr>
          <w:rFonts w:hint="default"/>
          <w:u w:val="none" w:color="auto"/>
          <w:lang w:val="en-US" w:eastAsia="zh-CN"/>
        </w:rPr>
      </w:pPr>
    </w:p>
    <w:p>
      <w:pPr>
        <w:pageBreakBefore w:val="0"/>
        <w:widowControl w:val="0"/>
        <w:kinsoku/>
        <w:wordWrap/>
        <w:overflowPunct/>
        <w:topLinePunct w:val="0"/>
        <w:bidi w:val="0"/>
        <w:adjustRightInd w:val="0"/>
        <w:snapToGrid w:val="0"/>
        <w:ind w:left="0" w:firstLine="0" w:firstLineChars="0"/>
        <w:textAlignment w:val="auto"/>
        <w:rPr>
          <w:rFonts w:hint="default"/>
          <w:u w:val="none" w:color="auto"/>
          <w:lang w:val="en-US" w:eastAsia="zh-CN"/>
        </w:rPr>
      </w:pPr>
    </w:p>
    <w:p>
      <w:pPr>
        <w:pStyle w:val="22"/>
        <w:pageBreakBefore w:val="0"/>
        <w:widowControl w:val="0"/>
        <w:kinsoku/>
        <w:wordWrap/>
        <w:overflowPunct/>
        <w:topLinePunct w:val="0"/>
        <w:bidi w:val="0"/>
        <w:adjustRightInd w:val="0"/>
        <w:snapToGrid w:val="0"/>
        <w:ind w:left="0" w:firstLine="0" w:firstLineChars="0"/>
        <w:textAlignment w:val="auto"/>
        <w:rPr>
          <w:rFonts w:hint="default"/>
          <w:u w:val="none" w:color="auto"/>
          <w:lang w:val="en-US" w:eastAsia="zh-CN"/>
        </w:rPr>
      </w:pPr>
    </w:p>
    <w:p>
      <w:pPr>
        <w:pStyle w:val="22"/>
        <w:pageBreakBefore w:val="0"/>
        <w:widowControl w:val="0"/>
        <w:kinsoku/>
        <w:wordWrap/>
        <w:overflowPunct/>
        <w:topLinePunct w:val="0"/>
        <w:bidi w:val="0"/>
        <w:adjustRightInd w:val="0"/>
        <w:snapToGrid w:val="0"/>
        <w:ind w:left="0" w:leftChars="0" w:firstLine="0" w:firstLineChars="0"/>
        <w:textAlignment w:val="auto"/>
        <w:rPr>
          <w:rFonts w:hint="default"/>
          <w:lang w:val="en-US" w:eastAsia="zh-CN"/>
        </w:rPr>
      </w:pPr>
    </w:p>
    <w:p>
      <w:pPr>
        <w:pageBreakBefore w:val="0"/>
        <w:widowControl w:val="0"/>
        <w:kinsoku/>
        <w:wordWrap/>
        <w:overflowPunct/>
        <w:topLinePunct w:val="0"/>
        <w:bidi w:val="0"/>
        <w:adjustRightInd w:val="0"/>
        <w:snapToGrid w:val="0"/>
        <w:ind w:left="0" w:firstLine="0" w:firstLineChars="0"/>
        <w:jc w:val="center"/>
        <w:textAlignment w:val="auto"/>
        <w:rPr>
          <w:rFonts w:hint="default" w:ascii="Times New Roman" w:hAnsi="Times New Roman" w:cs="Times New Roman" w:eastAsiaTheme="minorEastAsia"/>
          <w:color w:val="000000" w:themeColor="text1"/>
          <w:sz w:val="28"/>
          <w:szCs w:val="20"/>
          <w:highlight w:val="none"/>
          <w:u w:val="none" w:color="auto"/>
          <w14:textFill>
            <w14:solidFill>
              <w14:schemeClr w14:val="tx1"/>
            </w14:solidFill>
          </w14:textFill>
        </w:rPr>
      </w:pPr>
    </w:p>
    <w:p>
      <w:pPr>
        <w:pStyle w:val="13"/>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pPr>
    </w:p>
    <w:p>
      <w:pPr>
        <w:adjustRightInd/>
        <w:snapToGrid/>
        <w:spacing w:after="120"/>
        <w:ind w:firstLine="0" w:firstLineChars="0"/>
        <w:rPr>
          <w:color w:val="000000"/>
          <w:sz w:val="28"/>
          <w:szCs w:val="28"/>
          <w:u w:val="single"/>
        </w:rPr>
      </w:pPr>
      <w:r>
        <w:rPr>
          <w:color w:val="000000"/>
          <w:sz w:val="28"/>
          <w:szCs w:val="28"/>
        </w:rPr>
        <w:t>项目名称：</w:t>
      </w:r>
      <w:r>
        <w:rPr>
          <w:rFonts w:hint="eastAsia"/>
          <w:color w:val="000000"/>
          <w:sz w:val="28"/>
          <w:szCs w:val="28"/>
          <w:u w:val="single"/>
        </w:rPr>
        <w:t xml:space="preserve">       </w:t>
      </w:r>
      <w:r>
        <w:rPr>
          <w:rFonts w:hint="eastAsia"/>
          <w:color w:val="000000"/>
          <w:sz w:val="28"/>
          <w:szCs w:val="28"/>
          <w:u w:val="single"/>
          <w:lang w:eastAsia="zh-CN"/>
        </w:rPr>
        <w:t>湖南镁鑫新能源有限公司锂电池生产项目</w:t>
      </w:r>
      <w:r>
        <w:rPr>
          <w:rFonts w:hint="eastAsia"/>
          <w:color w:val="000000"/>
          <w:sz w:val="28"/>
          <w:szCs w:val="28"/>
          <w:u w:val="single"/>
        </w:rPr>
        <w:t xml:space="preserve">    </w:t>
      </w:r>
      <w:r>
        <w:rPr>
          <w:rFonts w:hint="eastAsia" w:ascii="Times New Roman" w:eastAsia="宋体"/>
          <w:color w:val="000000"/>
          <w:sz w:val="28"/>
          <w:szCs w:val="28"/>
          <w:u w:val="single"/>
          <w:lang w:val="en-US" w:eastAsia="zh-CN"/>
        </w:rPr>
        <w:t xml:space="preserve">                   </w:t>
      </w:r>
      <w:r>
        <w:rPr>
          <w:rFonts w:hint="eastAsia"/>
          <w:color w:val="000000"/>
          <w:sz w:val="28"/>
          <w:szCs w:val="28"/>
          <w:u w:val="single"/>
        </w:rPr>
        <w:t xml:space="preserve">    </w:t>
      </w:r>
    </w:p>
    <w:p>
      <w:pPr>
        <w:adjustRightInd/>
        <w:snapToGrid/>
        <w:spacing w:after="120"/>
        <w:ind w:firstLine="0" w:firstLineChars="0"/>
        <w:rPr>
          <w:rFonts w:hint="eastAsia"/>
          <w:color w:val="000000"/>
          <w:sz w:val="28"/>
          <w:szCs w:val="28"/>
          <w:u w:val="single"/>
          <w:lang w:val="en-US" w:eastAsia="zh-CN"/>
        </w:rPr>
      </w:pPr>
      <w:r>
        <w:rPr>
          <w:color w:val="000000"/>
          <w:sz w:val="28"/>
          <w:szCs w:val="28"/>
        </w:rPr>
        <w:t>建设单位（盖章）：</w:t>
      </w:r>
      <w:r>
        <w:rPr>
          <w:color w:val="000000"/>
          <w:sz w:val="28"/>
          <w:szCs w:val="28"/>
          <w:u w:val="single"/>
        </w:rPr>
        <w:t xml:space="preserve"> </w:t>
      </w:r>
      <w:r>
        <w:rPr>
          <w:rFonts w:hint="eastAsia"/>
          <w:color w:val="000000"/>
          <w:sz w:val="28"/>
          <w:szCs w:val="28"/>
          <w:u w:val="single"/>
        </w:rPr>
        <w:t xml:space="preserve">     </w:t>
      </w:r>
      <w:r>
        <w:rPr>
          <w:rFonts w:hint="eastAsia" w:eastAsia="宋体"/>
          <w:color w:val="000000"/>
          <w:sz w:val="28"/>
          <w:szCs w:val="28"/>
          <w:u w:val="single"/>
          <w:lang w:eastAsia="zh-CN"/>
        </w:rPr>
        <w:t>湖南镁鑫新能源有限公司</w:t>
      </w:r>
      <w:r>
        <w:rPr>
          <w:rFonts w:hint="eastAsia"/>
          <w:color w:val="000000"/>
          <w:sz w:val="28"/>
          <w:szCs w:val="28"/>
          <w:u w:val="single"/>
        </w:rPr>
        <w:t xml:space="preserve">    </w:t>
      </w:r>
      <w:r>
        <w:rPr>
          <w:rFonts w:hint="eastAsia" w:ascii="Times New Roman" w:eastAsia="宋体"/>
          <w:color w:val="000000"/>
          <w:sz w:val="28"/>
          <w:szCs w:val="28"/>
          <w:u w:val="single"/>
          <w:lang w:val="en-US" w:eastAsia="zh-CN"/>
        </w:rPr>
        <w:t xml:space="preserve">                      </w:t>
      </w:r>
      <w:r>
        <w:rPr>
          <w:rFonts w:hint="eastAsia"/>
          <w:color w:val="000000"/>
          <w:sz w:val="28"/>
          <w:szCs w:val="28"/>
          <w:u w:val="single"/>
        </w:rPr>
        <w:t xml:space="preserve">     </w:t>
      </w:r>
      <w:r>
        <w:rPr>
          <w:rFonts w:hint="eastAsia" w:ascii="Times New Roman" w:eastAsia="宋体"/>
          <w:color w:val="000000"/>
          <w:sz w:val="28"/>
          <w:szCs w:val="28"/>
          <w:u w:val="single"/>
          <w:lang w:val="en-US" w:eastAsia="zh-CN"/>
        </w:rPr>
        <w:t xml:space="preserve">        </w:t>
      </w:r>
      <w:r>
        <w:rPr>
          <w:rFonts w:hint="eastAsia"/>
          <w:color w:val="000000"/>
          <w:sz w:val="28"/>
          <w:szCs w:val="28"/>
          <w:u w:val="single"/>
        </w:rPr>
        <w:t xml:space="preserve">  </w:t>
      </w:r>
    </w:p>
    <w:p>
      <w:pPr>
        <w:ind w:left="0" w:leftChars="0" w:firstLine="0" w:firstLineChars="0"/>
        <w:jc w:val="left"/>
        <w:rPr>
          <w:rFonts w:hint="default" w:ascii="Times New Roman" w:hAnsi="Times New Roman" w:cs="Times New Roman" w:eastAsiaTheme="minorEastAsia"/>
          <w:color w:val="000000" w:themeColor="text1"/>
          <w:highlight w:val="none"/>
          <w:u w:val="none" w:color="auto"/>
          <w14:textFill>
            <w14:solidFill>
              <w14:schemeClr w14:val="tx1"/>
            </w14:solidFill>
          </w14:textFill>
        </w:rPr>
      </w:pPr>
      <w:r>
        <w:rPr>
          <w:color w:val="000000"/>
          <w:sz w:val="28"/>
          <w:szCs w:val="28"/>
        </w:rPr>
        <w:t>编制日期：</w:t>
      </w:r>
      <w:r>
        <w:rPr>
          <w:color w:val="000000"/>
          <w:sz w:val="28"/>
          <w:szCs w:val="28"/>
          <w:u w:val="single"/>
        </w:rPr>
        <w:t xml:space="preserve"> </w:t>
      </w:r>
      <w:r>
        <w:rPr>
          <w:rFonts w:hint="eastAsia"/>
          <w:color w:val="000000"/>
          <w:sz w:val="28"/>
          <w:szCs w:val="28"/>
          <w:u w:val="single"/>
        </w:rPr>
        <w:t xml:space="preserve">           </w:t>
      </w:r>
      <w:r>
        <w:rPr>
          <w:rFonts w:hint="eastAsia" w:ascii="Times New Roman" w:eastAsia="宋体"/>
          <w:color w:val="000000"/>
          <w:sz w:val="28"/>
          <w:szCs w:val="28"/>
          <w:u w:val="single"/>
          <w:lang w:val="en-US" w:eastAsia="zh-CN"/>
        </w:rPr>
        <w:t xml:space="preserve">     </w:t>
      </w:r>
      <w:r>
        <w:rPr>
          <w:rFonts w:hint="eastAsia"/>
          <w:color w:val="000000"/>
          <w:sz w:val="28"/>
          <w:szCs w:val="28"/>
          <w:u w:val="single"/>
        </w:rPr>
        <w:t xml:space="preserve"> </w:t>
      </w:r>
      <w:r>
        <w:rPr>
          <w:color w:val="000000"/>
          <w:sz w:val="28"/>
          <w:szCs w:val="28"/>
          <w:u w:val="single"/>
        </w:rPr>
        <w:t>202</w:t>
      </w:r>
      <w:r>
        <w:rPr>
          <w:rFonts w:hint="eastAsia" w:ascii="Times New Roman" w:eastAsia="宋体"/>
          <w:color w:val="000000"/>
          <w:sz w:val="28"/>
          <w:szCs w:val="28"/>
          <w:u w:val="single"/>
          <w:lang w:val="en-US" w:eastAsia="zh-CN"/>
        </w:rPr>
        <w:t>2</w:t>
      </w:r>
      <w:r>
        <w:rPr>
          <w:color w:val="000000"/>
          <w:sz w:val="28"/>
          <w:szCs w:val="28"/>
          <w:u w:val="single"/>
        </w:rPr>
        <w:t>年</w:t>
      </w:r>
      <w:r>
        <w:rPr>
          <w:rFonts w:hint="eastAsia" w:ascii="Times New Roman" w:eastAsia="宋体"/>
          <w:color w:val="000000"/>
          <w:sz w:val="28"/>
          <w:szCs w:val="28"/>
          <w:u w:val="single"/>
          <w:lang w:val="en-US" w:eastAsia="zh-CN"/>
        </w:rPr>
        <w:t>3</w:t>
      </w:r>
      <w:r>
        <w:rPr>
          <w:color w:val="000000"/>
          <w:sz w:val="28"/>
          <w:szCs w:val="28"/>
          <w:u w:val="single"/>
        </w:rPr>
        <w:t xml:space="preserve">月      </w:t>
      </w:r>
      <w:r>
        <w:rPr>
          <w:rFonts w:hint="eastAsia"/>
          <w:color w:val="000000"/>
          <w:sz w:val="28"/>
          <w:szCs w:val="28"/>
          <w:u w:val="single"/>
        </w:rPr>
        <w:t xml:space="preserve">  </w:t>
      </w:r>
      <w:r>
        <w:rPr>
          <w:color w:val="000000"/>
          <w:sz w:val="28"/>
          <w:szCs w:val="28"/>
          <w:u w:val="single"/>
        </w:rPr>
        <w:t xml:space="preserve"> </w:t>
      </w:r>
      <w:r>
        <w:rPr>
          <w:rFonts w:hint="eastAsia" w:ascii="Times New Roman" w:eastAsia="宋体"/>
          <w:color w:val="000000"/>
          <w:sz w:val="28"/>
          <w:szCs w:val="28"/>
          <w:u w:val="single"/>
          <w:lang w:val="en-US" w:eastAsia="zh-CN"/>
        </w:rPr>
        <w:t xml:space="preserve">                      </w:t>
      </w:r>
      <w:r>
        <w:rPr>
          <w:color w:val="000000"/>
          <w:sz w:val="28"/>
          <w:szCs w:val="28"/>
          <w:u w:val="single"/>
        </w:rPr>
        <w:t xml:space="preserve">    </w:t>
      </w:r>
      <w:r>
        <w:rPr>
          <w:rFonts w:hint="eastAsia"/>
          <w:color w:val="000000"/>
          <w:sz w:val="28"/>
          <w:szCs w:val="28"/>
          <w:u w:val="single"/>
        </w:rPr>
        <w:t xml:space="preserve"> </w:t>
      </w:r>
      <w:r>
        <w:rPr>
          <w:color w:val="000000"/>
          <w:sz w:val="28"/>
          <w:szCs w:val="28"/>
          <w:u w:val="single"/>
        </w:rPr>
        <w:t xml:space="preserve">  </w:t>
      </w:r>
      <w:r>
        <w:rPr>
          <w:rFonts w:hint="eastAsia" w:ascii="Times New Roman" w:eastAsia="宋体"/>
          <w:color w:val="000000"/>
          <w:sz w:val="28"/>
          <w:szCs w:val="28"/>
          <w:u w:val="single"/>
          <w:lang w:val="en-US" w:eastAsia="zh-CN"/>
        </w:rPr>
        <w:t xml:space="preserve">  </w:t>
      </w:r>
    </w:p>
    <w:p>
      <w:pPr>
        <w:pStyle w:val="18"/>
        <w:rPr>
          <w:rFonts w:hint="default" w:ascii="Times New Roman" w:hAnsi="Times New Roman" w:cs="Times New Roman" w:eastAsiaTheme="minorEastAsia"/>
          <w:color w:val="000000" w:themeColor="text1"/>
          <w:highlight w:val="none"/>
          <w:u w:val="none" w:color="auto"/>
          <w14:textFill>
            <w14:solidFill>
              <w14:schemeClr w14:val="tx1"/>
            </w14:solidFill>
          </w14:textFill>
        </w:rPr>
      </w:pPr>
    </w:p>
    <w:p>
      <w:pPr>
        <w:rPr>
          <w:rFonts w:hint="default" w:ascii="Times New Roman" w:hAnsi="Times New Roman" w:cs="Times New Roman" w:eastAsiaTheme="minorEastAsia"/>
          <w:color w:val="000000" w:themeColor="text1"/>
          <w:highlight w:val="none"/>
          <w:u w:val="none" w:color="auto"/>
          <w14:textFill>
            <w14:solidFill>
              <w14:schemeClr w14:val="tx1"/>
            </w14:solidFill>
          </w14:textFill>
        </w:rPr>
      </w:pPr>
    </w:p>
    <w:p>
      <w:pPr>
        <w:pStyle w:val="18"/>
        <w:rPr>
          <w:rFonts w:hint="default" w:ascii="Times New Roman" w:hAnsi="Times New Roman" w:cs="Times New Roman" w:eastAsiaTheme="minorEastAsia"/>
          <w:color w:val="000000" w:themeColor="text1"/>
          <w:highlight w:val="none"/>
          <w:u w:val="none" w:color="auto"/>
          <w14:textFill>
            <w14:solidFill>
              <w14:schemeClr w14:val="tx1"/>
            </w14:solidFill>
          </w14:textFill>
        </w:rPr>
      </w:pPr>
    </w:p>
    <w:p>
      <w:pPr>
        <w:spacing w:line="480" w:lineRule="auto"/>
        <w:jc w:val="center"/>
        <w:rPr>
          <w:rFonts w:hint="default" w:ascii="Times New Roman" w:hAnsi="Times New Roman" w:cs="Times New Roman" w:eastAsiaTheme="minorEastAsia"/>
          <w:b/>
          <w:color w:val="000000" w:themeColor="text1"/>
          <w:sz w:val="32"/>
          <w:szCs w:val="32"/>
          <w:highlight w:val="none"/>
          <w:u w:val="none" w:color="auto"/>
          <w:lang w:val="en-US" w:eastAsia="zh-CN"/>
          <w14:textFill>
            <w14:solidFill>
              <w14:schemeClr w14:val="tx1"/>
            </w14:solidFill>
          </w14:textFill>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cols w:space="425" w:num="1"/>
          <w:docGrid w:type="lines" w:linePitch="312" w:charSpace="0"/>
        </w:sectPr>
      </w:pPr>
      <w:r>
        <w:rPr>
          <w:rFonts w:hint="default" w:ascii="Times New Roman" w:hAnsi="Times New Roman" w:cs="Times New Roman" w:eastAsiaTheme="minorEastAsia"/>
          <w:b/>
          <w:color w:val="000000" w:themeColor="text1"/>
          <w:sz w:val="32"/>
          <w:szCs w:val="32"/>
          <w:highlight w:val="none"/>
          <w:u w:val="none" w:color="auto"/>
          <w:lang w:val="en-US" w:eastAsia="zh-CN"/>
          <w14:textFill>
            <w14:solidFill>
              <w14:schemeClr w14:val="tx1"/>
            </w14:solidFill>
          </w14:textFill>
        </w:rPr>
        <w:t>中华人民共和国生态环境部制</w:t>
      </w:r>
    </w:p>
    <w:p>
      <w:pPr>
        <w:pStyle w:val="2"/>
        <w:ind w:left="0" w:leftChars="0" w:firstLine="0" w:firstLineChars="0"/>
        <w:jc w:val="center"/>
        <w:rPr>
          <w:rFonts w:hint="default"/>
          <w:lang w:val="en-US" w:eastAsia="zh-CN"/>
        </w:rPr>
        <w:sectPr>
          <w:pgSz w:w="16838" w:h="11906" w:orient="landscape"/>
          <w:pgMar w:top="1800" w:right="1440" w:bottom="1800" w:left="1440" w:header="851" w:footer="992" w:gutter="0"/>
          <w:pgBorders>
            <w:top w:val="none" w:sz="0" w:space="0"/>
            <w:left w:val="none" w:sz="0" w:space="0"/>
            <w:bottom w:val="none" w:sz="0" w:space="0"/>
            <w:right w:val="none" w:sz="0" w:space="0"/>
          </w:pgBorders>
          <w:pgNumType w:fmt="numberInDash"/>
          <w:cols w:space="425" w:num="1"/>
          <w:docGrid w:type="lines" w:linePitch="312" w:charSpace="0"/>
        </w:sectPr>
      </w:pPr>
      <w:r>
        <w:rPr>
          <w:rFonts w:hint="default"/>
          <w:lang w:val="en-US" w:eastAsia="zh-CN"/>
        </w:rPr>
        <w:drawing>
          <wp:inline distT="0" distB="0" distL="114300" distR="114300">
            <wp:extent cx="7461885" cy="5269230"/>
            <wp:effectExtent l="0" t="0" r="5715" b="7620"/>
            <wp:docPr id="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6"/>
                    <pic:cNvPicPr>
                      <a:picLocks noChangeAspect="1"/>
                    </pic:cNvPicPr>
                  </pic:nvPicPr>
                  <pic:blipFill>
                    <a:blip r:embed="rId8"/>
                    <a:stretch>
                      <a:fillRect/>
                    </a:stretch>
                  </pic:blipFill>
                  <pic:spPr>
                    <a:xfrm>
                      <a:off x="0" y="0"/>
                      <a:ext cx="7461885" cy="5269230"/>
                    </a:xfrm>
                    <a:prstGeom prst="rect">
                      <a:avLst/>
                    </a:prstGeom>
                    <a:noFill/>
                    <a:ln>
                      <a:noFill/>
                    </a:ln>
                  </pic:spPr>
                </pic:pic>
              </a:graphicData>
            </a:graphic>
          </wp:inline>
        </w:drawing>
      </w:r>
    </w:p>
    <w:p>
      <w:pPr>
        <w:ind w:left="0" w:leftChars="0" w:firstLine="0" w:firstLineChars="0"/>
        <w:rPr>
          <w:rFonts w:hint="default"/>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cols w:space="425" w:num="1"/>
          <w:docGrid w:type="lines" w:linePitch="312" w:charSpace="0"/>
        </w:sectPr>
      </w:pPr>
      <w:r>
        <w:rPr>
          <w:rFonts w:hint="default"/>
          <w:lang w:val="en-US" w:eastAsia="zh-CN"/>
        </w:rPr>
        <w:drawing>
          <wp:inline distT="0" distB="0" distL="114300" distR="114300">
            <wp:extent cx="5269230" cy="7489825"/>
            <wp:effectExtent l="0" t="0" r="7620" b="15875"/>
            <wp:docPr id="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7"/>
                    <pic:cNvPicPr>
                      <a:picLocks noChangeAspect="1"/>
                    </pic:cNvPicPr>
                  </pic:nvPicPr>
                  <pic:blipFill>
                    <a:blip r:embed="rId9"/>
                    <a:stretch>
                      <a:fillRect/>
                    </a:stretch>
                  </pic:blipFill>
                  <pic:spPr>
                    <a:xfrm>
                      <a:off x="0" y="0"/>
                      <a:ext cx="5269230" cy="748982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jc w:val="center"/>
        <w:textAlignment w:val="auto"/>
        <w:rPr>
          <w:rFonts w:hint="default" w:ascii="Times New Roman" w:hAnsi="Times New Roman" w:cs="Times New Roman" w:eastAsiaTheme="minorEastAsia"/>
          <w:b/>
          <w:bCs/>
          <w:color w:val="000000" w:themeColor="text1"/>
          <w:sz w:val="28"/>
          <w:szCs w:val="22"/>
          <w:highlight w:val="none"/>
          <w:u w:val="none" w:color="auto"/>
          <w14:textFill>
            <w14:solidFill>
              <w14:schemeClr w14:val="tx1"/>
            </w14:solidFill>
          </w14:textFill>
        </w:rPr>
      </w:pPr>
      <w:r>
        <w:rPr>
          <w:rFonts w:hint="default" w:ascii="Times New Roman" w:hAnsi="Times New Roman" w:cs="Times New Roman" w:eastAsiaTheme="minorEastAsia"/>
          <w:b/>
          <w:bCs/>
          <w:color w:val="000000" w:themeColor="text1"/>
          <w:sz w:val="28"/>
          <w:szCs w:val="22"/>
          <w:highlight w:val="none"/>
          <w:u w:val="none" w:color="auto"/>
          <w14:textFill>
            <w14:solidFill>
              <w14:schemeClr w14:val="tx1"/>
            </w14:solidFill>
          </w14:textFill>
        </w:rPr>
        <w:t>目</w:t>
      </w:r>
      <w:r>
        <w:rPr>
          <w:rFonts w:hint="eastAsia" w:cs="Times New Roman" w:eastAsiaTheme="minorEastAsia"/>
          <w:b/>
          <w:bCs/>
          <w:color w:val="000000" w:themeColor="text1"/>
          <w:sz w:val="28"/>
          <w:szCs w:val="22"/>
          <w:highlight w:val="none"/>
          <w:u w:val="none" w:color="auto"/>
          <w:lang w:val="en-US" w:eastAsia="zh-CN"/>
          <w14:textFill>
            <w14:solidFill>
              <w14:schemeClr w14:val="tx1"/>
            </w14:solidFill>
          </w14:textFill>
        </w:rPr>
        <w:t xml:space="preserve">  </w:t>
      </w:r>
      <w:r>
        <w:rPr>
          <w:rFonts w:hint="default" w:ascii="Times New Roman" w:hAnsi="Times New Roman" w:cs="Times New Roman" w:eastAsiaTheme="minorEastAsia"/>
          <w:b/>
          <w:bCs/>
          <w:color w:val="000000" w:themeColor="text1"/>
          <w:sz w:val="28"/>
          <w:szCs w:val="22"/>
          <w:highlight w:val="none"/>
          <w:u w:val="none" w:color="auto"/>
          <w14:textFill>
            <w14:solidFill>
              <w14:schemeClr w14:val="tx1"/>
            </w14:solidFill>
          </w14:textFill>
        </w:rPr>
        <w:t>录</w:t>
      </w:r>
    </w:p>
    <w:p>
      <w:pPr>
        <w:pStyle w:val="16"/>
        <w:tabs>
          <w:tab w:val="right" w:leader="dot" w:pos="8306"/>
        </w:tabs>
        <w:rPr>
          <w:highlight w:val="none"/>
          <w:u w:val="none" w:color="auto"/>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fldChar w:fldCharType="begin"/>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instrText xml:space="preserve">TOC \o "1-1" \h \u </w:instrTex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fldChar w:fldCharType="separate"/>
      </w: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begin"/>
      </w:r>
      <w:r>
        <w:rPr>
          <w:rFonts w:hint="default" w:ascii="Times New Roman" w:hAnsi="Times New Roman" w:cs="Times New Roman" w:eastAsiaTheme="minorEastAsia"/>
          <w:szCs w:val="24"/>
          <w:highlight w:val="none"/>
          <w:u w:val="none" w:color="auto"/>
        </w:rPr>
        <w:instrText xml:space="preserve"> HYPERLINK \l _Toc9575 </w:instrText>
      </w:r>
      <w:r>
        <w:rPr>
          <w:rFonts w:hint="default" w:ascii="Times New Roman" w:hAnsi="Times New Roman" w:cs="Times New Roman" w:eastAsiaTheme="minorEastAsia"/>
          <w:szCs w:val="24"/>
          <w:highlight w:val="none"/>
          <w:u w:val="none" w:color="auto"/>
        </w:rPr>
        <w:fldChar w:fldCharType="separate"/>
      </w:r>
      <w:r>
        <w:rPr>
          <w:rFonts w:hint="eastAsia" w:ascii="Times New Roman" w:hAnsi="Times New Roman" w:cs="Times New Roman" w:eastAsiaTheme="minorEastAsia"/>
          <w:szCs w:val="36"/>
          <w:highlight w:val="none"/>
          <w:u w:val="none" w:color="auto"/>
          <w:lang w:val="en-US" w:eastAsia="zh-CN"/>
        </w:rPr>
        <w:t>一、</w:t>
      </w:r>
      <w:r>
        <w:rPr>
          <w:rFonts w:hint="default" w:ascii="Times New Roman" w:hAnsi="Times New Roman" w:cs="Times New Roman" w:eastAsiaTheme="minorEastAsia"/>
          <w:szCs w:val="36"/>
          <w:highlight w:val="none"/>
          <w:u w:val="none" w:color="auto"/>
          <w:lang w:val="en-US" w:eastAsia="zh-CN"/>
        </w:rPr>
        <w:t>建设项目基本情况</w:t>
      </w:r>
      <w:r>
        <w:rPr>
          <w:highlight w:val="none"/>
          <w:u w:val="none" w:color="auto"/>
        </w:rPr>
        <w:tab/>
      </w:r>
      <w:r>
        <w:rPr>
          <w:highlight w:val="none"/>
          <w:u w:val="none" w:color="auto"/>
        </w:rPr>
        <w:fldChar w:fldCharType="begin"/>
      </w:r>
      <w:r>
        <w:rPr>
          <w:highlight w:val="none"/>
          <w:u w:val="none" w:color="auto"/>
        </w:rPr>
        <w:instrText xml:space="preserve"> PAGEREF _Toc9575 \h </w:instrText>
      </w:r>
      <w:r>
        <w:rPr>
          <w:highlight w:val="none"/>
          <w:u w:val="none" w:color="auto"/>
        </w:rPr>
        <w:fldChar w:fldCharType="separate"/>
      </w:r>
      <w:r>
        <w:rPr>
          <w:highlight w:val="none"/>
          <w:u w:val="none" w:color="auto"/>
        </w:rPr>
        <w:t>1</w:t>
      </w:r>
      <w:r>
        <w:rPr>
          <w:highlight w:val="none"/>
          <w:u w:val="none" w:color="auto"/>
        </w:rPr>
        <w:fldChar w:fldCharType="end"/>
      </w: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end"/>
      </w:r>
    </w:p>
    <w:p>
      <w:pPr>
        <w:pStyle w:val="16"/>
        <w:tabs>
          <w:tab w:val="right" w:leader="dot" w:pos="8306"/>
        </w:tabs>
        <w:rPr>
          <w:highlight w:val="none"/>
          <w:u w:val="none" w:color="auto"/>
        </w:rPr>
      </w:pP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begin"/>
      </w:r>
      <w:r>
        <w:rPr>
          <w:rFonts w:hint="default" w:ascii="Times New Roman" w:hAnsi="Times New Roman" w:cs="Times New Roman" w:eastAsiaTheme="minorEastAsia"/>
          <w:szCs w:val="24"/>
          <w:highlight w:val="none"/>
          <w:u w:val="none" w:color="auto"/>
        </w:rPr>
        <w:instrText xml:space="preserve"> HYPERLINK \l _Toc9658 </w:instrText>
      </w:r>
      <w:r>
        <w:rPr>
          <w:rFonts w:hint="default" w:ascii="Times New Roman" w:hAnsi="Times New Roman" w:cs="Times New Roman" w:eastAsiaTheme="minorEastAsia"/>
          <w:szCs w:val="24"/>
          <w:highlight w:val="none"/>
          <w:u w:val="none" w:color="auto"/>
        </w:rPr>
        <w:fldChar w:fldCharType="separate"/>
      </w:r>
      <w:r>
        <w:rPr>
          <w:rFonts w:hint="default" w:ascii="Times New Roman" w:hAnsi="Times New Roman" w:cs="Times New Roman" w:eastAsiaTheme="minorEastAsia"/>
          <w:szCs w:val="36"/>
          <w:highlight w:val="none"/>
          <w:u w:val="none" w:color="auto"/>
          <w:lang w:val="en-US" w:eastAsia="zh-CN"/>
        </w:rPr>
        <w:t>二、建设项目工程分析</w:t>
      </w:r>
      <w:r>
        <w:rPr>
          <w:highlight w:val="none"/>
          <w:u w:val="none" w:color="auto"/>
        </w:rPr>
        <w:tab/>
      </w:r>
      <w:r>
        <w:rPr>
          <w:highlight w:val="none"/>
          <w:u w:val="none" w:color="auto"/>
        </w:rPr>
        <w:fldChar w:fldCharType="begin"/>
      </w:r>
      <w:r>
        <w:rPr>
          <w:highlight w:val="none"/>
          <w:u w:val="none" w:color="auto"/>
        </w:rPr>
        <w:instrText xml:space="preserve"> PAGEREF _Toc9658 \h </w:instrText>
      </w:r>
      <w:r>
        <w:rPr>
          <w:highlight w:val="none"/>
          <w:u w:val="none" w:color="auto"/>
        </w:rPr>
        <w:fldChar w:fldCharType="separate"/>
      </w:r>
      <w:r>
        <w:rPr>
          <w:highlight w:val="none"/>
          <w:u w:val="none" w:color="auto"/>
        </w:rPr>
        <w:t>6</w:t>
      </w:r>
      <w:r>
        <w:rPr>
          <w:highlight w:val="none"/>
          <w:u w:val="none" w:color="auto"/>
        </w:rPr>
        <w:fldChar w:fldCharType="end"/>
      </w: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end"/>
      </w:r>
    </w:p>
    <w:p>
      <w:pPr>
        <w:pStyle w:val="16"/>
        <w:tabs>
          <w:tab w:val="right" w:leader="dot" w:pos="8306"/>
        </w:tabs>
        <w:rPr>
          <w:highlight w:val="none"/>
          <w:u w:val="none" w:color="auto"/>
        </w:rPr>
      </w:pP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begin"/>
      </w:r>
      <w:r>
        <w:rPr>
          <w:rFonts w:hint="default" w:ascii="Times New Roman" w:hAnsi="Times New Roman" w:cs="Times New Roman" w:eastAsiaTheme="minorEastAsia"/>
          <w:szCs w:val="24"/>
          <w:highlight w:val="none"/>
          <w:u w:val="none" w:color="auto"/>
        </w:rPr>
        <w:instrText xml:space="preserve"> HYPERLINK \l _Toc23196 </w:instrText>
      </w:r>
      <w:r>
        <w:rPr>
          <w:rFonts w:hint="default" w:ascii="Times New Roman" w:hAnsi="Times New Roman" w:cs="Times New Roman" w:eastAsiaTheme="minorEastAsia"/>
          <w:szCs w:val="24"/>
          <w:highlight w:val="none"/>
          <w:u w:val="none" w:color="auto"/>
        </w:rPr>
        <w:fldChar w:fldCharType="separate"/>
      </w:r>
      <w:r>
        <w:rPr>
          <w:rFonts w:hint="default" w:ascii="Times New Roman" w:hAnsi="Times New Roman" w:cs="Times New Roman" w:eastAsiaTheme="minorEastAsia"/>
          <w:szCs w:val="36"/>
          <w:highlight w:val="none"/>
          <w:u w:val="none" w:color="auto"/>
          <w:lang w:val="en-US" w:eastAsia="zh-CN"/>
        </w:rPr>
        <w:t>三、区域环境质量现状、环境保护目标及评价标准</w:t>
      </w:r>
      <w:r>
        <w:rPr>
          <w:highlight w:val="none"/>
          <w:u w:val="none" w:color="auto"/>
        </w:rPr>
        <w:tab/>
      </w:r>
      <w:r>
        <w:rPr>
          <w:highlight w:val="none"/>
          <w:u w:val="none" w:color="auto"/>
        </w:rPr>
        <w:fldChar w:fldCharType="begin"/>
      </w:r>
      <w:r>
        <w:rPr>
          <w:highlight w:val="none"/>
          <w:u w:val="none" w:color="auto"/>
        </w:rPr>
        <w:instrText xml:space="preserve"> PAGEREF _Toc23196 \h </w:instrText>
      </w:r>
      <w:r>
        <w:rPr>
          <w:highlight w:val="none"/>
          <w:u w:val="none" w:color="auto"/>
        </w:rPr>
        <w:fldChar w:fldCharType="separate"/>
      </w:r>
      <w:r>
        <w:rPr>
          <w:highlight w:val="none"/>
          <w:u w:val="none" w:color="auto"/>
        </w:rPr>
        <w:t>16</w:t>
      </w:r>
      <w:r>
        <w:rPr>
          <w:highlight w:val="none"/>
          <w:u w:val="none" w:color="auto"/>
        </w:rPr>
        <w:fldChar w:fldCharType="end"/>
      </w: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end"/>
      </w:r>
    </w:p>
    <w:p>
      <w:pPr>
        <w:pStyle w:val="16"/>
        <w:tabs>
          <w:tab w:val="right" w:leader="dot" w:pos="8306"/>
        </w:tabs>
        <w:rPr>
          <w:highlight w:val="none"/>
          <w:u w:val="none" w:color="auto"/>
        </w:rPr>
      </w:pP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begin"/>
      </w:r>
      <w:r>
        <w:rPr>
          <w:rFonts w:hint="default" w:ascii="Times New Roman" w:hAnsi="Times New Roman" w:cs="Times New Roman" w:eastAsiaTheme="minorEastAsia"/>
          <w:szCs w:val="24"/>
          <w:highlight w:val="none"/>
          <w:u w:val="none" w:color="auto"/>
        </w:rPr>
        <w:instrText xml:space="preserve"> HYPERLINK \l _Toc2643 </w:instrText>
      </w:r>
      <w:r>
        <w:rPr>
          <w:rFonts w:hint="default" w:ascii="Times New Roman" w:hAnsi="Times New Roman" w:cs="Times New Roman" w:eastAsiaTheme="minorEastAsia"/>
          <w:szCs w:val="24"/>
          <w:highlight w:val="none"/>
          <w:u w:val="none" w:color="auto"/>
        </w:rPr>
        <w:fldChar w:fldCharType="separate"/>
      </w:r>
      <w:r>
        <w:rPr>
          <w:rFonts w:hint="default" w:ascii="Times New Roman" w:hAnsi="Times New Roman" w:cs="Times New Roman" w:eastAsiaTheme="minorEastAsia"/>
          <w:szCs w:val="36"/>
          <w:highlight w:val="none"/>
          <w:u w:val="none" w:color="auto"/>
          <w:lang w:val="en-US" w:eastAsia="zh-CN"/>
        </w:rPr>
        <w:t>四、主要环境影响和保护措施</w:t>
      </w:r>
      <w:r>
        <w:rPr>
          <w:highlight w:val="none"/>
          <w:u w:val="none" w:color="auto"/>
        </w:rPr>
        <w:tab/>
      </w:r>
      <w:r>
        <w:rPr>
          <w:highlight w:val="none"/>
          <w:u w:val="none" w:color="auto"/>
        </w:rPr>
        <w:fldChar w:fldCharType="begin"/>
      </w:r>
      <w:r>
        <w:rPr>
          <w:highlight w:val="none"/>
          <w:u w:val="none" w:color="auto"/>
        </w:rPr>
        <w:instrText xml:space="preserve"> PAGEREF _Toc2643 \h </w:instrText>
      </w:r>
      <w:r>
        <w:rPr>
          <w:highlight w:val="none"/>
          <w:u w:val="none" w:color="auto"/>
        </w:rPr>
        <w:fldChar w:fldCharType="separate"/>
      </w:r>
      <w:r>
        <w:rPr>
          <w:highlight w:val="none"/>
          <w:u w:val="none" w:color="auto"/>
        </w:rPr>
        <w:t>20</w:t>
      </w:r>
      <w:r>
        <w:rPr>
          <w:highlight w:val="none"/>
          <w:u w:val="none" w:color="auto"/>
        </w:rPr>
        <w:fldChar w:fldCharType="end"/>
      </w: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end"/>
      </w:r>
    </w:p>
    <w:p>
      <w:pPr>
        <w:pStyle w:val="16"/>
        <w:tabs>
          <w:tab w:val="right" w:leader="dot" w:pos="8306"/>
        </w:tabs>
        <w:rPr>
          <w:highlight w:val="none"/>
          <w:u w:val="none" w:color="auto"/>
        </w:rPr>
      </w:pP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begin"/>
      </w:r>
      <w:r>
        <w:rPr>
          <w:rFonts w:hint="default" w:ascii="Times New Roman" w:hAnsi="Times New Roman" w:cs="Times New Roman" w:eastAsiaTheme="minorEastAsia"/>
          <w:szCs w:val="24"/>
          <w:highlight w:val="none"/>
          <w:u w:val="none" w:color="auto"/>
        </w:rPr>
        <w:instrText xml:space="preserve"> HYPERLINK \l _Toc68 </w:instrText>
      </w:r>
      <w:r>
        <w:rPr>
          <w:rFonts w:hint="default" w:ascii="Times New Roman" w:hAnsi="Times New Roman" w:cs="Times New Roman" w:eastAsiaTheme="minorEastAsia"/>
          <w:szCs w:val="24"/>
          <w:highlight w:val="none"/>
          <w:u w:val="none" w:color="auto"/>
        </w:rPr>
        <w:fldChar w:fldCharType="separate"/>
      </w:r>
      <w:r>
        <w:rPr>
          <w:rFonts w:hint="default" w:ascii="Times New Roman" w:hAnsi="Times New Roman" w:cs="Times New Roman" w:eastAsiaTheme="minorEastAsia"/>
          <w:szCs w:val="36"/>
          <w:highlight w:val="none"/>
          <w:u w:val="none" w:color="auto"/>
          <w:lang w:val="en-US" w:eastAsia="zh-CN"/>
        </w:rPr>
        <w:t>五、环境保护措施监督检查清单</w:t>
      </w:r>
      <w:r>
        <w:rPr>
          <w:highlight w:val="none"/>
          <w:u w:val="none" w:color="auto"/>
        </w:rPr>
        <w:tab/>
      </w:r>
      <w:r>
        <w:rPr>
          <w:highlight w:val="none"/>
          <w:u w:val="none" w:color="auto"/>
        </w:rPr>
        <w:fldChar w:fldCharType="begin"/>
      </w:r>
      <w:r>
        <w:rPr>
          <w:highlight w:val="none"/>
          <w:u w:val="none" w:color="auto"/>
        </w:rPr>
        <w:instrText xml:space="preserve"> PAGEREF _Toc68 \h </w:instrText>
      </w:r>
      <w:r>
        <w:rPr>
          <w:highlight w:val="none"/>
          <w:u w:val="none" w:color="auto"/>
        </w:rPr>
        <w:fldChar w:fldCharType="separate"/>
      </w:r>
      <w:r>
        <w:rPr>
          <w:highlight w:val="none"/>
          <w:u w:val="none" w:color="auto"/>
        </w:rPr>
        <w:t>38</w:t>
      </w:r>
      <w:r>
        <w:rPr>
          <w:highlight w:val="none"/>
          <w:u w:val="none" w:color="auto"/>
        </w:rPr>
        <w:fldChar w:fldCharType="end"/>
      </w: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end"/>
      </w:r>
    </w:p>
    <w:p>
      <w:pPr>
        <w:pStyle w:val="16"/>
        <w:tabs>
          <w:tab w:val="right" w:leader="dot" w:pos="8306"/>
        </w:tabs>
        <w:rPr>
          <w:highlight w:val="none"/>
          <w:u w:val="none" w:color="auto"/>
        </w:rPr>
      </w:pP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begin"/>
      </w:r>
      <w:r>
        <w:rPr>
          <w:rFonts w:hint="default" w:ascii="Times New Roman" w:hAnsi="Times New Roman" w:cs="Times New Roman" w:eastAsiaTheme="minorEastAsia"/>
          <w:szCs w:val="24"/>
          <w:highlight w:val="none"/>
          <w:u w:val="none" w:color="auto"/>
        </w:rPr>
        <w:instrText xml:space="preserve"> HYPERLINK \l _Toc32418 </w:instrText>
      </w:r>
      <w:r>
        <w:rPr>
          <w:rFonts w:hint="default" w:ascii="Times New Roman" w:hAnsi="Times New Roman" w:cs="Times New Roman" w:eastAsiaTheme="minorEastAsia"/>
          <w:szCs w:val="24"/>
          <w:highlight w:val="none"/>
          <w:u w:val="none" w:color="auto"/>
        </w:rPr>
        <w:fldChar w:fldCharType="separate"/>
      </w:r>
      <w:r>
        <w:rPr>
          <w:rFonts w:hint="eastAsia" w:ascii="Times New Roman" w:hAnsi="Times New Roman" w:cs="Times New Roman" w:eastAsiaTheme="minorEastAsia"/>
          <w:szCs w:val="36"/>
          <w:highlight w:val="none"/>
          <w:u w:val="none" w:color="auto"/>
          <w:lang w:val="en-US" w:eastAsia="zh-CN"/>
        </w:rPr>
        <w:t>六、</w:t>
      </w:r>
      <w:r>
        <w:rPr>
          <w:rFonts w:hint="default" w:ascii="Times New Roman" w:hAnsi="Times New Roman" w:cs="Times New Roman" w:eastAsiaTheme="minorEastAsia"/>
          <w:szCs w:val="36"/>
          <w:highlight w:val="none"/>
          <w:u w:val="none" w:color="auto"/>
          <w:lang w:val="en-US" w:eastAsia="zh-CN"/>
        </w:rPr>
        <w:t>结论</w:t>
      </w:r>
      <w:r>
        <w:rPr>
          <w:highlight w:val="none"/>
          <w:u w:val="none" w:color="auto"/>
        </w:rPr>
        <w:tab/>
      </w:r>
      <w:r>
        <w:rPr>
          <w:highlight w:val="none"/>
          <w:u w:val="none" w:color="auto"/>
        </w:rPr>
        <w:fldChar w:fldCharType="begin"/>
      </w:r>
      <w:r>
        <w:rPr>
          <w:highlight w:val="none"/>
          <w:u w:val="none" w:color="auto"/>
        </w:rPr>
        <w:instrText xml:space="preserve"> PAGEREF _Toc32418 \h </w:instrText>
      </w:r>
      <w:r>
        <w:rPr>
          <w:highlight w:val="none"/>
          <w:u w:val="none" w:color="auto"/>
        </w:rPr>
        <w:fldChar w:fldCharType="separate"/>
      </w:r>
      <w:r>
        <w:rPr>
          <w:highlight w:val="none"/>
          <w:u w:val="none" w:color="auto"/>
        </w:rPr>
        <w:t>40</w:t>
      </w:r>
      <w:r>
        <w:rPr>
          <w:highlight w:val="none"/>
          <w:u w:val="none" w:color="auto"/>
        </w:rPr>
        <w:fldChar w:fldCharType="end"/>
      </w: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end"/>
      </w:r>
    </w:p>
    <w:p>
      <w:pPr>
        <w:keepNext w:val="0"/>
        <w:keepLines w:val="0"/>
        <w:pageBreakBefore w:val="0"/>
        <w:widowControl w:val="0"/>
        <w:kinsoku/>
        <w:wordWrap/>
        <w:overflowPunct/>
        <w:topLinePunct w:val="0"/>
        <w:autoSpaceDE/>
        <w:autoSpaceDN/>
        <w:bidi w:val="0"/>
        <w:adjustRightInd w:val="0"/>
        <w:snapToGrid w:val="0"/>
        <w:spacing w:line="380" w:lineRule="exact"/>
        <w:ind w:firstLine="480" w:firstLineChars="200"/>
        <w:jc w:val="left"/>
        <w:textAlignment w:val="auto"/>
        <w:rPr>
          <w:rFonts w:hint="default"/>
          <w:highlight w:val="none"/>
          <w:u w:val="none" w:color="auto"/>
          <w:lang w:val="en-US" w:eastAsia="zh-CN"/>
        </w:rPr>
      </w:pPr>
      <w:r>
        <w:rPr>
          <w:rFonts w:hint="default" w:ascii="Times New Roman" w:hAnsi="Times New Roman" w:cs="Times New Roman" w:eastAsiaTheme="minorEastAsia"/>
          <w:color w:val="000000" w:themeColor="text1"/>
          <w:szCs w:val="24"/>
          <w:highlight w:val="none"/>
          <w:u w:val="none" w:color="auto"/>
          <w14:textFill>
            <w14:solidFill>
              <w14:schemeClr w14:val="tx1"/>
            </w14:solidFill>
          </w14:textFill>
        </w:rPr>
        <w:fldChar w:fldCharType="end"/>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default" w:ascii="Times New Roman" w:hAnsi="Times New Roman" w:cs="Times New Roman" w:eastAsiaTheme="minorEastAsia"/>
          <w:b w:val="0"/>
          <w:bCs w:val="0"/>
          <w:color w:val="000000" w:themeColor="text1"/>
          <w:highlight w:val="none"/>
          <w:u w:val="none" w:color="auto"/>
          <w:lang w:val="en-US" w:eastAsia="zh-CN"/>
          <w14:textFill>
            <w14:solidFill>
              <w14:schemeClr w14:val="tx1"/>
            </w14:solidFill>
          </w14:textFill>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cols w:space="425" w:num="1"/>
          <w:docGrid w:type="lines" w:linePitch="312" w:charSpace="0"/>
        </w:sectPr>
      </w:pPr>
    </w:p>
    <w:p>
      <w:pPr>
        <w:pStyle w:val="3"/>
        <w:keepNext/>
        <w:keepLines/>
        <w:pageBreakBefore w:val="0"/>
        <w:widowControl w:val="0"/>
        <w:numPr>
          <w:ilvl w:val="0"/>
          <w:numId w:val="0"/>
        </w:numPr>
        <w:kinsoku/>
        <w:wordWrap/>
        <w:overflowPunct/>
        <w:topLinePunct w:val="0"/>
        <w:autoSpaceDE/>
        <w:autoSpaceDN/>
        <w:bidi w:val="0"/>
        <w:adjustRightInd w:val="0"/>
        <w:snapToGrid w:val="0"/>
        <w:spacing w:before="0" w:beforeLines="0" w:after="0" w:afterLines="0" w:line="240" w:lineRule="auto"/>
        <w:jc w:val="center"/>
        <w:textAlignment w:val="auto"/>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pPr>
      <w:bookmarkStart w:id="0" w:name="_Toc9575"/>
      <w:r>
        <w:rPr>
          <w:rFonts w:hint="eastAsia" w:ascii="Times New Roman" w:hAnsi="Times New Roman" w:cs="Times New Roman" w:eastAsiaTheme="minorEastAsia"/>
          <w:color w:val="000000" w:themeColor="text1"/>
          <w:sz w:val="36"/>
          <w:szCs w:val="36"/>
          <w:highlight w:val="none"/>
          <w:u w:val="none" w:color="auto"/>
          <w:lang w:val="en-US" w:eastAsia="zh-CN"/>
          <w14:textFill>
            <w14:solidFill>
              <w14:schemeClr w14:val="tx1"/>
            </w14:solidFill>
          </w14:textFill>
        </w:rPr>
        <w:t>一、</w:t>
      </w:r>
      <w:r>
        <w:rPr>
          <w:rFonts w:hint="default" w:ascii="Times New Roman" w:hAnsi="Times New Roman" w:cs="Times New Roman" w:eastAsiaTheme="minorEastAsia"/>
          <w:color w:val="000000" w:themeColor="text1"/>
          <w:sz w:val="36"/>
          <w:szCs w:val="36"/>
          <w:highlight w:val="none"/>
          <w:u w:val="none" w:color="auto"/>
          <w:lang w:val="en-US" w:eastAsia="zh-CN"/>
          <w14:textFill>
            <w14:solidFill>
              <w14:schemeClr w14:val="tx1"/>
            </w14:solidFill>
          </w14:textFill>
        </w:rPr>
        <w:t>建设项目基本情况</w:t>
      </w:r>
      <w:bookmarkEnd w:id="0"/>
    </w:p>
    <w:tbl>
      <w:tblPr>
        <w:tblStyle w:val="24"/>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147"/>
        <w:gridCol w:w="2359"/>
        <w:gridCol w:w="2287"/>
        <w:gridCol w:w="316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建设项目名称</w:t>
            </w:r>
          </w:p>
        </w:tc>
        <w:tc>
          <w:tcPr>
            <w:tcW w:w="3921" w:type="pct"/>
            <w:gridSpan w:val="3"/>
            <w:tcBorders>
              <w:tl2br w:val="nil"/>
              <w:tr2bl w:val="nil"/>
            </w:tcBorders>
            <w:vAlign w:val="center"/>
          </w:tcPr>
          <w:p>
            <w:pPr>
              <w:spacing w:line="240" w:lineRule="auto"/>
              <w:ind w:firstLine="0" w:firstLineChars="0"/>
              <w:jc w:val="cente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eastAsiaTheme="minorEastAsia"/>
                <w:bCs/>
                <w:lang w:eastAsia="zh-CN"/>
              </w:rPr>
              <w:t>湖南镁鑫新能源有限公司锂电池生产项目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项目代码</w:t>
            </w:r>
          </w:p>
        </w:tc>
        <w:tc>
          <w:tcPr>
            <w:tcW w:w="3921" w:type="pct"/>
            <w:gridSpan w:val="3"/>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建设单位联系人</w:t>
            </w:r>
          </w:p>
        </w:tc>
        <w:tc>
          <w:tcPr>
            <w:tcW w:w="1184"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lang w:val="en-US" w:eastAsia="zh-CN"/>
              </w:rPr>
              <w:t>程海军</w:t>
            </w:r>
          </w:p>
        </w:tc>
        <w:tc>
          <w:tcPr>
            <w:tcW w:w="1148"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t>联系方式</w:t>
            </w:r>
          </w:p>
        </w:tc>
        <w:tc>
          <w:tcPr>
            <w:tcW w:w="1588"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lang w:val="en-US" w:eastAsia="zh-CN"/>
              </w:rPr>
              <w:t>13538296826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建设地点</w:t>
            </w:r>
          </w:p>
        </w:tc>
        <w:tc>
          <w:tcPr>
            <w:tcW w:w="3921" w:type="pct"/>
            <w:gridSpan w:val="3"/>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u w:val="single"/>
              </w:rPr>
              <w:t xml:space="preserve"> 湖南 </w:t>
            </w:r>
            <w:r>
              <w:t>省（自治区）</w:t>
            </w:r>
            <w:r>
              <w:rPr>
                <w:u w:val="single"/>
              </w:rPr>
              <w:t xml:space="preserve"> </w:t>
            </w:r>
            <w:r>
              <w:rPr>
                <w:rFonts w:hint="eastAsia"/>
                <w:u w:val="single"/>
                <w:lang w:val="en-US" w:eastAsia="zh-CN"/>
              </w:rPr>
              <w:t xml:space="preserve">永州 </w:t>
            </w:r>
            <w:r>
              <w:t>市</w:t>
            </w:r>
            <w:r>
              <w:rPr>
                <w:u w:val="single"/>
              </w:rPr>
              <w:t xml:space="preserve"> </w:t>
            </w:r>
            <w:r>
              <w:rPr>
                <w:rFonts w:hint="eastAsia"/>
                <w:u w:val="single"/>
                <w:lang w:val="en-US" w:eastAsia="zh-CN"/>
              </w:rPr>
              <w:t>新田</w:t>
            </w:r>
            <w:r>
              <w:rPr>
                <w:u w:val="single"/>
              </w:rPr>
              <w:t xml:space="preserve"> </w:t>
            </w:r>
            <w:r>
              <w:t>县（区）</w:t>
            </w:r>
            <w:r>
              <w:rPr>
                <w:u w:val="single"/>
              </w:rPr>
              <w:t xml:space="preserve"> </w:t>
            </w:r>
            <w:r>
              <w:rPr>
                <w:rFonts w:hint="eastAsia"/>
                <w:u w:val="single"/>
                <w:lang w:val="en-US" w:eastAsia="zh-CN"/>
              </w:rPr>
              <w:t>龙泉街道</w:t>
            </w:r>
            <w:r>
              <w:rPr>
                <w:u w:val="single"/>
              </w:rPr>
              <w:t xml:space="preserve"> </w:t>
            </w:r>
            <w:r>
              <w:t>乡（街道）</w:t>
            </w:r>
            <w:r>
              <w:rPr>
                <w:rFonts w:hint="eastAsia"/>
                <w:u w:val="single"/>
              </w:rPr>
              <w:t xml:space="preserve"> </w:t>
            </w:r>
            <w:r>
              <w:rPr>
                <w:rFonts w:hint="eastAsia"/>
                <w:u w:val="single"/>
                <w:lang w:val="en-US" w:eastAsia="zh-CN"/>
              </w:rPr>
              <w:t>工业园南园新能源新材料产业园10号栋</w:t>
            </w:r>
            <w:r>
              <w:rPr>
                <w:rFonts w:hint="eastAsia"/>
                <w:u w:val="single"/>
              </w:rPr>
              <w:t xml:space="preserve"> </w:t>
            </w:r>
            <w:r>
              <w:t>（具体地址）</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地理坐标</w:t>
            </w:r>
          </w:p>
        </w:tc>
        <w:tc>
          <w:tcPr>
            <w:tcW w:w="3921" w:type="pct"/>
            <w:gridSpan w:val="3"/>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color w:val="auto"/>
                <w:highlight w:val="none"/>
              </w:rPr>
              <w:t>（</w:t>
            </w:r>
            <w:r>
              <w:rPr>
                <w:color w:val="auto"/>
                <w:highlight w:val="none"/>
                <w:u w:val="single"/>
              </w:rPr>
              <w:t xml:space="preserve"> 11</w:t>
            </w:r>
            <w:r>
              <w:rPr>
                <w:rFonts w:hint="eastAsia"/>
                <w:color w:val="auto"/>
                <w:highlight w:val="none"/>
                <w:u w:val="single"/>
                <w:lang w:val="en-US" w:eastAsia="zh-CN"/>
              </w:rPr>
              <w:t>2</w:t>
            </w:r>
            <w:r>
              <w:rPr>
                <w:color w:val="auto"/>
                <w:highlight w:val="none"/>
                <w:u w:val="single"/>
              </w:rPr>
              <w:t xml:space="preserve"> </w:t>
            </w:r>
            <w:r>
              <w:rPr>
                <w:color w:val="auto"/>
                <w:highlight w:val="none"/>
              </w:rPr>
              <w:t>度</w:t>
            </w:r>
            <w:r>
              <w:rPr>
                <w:color w:val="auto"/>
                <w:highlight w:val="none"/>
                <w:u w:val="single"/>
              </w:rPr>
              <w:t xml:space="preserve"> </w:t>
            </w:r>
            <w:r>
              <w:rPr>
                <w:rFonts w:hint="eastAsia"/>
                <w:color w:val="auto"/>
                <w:highlight w:val="none"/>
                <w:u w:val="single"/>
                <w:lang w:val="en-US" w:eastAsia="zh-CN"/>
              </w:rPr>
              <w:t>11</w:t>
            </w:r>
            <w:r>
              <w:rPr>
                <w:color w:val="auto"/>
                <w:highlight w:val="none"/>
                <w:u w:val="single"/>
              </w:rPr>
              <w:t xml:space="preserve"> </w:t>
            </w:r>
            <w:r>
              <w:rPr>
                <w:color w:val="auto"/>
                <w:highlight w:val="none"/>
              </w:rPr>
              <w:t>分</w:t>
            </w:r>
            <w:r>
              <w:rPr>
                <w:color w:val="auto"/>
                <w:highlight w:val="none"/>
                <w:u w:val="single"/>
              </w:rPr>
              <w:t xml:space="preserve"> </w:t>
            </w:r>
            <w:r>
              <w:rPr>
                <w:rFonts w:hint="eastAsia"/>
                <w:color w:val="auto"/>
                <w:highlight w:val="none"/>
                <w:u w:val="single"/>
                <w:lang w:val="en-US" w:eastAsia="zh-CN"/>
              </w:rPr>
              <w:t>48.856</w:t>
            </w:r>
            <w:r>
              <w:rPr>
                <w:color w:val="auto"/>
                <w:highlight w:val="none"/>
                <w:u w:val="single"/>
              </w:rPr>
              <w:t xml:space="preserve"> </w:t>
            </w:r>
            <w:r>
              <w:rPr>
                <w:color w:val="auto"/>
                <w:highlight w:val="none"/>
              </w:rPr>
              <w:t>秒，</w:t>
            </w:r>
            <w:r>
              <w:rPr>
                <w:color w:val="auto"/>
                <w:highlight w:val="none"/>
                <w:u w:val="single"/>
              </w:rPr>
              <w:t xml:space="preserve"> 2</w:t>
            </w:r>
            <w:r>
              <w:rPr>
                <w:rFonts w:hint="eastAsia"/>
                <w:color w:val="auto"/>
                <w:highlight w:val="none"/>
                <w:u w:val="single"/>
                <w:lang w:val="en-US" w:eastAsia="zh-CN"/>
              </w:rPr>
              <w:t>5</w:t>
            </w:r>
            <w:r>
              <w:rPr>
                <w:color w:val="auto"/>
                <w:highlight w:val="none"/>
                <w:u w:val="single"/>
              </w:rPr>
              <w:t xml:space="preserve"> </w:t>
            </w:r>
            <w:r>
              <w:rPr>
                <w:color w:val="auto"/>
                <w:highlight w:val="none"/>
              </w:rPr>
              <w:t>度</w:t>
            </w:r>
            <w:r>
              <w:rPr>
                <w:color w:val="auto"/>
                <w:highlight w:val="none"/>
                <w:u w:val="single"/>
              </w:rPr>
              <w:t xml:space="preserve"> </w:t>
            </w:r>
            <w:r>
              <w:rPr>
                <w:rFonts w:hint="eastAsia"/>
                <w:color w:val="auto"/>
                <w:highlight w:val="none"/>
                <w:u w:val="single"/>
                <w:lang w:val="en-US" w:eastAsia="zh-CN"/>
              </w:rPr>
              <w:t>53</w:t>
            </w:r>
            <w:r>
              <w:rPr>
                <w:color w:val="auto"/>
                <w:highlight w:val="none"/>
                <w:u w:val="single"/>
              </w:rPr>
              <w:t xml:space="preserve"> </w:t>
            </w:r>
            <w:r>
              <w:rPr>
                <w:color w:val="auto"/>
                <w:highlight w:val="none"/>
              </w:rPr>
              <w:t>分</w:t>
            </w:r>
            <w:r>
              <w:rPr>
                <w:color w:val="auto"/>
                <w:highlight w:val="none"/>
                <w:u w:val="single"/>
              </w:rPr>
              <w:t xml:space="preserve"> </w:t>
            </w:r>
            <w:r>
              <w:rPr>
                <w:rFonts w:hint="eastAsia"/>
                <w:color w:val="auto"/>
                <w:highlight w:val="none"/>
                <w:u w:val="single"/>
                <w:lang w:val="en-US" w:eastAsia="zh-CN"/>
              </w:rPr>
              <w:t>32.116</w:t>
            </w:r>
            <w:r>
              <w:rPr>
                <w:color w:val="auto"/>
                <w:highlight w:val="none"/>
                <w:u w:val="single"/>
              </w:rPr>
              <w:t xml:space="preserve"> </w:t>
            </w:r>
            <w:r>
              <w:rPr>
                <w:color w:val="auto"/>
                <w:highlight w:val="none"/>
              </w:rPr>
              <w:t>秒）</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78" w:hRule="atLeast"/>
        </w:trPr>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国民经济</w:t>
            </w:r>
          </w:p>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行业类别</w:t>
            </w:r>
          </w:p>
        </w:tc>
        <w:tc>
          <w:tcPr>
            <w:tcW w:w="1184"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t>C</w:t>
            </w:r>
            <w:r>
              <w:rPr>
                <w:rFonts w:hint="eastAsia"/>
                <w:lang w:val="en-US" w:eastAsia="zh-CN"/>
              </w:rPr>
              <w:t>3841锂离子电池</w:t>
            </w:r>
            <w:r>
              <w:t>制造</w:t>
            </w:r>
          </w:p>
        </w:tc>
        <w:tc>
          <w:tcPr>
            <w:tcW w:w="1148" w:type="pct"/>
            <w:tcBorders>
              <w:tl2br w:val="nil"/>
              <w:tr2bl w:val="nil"/>
            </w:tcBorders>
            <w:vAlign w:val="center"/>
          </w:tcPr>
          <w:p>
            <w:pPr>
              <w:spacing w:line="240" w:lineRule="auto"/>
              <w:ind w:firstLine="0" w:firstLineChars="0"/>
              <w:jc w:val="center"/>
            </w:pPr>
            <w:r>
              <w:t>建设项目</w:t>
            </w:r>
          </w:p>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t>行业类别</w:t>
            </w:r>
          </w:p>
        </w:tc>
        <w:tc>
          <w:tcPr>
            <w:tcW w:w="1588"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lang w:val="en-US" w:eastAsia="zh-CN"/>
              </w:rPr>
              <w:t>77</w:t>
            </w:r>
            <w:r>
              <w:rPr>
                <w:rFonts w:hint="eastAsia"/>
              </w:rPr>
              <w:t xml:space="preserve"> </w:t>
            </w:r>
            <w:r>
              <w:t>电池制造 384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建设性质</w:t>
            </w:r>
          </w:p>
        </w:tc>
        <w:tc>
          <w:tcPr>
            <w:tcW w:w="1184" w:type="pct"/>
            <w:tcBorders>
              <w:tl2br w:val="nil"/>
              <w:tr2bl w:val="nil"/>
            </w:tcBorders>
            <w:vAlign w:val="center"/>
          </w:tcPr>
          <w:p>
            <w:pPr>
              <w:spacing w:line="240" w:lineRule="auto"/>
              <w:ind w:firstLine="0" w:firstLineChars="0"/>
              <w:jc w:val="both"/>
            </w:pPr>
            <w:r>
              <w:rPr/>
              <w:sym w:font="Wingdings 2" w:char="0052"/>
            </w:r>
            <w:r>
              <w:t>新建</w:t>
            </w:r>
            <w:r>
              <w:rPr>
                <w:rFonts w:hint="default"/>
                <w:lang w:val="en-US" w:eastAsia="zh-CN"/>
              </w:rPr>
              <w:t>（迁建）</w:t>
            </w:r>
          </w:p>
          <w:p>
            <w:pPr>
              <w:spacing w:line="240" w:lineRule="auto"/>
              <w:ind w:firstLine="0" w:firstLineChars="0"/>
              <w:jc w:val="both"/>
            </w:pPr>
            <w:r>
              <w:rPr/>
              <w:sym w:font="Wingdings 2" w:char="00A3"/>
            </w:r>
            <w:r>
              <w:t>改建</w:t>
            </w:r>
          </w:p>
          <w:p>
            <w:pPr>
              <w:spacing w:line="240" w:lineRule="auto"/>
              <w:ind w:firstLine="0" w:firstLineChars="0"/>
              <w:jc w:val="both"/>
            </w:pPr>
            <w:r>
              <w:rPr/>
              <w:sym w:font="Wingdings 2" w:char="00A3"/>
            </w:r>
            <w:r>
              <w:t>扩建</w:t>
            </w:r>
          </w:p>
          <w:p>
            <w:pPr>
              <w:spacing w:line="240" w:lineRule="auto"/>
              <w:ind w:firstLine="0" w:firstLineChars="0"/>
              <w:jc w:val="both"/>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sym w:font="Wingdings 2" w:char="00A3"/>
            </w:r>
            <w:r>
              <w:t>技术改造</w:t>
            </w:r>
          </w:p>
        </w:tc>
        <w:tc>
          <w:tcPr>
            <w:tcW w:w="1148" w:type="pct"/>
            <w:tcBorders>
              <w:tl2br w:val="nil"/>
              <w:tr2bl w:val="nil"/>
            </w:tcBorders>
            <w:vAlign w:val="center"/>
          </w:tcPr>
          <w:p>
            <w:pPr>
              <w:spacing w:line="240" w:lineRule="auto"/>
              <w:ind w:firstLine="0" w:firstLineChars="0"/>
              <w:jc w:val="center"/>
            </w:pPr>
            <w:r>
              <w:t>建设项目</w:t>
            </w:r>
          </w:p>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t>申报情形</w:t>
            </w:r>
          </w:p>
        </w:tc>
        <w:tc>
          <w:tcPr>
            <w:tcW w:w="1588" w:type="pct"/>
            <w:tcBorders>
              <w:tl2br w:val="nil"/>
              <w:tr2bl w:val="nil"/>
            </w:tcBorders>
            <w:vAlign w:val="center"/>
          </w:tcPr>
          <w:p>
            <w:pPr>
              <w:spacing w:line="240" w:lineRule="auto"/>
              <w:ind w:firstLine="0" w:firstLineChars="0"/>
              <w:jc w:val="both"/>
            </w:pPr>
            <w:r>
              <w:rPr/>
              <w:sym w:font="Wingdings 2" w:char="0052"/>
            </w:r>
            <w:r>
              <w:t>首次申报项目</w:t>
            </w:r>
          </w:p>
          <w:p>
            <w:pPr>
              <w:spacing w:line="240" w:lineRule="auto"/>
              <w:ind w:firstLine="0" w:firstLineChars="0"/>
              <w:jc w:val="both"/>
            </w:pPr>
            <w:r>
              <w:rPr/>
              <w:sym w:font="Wingdings 2" w:char="00A3"/>
            </w:r>
            <w:r>
              <w:t>不予批准后再次申报项目</w:t>
            </w:r>
          </w:p>
          <w:p>
            <w:pPr>
              <w:spacing w:line="240" w:lineRule="auto"/>
              <w:ind w:firstLine="0" w:firstLineChars="0"/>
              <w:jc w:val="both"/>
            </w:pPr>
            <w:r>
              <w:rPr/>
              <w:sym w:font="Wingdings 2" w:char="00A3"/>
            </w:r>
            <w:r>
              <w:t>超五年重新审核项目</w:t>
            </w:r>
          </w:p>
          <w:p>
            <w:pPr>
              <w:spacing w:line="240" w:lineRule="auto"/>
              <w:ind w:firstLine="0" w:firstLineChars="0"/>
              <w:jc w:val="both"/>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sym w:font="Wingdings 2" w:char="00A3"/>
            </w:r>
            <w:r>
              <w:t>重大变动重新报批项目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项目审批（核准/备案）部门（选填）</w:t>
            </w:r>
          </w:p>
        </w:tc>
        <w:tc>
          <w:tcPr>
            <w:tcW w:w="1184"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t>/</w:t>
            </w:r>
          </w:p>
        </w:tc>
        <w:tc>
          <w:tcPr>
            <w:tcW w:w="1148" w:type="pct"/>
            <w:tcBorders>
              <w:tl2br w:val="nil"/>
              <w:tr2bl w:val="nil"/>
            </w:tcBorders>
            <w:vAlign w:val="center"/>
          </w:tcPr>
          <w:p>
            <w:pPr>
              <w:spacing w:line="240" w:lineRule="auto"/>
              <w:ind w:firstLine="0" w:firstLineChars="0"/>
              <w:jc w:val="center"/>
            </w:pPr>
            <w:r>
              <w:t>项目审批（核准/</w:t>
            </w:r>
          </w:p>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t>备案）文号（选填）</w:t>
            </w:r>
          </w:p>
        </w:tc>
        <w:tc>
          <w:tcPr>
            <w:tcW w:w="1588"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总投资（万元）</w:t>
            </w:r>
          </w:p>
        </w:tc>
        <w:tc>
          <w:tcPr>
            <w:tcW w:w="1184"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highlight w:val="none"/>
                <w:lang w:val="en-US" w:eastAsia="zh-CN"/>
              </w:rPr>
              <w:t>30000</w:t>
            </w:r>
          </w:p>
        </w:tc>
        <w:tc>
          <w:tcPr>
            <w:tcW w:w="1148"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highlight w:val="none"/>
              </w:rPr>
              <w:t>环保投资（万元）</w:t>
            </w:r>
          </w:p>
        </w:tc>
        <w:tc>
          <w:tcPr>
            <w:tcW w:w="1588"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highlight w:val="none"/>
                <w:lang w:val="en-US" w:eastAsia="zh-CN"/>
              </w:rPr>
              <w:t>188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环保投资占比（%）</w:t>
            </w:r>
          </w:p>
        </w:tc>
        <w:tc>
          <w:tcPr>
            <w:tcW w:w="1184"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highlight w:val="none"/>
                <w:lang w:val="en-US" w:eastAsia="zh-CN"/>
              </w:rPr>
              <w:t>0.63</w:t>
            </w:r>
          </w:p>
        </w:tc>
        <w:tc>
          <w:tcPr>
            <w:tcW w:w="1148"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highlight w:val="none"/>
              </w:rPr>
              <w:t>施工工期</w:t>
            </w:r>
          </w:p>
        </w:tc>
        <w:tc>
          <w:tcPr>
            <w:tcW w:w="1588" w:type="pct"/>
            <w:tcBorders>
              <w:tl2br w:val="nil"/>
              <w:tr2bl w:val="nil"/>
            </w:tcBorders>
            <w:vAlign w:val="center"/>
          </w:tcPr>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highlight w:val="none"/>
                <w:lang w:val="en-US" w:eastAsia="zh-CN"/>
              </w:rPr>
              <w:t>预计2022年4月投产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是否开工建设</w:t>
            </w:r>
          </w:p>
        </w:tc>
        <w:tc>
          <w:tcPr>
            <w:tcW w:w="1184" w:type="pct"/>
            <w:tcBorders>
              <w:tl2br w:val="nil"/>
              <w:tr2bl w:val="nil"/>
            </w:tcBorders>
            <w:vAlign w:val="center"/>
          </w:tcPr>
          <w:p>
            <w:pPr>
              <w:spacing w:line="240" w:lineRule="auto"/>
              <w:ind w:firstLine="0" w:firstLineChars="0"/>
              <w:jc w:val="center"/>
              <w:rPr>
                <w:highlight w:val="none"/>
              </w:rPr>
            </w:pPr>
            <w:r>
              <w:rPr>
                <w:highlight w:val="none"/>
              </w:rPr>
              <w:sym w:font="Wingdings 2" w:char="00A3"/>
            </w:r>
            <w:r>
              <w:rPr>
                <w:highlight w:val="none"/>
              </w:rPr>
              <w:t>否</w:t>
            </w:r>
          </w:p>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highlight w:val="none"/>
              </w:rPr>
              <w:sym w:font="Wingdings 2" w:char="0052"/>
            </w:r>
            <w:r>
              <w:rPr>
                <w:highlight w:val="none"/>
              </w:rPr>
              <w:t>是</w:t>
            </w:r>
          </w:p>
        </w:tc>
        <w:tc>
          <w:tcPr>
            <w:tcW w:w="1148" w:type="pct"/>
            <w:tcBorders>
              <w:tl2br w:val="nil"/>
              <w:tr2bl w:val="nil"/>
            </w:tcBorders>
            <w:vAlign w:val="center"/>
          </w:tcPr>
          <w:p>
            <w:pPr>
              <w:spacing w:line="240" w:lineRule="auto"/>
              <w:ind w:firstLine="0" w:firstLineChars="0"/>
              <w:jc w:val="center"/>
              <w:rPr>
                <w:spacing w:val="-6"/>
              </w:rPr>
            </w:pPr>
            <w:r>
              <w:rPr>
                <w:spacing w:val="-6"/>
              </w:rPr>
              <w:t>用地（用海）</w:t>
            </w:r>
          </w:p>
          <w:p>
            <w:pPr>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spacing w:val="-6"/>
              </w:rPr>
              <w:t>面积（m</w:t>
            </w:r>
            <w:r>
              <w:rPr>
                <w:spacing w:val="-6"/>
                <w:vertAlign w:val="superscript"/>
              </w:rPr>
              <w:t>2</w:t>
            </w:r>
            <w:r>
              <w:rPr>
                <w:spacing w:val="-6"/>
              </w:rPr>
              <w:t>）</w:t>
            </w:r>
          </w:p>
        </w:tc>
        <w:tc>
          <w:tcPr>
            <w:tcW w:w="1588" w:type="pct"/>
            <w:tcBorders>
              <w:tl2br w:val="nil"/>
              <w:tr2bl w:val="nil"/>
            </w:tcBorders>
            <w:vAlign w:val="center"/>
          </w:tcPr>
          <w:p>
            <w:pPr>
              <w:spacing w:line="240" w:lineRule="auto"/>
              <w:ind w:firstLine="0" w:firstLineChars="0"/>
              <w:jc w:val="center"/>
              <w:rPr>
                <w:rFonts w:hint="default"/>
                <w:lang w:val="en-US" w:eastAsia="zh-CN"/>
              </w:rPr>
            </w:pPr>
            <w:r>
              <w:rPr>
                <w:rFonts w:hint="eastAsia"/>
                <w:lang w:val="en-US" w:eastAsia="zh-CN"/>
              </w:rPr>
              <w:t>7000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专项评价设置情况</w:t>
            </w:r>
          </w:p>
        </w:tc>
        <w:tc>
          <w:tcPr>
            <w:tcW w:w="3921" w:type="pct"/>
            <w:gridSpan w:val="3"/>
            <w:tcBorders>
              <w:tl2br w:val="nil"/>
              <w:tr2bl w:val="nil"/>
            </w:tcBorders>
            <w:vAlign w:val="center"/>
          </w:tcPr>
          <w:p>
            <w:pPr>
              <w:autoSpaceDE w:val="0"/>
              <w:autoSpaceDN w:val="0"/>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kern w:val="0"/>
              </w:rPr>
              <w:t>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规划情况</w:t>
            </w:r>
          </w:p>
        </w:tc>
        <w:tc>
          <w:tcPr>
            <w:tcW w:w="3921" w:type="pct"/>
            <w:gridSpan w:val="3"/>
            <w:tcBorders>
              <w:tl2br w:val="nil"/>
              <w:tr2bl w:val="nil"/>
            </w:tcBorders>
            <w:vAlign w:val="center"/>
          </w:tcPr>
          <w:p>
            <w:pPr>
              <w:autoSpaceDE w:val="0"/>
              <w:autoSpaceDN w:val="0"/>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kern w:val="0"/>
              </w:rPr>
              <w:t>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规划环境影响评价情况</w:t>
            </w:r>
          </w:p>
        </w:tc>
        <w:tc>
          <w:tcPr>
            <w:tcW w:w="3921" w:type="pct"/>
            <w:gridSpan w:val="3"/>
            <w:tcBorders>
              <w:tl2br w:val="nil"/>
              <w:tr2bl w:val="nil"/>
            </w:tcBorders>
            <w:vAlign w:val="center"/>
          </w:tcPr>
          <w:p>
            <w:pPr>
              <w:autoSpaceDE w:val="0"/>
              <w:autoSpaceDN w:val="0"/>
              <w:spacing w:line="240" w:lineRule="auto"/>
              <w:ind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kern w:val="0"/>
              </w:rPr>
              <w:t>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规划及规划环境影响评价符合性分析</w:t>
            </w:r>
          </w:p>
        </w:tc>
        <w:tc>
          <w:tcPr>
            <w:tcW w:w="3921" w:type="pct"/>
            <w:gridSpan w:val="3"/>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ascii="Times New Roman" w:hAnsi="Times New Roman" w:eastAsia="宋体" w:cs="Times New Roman"/>
                <w:b/>
                <w:bCs/>
                <w:color w:val="000000"/>
                <w:sz w:val="24"/>
                <w:szCs w:val="24"/>
                <w:lang w:val="en-US" w:eastAsia="zh-CN"/>
              </w:rPr>
            </w:pPr>
            <w:r>
              <w:rPr>
                <w:rFonts w:hint="eastAsia" w:ascii="Times New Roman" w:hAnsi="Times New Roman" w:cs="Times New Roman"/>
                <w:b/>
                <w:bCs/>
                <w:color w:val="000000"/>
                <w:sz w:val="24"/>
                <w:szCs w:val="24"/>
                <w:lang w:val="en-US" w:eastAsia="zh-CN"/>
              </w:rPr>
              <w:t>1、</w:t>
            </w:r>
            <w:r>
              <w:rPr>
                <w:rFonts w:hint="default" w:ascii="Times New Roman" w:hAnsi="Times New Roman" w:eastAsia="宋体" w:cs="Times New Roman"/>
                <w:b/>
                <w:bCs/>
                <w:color w:val="000000"/>
                <w:sz w:val="24"/>
                <w:szCs w:val="24"/>
                <w:lang w:val="en-US" w:eastAsia="zh-CN"/>
              </w:rPr>
              <w:t>与《新田县工业园项目环境影响评价报告书》规划相符性</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ascii="Times New Roman" w:hAnsi="Times New Roman" w:eastAsia="宋体" w:cs="Times New Roman"/>
                <w:spacing w:val="8"/>
                <w:sz w:val="24"/>
                <w:szCs w:val="24"/>
              </w:rPr>
            </w:pPr>
            <w:r>
              <w:rPr>
                <w:rFonts w:ascii="Times New Roman" w:hAnsi="Times New Roman" w:eastAsia="宋体" w:cs="Times New Roman"/>
                <w:sz w:val="24"/>
                <w:szCs w:val="24"/>
              </w:rPr>
              <w:t>根据《新田县工业园项目环境影响评价报告书》及其批复(湘环评[2008]180号)，</w:t>
            </w:r>
            <w:r>
              <w:rPr>
                <w:rFonts w:ascii="Times New Roman" w:hAnsi="Times New Roman" w:eastAsia="宋体" w:cs="Times New Roman"/>
                <w:spacing w:val="8"/>
                <w:sz w:val="24"/>
                <w:szCs w:val="24"/>
              </w:rPr>
              <w:t>新田县工业区总规划面积4.5km</w:t>
            </w:r>
            <w:r>
              <w:rPr>
                <w:rFonts w:ascii="Times New Roman" w:hAnsi="Times New Roman" w:eastAsia="宋体" w:cs="Times New Roman"/>
                <w:spacing w:val="8"/>
                <w:sz w:val="24"/>
                <w:szCs w:val="24"/>
                <w:vertAlign w:val="superscript"/>
              </w:rPr>
              <w:t>2</w:t>
            </w:r>
            <w:r>
              <w:rPr>
                <w:rFonts w:ascii="Times New Roman" w:hAnsi="Times New Roman" w:eastAsia="宋体" w:cs="Times New Roman"/>
                <w:spacing w:val="8"/>
                <w:sz w:val="24"/>
                <w:szCs w:val="24"/>
              </w:rPr>
              <w:t>，规划范围为叠翠街以东、新骥公路以南、双碧街以西、玉麒路以北的区域。2012年经湖南省人民政府批准设立为省级工业集中区，</w:t>
            </w:r>
            <w:r>
              <w:rPr>
                <w:rFonts w:hint="eastAsia" w:cs="Times New Roman"/>
                <w:spacing w:val="8"/>
                <w:sz w:val="24"/>
                <w:szCs w:val="24"/>
                <w:lang w:eastAsia="zh-CN"/>
              </w:rPr>
              <w:t>开发区</w:t>
            </w:r>
            <w:r>
              <w:rPr>
                <w:rFonts w:ascii="Times New Roman" w:hAnsi="Times New Roman" w:eastAsia="宋体" w:cs="Times New Roman"/>
                <w:spacing w:val="8"/>
                <w:sz w:val="24"/>
                <w:szCs w:val="24"/>
              </w:rPr>
              <w:t>定位为以农产品加工、纺织品来料加工、高科技工业为主导产业，优先发展农副产品加工工业。入园准入制度：</w:t>
            </w:r>
            <w:r>
              <w:rPr>
                <w:rFonts w:hint="eastAsia" w:cs="Times New Roman"/>
                <w:spacing w:val="8"/>
                <w:sz w:val="24"/>
                <w:szCs w:val="24"/>
                <w:lang w:eastAsia="zh-CN"/>
              </w:rPr>
              <w:t>开发区</w:t>
            </w:r>
            <w:r>
              <w:rPr>
                <w:rFonts w:ascii="Times New Roman" w:hAnsi="Times New Roman" w:eastAsia="宋体" w:cs="Times New Roman"/>
                <w:spacing w:val="8"/>
                <w:sz w:val="24"/>
                <w:szCs w:val="24"/>
              </w:rPr>
              <w:t>仅允许发展一、二类工业，禁止引进和建设三类工业。</w:t>
            </w:r>
          </w:p>
          <w:p>
            <w:pPr>
              <w:keepNext w:val="0"/>
              <w:keepLines w:val="0"/>
              <w:pageBreakBefore w:val="0"/>
              <w:widowControl w:val="0"/>
              <w:kinsoku/>
              <w:wordWrap/>
              <w:overflowPunct/>
              <w:topLinePunct w:val="0"/>
              <w:autoSpaceDE/>
              <w:autoSpaceDN/>
              <w:bidi w:val="0"/>
              <w:adjustRightInd w:val="0"/>
              <w:snapToGrid w:val="0"/>
              <w:spacing w:line="360" w:lineRule="auto"/>
              <w:ind w:firstLine="512" w:firstLineChars="200"/>
              <w:jc w:val="left"/>
              <w:textAlignment w:val="auto"/>
              <w:rPr>
                <w:rFonts w:hint="eastAsia" w:ascii="Times New Roman" w:hAnsi="Times New Roman" w:eastAsia="宋体" w:cs="Times New Roman"/>
                <w:spacing w:val="8"/>
                <w:sz w:val="24"/>
                <w:szCs w:val="24"/>
                <w:lang w:val="en-US" w:eastAsia="zh-CN"/>
              </w:rPr>
            </w:pPr>
            <w:r>
              <w:rPr>
                <w:rFonts w:hint="eastAsia" w:ascii="Times New Roman" w:hAnsi="Times New Roman" w:eastAsia="宋体" w:cs="Times New Roman"/>
                <w:spacing w:val="8"/>
                <w:sz w:val="24"/>
                <w:szCs w:val="24"/>
                <w:lang w:val="en-US" w:eastAsia="zh-CN"/>
              </w:rPr>
              <w:t>一类工业：对居住和公共设施等环境基本无干扰和污染的工业，如电子工业、缝纫工业、工艺品制造工业等。</w:t>
            </w:r>
          </w:p>
          <w:p>
            <w:pPr>
              <w:keepNext w:val="0"/>
              <w:keepLines w:val="0"/>
              <w:pageBreakBefore w:val="0"/>
              <w:widowControl w:val="0"/>
              <w:kinsoku/>
              <w:wordWrap/>
              <w:overflowPunct/>
              <w:topLinePunct w:val="0"/>
              <w:autoSpaceDE/>
              <w:autoSpaceDN/>
              <w:bidi w:val="0"/>
              <w:adjustRightInd w:val="0"/>
              <w:snapToGrid w:val="0"/>
              <w:spacing w:line="360" w:lineRule="auto"/>
              <w:ind w:firstLine="512" w:firstLineChars="200"/>
              <w:jc w:val="left"/>
              <w:textAlignment w:val="auto"/>
              <w:rPr>
                <w:rFonts w:ascii="Times New Roman" w:hAnsi="Times New Roman" w:eastAsia="宋体" w:cs="Times New Roman"/>
                <w:kern w:val="0"/>
                <w:sz w:val="24"/>
                <w:szCs w:val="24"/>
              </w:rPr>
            </w:pPr>
            <w:r>
              <w:rPr>
                <w:rFonts w:hint="eastAsia" w:ascii="Times New Roman" w:hAnsi="Times New Roman" w:eastAsia="宋体" w:cs="Times New Roman"/>
                <w:spacing w:val="8"/>
                <w:sz w:val="24"/>
                <w:szCs w:val="24"/>
                <w:lang w:val="en-US" w:eastAsia="zh-CN"/>
              </w:rPr>
              <w:t>二类工业：对居住和公共设施等环境有一定干燥和污染的工业，如食品工业、医药制造工业、纺织工业等。</w:t>
            </w:r>
          </w:p>
          <w:p>
            <w:pPr>
              <w:keepNext w:val="0"/>
              <w:keepLines w:val="0"/>
              <w:pageBreakBefore w:val="0"/>
              <w:widowControl w:val="0"/>
              <w:kinsoku/>
              <w:wordWrap/>
              <w:overflowPunct/>
              <w:topLinePunct w:val="0"/>
              <w:autoSpaceDE/>
              <w:autoSpaceDN/>
              <w:bidi w:val="0"/>
              <w:adjustRightInd w:val="0"/>
              <w:snapToGrid w:val="0"/>
              <w:spacing w:line="360" w:lineRule="auto"/>
              <w:ind w:firstLine="512" w:firstLineChars="200"/>
              <w:jc w:val="left"/>
              <w:textAlignment w:val="auto"/>
              <w:rPr>
                <w:rFonts w:hint="eastAsia" w:ascii="Times New Roman" w:hAnsi="Times New Roman" w:eastAsia="宋体" w:cs="Times New Roman"/>
                <w:color w:val="000000"/>
                <w:sz w:val="24"/>
                <w:szCs w:val="24"/>
                <w:lang w:val="en-US" w:eastAsia="zh-CN"/>
              </w:rPr>
            </w:pPr>
            <w:r>
              <w:rPr>
                <w:rFonts w:hint="eastAsia" w:ascii="Times New Roman" w:hAnsi="Times New Roman" w:eastAsia="宋体" w:cs="Times New Roman"/>
                <w:spacing w:val="8"/>
                <w:sz w:val="24"/>
                <w:szCs w:val="24"/>
                <w:lang w:val="en-US" w:eastAsia="zh-CN"/>
              </w:rPr>
              <w:t>本项目为</w:t>
            </w:r>
            <w:r>
              <w:rPr>
                <w:rFonts w:hint="default" w:ascii="Times New Roman" w:hAnsi="Times New Roman" w:eastAsia="宋体" w:cs="Times New Roman"/>
                <w:color w:val="000000"/>
                <w:sz w:val="24"/>
                <w:szCs w:val="24"/>
                <w:lang w:val="en-US" w:eastAsia="zh-CN"/>
              </w:rPr>
              <w:t>锂离子电池制造</w:t>
            </w:r>
            <w:r>
              <w:rPr>
                <w:rFonts w:hint="eastAsia" w:ascii="Times New Roman" w:hAnsi="Times New Roman" w:eastAsia="宋体" w:cs="Times New Roman"/>
                <w:color w:val="000000"/>
                <w:sz w:val="24"/>
                <w:szCs w:val="24"/>
                <w:lang w:val="en-US" w:eastAsia="zh-CN"/>
              </w:rPr>
              <w:t>，符合</w:t>
            </w:r>
            <w:r>
              <w:rPr>
                <w:rFonts w:hint="eastAsia" w:cs="Times New Roman"/>
                <w:color w:val="000000"/>
                <w:sz w:val="24"/>
                <w:szCs w:val="24"/>
                <w:lang w:val="en-US" w:eastAsia="zh-CN"/>
              </w:rPr>
              <w:t>开发区</w:t>
            </w:r>
            <w:r>
              <w:rPr>
                <w:rFonts w:hint="eastAsia" w:ascii="Times New Roman" w:hAnsi="Times New Roman" w:eastAsia="宋体" w:cs="Times New Roman"/>
                <w:color w:val="000000"/>
                <w:sz w:val="24"/>
                <w:szCs w:val="24"/>
                <w:lang w:val="en-US" w:eastAsia="zh-CN"/>
              </w:rPr>
              <w:t>第二类允许发展的工业，符合</w:t>
            </w:r>
            <w:r>
              <w:rPr>
                <w:rFonts w:hint="eastAsia" w:cs="Times New Roman"/>
                <w:color w:val="000000"/>
                <w:sz w:val="24"/>
                <w:szCs w:val="24"/>
                <w:lang w:val="en-US" w:eastAsia="zh-CN"/>
              </w:rPr>
              <w:t>开发区</w:t>
            </w:r>
            <w:r>
              <w:rPr>
                <w:rFonts w:hint="eastAsia" w:ascii="Times New Roman" w:hAnsi="Times New Roman" w:eastAsia="宋体" w:cs="Times New Roman"/>
                <w:color w:val="000000"/>
                <w:sz w:val="24"/>
                <w:szCs w:val="24"/>
                <w:lang w:val="en-US" w:eastAsia="zh-CN"/>
              </w:rPr>
              <w:t>定位。</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leftChars="0" w:right="0" w:rightChars="0" w:firstLine="512"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eastAsia="宋体" w:cs="Times New Roman"/>
                <w:spacing w:val="8"/>
                <w:sz w:val="24"/>
                <w:szCs w:val="24"/>
                <w:lang w:val="en-US" w:eastAsia="zh-CN"/>
              </w:rPr>
              <w:t>另根据《新田县县城总体规划</w:t>
            </w:r>
            <w:r>
              <w:rPr>
                <w:rFonts w:hint="eastAsia" w:ascii="宋体" w:hAnsi="宋体" w:eastAsia="宋体" w:cs="宋体"/>
                <w:spacing w:val="8"/>
                <w:sz w:val="24"/>
                <w:szCs w:val="24"/>
                <w:lang w:val="en-US" w:eastAsia="zh-CN"/>
              </w:rPr>
              <w:t>(</w:t>
            </w:r>
            <w:r>
              <w:rPr>
                <w:rFonts w:hint="eastAsia" w:ascii="Times New Roman" w:hAnsi="Times New Roman" w:eastAsia="宋体" w:cs="Times New Roman"/>
                <w:spacing w:val="8"/>
                <w:sz w:val="24"/>
                <w:szCs w:val="24"/>
                <w:lang w:val="en-US" w:eastAsia="zh-CN"/>
              </w:rPr>
              <w:t>2009-2030年</w:t>
            </w:r>
            <w:r>
              <w:rPr>
                <w:rFonts w:hint="eastAsia" w:ascii="宋体" w:hAnsi="宋体" w:eastAsia="宋体" w:cs="宋体"/>
                <w:spacing w:val="8"/>
                <w:sz w:val="24"/>
                <w:szCs w:val="24"/>
                <w:lang w:val="en-US" w:eastAsia="zh-CN"/>
              </w:rPr>
              <w:t>)》</w:t>
            </w:r>
            <w:r>
              <w:rPr>
                <w:rFonts w:hint="eastAsia" w:ascii="Times New Roman" w:hAnsi="Times New Roman" w:eastAsia="宋体" w:cs="Times New Roman"/>
                <w:spacing w:val="8"/>
                <w:sz w:val="24"/>
                <w:szCs w:val="24"/>
                <w:lang w:val="en-US" w:eastAsia="zh-CN"/>
              </w:rPr>
              <w:t>，本项目位于新田县工业集中区，项目地块为M2</w:t>
            </w:r>
            <w:r>
              <w:rPr>
                <w:rFonts w:hint="eastAsia" w:ascii="宋体" w:hAnsi="宋体" w:eastAsia="宋体" w:cs="宋体"/>
                <w:spacing w:val="8"/>
                <w:sz w:val="24"/>
                <w:szCs w:val="24"/>
                <w:lang w:val="en-US" w:eastAsia="zh-CN"/>
              </w:rPr>
              <w:t>类(二类工业用地)，因此，本项目用地符合城乡规划或相关</w:t>
            </w:r>
            <w:r>
              <w:rPr>
                <w:rFonts w:hint="eastAsia" w:ascii="Times New Roman" w:hAnsi="Times New Roman" w:eastAsia="宋体" w:cs="Times New Roman"/>
                <w:spacing w:val="8"/>
                <w:sz w:val="24"/>
                <w:szCs w:val="24"/>
                <w:lang w:val="en-US" w:eastAsia="zh-CN"/>
              </w:rPr>
              <w:t>专业规划要求。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7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8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其他符合性分析</w:t>
            </w:r>
          </w:p>
        </w:tc>
        <w:tc>
          <w:tcPr>
            <w:tcW w:w="3921" w:type="pct"/>
            <w:gridSpan w:val="3"/>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宋体" w:cs="Times New Roman"/>
                <w:b/>
                <w:bCs/>
                <w:color w:val="000000"/>
                <w:sz w:val="24"/>
                <w:szCs w:val="22"/>
                <w:highlight w:val="none"/>
                <w:u w:val="none" w:color="auto"/>
              </w:rPr>
            </w:pPr>
            <w:r>
              <w:rPr>
                <w:rFonts w:hint="eastAsia" w:ascii="Times New Roman" w:hAnsi="Times New Roman" w:cs="Times New Roman"/>
                <w:b/>
                <w:bCs/>
                <w:color w:val="000000"/>
                <w:sz w:val="24"/>
                <w:szCs w:val="22"/>
                <w:highlight w:val="none"/>
                <w:u w:val="none" w:color="auto"/>
                <w:lang w:val="en-US" w:eastAsia="zh-CN"/>
              </w:rPr>
              <w:t>1、</w:t>
            </w:r>
            <w:r>
              <w:rPr>
                <w:rFonts w:hint="default" w:ascii="Times New Roman" w:hAnsi="Times New Roman" w:eastAsia="宋体" w:cs="Times New Roman"/>
                <w:b/>
                <w:bCs/>
                <w:color w:val="000000"/>
                <w:sz w:val="24"/>
                <w:szCs w:val="22"/>
                <w:highlight w:val="none"/>
                <w:u w:val="none" w:color="auto"/>
              </w:rPr>
              <w:t>与“三线一单”相符性分析</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color w:val="000000"/>
                <w:sz w:val="24"/>
                <w:szCs w:val="24"/>
                <w:highlight w:val="none"/>
                <w:u w:val="none" w:color="auto"/>
                <w:lang w:eastAsia="zh-CN"/>
              </w:rPr>
            </w:pPr>
            <w:r>
              <w:rPr>
                <w:rFonts w:hint="default" w:ascii="Times New Roman" w:hAnsi="Times New Roman" w:eastAsia="宋体" w:cs="Times New Roman"/>
                <w:color w:val="000000"/>
                <w:sz w:val="24"/>
                <w:szCs w:val="24"/>
                <w:highlight w:val="none"/>
                <w:u w:val="none" w:color="auto"/>
              </w:rPr>
              <w:t>根据《关于以改善环境质量为核心加强环境影响评价管理的通知》（环评[2016]150号）：</w:t>
            </w:r>
            <w:r>
              <w:rPr>
                <w:rFonts w:hint="eastAsia" w:ascii="Times New Roman" w:hAnsi="Times New Roman" w:eastAsia="宋体" w:cs="Times New Roman"/>
                <w:color w:val="000000"/>
                <w:sz w:val="24"/>
                <w:szCs w:val="24"/>
                <w:highlight w:val="none"/>
                <w:u w:val="none" w:color="auto"/>
                <w:lang w:eastAsia="zh-CN"/>
              </w:rPr>
              <w:t>“</w:t>
            </w:r>
            <w:r>
              <w:rPr>
                <w:rFonts w:hint="default" w:ascii="Times New Roman" w:hAnsi="Times New Roman" w:eastAsia="宋体" w:cs="Times New Roman"/>
                <w:color w:val="000000"/>
                <w:sz w:val="24"/>
                <w:szCs w:val="24"/>
                <w:highlight w:val="none"/>
                <w:u w:val="none" w:color="auto"/>
              </w:rPr>
              <w:t>为适应以改善环境质量为核心的环境管理要求</w:t>
            </w:r>
            <w:r>
              <w:rPr>
                <w:rFonts w:hint="eastAsia" w:ascii="Times New Roman" w:hAnsi="Times New Roman" w:eastAsia="宋体" w:cs="Times New Roman"/>
                <w:color w:val="000000"/>
                <w:sz w:val="24"/>
                <w:szCs w:val="24"/>
                <w:highlight w:val="none"/>
                <w:u w:val="none" w:color="auto"/>
                <w:lang w:eastAsia="zh-CN"/>
              </w:rPr>
              <w:t>”</w:t>
            </w:r>
            <w:r>
              <w:rPr>
                <w:rFonts w:hint="default" w:ascii="Times New Roman" w:hAnsi="Times New Roman" w:eastAsia="宋体" w:cs="Times New Roman"/>
                <w:color w:val="000000"/>
                <w:sz w:val="24"/>
                <w:szCs w:val="24"/>
                <w:highlight w:val="none"/>
                <w:u w:val="none" w:color="auto"/>
              </w:rPr>
              <w:t>，切实加强环境影响评价（以下简称环评）管理，落实</w:t>
            </w:r>
            <w:r>
              <w:rPr>
                <w:rFonts w:hint="eastAsia" w:ascii="Times New Roman" w:hAnsi="Times New Roman" w:eastAsia="宋体" w:cs="Times New Roman"/>
                <w:color w:val="000000"/>
                <w:sz w:val="24"/>
                <w:szCs w:val="24"/>
                <w:highlight w:val="none"/>
                <w:u w:val="none" w:color="auto"/>
                <w:lang w:eastAsia="zh-CN"/>
              </w:rPr>
              <w:t>“</w:t>
            </w:r>
            <w:r>
              <w:rPr>
                <w:rFonts w:hint="default" w:ascii="Times New Roman" w:hAnsi="Times New Roman" w:eastAsia="宋体" w:cs="Times New Roman"/>
                <w:color w:val="000000"/>
                <w:sz w:val="24"/>
                <w:szCs w:val="24"/>
                <w:highlight w:val="none"/>
                <w:u w:val="none" w:color="auto"/>
              </w:rPr>
              <w:t>生态保护红线、环境质量底线、资源利用上线和环境准入负面清单</w:t>
            </w:r>
            <w:r>
              <w:rPr>
                <w:rFonts w:hint="eastAsia" w:ascii="Times New Roman" w:hAnsi="Times New Roman" w:eastAsia="宋体" w:cs="Times New Roman"/>
                <w:color w:val="000000"/>
                <w:sz w:val="24"/>
                <w:szCs w:val="24"/>
                <w:highlight w:val="none"/>
                <w:u w:val="none" w:color="auto"/>
                <w:lang w:eastAsia="zh-CN"/>
              </w:rPr>
              <w:t>”</w:t>
            </w:r>
            <w:r>
              <w:rPr>
                <w:rFonts w:hint="default" w:ascii="Times New Roman" w:hAnsi="Times New Roman" w:eastAsia="宋体" w:cs="Times New Roman"/>
                <w:color w:val="000000"/>
                <w:sz w:val="24"/>
                <w:szCs w:val="24"/>
                <w:highlight w:val="none"/>
                <w:u w:val="none" w:color="auto"/>
              </w:rPr>
              <w:t>（以下简称三线一单）约束</w:t>
            </w:r>
            <w:r>
              <w:rPr>
                <w:rFonts w:hint="eastAsia" w:ascii="Times New Roman" w:hAnsi="Times New Roman" w:eastAsia="宋体" w:cs="Times New Roman"/>
                <w:color w:val="000000"/>
                <w:sz w:val="24"/>
                <w:szCs w:val="24"/>
                <w:highlight w:val="none"/>
                <w:u w:val="none" w:color="auto"/>
                <w:lang w:eastAsia="zh-CN"/>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sz w:val="24"/>
                <w:szCs w:val="24"/>
                <w:highlight w:val="none"/>
                <w:u w:val="none" w:color="auto"/>
                <w:lang w:val="en-US" w:eastAsia="zh-CN"/>
              </w:rPr>
            </w:pPr>
            <w:r>
              <w:rPr>
                <w:rFonts w:hint="eastAsia" w:ascii="Times New Roman" w:hAnsi="Times New Roman" w:eastAsia="宋体" w:cs="Times New Roman"/>
                <w:color w:val="000000"/>
                <w:sz w:val="24"/>
                <w:szCs w:val="24"/>
                <w:highlight w:val="none"/>
                <w:u w:val="none" w:color="auto"/>
                <w:lang w:val="en-US" w:eastAsia="zh-CN"/>
              </w:rPr>
              <w:t>并且结合根据永州市人民政府出台的《关于“三线一单”生态环境分区管控的实施意见》（永政发【2020】11号）：“（一）划分环境管控单元：</w:t>
            </w:r>
            <w:r>
              <w:rPr>
                <w:rFonts w:hint="default" w:ascii="Times New Roman" w:hAnsi="Times New Roman" w:eastAsia="宋体" w:cs="Times New Roman"/>
                <w:color w:val="000000"/>
                <w:sz w:val="24"/>
                <w:szCs w:val="24"/>
                <w:highlight w:val="none"/>
                <w:u w:val="none" w:color="auto"/>
              </w:rPr>
              <w:t>根据省级</w:t>
            </w:r>
            <w:r>
              <w:rPr>
                <w:rFonts w:hint="eastAsia" w:ascii="Times New Roman" w:hAnsi="Times New Roman" w:eastAsia="宋体" w:cs="Times New Roman"/>
                <w:color w:val="000000"/>
                <w:sz w:val="24"/>
                <w:szCs w:val="24"/>
                <w:highlight w:val="none"/>
                <w:u w:val="none" w:color="auto"/>
              </w:rPr>
              <w:t>“</w:t>
            </w:r>
            <w:r>
              <w:rPr>
                <w:rFonts w:hint="default" w:ascii="Times New Roman" w:hAnsi="Times New Roman" w:eastAsia="宋体" w:cs="Times New Roman"/>
                <w:color w:val="000000"/>
                <w:sz w:val="24"/>
                <w:szCs w:val="24"/>
                <w:highlight w:val="none"/>
                <w:u w:val="none" w:color="auto"/>
              </w:rPr>
              <w:t>三线一单</w:t>
            </w:r>
            <w:r>
              <w:rPr>
                <w:rFonts w:hint="eastAsia" w:ascii="Times New Roman" w:hAnsi="Times New Roman" w:eastAsia="宋体" w:cs="Times New Roman"/>
                <w:color w:val="000000"/>
                <w:sz w:val="24"/>
                <w:szCs w:val="24"/>
                <w:highlight w:val="none"/>
                <w:u w:val="none" w:color="auto"/>
                <w:lang w:eastAsia="zh-CN"/>
              </w:rPr>
              <w:t>”</w:t>
            </w:r>
            <w:r>
              <w:rPr>
                <w:rFonts w:hint="default" w:ascii="Times New Roman" w:hAnsi="Times New Roman" w:eastAsia="宋体" w:cs="Times New Roman"/>
                <w:color w:val="000000"/>
                <w:sz w:val="24"/>
                <w:szCs w:val="24"/>
                <w:highlight w:val="none"/>
                <w:u w:val="none" w:color="auto"/>
              </w:rPr>
              <w:t>编制成果，全市共划定环境管控</w:t>
            </w:r>
            <w:r>
              <w:rPr>
                <w:rFonts w:hint="default" w:ascii="Times New Roman" w:hAnsi="Times New Roman" w:eastAsia="宋体" w:cs="Times New Roman"/>
                <w:color w:val="000000"/>
                <w:sz w:val="24"/>
                <w:szCs w:val="24"/>
                <w:highlight w:val="none"/>
                <w:u w:val="none" w:color="auto"/>
                <w:lang w:val="en-US" w:eastAsia="zh-CN"/>
              </w:rPr>
              <w:t>单元82个</w:t>
            </w:r>
            <w:r>
              <w:rPr>
                <w:rFonts w:hint="eastAsia" w:ascii="Times New Roman" w:hAnsi="Times New Roman" w:eastAsia="宋体" w:cs="Times New Roman"/>
                <w:color w:val="000000"/>
                <w:sz w:val="24"/>
                <w:szCs w:val="24"/>
                <w:highlight w:val="none"/>
                <w:u w:val="none" w:color="auto"/>
                <w:lang w:val="en-US" w:eastAsia="zh-CN"/>
              </w:rPr>
              <w:t>，分别为优先保护单元、重点管控单元和一般管控单元。（二）制定生态环境准入清单：以环境管控单元为基础，结合“</w:t>
            </w:r>
            <w:r>
              <w:rPr>
                <w:rFonts w:hint="default" w:ascii="Times New Roman" w:hAnsi="Times New Roman" w:eastAsia="宋体" w:cs="Times New Roman"/>
                <w:color w:val="000000"/>
                <w:sz w:val="24"/>
                <w:szCs w:val="24"/>
                <w:highlight w:val="none"/>
                <w:u w:val="none" w:color="auto"/>
                <w:lang w:val="en-US" w:eastAsia="zh-CN"/>
              </w:rPr>
              <w:t>三线”划定情况，从空间布局约束、污染物排放管控、环境风险防控和资源利用效率等方面明确准入、限制和禁止的要求</w:t>
            </w:r>
            <w:r>
              <w:rPr>
                <w:rFonts w:hint="eastAsia" w:ascii="Times New Roman" w:hAnsi="Times New Roman" w:eastAsia="宋体" w:cs="Times New Roman"/>
                <w:color w:val="000000"/>
                <w:sz w:val="24"/>
                <w:szCs w:val="24"/>
                <w:highlight w:val="none"/>
                <w:u w:val="none" w:color="auto"/>
                <w:lang w:val="en-US" w:eastAsia="zh-CN"/>
              </w:rPr>
              <w:t>。（3）</w:t>
            </w:r>
            <w:r>
              <w:rPr>
                <w:rFonts w:hint="default" w:ascii="Times New Roman" w:hAnsi="Times New Roman" w:eastAsia="宋体" w:cs="Times New Roman"/>
                <w:color w:val="000000"/>
                <w:sz w:val="24"/>
                <w:szCs w:val="24"/>
                <w:highlight w:val="none"/>
                <w:u w:val="none" w:color="auto"/>
                <w:lang w:val="en-US" w:eastAsia="zh-CN"/>
              </w:rPr>
              <w:t>分区环境管控要求</w:t>
            </w:r>
            <w:r>
              <w:rPr>
                <w:rFonts w:hint="eastAsia" w:ascii="Times New Roman" w:hAnsi="Times New Roman" w:eastAsia="宋体" w:cs="Times New Roman"/>
                <w:color w:val="000000"/>
                <w:sz w:val="24"/>
                <w:szCs w:val="24"/>
                <w:highlight w:val="none"/>
                <w:u w:val="none" w:color="auto"/>
                <w:lang w:val="en-US" w:eastAsia="zh-CN"/>
              </w:rPr>
              <w:t>：</w:t>
            </w:r>
            <w:r>
              <w:rPr>
                <w:rFonts w:hint="default" w:ascii="Times New Roman" w:hAnsi="Times New Roman" w:eastAsia="宋体" w:cs="Times New Roman"/>
                <w:color w:val="000000"/>
                <w:sz w:val="24"/>
                <w:szCs w:val="24"/>
                <w:highlight w:val="none"/>
                <w:u w:val="none" w:color="auto"/>
                <w:lang w:val="en-US" w:eastAsia="zh-CN"/>
              </w:rPr>
              <w:t>优先保护单元以生态保护为导向，依法禁止或限制大规模、高强度的开发建设活动，确保生态环境功能不降低。重点管控单元以产业高质量发展和环境保护协调为主，优化空间布局，促进产业转型升级改造，加强污染物排放监管、污染治理和环境风险防控，进一步提升资源利用效率。一般管控单元以经济社会可持续发展为导向，开发建设应落实现行生态环境保护基本要求。</w:t>
            </w:r>
            <w:r>
              <w:rPr>
                <w:rFonts w:hint="eastAsia" w:ascii="Times New Roman" w:hAnsi="Times New Roman" w:eastAsia="宋体" w:cs="Times New Roman"/>
                <w:color w:val="000000"/>
                <w:sz w:val="24"/>
                <w:szCs w:val="24"/>
                <w:highlight w:val="none"/>
                <w:u w:val="none" w:color="auto"/>
                <w:lang w:val="en-US" w:eastAsia="zh-CN"/>
              </w:rPr>
              <w:t>”</w:t>
            </w:r>
            <w:r>
              <w:rPr>
                <w:rFonts w:hint="default" w:ascii="Times New Roman" w:hAnsi="Times New Roman" w:eastAsia="宋体" w:cs="Times New Roman"/>
                <w:color w:val="000000"/>
                <w:sz w:val="24"/>
                <w:szCs w:val="24"/>
                <w:highlight w:val="none"/>
                <w:u w:val="none" w:color="auto"/>
                <w:lang w:val="en-US" w:eastAsia="zh-CN"/>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sz w:val="24"/>
                <w:szCs w:val="24"/>
                <w:highlight w:val="none"/>
                <w:u w:val="none" w:color="auto"/>
                <w:lang w:val="en-US" w:eastAsia="zh-CN"/>
              </w:rPr>
            </w:pPr>
            <w:r>
              <w:rPr>
                <w:rFonts w:hint="eastAsia" w:ascii="Times New Roman" w:hAnsi="Times New Roman" w:eastAsia="宋体" w:cs="Times New Roman"/>
                <w:color w:val="000000"/>
                <w:sz w:val="24"/>
                <w:szCs w:val="24"/>
                <w:highlight w:val="none"/>
                <w:u w:val="none" w:color="auto"/>
                <w:lang w:val="en-US" w:eastAsia="zh-CN"/>
              </w:rPr>
              <w:t>综上所述，本项目</w:t>
            </w:r>
            <w:r>
              <w:rPr>
                <w:rFonts w:hint="default" w:ascii="Times New Roman" w:hAnsi="Times New Roman" w:eastAsia="宋体" w:cs="Times New Roman"/>
                <w:color w:val="000000"/>
                <w:sz w:val="24"/>
                <w:szCs w:val="24"/>
                <w:highlight w:val="none"/>
                <w:u w:val="none" w:color="auto"/>
                <w:lang w:val="en-US" w:eastAsia="zh-CN"/>
              </w:rPr>
              <w:t>与</w:t>
            </w:r>
            <w:r>
              <w:rPr>
                <w:rFonts w:hint="default" w:ascii="Times New Roman" w:hAnsi="Times New Roman" w:eastAsia="宋体" w:cs="Times New Roman"/>
                <w:color w:val="000000"/>
                <w:sz w:val="24"/>
                <w:szCs w:val="22"/>
                <w:highlight w:val="none"/>
                <w:u w:val="none" w:color="auto"/>
              </w:rPr>
              <w:t>《关于以改善环境质量为核心加强环境影响评价管理的通知》（环评[2016]150号）</w:t>
            </w:r>
            <w:r>
              <w:rPr>
                <w:rFonts w:hint="eastAsia" w:ascii="Times New Roman" w:hAnsi="Times New Roman" w:eastAsia="宋体" w:cs="Times New Roman"/>
                <w:color w:val="000000"/>
                <w:sz w:val="24"/>
                <w:szCs w:val="22"/>
                <w:highlight w:val="none"/>
                <w:u w:val="none" w:color="auto"/>
                <w:lang w:val="en-US" w:eastAsia="zh-CN"/>
              </w:rPr>
              <w:t>和</w:t>
            </w:r>
            <w:r>
              <w:rPr>
                <w:rFonts w:hint="eastAsia" w:ascii="Times New Roman" w:hAnsi="Times New Roman" w:eastAsia="宋体" w:cs="Times New Roman"/>
                <w:color w:val="000000"/>
                <w:sz w:val="24"/>
                <w:szCs w:val="24"/>
                <w:highlight w:val="none"/>
                <w:u w:val="none" w:color="auto"/>
                <w:lang w:val="en-US" w:eastAsia="zh-CN"/>
              </w:rPr>
              <w:t>《永州市生态保护红线、环境质量底线、资源利用上线和生态环境准入清单生态环境分区管控成果》</w:t>
            </w:r>
            <w:r>
              <w:rPr>
                <w:rFonts w:hint="default" w:ascii="Times New Roman" w:hAnsi="Times New Roman" w:eastAsia="宋体" w:cs="Times New Roman"/>
                <w:sz w:val="24"/>
                <w:szCs w:val="24"/>
                <w:highlight w:val="none"/>
                <w:u w:val="none" w:color="auto"/>
                <w:lang w:val="en-US" w:eastAsia="zh-CN"/>
              </w:rPr>
              <w:t>符合性见</w:t>
            </w:r>
            <w:r>
              <w:rPr>
                <w:rFonts w:hint="eastAsia" w:ascii="Times New Roman" w:hAnsi="Times New Roman" w:eastAsia="宋体" w:cs="Times New Roman"/>
                <w:sz w:val="24"/>
                <w:szCs w:val="24"/>
                <w:highlight w:val="none"/>
                <w:u w:val="none" w:color="auto"/>
                <w:lang w:val="en-US" w:eastAsia="zh-CN"/>
              </w:rPr>
              <w:t>下</w:t>
            </w:r>
            <w:r>
              <w:rPr>
                <w:rFonts w:hint="default" w:ascii="Times New Roman" w:hAnsi="Times New Roman" w:eastAsia="宋体" w:cs="Times New Roman"/>
                <w:sz w:val="24"/>
                <w:szCs w:val="24"/>
                <w:highlight w:val="none"/>
                <w:u w:val="none" w:color="auto"/>
                <w:lang w:val="en-US" w:eastAsia="zh-CN"/>
              </w:rPr>
              <w:t>表</w:t>
            </w:r>
            <w:r>
              <w:rPr>
                <w:rFonts w:hint="eastAsia" w:ascii="Times New Roman" w:hAnsi="Times New Roman" w:eastAsia="宋体" w:cs="Times New Roman"/>
                <w:sz w:val="24"/>
                <w:szCs w:val="24"/>
                <w:highlight w:val="none"/>
                <w:u w:val="none" w:color="auto"/>
                <w:lang w:val="en-US" w:eastAsia="zh-CN"/>
              </w:rPr>
              <w:t>1-</w:t>
            </w:r>
            <w:r>
              <w:rPr>
                <w:rFonts w:hint="eastAsia" w:cs="Times New Roman"/>
                <w:sz w:val="24"/>
                <w:szCs w:val="24"/>
                <w:highlight w:val="none"/>
                <w:u w:val="none" w:color="auto"/>
                <w:lang w:val="en-US" w:eastAsia="zh-CN"/>
              </w:rPr>
              <w:t>1</w:t>
            </w:r>
            <w:r>
              <w:rPr>
                <w:rFonts w:hint="eastAsia" w:ascii="Times New Roman" w:hAnsi="Times New Roman" w:eastAsia="宋体" w:cs="Times New Roman"/>
                <w:sz w:val="24"/>
                <w:szCs w:val="24"/>
                <w:highlight w:val="none"/>
                <w:u w:val="none" w:color="auto"/>
                <w:lang w:val="en-US" w:eastAsia="zh-CN"/>
              </w:rPr>
              <w:t>。</w:t>
            </w:r>
          </w:p>
          <w:p>
            <w:pPr>
              <w:keepNext w:val="0"/>
              <w:keepLines w:val="0"/>
              <w:pageBreakBefore w:val="0"/>
              <w:widowControl w:val="0"/>
              <w:kinsoku/>
              <w:wordWrap/>
              <w:overflowPunct/>
              <w:topLinePunct w:val="0"/>
              <w:autoSpaceDE/>
              <w:autoSpaceDN/>
              <w:bidi w:val="0"/>
              <w:adjustRightInd w:val="0"/>
              <w:snapToGrid w:val="0"/>
              <w:spacing w:before="0" w:line="240" w:lineRule="auto"/>
              <w:ind w:firstLine="0" w:firstLineChars="0"/>
              <w:jc w:val="center"/>
              <w:textAlignment w:val="auto"/>
              <w:rPr>
                <w:rFonts w:hint="default" w:ascii="Times New Roman" w:hAnsi="Times New Roman" w:eastAsia="宋体" w:cs="Times New Roman"/>
                <w:b/>
                <w:color w:val="000000"/>
                <w:kern w:val="2"/>
                <w:sz w:val="21"/>
                <w:szCs w:val="21"/>
                <w:highlight w:val="none"/>
                <w:u w:val="none" w:color="auto"/>
                <w:lang w:val="en-US" w:eastAsia="zh-CN" w:bidi="ar-SA"/>
              </w:rPr>
            </w:pPr>
            <w:r>
              <w:rPr>
                <w:rFonts w:hint="default" w:ascii="Times New Roman" w:hAnsi="Times New Roman" w:eastAsia="宋体" w:cs="Times New Roman"/>
                <w:b/>
                <w:color w:val="000000"/>
                <w:kern w:val="2"/>
                <w:sz w:val="21"/>
                <w:szCs w:val="21"/>
                <w:highlight w:val="none"/>
                <w:u w:val="none" w:color="auto"/>
                <w:lang w:val="en-US" w:eastAsia="zh-CN" w:bidi="ar-SA"/>
              </w:rPr>
              <w:t>表</w:t>
            </w:r>
            <w:r>
              <w:rPr>
                <w:rFonts w:hint="eastAsia" w:ascii="Times New Roman" w:hAnsi="Times New Roman" w:eastAsia="宋体" w:cs="Times New Roman"/>
                <w:b/>
                <w:color w:val="000000"/>
                <w:kern w:val="2"/>
                <w:sz w:val="21"/>
                <w:szCs w:val="21"/>
                <w:highlight w:val="none"/>
                <w:u w:val="none" w:color="auto"/>
                <w:lang w:val="en-US" w:eastAsia="zh-CN" w:bidi="ar-SA"/>
              </w:rPr>
              <w:t>1</w:t>
            </w:r>
            <w:r>
              <w:rPr>
                <w:rFonts w:hint="default" w:ascii="Times New Roman" w:hAnsi="Times New Roman" w:eastAsia="宋体" w:cs="Times New Roman"/>
                <w:b/>
                <w:color w:val="000000"/>
                <w:kern w:val="2"/>
                <w:sz w:val="21"/>
                <w:szCs w:val="21"/>
                <w:highlight w:val="none"/>
                <w:u w:val="none" w:color="auto"/>
                <w:lang w:val="en-US" w:eastAsia="zh-CN" w:bidi="ar-SA"/>
              </w:rPr>
              <w:t>-</w:t>
            </w:r>
            <w:r>
              <w:rPr>
                <w:rFonts w:hint="eastAsia" w:ascii="Times New Roman" w:hAnsi="Times New Roman" w:cs="Times New Roman"/>
                <w:b/>
                <w:color w:val="000000"/>
                <w:kern w:val="2"/>
                <w:sz w:val="21"/>
                <w:szCs w:val="21"/>
                <w:highlight w:val="none"/>
                <w:u w:val="none" w:color="auto"/>
                <w:lang w:val="en-US" w:eastAsia="zh-CN" w:bidi="ar-SA"/>
              </w:rPr>
              <w:t>1</w:t>
            </w:r>
            <w:r>
              <w:rPr>
                <w:rFonts w:hint="eastAsia" w:ascii="Times New Roman" w:hAnsi="Times New Roman" w:eastAsia="宋体" w:cs="Times New Roman"/>
                <w:b/>
                <w:color w:val="000000"/>
                <w:kern w:val="2"/>
                <w:sz w:val="21"/>
                <w:szCs w:val="21"/>
                <w:highlight w:val="none"/>
                <w:u w:val="none" w:color="auto"/>
                <w:lang w:val="en-US" w:eastAsia="zh-CN" w:bidi="ar-SA"/>
              </w:rPr>
              <w:t xml:space="preserve"> </w:t>
            </w:r>
            <w:r>
              <w:rPr>
                <w:rFonts w:hint="default" w:ascii="Times New Roman" w:hAnsi="Times New Roman" w:eastAsia="宋体" w:cs="Times New Roman"/>
                <w:b/>
                <w:color w:val="000000"/>
                <w:kern w:val="2"/>
                <w:sz w:val="21"/>
                <w:szCs w:val="21"/>
                <w:highlight w:val="none"/>
                <w:u w:val="none" w:color="auto"/>
                <w:lang w:val="en-US" w:eastAsia="zh-CN" w:bidi="ar-SA"/>
              </w:rPr>
              <w:t xml:space="preserve"> 项目与“三线一单”相符性分析</w:t>
            </w:r>
          </w:p>
          <w:tbl>
            <w:tblPr>
              <w:tblStyle w:val="23"/>
              <w:tblW w:w="4785" w:type="pct"/>
              <w:tblInd w:w="136" w:type="dxa"/>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Layout w:type="autofit"/>
              <w:tblCellMar>
                <w:top w:w="0" w:type="dxa"/>
                <w:left w:w="108" w:type="dxa"/>
                <w:bottom w:w="0" w:type="dxa"/>
                <w:right w:w="108" w:type="dxa"/>
              </w:tblCellMar>
            </w:tblPr>
            <w:tblGrid>
              <w:gridCol w:w="890"/>
              <w:gridCol w:w="1275"/>
              <w:gridCol w:w="5094"/>
            </w:tblGrid>
            <w:tr>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170" w:hRule="atLeast"/>
              </w:trPr>
              <w:tc>
                <w:tcPr>
                  <w:tcW w:w="613" w:type="pct"/>
                  <w:tcBorders>
                    <w:top w:val="single" w:color="000000" w:sz="4" w:space="0"/>
                    <w:left w:val="single" w:color="000000" w:sz="4" w:space="0"/>
                    <w:bottom w:val="single" w:color="000000" w:sz="6" w:space="0"/>
                    <w:right w:val="single" w:color="000000" w:sz="6"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序号</w:t>
                  </w:r>
                </w:p>
              </w:tc>
              <w:tc>
                <w:tcPr>
                  <w:tcW w:w="878" w:type="pct"/>
                  <w:tcBorders>
                    <w:top w:val="single" w:color="000000" w:sz="4" w:space="0"/>
                    <w:left w:val="single" w:color="000000" w:sz="6" w:space="0"/>
                    <w:bottom w:val="single" w:color="000000" w:sz="6" w:space="0"/>
                    <w:right w:val="single" w:color="000000" w:sz="6"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三线一单</w:t>
                  </w:r>
                </w:p>
              </w:tc>
              <w:tc>
                <w:tcPr>
                  <w:tcW w:w="3507" w:type="pct"/>
                  <w:tcBorders>
                    <w:top w:val="single" w:color="000000" w:sz="4" w:space="0"/>
                    <w:left w:val="single" w:color="000000" w:sz="6" w:space="0"/>
                    <w:bottom w:val="single" w:color="000000" w:sz="6" w:space="0"/>
                    <w:right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相符性分析</w:t>
                  </w:r>
                </w:p>
              </w:tc>
            </w:tr>
            <w:tr>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90" w:hRule="atLeast"/>
              </w:trPr>
              <w:tc>
                <w:tcPr>
                  <w:tcW w:w="613" w:type="pct"/>
                  <w:tcBorders>
                    <w:top w:val="single" w:color="000000" w:sz="6" w:space="0"/>
                    <w:left w:val="single" w:color="000000" w:sz="4" w:space="0"/>
                    <w:bottom w:val="single" w:color="000000" w:sz="6" w:space="0"/>
                    <w:right w:val="single" w:color="000000" w:sz="6"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1</w:t>
                  </w:r>
                </w:p>
              </w:tc>
              <w:tc>
                <w:tcPr>
                  <w:tcW w:w="878" w:type="pct"/>
                  <w:tcBorders>
                    <w:top w:val="single" w:color="000000" w:sz="6" w:space="0"/>
                    <w:left w:val="single" w:color="000000" w:sz="6" w:space="0"/>
                    <w:bottom w:val="single" w:color="000000" w:sz="6" w:space="0"/>
                    <w:right w:val="single" w:color="000000" w:sz="6"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生态保护红线</w:t>
                  </w:r>
                </w:p>
              </w:tc>
              <w:tc>
                <w:tcPr>
                  <w:tcW w:w="3507" w:type="pct"/>
                  <w:tcBorders>
                    <w:top w:val="single" w:color="000000" w:sz="6" w:space="0"/>
                    <w:left w:val="single" w:color="000000" w:sz="6" w:space="0"/>
                    <w:bottom w:val="single" w:color="000000" w:sz="6" w:space="0"/>
                    <w:right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kern w:val="0"/>
                      <w:sz w:val="21"/>
                      <w:szCs w:val="21"/>
                      <w:highlight w:val="none"/>
                      <w:u w:val="none" w:color="auto"/>
                      <w:lang w:eastAsia="zh-CN"/>
                    </w:rPr>
                  </w:pPr>
                  <w:r>
                    <w:rPr>
                      <w:rFonts w:hint="default" w:ascii="Times New Roman" w:hAnsi="Times New Roman" w:eastAsia="宋体" w:cs="Times New Roman"/>
                      <w:color w:val="000000"/>
                      <w:kern w:val="0"/>
                      <w:sz w:val="21"/>
                      <w:szCs w:val="21"/>
                      <w:highlight w:val="none"/>
                      <w:u w:val="none" w:color="auto"/>
                    </w:rPr>
                    <w:t>本项目不位于</w:t>
                  </w:r>
                  <w:r>
                    <w:rPr>
                      <w:rFonts w:hint="eastAsia" w:cs="Times New Roman"/>
                      <w:color w:val="000000"/>
                      <w:kern w:val="0"/>
                      <w:sz w:val="21"/>
                      <w:szCs w:val="21"/>
                      <w:highlight w:val="none"/>
                      <w:u w:val="none" w:color="auto"/>
                      <w:lang w:val="en-US" w:eastAsia="zh-CN"/>
                    </w:rPr>
                    <w:t>新田</w:t>
                  </w:r>
                  <w:r>
                    <w:rPr>
                      <w:rFonts w:hint="default" w:ascii="Times New Roman" w:hAnsi="Times New Roman" w:eastAsia="宋体" w:cs="Times New Roman"/>
                      <w:color w:val="000000"/>
                      <w:kern w:val="0"/>
                      <w:sz w:val="21"/>
                      <w:szCs w:val="21"/>
                      <w:highlight w:val="none"/>
                      <w:u w:val="none" w:color="auto"/>
                      <w:lang w:val="en-US" w:eastAsia="zh-CN"/>
                    </w:rPr>
                    <w:t>县</w:t>
                  </w:r>
                  <w:r>
                    <w:rPr>
                      <w:rFonts w:hint="default" w:ascii="Times New Roman" w:hAnsi="Times New Roman" w:eastAsia="宋体" w:cs="Times New Roman"/>
                      <w:color w:val="000000"/>
                      <w:kern w:val="0"/>
                      <w:sz w:val="21"/>
                      <w:szCs w:val="21"/>
                      <w:highlight w:val="none"/>
                      <w:u w:val="none" w:color="auto"/>
                    </w:rPr>
                    <w:t>生态保护红线范围内</w:t>
                  </w:r>
                </w:p>
              </w:tc>
            </w:tr>
            <w:tr>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170" w:hRule="atLeast"/>
              </w:trPr>
              <w:tc>
                <w:tcPr>
                  <w:tcW w:w="613" w:type="pct"/>
                  <w:tcBorders>
                    <w:top w:val="single" w:color="000000" w:sz="6" w:space="0"/>
                    <w:left w:val="single" w:color="000000" w:sz="4" w:space="0"/>
                    <w:bottom w:val="single" w:color="000000" w:sz="6" w:space="0"/>
                    <w:right w:val="single" w:color="000000" w:sz="6"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2</w:t>
                  </w:r>
                </w:p>
              </w:tc>
              <w:tc>
                <w:tcPr>
                  <w:tcW w:w="878" w:type="pct"/>
                  <w:tcBorders>
                    <w:top w:val="single" w:color="000000" w:sz="6" w:space="0"/>
                    <w:left w:val="single" w:color="000000" w:sz="6" w:space="0"/>
                    <w:bottom w:val="single" w:color="000000" w:sz="6" w:space="0"/>
                    <w:right w:val="single" w:color="000000" w:sz="6"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环境质量底线</w:t>
                  </w:r>
                </w:p>
              </w:tc>
              <w:tc>
                <w:tcPr>
                  <w:tcW w:w="3507" w:type="pct"/>
                  <w:tcBorders>
                    <w:top w:val="single" w:color="000000" w:sz="6" w:space="0"/>
                    <w:left w:val="single" w:color="000000" w:sz="6" w:space="0"/>
                    <w:bottom w:val="single" w:color="000000" w:sz="6" w:space="0"/>
                    <w:right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根据现状监测结果可知，项目所在区域大气、地表水、声等环境质量能够满足相应功能区划要求。在严格落实各项污染防治措施的前提下，本项目的建设对周边环境影响较小，建成后不会突破当地环境质量底线</w:t>
                  </w:r>
                </w:p>
              </w:tc>
            </w:tr>
            <w:tr>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170" w:hRule="atLeast"/>
              </w:trPr>
              <w:tc>
                <w:tcPr>
                  <w:tcW w:w="613" w:type="pct"/>
                  <w:tcBorders>
                    <w:top w:val="single" w:color="000000" w:sz="6" w:space="0"/>
                    <w:left w:val="single" w:color="000000" w:sz="4" w:space="0"/>
                    <w:bottom w:val="single" w:color="000000" w:sz="6" w:space="0"/>
                    <w:right w:val="single" w:color="000000" w:sz="6"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3</w:t>
                  </w:r>
                </w:p>
              </w:tc>
              <w:tc>
                <w:tcPr>
                  <w:tcW w:w="878" w:type="pct"/>
                  <w:tcBorders>
                    <w:top w:val="single" w:color="000000" w:sz="6" w:space="0"/>
                    <w:left w:val="single" w:color="000000" w:sz="6" w:space="0"/>
                    <w:bottom w:val="single" w:color="000000" w:sz="6" w:space="0"/>
                    <w:right w:val="single" w:color="000000" w:sz="6"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资源利用上线</w:t>
                  </w:r>
                </w:p>
              </w:tc>
              <w:tc>
                <w:tcPr>
                  <w:tcW w:w="3507" w:type="pct"/>
                  <w:tcBorders>
                    <w:top w:val="single" w:color="000000" w:sz="6" w:space="0"/>
                    <w:left w:val="single" w:color="000000" w:sz="6" w:space="0"/>
                    <w:bottom w:val="single" w:color="000000" w:sz="6" w:space="0"/>
                    <w:right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项目所在地不属于资源、能源紧缺区域，不会超过资源利用上线</w:t>
                  </w:r>
                </w:p>
              </w:tc>
            </w:tr>
            <w:tr>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170" w:hRule="atLeast"/>
              </w:trPr>
              <w:tc>
                <w:tcPr>
                  <w:tcW w:w="613" w:type="pct"/>
                  <w:tcBorders>
                    <w:top w:val="single" w:color="000000" w:sz="6" w:space="0"/>
                    <w:left w:val="single" w:color="000000" w:sz="4" w:space="0"/>
                    <w:bottom w:val="single" w:color="000000" w:sz="4" w:space="0"/>
                    <w:right w:val="single" w:color="000000" w:sz="6"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4</w:t>
                  </w:r>
                </w:p>
              </w:tc>
              <w:tc>
                <w:tcPr>
                  <w:tcW w:w="878" w:type="pct"/>
                  <w:tcBorders>
                    <w:top w:val="single" w:color="000000" w:sz="6" w:space="0"/>
                    <w:left w:val="single" w:color="000000" w:sz="6" w:space="0"/>
                    <w:bottom w:val="single" w:color="000000" w:sz="4" w:space="0"/>
                    <w:right w:val="single" w:color="000000" w:sz="6"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default" w:ascii="Times New Roman" w:hAnsi="Times New Roman" w:eastAsia="宋体" w:cs="Times New Roman"/>
                      <w:color w:val="000000"/>
                      <w:kern w:val="0"/>
                      <w:sz w:val="21"/>
                      <w:szCs w:val="21"/>
                      <w:highlight w:val="none"/>
                      <w:u w:val="none" w:color="auto"/>
                    </w:rPr>
                    <w:t>环境准入负面清单</w:t>
                  </w:r>
                </w:p>
              </w:tc>
              <w:tc>
                <w:tcPr>
                  <w:tcW w:w="3507" w:type="pct"/>
                  <w:tcBorders>
                    <w:top w:val="single" w:color="000000" w:sz="6" w:space="0"/>
                    <w:left w:val="single" w:color="000000" w:sz="6" w:space="0"/>
                    <w:bottom w:val="single" w:color="000000" w:sz="4" w:space="0"/>
                    <w:right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kern w:val="0"/>
                      <w:sz w:val="21"/>
                      <w:szCs w:val="21"/>
                      <w:highlight w:val="none"/>
                      <w:u w:val="none" w:color="auto"/>
                    </w:rPr>
                  </w:pPr>
                  <w:r>
                    <w:rPr>
                      <w:rFonts w:hint="eastAsia" w:ascii="Times New Roman" w:hAnsi="Times New Roman" w:eastAsia="宋体" w:cs="Times New Roman"/>
                      <w:color w:val="000000"/>
                      <w:kern w:val="0"/>
                      <w:sz w:val="21"/>
                      <w:szCs w:val="21"/>
                      <w:highlight w:val="none"/>
                      <w:u w:val="none" w:color="auto"/>
                      <w:lang w:val="en-US" w:eastAsia="zh-CN"/>
                    </w:rPr>
                    <w:t>本项目</w:t>
                  </w:r>
                  <w:r>
                    <w:rPr>
                      <w:rFonts w:hint="eastAsia" w:ascii="Times New Roman" w:hAnsi="Times New Roman" w:cs="Times New Roman"/>
                      <w:color w:val="000000"/>
                      <w:kern w:val="0"/>
                      <w:sz w:val="21"/>
                      <w:szCs w:val="21"/>
                      <w:highlight w:val="none"/>
                      <w:u w:val="none" w:color="auto"/>
                      <w:lang w:val="en-US" w:eastAsia="zh-CN"/>
                    </w:rPr>
                    <w:t>属于重点管控</w:t>
                  </w:r>
                  <w:r>
                    <w:rPr>
                      <w:rFonts w:hint="eastAsia" w:ascii="Times New Roman" w:hAnsi="Times New Roman" w:eastAsia="宋体" w:cs="Times New Roman"/>
                      <w:color w:val="000000"/>
                      <w:kern w:val="0"/>
                      <w:sz w:val="21"/>
                      <w:szCs w:val="21"/>
                      <w:highlight w:val="none"/>
                      <w:u w:val="none" w:color="auto"/>
                      <w:lang w:val="en-US" w:eastAsia="zh-CN"/>
                    </w:rPr>
                    <w:t>单元</w:t>
                  </w:r>
                  <w:r>
                    <w:rPr>
                      <w:rFonts w:hint="eastAsia" w:ascii="Times New Roman" w:hAnsi="Times New Roman" w:cs="Times New Roman"/>
                      <w:color w:val="000000"/>
                      <w:kern w:val="0"/>
                      <w:sz w:val="21"/>
                      <w:szCs w:val="21"/>
                      <w:highlight w:val="none"/>
                      <w:u w:val="none" w:color="auto"/>
                      <w:lang w:val="en-US" w:eastAsia="zh-CN"/>
                    </w:rPr>
                    <w:t>，</w:t>
                  </w:r>
                  <w:r>
                    <w:rPr>
                      <w:rFonts w:hint="eastAsia" w:ascii="Times New Roman" w:hAnsi="Times New Roman" w:eastAsia="宋体" w:cs="Times New Roman"/>
                      <w:color w:val="000000"/>
                      <w:kern w:val="0"/>
                      <w:sz w:val="21"/>
                      <w:szCs w:val="21"/>
                      <w:highlight w:val="none"/>
                      <w:u w:val="none" w:color="auto"/>
                      <w:lang w:val="en-US" w:eastAsia="zh-CN"/>
                    </w:rPr>
                    <w:t>详见附图。</w:t>
                  </w:r>
                  <w:r>
                    <w:rPr>
                      <w:rFonts w:hint="default" w:ascii="Times New Roman" w:hAnsi="Times New Roman" w:eastAsia="宋体" w:cs="Times New Roman"/>
                      <w:color w:val="000000"/>
                      <w:kern w:val="0"/>
                      <w:sz w:val="21"/>
                      <w:szCs w:val="21"/>
                      <w:highlight w:val="none"/>
                      <w:u w:val="none" w:color="auto"/>
                    </w:rPr>
                    <w:t>本项目为</w:t>
                  </w:r>
                  <w:r>
                    <w:rPr>
                      <w:rFonts w:hint="default" w:ascii="Times New Roman" w:hAnsi="Times New Roman" w:eastAsia="宋体" w:cs="Times New Roman"/>
                      <w:color w:val="000000"/>
                      <w:kern w:val="0"/>
                      <w:sz w:val="21"/>
                      <w:szCs w:val="21"/>
                      <w:highlight w:val="none"/>
                      <w:u w:val="none" w:color="auto"/>
                      <w:lang w:val="en-US" w:eastAsia="zh-CN"/>
                    </w:rPr>
                    <w:t>锂离子电池制造</w:t>
                  </w:r>
                  <w:r>
                    <w:rPr>
                      <w:rFonts w:hint="default" w:ascii="Times New Roman" w:hAnsi="Times New Roman" w:eastAsia="宋体" w:cs="Times New Roman"/>
                      <w:color w:val="000000"/>
                      <w:kern w:val="0"/>
                      <w:sz w:val="21"/>
                      <w:szCs w:val="21"/>
                      <w:highlight w:val="none"/>
                      <w:u w:val="none" w:color="auto"/>
                    </w:rPr>
                    <w:t>，《产业结构调整指导目录》（2019年本），不属于其中的限制类和淘汰类</w:t>
                  </w:r>
                  <w:r>
                    <w:rPr>
                      <w:rFonts w:hint="eastAsia" w:ascii="Times New Roman" w:hAnsi="Times New Roman" w:eastAsia="宋体" w:cs="Times New Roman"/>
                      <w:color w:val="000000"/>
                      <w:kern w:val="0"/>
                      <w:sz w:val="21"/>
                      <w:szCs w:val="21"/>
                      <w:highlight w:val="none"/>
                      <w:u w:val="none" w:color="auto"/>
                      <w:lang w:eastAsia="zh-CN"/>
                    </w:rPr>
                    <w:t>。</w:t>
                  </w:r>
                  <w:r>
                    <w:rPr>
                      <w:rFonts w:hint="default" w:ascii="Times New Roman" w:hAnsi="Times New Roman" w:eastAsia="宋体" w:cs="Times New Roman"/>
                      <w:color w:val="000000"/>
                      <w:kern w:val="0"/>
                      <w:sz w:val="21"/>
                      <w:szCs w:val="21"/>
                      <w:highlight w:val="none"/>
                      <w:u w:val="none" w:color="auto"/>
                    </w:rPr>
                    <w:t>因此，本项目的建设与国家和地方的产业政策相符，满足环境准入负面管理要求。</w:t>
                  </w:r>
                </w:p>
              </w:tc>
            </w:tr>
          </w:tbl>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sz w:val="24"/>
                <w:szCs w:val="22"/>
                <w:highlight w:val="none"/>
                <w:u w:val="none" w:color="auto"/>
              </w:rPr>
            </w:pPr>
            <w:r>
              <w:rPr>
                <w:rFonts w:hint="default" w:ascii="Times New Roman" w:hAnsi="Times New Roman" w:eastAsia="宋体" w:cs="Times New Roman"/>
                <w:color w:val="000000"/>
                <w:sz w:val="24"/>
                <w:szCs w:val="22"/>
                <w:highlight w:val="none"/>
                <w:u w:val="none" w:color="auto"/>
              </w:rPr>
              <w:t>由上表可知，本项目不在生态敏感区保护范围内，符合《关于以改善环境质量为核心加强环境影响评价管理的通知》（环评[2016]150号）</w:t>
            </w:r>
            <w:r>
              <w:rPr>
                <w:rFonts w:hint="eastAsia" w:ascii="Times New Roman" w:hAnsi="Times New Roman" w:eastAsia="宋体" w:cs="Times New Roman"/>
                <w:color w:val="000000"/>
                <w:sz w:val="24"/>
                <w:szCs w:val="22"/>
                <w:highlight w:val="none"/>
                <w:u w:val="none" w:color="auto"/>
                <w:lang w:val="en-US" w:eastAsia="zh-CN"/>
              </w:rPr>
              <w:t>和</w:t>
            </w:r>
            <w:r>
              <w:rPr>
                <w:rFonts w:hint="eastAsia" w:ascii="Times New Roman" w:hAnsi="Times New Roman" w:eastAsia="宋体" w:cs="Times New Roman"/>
                <w:color w:val="000000"/>
                <w:sz w:val="24"/>
                <w:szCs w:val="24"/>
                <w:highlight w:val="none"/>
                <w:u w:val="none" w:color="auto"/>
                <w:lang w:val="en-US" w:eastAsia="zh-CN"/>
              </w:rPr>
              <w:t>《关于“三线一单”生态环境分区管控的实施意见》（永政发【2020】11号）管理要求</w:t>
            </w:r>
            <w:r>
              <w:rPr>
                <w:rFonts w:hint="default" w:ascii="Times New Roman" w:hAnsi="Times New Roman" w:eastAsia="宋体" w:cs="Times New Roman"/>
                <w:color w:val="000000"/>
                <w:sz w:val="24"/>
                <w:szCs w:val="22"/>
                <w:highlight w:val="none"/>
                <w:u w:val="none" w:color="auto"/>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color w:val="000000"/>
                <w:sz w:val="24"/>
                <w:szCs w:val="22"/>
                <w:highlight w:val="none"/>
                <w:u w:val="none" w:color="auto"/>
                <w:lang w:eastAsia="zh-CN"/>
              </w:rPr>
            </w:pPr>
            <w:r>
              <w:rPr>
                <w:rFonts w:hint="default" w:ascii="Times New Roman" w:hAnsi="Times New Roman" w:eastAsia="宋体" w:cs="Times New Roman"/>
                <w:color w:val="000000"/>
                <w:sz w:val="24"/>
                <w:szCs w:val="22"/>
                <w:highlight w:val="none"/>
                <w:u w:val="none" w:color="auto"/>
              </w:rPr>
              <w:t>综上，项目建设不存在明显限制因素，选址合理</w:t>
            </w:r>
            <w:r>
              <w:rPr>
                <w:rFonts w:hint="eastAsia" w:ascii="Times New Roman" w:hAnsi="Times New Roman" w:eastAsia="宋体" w:cs="Times New Roman"/>
                <w:color w:val="000000"/>
                <w:sz w:val="24"/>
                <w:szCs w:val="22"/>
                <w:highlight w:val="none"/>
                <w:u w:val="none" w:color="auto"/>
                <w:lang w:eastAsia="zh-CN"/>
              </w:rPr>
              <w:t>。</w:t>
            </w:r>
          </w:p>
          <w:p>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default" w:ascii="Times New Roman" w:hAnsi="Times New Roman" w:eastAsia="宋体" w:cs="Times New Roman"/>
                <w:b/>
                <w:bCs/>
                <w:i w:val="0"/>
                <w:iCs w:val="0"/>
                <w:color w:val="000000"/>
                <w:sz w:val="24"/>
                <w:szCs w:val="24"/>
                <w:highlight w:val="none"/>
                <w:u w:val="none" w:color="auto"/>
                <w:lang w:val="en-US" w:eastAsia="zh-CN"/>
              </w:rPr>
            </w:pPr>
            <w:r>
              <w:rPr>
                <w:rFonts w:hint="eastAsia" w:ascii="Times New Roman" w:hAnsi="Times New Roman" w:eastAsia="宋体" w:cs="Times New Roman"/>
                <w:b/>
                <w:bCs/>
                <w:i w:val="0"/>
                <w:iCs w:val="0"/>
                <w:color w:val="000000"/>
                <w:sz w:val="24"/>
                <w:szCs w:val="24"/>
                <w:highlight w:val="none"/>
                <w:u w:val="none" w:color="auto"/>
                <w:lang w:val="en-US" w:eastAsia="zh-CN"/>
              </w:rPr>
              <w:t>2</w:t>
            </w:r>
            <w:r>
              <w:rPr>
                <w:rFonts w:hint="default" w:ascii="Times New Roman" w:hAnsi="Times New Roman" w:eastAsia="宋体" w:cs="Times New Roman"/>
                <w:b/>
                <w:bCs/>
                <w:i w:val="0"/>
                <w:iCs w:val="0"/>
                <w:color w:val="000000"/>
                <w:sz w:val="24"/>
                <w:szCs w:val="24"/>
                <w:highlight w:val="none"/>
                <w:u w:val="none" w:color="auto"/>
                <w:lang w:val="en-US" w:eastAsia="zh-CN"/>
              </w:rPr>
              <w:t>、选址合理性分析</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sz w:val="24"/>
                <w:szCs w:val="24"/>
                <w:highlight w:val="none"/>
                <w:u w:val="none" w:color="auto"/>
              </w:rPr>
            </w:pPr>
            <w:r>
              <w:rPr>
                <w:rFonts w:hint="default" w:ascii="Times New Roman" w:hAnsi="Times New Roman" w:eastAsia="宋体" w:cs="Times New Roman"/>
                <w:color w:val="000000"/>
                <w:sz w:val="24"/>
                <w:szCs w:val="24"/>
                <w:highlight w:val="none"/>
                <w:u w:val="none" w:color="auto"/>
              </w:rPr>
              <w:t>（1）规划符合性</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sz w:val="24"/>
                <w:szCs w:val="24"/>
                <w:highlight w:val="none"/>
                <w:u w:val="none" w:color="auto"/>
              </w:rPr>
            </w:pPr>
            <w:r>
              <w:rPr>
                <w:rFonts w:hint="default" w:ascii="Times New Roman" w:hAnsi="Times New Roman" w:eastAsia="宋体" w:cs="Times New Roman"/>
                <w:color w:val="000000"/>
                <w:sz w:val="24"/>
                <w:szCs w:val="24"/>
                <w:highlight w:val="none"/>
                <w:u w:val="none" w:color="auto"/>
              </w:rPr>
              <w:t>本项目位于</w:t>
            </w:r>
            <w:r>
              <w:rPr>
                <w:rFonts w:hint="eastAsia" w:ascii="Times New Roman" w:hAnsi="Times New Roman" w:eastAsia="宋体" w:cs="Times New Roman"/>
                <w:color w:val="000000"/>
                <w:sz w:val="24"/>
                <w:szCs w:val="24"/>
                <w:highlight w:val="none"/>
                <w:u w:val="none" w:color="auto"/>
                <w:lang w:val="en-US" w:eastAsia="zh-CN"/>
              </w:rPr>
              <w:t>湖</w:t>
            </w:r>
            <w:r>
              <w:rPr>
                <w:rFonts w:hint="eastAsia" w:ascii="Times New Roman" w:hAnsi="Times New Roman" w:eastAsia="宋体" w:cs="Times New Roman"/>
                <w:color w:val="000000" w:themeColor="text1"/>
                <w:sz w:val="24"/>
                <w:szCs w:val="24"/>
                <w:highlight w:val="none"/>
                <w:u w:val="none" w:color="auto"/>
                <w:lang w:val="en-US" w:eastAsia="zh-CN"/>
                <w14:textFill>
                  <w14:solidFill>
                    <w14:schemeClr w14:val="tx1"/>
                  </w14:solidFill>
                </w14:textFill>
              </w:rPr>
              <w:t>南省永州市新田县龙泉街道工业园南园新能源新材料产业园10号栋</w:t>
            </w:r>
            <w:r>
              <w:rPr>
                <w:rFonts w:hint="default" w:ascii="Times New Roman" w:hAnsi="Times New Roman" w:eastAsia="宋体" w:cs="Times New Roman"/>
                <w:color w:val="000000" w:themeColor="text1"/>
                <w:sz w:val="24"/>
                <w:szCs w:val="24"/>
                <w:highlight w:val="none"/>
                <w:u w:val="none" w:color="auto"/>
                <w14:textFill>
                  <w14:solidFill>
                    <w14:schemeClr w14:val="tx1"/>
                  </w14:solidFill>
                </w14:textFill>
              </w:rPr>
              <w:t>，本项目用地不在城区规划范围内，附近区域无自然保护区、世界文化和自然遗产及等需要特殊保护的生态敏感区，无风景名胜区、森林公园、地质公园、重要湿地等重要生态敏感区</w:t>
            </w:r>
            <w:r>
              <w:rPr>
                <w:rFonts w:hint="eastAsia" w:cs="Times New Roman"/>
                <w:color w:val="000000" w:themeColor="text1"/>
                <w:sz w:val="24"/>
                <w:szCs w:val="24"/>
                <w:highlight w:val="none"/>
                <w:u w:val="none" w:color="auto"/>
                <w:lang w:eastAsia="zh-CN"/>
                <w14:textFill>
                  <w14:solidFill>
                    <w14:schemeClr w14:val="tx1"/>
                  </w14:solidFill>
                </w14:textFill>
              </w:rPr>
              <w:t>。</w:t>
            </w:r>
            <w:r>
              <w:rPr>
                <w:rFonts w:hint="eastAsia" w:cs="Times New Roman"/>
                <w:color w:val="000000" w:themeColor="text1"/>
                <w:sz w:val="24"/>
                <w:szCs w:val="24"/>
                <w:highlight w:val="none"/>
                <w:u w:val="none" w:color="auto"/>
                <w:lang w:val="en-US" w:eastAsia="zh-CN"/>
                <w14:textFill>
                  <w14:solidFill>
                    <w14:schemeClr w14:val="tx1"/>
                  </w14:solidFill>
                </w14:textFill>
              </w:rPr>
              <w:t>根据《新田工业集中区规划环境影响跟踪评价报告书》要求：南区（新嘉公路以南区域）以异地扶贫安置小区的名义建设了集中居民区，后续开发应严格控制其周边邻近区块的产业布局，不得新落户气型污染明显的项目，并对已落户的产业加强污染控制，南区集中居民区位于本项目北侧53m，根据大气环境运营期环境影响和保护措施分析可知，本项目拟设计一套NMP回收系统（三级降温冷凝+水喷淋）+尾气处理系统（活性炭+回风循环）对NMP废气进行处理，经处理达到《电池工业污染物排放标准》（GB30484-2013）中的标准限值后的废气引至楼顶排放</w:t>
            </w:r>
            <w:r>
              <w:rPr>
                <w:rFonts w:hint="eastAsia" w:cs="Times New Roman"/>
                <w:color w:val="000000" w:themeColor="text1"/>
                <w:sz w:val="24"/>
                <w:szCs w:val="24"/>
                <w:highlight w:val="yellow"/>
                <w:u w:val="none" w:color="auto"/>
                <w:lang w:val="en-US" w:eastAsia="zh-CN"/>
                <w14:textFill>
                  <w14:solidFill>
                    <w14:schemeClr w14:val="tx1"/>
                  </w14:solidFill>
                </w14:textFill>
              </w:rPr>
              <w:t>，该废气排放量小，</w:t>
            </w:r>
            <w:r>
              <w:rPr>
                <w:rFonts w:hint="eastAsia" w:cs="Times New Roman"/>
                <w:color w:val="000000" w:themeColor="text1"/>
                <w:sz w:val="24"/>
                <w:szCs w:val="24"/>
                <w:highlight w:val="none"/>
                <w:u w:val="none" w:color="auto"/>
                <w:lang w:val="en-US" w:eastAsia="zh-CN"/>
                <w14:textFill>
                  <w14:solidFill>
                    <w14:schemeClr w14:val="tx1"/>
                  </w14:solidFill>
                </w14:textFill>
              </w:rPr>
              <w:t>不属于气型污染明显的项目，</w:t>
            </w:r>
            <w:r>
              <w:rPr>
                <w:rFonts w:hint="default" w:ascii="Times New Roman" w:hAnsi="Times New Roman" w:eastAsia="宋体" w:cs="Times New Roman"/>
                <w:color w:val="000000"/>
                <w:sz w:val="24"/>
                <w:szCs w:val="24"/>
                <w:highlight w:val="none"/>
                <w:u w:val="none" w:color="auto"/>
              </w:rPr>
              <w:t>因此选址合理。</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sz w:val="24"/>
                <w:szCs w:val="24"/>
                <w:highlight w:val="none"/>
                <w:u w:val="none" w:color="auto"/>
              </w:rPr>
            </w:pPr>
            <w:r>
              <w:rPr>
                <w:rFonts w:hint="default" w:ascii="Times New Roman" w:hAnsi="Times New Roman" w:eastAsia="宋体" w:cs="Times New Roman"/>
                <w:color w:val="000000"/>
                <w:sz w:val="24"/>
                <w:szCs w:val="24"/>
                <w:highlight w:val="none"/>
                <w:u w:val="none" w:color="auto"/>
              </w:rPr>
              <w:t>（2）周边环境功能区划</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sz w:val="24"/>
                <w:szCs w:val="24"/>
                <w:highlight w:val="yellow"/>
                <w:u w:val="none" w:color="auto"/>
              </w:rPr>
            </w:pPr>
            <w:r>
              <w:rPr>
                <w:rFonts w:hint="default" w:ascii="Times New Roman" w:hAnsi="Times New Roman" w:eastAsia="宋体" w:cs="Times New Roman"/>
                <w:color w:val="000000"/>
                <w:sz w:val="24"/>
                <w:szCs w:val="24"/>
                <w:highlight w:val="none"/>
                <w:u w:val="none" w:color="auto"/>
              </w:rPr>
              <w:t>项目拟建区域环境质量现状良好，有较大的环境容量；各污废物均得到妥善处理，做到达标排放或综合利用，排放的污染物符合区域总量控制要求；环境影响预测分析表明，本工程实施后，正常生产情况下项目对地表水环境、环境空气和声环境影响不大，满足相应的环境质量要求；且项目从生产原料到生产工艺潜在的环境风险小。</w:t>
            </w:r>
          </w:p>
          <w:p>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宋体" w:cs="Times New Roman"/>
                <w:b/>
                <w:bCs/>
                <w:color w:val="000000"/>
                <w:sz w:val="24"/>
                <w:szCs w:val="24"/>
                <w:highlight w:val="none"/>
                <w:u w:val="none" w:color="auto"/>
                <w:lang w:val="en-US" w:eastAsia="zh-CN"/>
              </w:rPr>
            </w:pPr>
            <w:r>
              <w:rPr>
                <w:rFonts w:hint="eastAsia" w:ascii="Times New Roman" w:hAnsi="Times New Roman" w:eastAsia="宋体" w:cs="Times New Roman"/>
                <w:b/>
                <w:bCs/>
                <w:color w:val="000000"/>
                <w:sz w:val="24"/>
                <w:szCs w:val="24"/>
                <w:highlight w:val="none"/>
                <w:u w:val="none" w:color="auto"/>
                <w:lang w:val="en-US" w:eastAsia="zh-CN"/>
              </w:rPr>
              <w:t>3</w:t>
            </w:r>
            <w:r>
              <w:rPr>
                <w:rFonts w:hint="default" w:ascii="Times New Roman" w:hAnsi="Times New Roman" w:eastAsia="宋体" w:cs="Times New Roman"/>
                <w:b/>
                <w:bCs/>
                <w:color w:val="000000"/>
                <w:sz w:val="24"/>
                <w:szCs w:val="24"/>
                <w:highlight w:val="none"/>
                <w:u w:val="none" w:color="auto"/>
                <w:lang w:val="en-US" w:eastAsia="zh-CN"/>
              </w:rPr>
              <w:t>、产业政策符合性</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sz w:val="24"/>
                <w:szCs w:val="24"/>
                <w:highlight w:val="none"/>
                <w:u w:val="none" w:color="auto"/>
                <w:lang w:val="en-US" w:eastAsia="zh-CN"/>
              </w:rPr>
            </w:pPr>
            <w:r>
              <w:rPr>
                <w:rFonts w:hint="eastAsia" w:cs="Times New Roman"/>
                <w:color w:val="000000"/>
                <w:sz w:val="24"/>
                <w:szCs w:val="24"/>
                <w:highlight w:val="none"/>
                <w:u w:val="none" w:color="auto"/>
                <w:lang w:eastAsia="zh-CN"/>
              </w:rPr>
              <w:t>中华人民共和国国家发展和改革委员会</w:t>
            </w:r>
            <w:r>
              <w:rPr>
                <w:rFonts w:hint="default" w:ascii="Times New Roman" w:hAnsi="Times New Roman" w:eastAsia="宋体" w:cs="Times New Roman"/>
                <w:color w:val="000000"/>
                <w:sz w:val="24"/>
                <w:szCs w:val="24"/>
                <w:highlight w:val="none"/>
                <w:u w:val="none" w:color="auto"/>
              </w:rPr>
              <w:t>第9号令《产业结构调整指导目录</w:t>
            </w:r>
            <w:r>
              <w:rPr>
                <w:rFonts w:hint="default" w:ascii="Times New Roman" w:hAnsi="Times New Roman" w:eastAsia="宋体" w:cs="Times New Roman"/>
                <w:color w:val="000000"/>
                <w:sz w:val="24"/>
                <w:szCs w:val="24"/>
                <w:highlight w:val="none"/>
                <w:u w:val="none" w:color="auto"/>
                <w:lang w:eastAsia="zh-CN"/>
              </w:rPr>
              <w:t>（</w:t>
            </w:r>
            <w:r>
              <w:rPr>
                <w:rFonts w:hint="default" w:ascii="Times New Roman" w:hAnsi="Times New Roman" w:eastAsia="宋体" w:cs="Times New Roman"/>
                <w:color w:val="000000"/>
                <w:sz w:val="24"/>
                <w:szCs w:val="24"/>
                <w:highlight w:val="none"/>
                <w:u w:val="none" w:color="auto"/>
              </w:rPr>
              <w:t>2019年本</w:t>
            </w:r>
            <w:r>
              <w:rPr>
                <w:rFonts w:hint="default" w:ascii="Times New Roman" w:hAnsi="Times New Roman" w:eastAsia="宋体" w:cs="Times New Roman"/>
                <w:color w:val="000000"/>
                <w:sz w:val="24"/>
                <w:szCs w:val="24"/>
                <w:highlight w:val="none"/>
                <w:u w:val="none" w:color="auto"/>
                <w:lang w:eastAsia="zh-CN"/>
              </w:rPr>
              <w:t>）</w:t>
            </w:r>
            <w:r>
              <w:rPr>
                <w:rFonts w:hint="default" w:ascii="Times New Roman" w:hAnsi="Times New Roman" w:eastAsia="宋体" w:cs="Times New Roman"/>
                <w:color w:val="000000"/>
                <w:sz w:val="24"/>
                <w:szCs w:val="24"/>
                <w:highlight w:val="none"/>
                <w:u w:val="none" w:color="auto"/>
              </w:rPr>
              <w:t>》由鼓励、限制和淘汰三类目录组成。经查询，本项目属于《产业结构调整指导目录》（201</w:t>
            </w:r>
            <w:r>
              <w:rPr>
                <w:rFonts w:hint="default" w:ascii="Times New Roman" w:hAnsi="Times New Roman" w:eastAsia="宋体" w:cs="Times New Roman"/>
                <w:color w:val="000000"/>
                <w:sz w:val="24"/>
                <w:szCs w:val="24"/>
                <w:highlight w:val="none"/>
                <w:u w:val="none" w:color="auto"/>
                <w:lang w:val="en-US" w:eastAsia="zh-CN"/>
              </w:rPr>
              <w:t>9</w:t>
            </w:r>
            <w:r>
              <w:rPr>
                <w:rFonts w:hint="default" w:ascii="Times New Roman" w:hAnsi="Times New Roman" w:eastAsia="宋体" w:cs="Times New Roman"/>
                <w:color w:val="000000"/>
                <w:sz w:val="24"/>
                <w:szCs w:val="24"/>
                <w:highlight w:val="none"/>
                <w:u w:val="none" w:color="auto"/>
              </w:rPr>
              <w:t>本）“鼓励类”类别中“十九、轻工”中“12.锂二硫化铁、锂亚硫酰氯等新型锂原电池；锂离子电池、氢镍电池、新型结构（卷绕式、管式等）密封铅蓄电池等动力电池；储能用锂离子电池和新型大容量密封铅蓄电池；超级电池和超级电容器”。同时，</w:t>
            </w:r>
            <w:r>
              <w:rPr>
                <w:rFonts w:hint="eastAsia" w:cs="Times New Roman"/>
                <w:color w:val="000000"/>
                <w:sz w:val="24"/>
                <w:szCs w:val="24"/>
                <w:highlight w:val="none"/>
                <w:u w:val="none" w:color="auto"/>
                <w:lang w:val="en-US" w:eastAsia="zh-CN"/>
              </w:rPr>
              <w:t>新田县</w:t>
            </w:r>
            <w:r>
              <w:rPr>
                <w:rFonts w:hint="default" w:ascii="Times New Roman" w:hAnsi="Times New Roman" w:eastAsia="宋体" w:cs="Times New Roman"/>
                <w:color w:val="000000"/>
                <w:sz w:val="24"/>
                <w:szCs w:val="24"/>
                <w:highlight w:val="none"/>
                <w:u w:val="none" w:color="auto"/>
              </w:rPr>
              <w:t>发展和改革</w:t>
            </w:r>
            <w:r>
              <w:rPr>
                <w:rFonts w:hint="eastAsia" w:cs="Times New Roman"/>
                <w:color w:val="000000"/>
                <w:sz w:val="24"/>
                <w:szCs w:val="24"/>
                <w:highlight w:val="none"/>
                <w:u w:val="none" w:color="auto"/>
                <w:lang w:val="en-US" w:eastAsia="zh-CN"/>
              </w:rPr>
              <w:t>局</w:t>
            </w:r>
            <w:r>
              <w:rPr>
                <w:rFonts w:hint="default" w:ascii="Times New Roman" w:hAnsi="Times New Roman" w:eastAsia="宋体" w:cs="Times New Roman"/>
                <w:color w:val="000000"/>
                <w:sz w:val="24"/>
                <w:szCs w:val="24"/>
                <w:highlight w:val="none"/>
                <w:u w:val="none" w:color="auto"/>
              </w:rPr>
              <w:t>对本项目进行备案</w:t>
            </w:r>
            <w:r>
              <w:rPr>
                <w:rFonts w:hint="default" w:ascii="Times New Roman" w:hAnsi="Times New Roman" w:eastAsia="宋体" w:cs="Times New Roman"/>
                <w:color w:val="000000"/>
                <w:sz w:val="24"/>
                <w:szCs w:val="24"/>
                <w:highlight w:val="none"/>
                <w:u w:val="none" w:color="auto"/>
                <w:lang w:eastAsia="zh-CN"/>
              </w:rPr>
              <w:t>（</w:t>
            </w:r>
            <w:r>
              <w:rPr>
                <w:rFonts w:hint="eastAsia" w:cs="Times New Roman"/>
                <w:color w:val="000000"/>
                <w:sz w:val="24"/>
                <w:szCs w:val="24"/>
                <w:highlight w:val="none"/>
                <w:u w:val="none" w:color="auto"/>
                <w:lang w:val="en-US" w:eastAsia="zh-CN"/>
              </w:rPr>
              <w:t>新发改备案[2021]71号</w:t>
            </w:r>
            <w:r>
              <w:rPr>
                <w:rFonts w:hint="default" w:ascii="Times New Roman" w:hAnsi="Times New Roman" w:eastAsia="宋体" w:cs="Times New Roman"/>
                <w:color w:val="000000"/>
                <w:sz w:val="24"/>
                <w:szCs w:val="24"/>
                <w:highlight w:val="none"/>
                <w:u w:val="none" w:color="auto"/>
                <w:lang w:eastAsia="zh-CN"/>
              </w:rPr>
              <w:t>）</w:t>
            </w:r>
            <w:r>
              <w:rPr>
                <w:rFonts w:hint="default" w:ascii="Times New Roman" w:hAnsi="Times New Roman" w:eastAsia="宋体" w:cs="Times New Roman"/>
                <w:color w:val="000000"/>
                <w:sz w:val="24"/>
                <w:szCs w:val="24"/>
                <w:highlight w:val="none"/>
                <w:u w:val="none" w:color="auto"/>
              </w:rPr>
              <w:t>，详见附件。因此，本项目符合国家及地方产业政策要求。</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color w:val="000000"/>
                <w:sz w:val="24"/>
                <w:szCs w:val="22"/>
                <w:highlight w:val="none"/>
                <w:u w:val="none" w:color="auto"/>
                <w:lang w:eastAsia="zh-CN"/>
              </w:rPr>
            </w:pPr>
            <w:r>
              <w:rPr>
                <w:rFonts w:hint="default" w:ascii="Times New Roman" w:hAnsi="Times New Roman" w:eastAsia="宋体" w:cs="Times New Roman"/>
                <w:color w:val="000000"/>
                <w:sz w:val="24"/>
                <w:szCs w:val="24"/>
                <w:highlight w:val="none"/>
                <w:u w:val="none" w:color="auto"/>
              </w:rPr>
              <w:t>项目用地不属于《禁止用地项目目录（2012年本）》和《限制用地项目目录（2012年本）》所规定的用地类型，因此项目建设符合国家产业政策</w:t>
            </w:r>
            <w:r>
              <w:rPr>
                <w:rFonts w:hint="eastAsia" w:ascii="Times New Roman" w:hAnsi="Times New Roman" w:eastAsia="宋体" w:cs="Times New Roman"/>
                <w:color w:val="000000"/>
                <w:sz w:val="24"/>
                <w:szCs w:val="24"/>
                <w:highlight w:val="none"/>
                <w:u w:val="none" w:color="auto"/>
                <w:lang w:eastAsia="zh-CN"/>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ascii="Times New Roman" w:hAnsi="Times New Roman" w:eastAsia="宋体" w:cs="Times New Roman"/>
                <w:color w:val="000000"/>
                <w:sz w:val="24"/>
                <w:szCs w:val="22"/>
                <w:highlight w:val="none"/>
                <w:u w:val="none" w:color="auto"/>
                <w:lang w:val="en-US" w:eastAsia="zh-CN"/>
              </w:rPr>
            </w:pPr>
            <w:r>
              <w:rPr>
                <w:rFonts w:hint="eastAsia" w:cs="Times New Roman"/>
                <w:b/>
                <w:bCs/>
                <w:color w:val="000000"/>
                <w:sz w:val="24"/>
                <w:szCs w:val="22"/>
                <w:highlight w:val="none"/>
                <w:u w:val="none" w:color="auto"/>
                <w:lang w:val="en-US" w:eastAsia="zh-CN"/>
              </w:rPr>
              <w:t>4、与《湖南省“十三五”战略性新兴产业发展规划》通知的符合性分析</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color w:val="000000"/>
                <w:sz w:val="24"/>
                <w:szCs w:val="22"/>
                <w:highlight w:val="none"/>
                <w:u w:val="none" w:color="auto"/>
                <w:lang w:val="en-US" w:eastAsia="zh-CN"/>
              </w:rPr>
            </w:pPr>
            <w:r>
              <w:rPr>
                <w:rFonts w:hint="eastAsia" w:ascii="Times New Roman" w:hAnsi="Times New Roman" w:eastAsia="宋体" w:cs="Times New Roman"/>
                <w:color w:val="000000"/>
                <w:sz w:val="24"/>
                <w:szCs w:val="22"/>
                <w:highlight w:val="none"/>
                <w:u w:val="none" w:color="auto"/>
                <w:lang w:val="en-US" w:eastAsia="zh-CN"/>
              </w:rPr>
              <w:t>本项目</w:t>
            </w:r>
            <w:r>
              <w:rPr>
                <w:rFonts w:hint="eastAsia" w:cs="Times New Roman"/>
                <w:color w:val="000000"/>
                <w:sz w:val="24"/>
                <w:szCs w:val="22"/>
                <w:highlight w:val="none"/>
                <w:u w:val="none" w:color="auto"/>
                <w:lang w:val="en-US" w:eastAsia="zh-CN"/>
              </w:rPr>
              <w:t>生产锂离子</w:t>
            </w:r>
            <w:r>
              <w:rPr>
                <w:rFonts w:hint="eastAsia" w:ascii="Times New Roman" w:hAnsi="Times New Roman" w:eastAsia="宋体" w:cs="Times New Roman"/>
                <w:color w:val="000000"/>
                <w:sz w:val="24"/>
                <w:szCs w:val="22"/>
                <w:highlight w:val="none"/>
                <w:u w:val="none" w:color="auto"/>
                <w:lang w:val="en-US" w:eastAsia="zh-CN"/>
              </w:rPr>
              <w:t>电池，与《湖南省“十三五”战略性新兴产业发展规划》相符性分析详见表1-</w:t>
            </w:r>
            <w:r>
              <w:rPr>
                <w:rFonts w:hint="eastAsia" w:cs="Times New Roman"/>
                <w:color w:val="000000"/>
                <w:sz w:val="24"/>
                <w:szCs w:val="22"/>
                <w:highlight w:val="none"/>
                <w:u w:val="none" w:color="auto"/>
                <w:lang w:val="en-US" w:eastAsia="zh-CN"/>
              </w:rPr>
              <w:t>2</w:t>
            </w:r>
            <w:r>
              <w:rPr>
                <w:rFonts w:hint="eastAsia" w:ascii="Times New Roman" w:hAnsi="Times New Roman" w:eastAsia="宋体" w:cs="Times New Roman"/>
                <w:color w:val="000000"/>
                <w:sz w:val="24"/>
                <w:szCs w:val="22"/>
                <w:highlight w:val="none"/>
                <w:u w:val="none" w:color="auto"/>
                <w:lang w:val="en-US" w:eastAsia="zh-CN"/>
              </w:rPr>
              <w:t>。</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b/>
                <w:bCs/>
                <w:color w:val="000000"/>
                <w:sz w:val="21"/>
                <w:szCs w:val="21"/>
                <w:highlight w:val="none"/>
                <w:u w:val="none" w:color="auto"/>
                <w:lang w:val="en-US" w:eastAsia="zh-CN"/>
              </w:rPr>
            </w:pPr>
            <w:r>
              <w:rPr>
                <w:rFonts w:hint="eastAsia" w:ascii="Times New Roman" w:hAnsi="Times New Roman" w:eastAsia="宋体" w:cs="Times New Roman"/>
                <w:b/>
                <w:bCs/>
                <w:color w:val="000000"/>
                <w:sz w:val="21"/>
                <w:szCs w:val="21"/>
                <w:highlight w:val="none"/>
                <w:u w:val="none" w:color="auto"/>
                <w:lang w:val="en-US" w:eastAsia="zh-CN"/>
              </w:rPr>
              <w:t>表1-2项目与《湖南省“十三五”战略性新兴产业发展规划》相符性分析</w:t>
            </w:r>
          </w:p>
          <w:tbl>
            <w:tblPr>
              <w:tblStyle w:val="23"/>
              <w:tblW w:w="4995" w:type="pct"/>
              <w:jc w:val="center"/>
              <w:tblBorders>
                <w:top w:val="outset" w:color="auto" w:sz="6" w:space="0"/>
                <w:left w:val="outset" w:color="auto" w:sz="6" w:space="0"/>
                <w:bottom w:val="outset" w:color="auto" w:sz="6" w:space="0"/>
                <w:right w:val="outset" w:color="auto" w:sz="6"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3778"/>
              <w:gridCol w:w="2306"/>
              <w:gridCol w:w="1488"/>
            </w:tblGrid>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shd w:val="clear" w:color="auto" w:fill="FFFFFF"/>
                <w:tblCellMar>
                  <w:top w:w="0" w:type="dxa"/>
                  <w:left w:w="0" w:type="dxa"/>
                  <w:bottom w:w="0" w:type="dxa"/>
                  <w:right w:w="0" w:type="dxa"/>
                </w:tblCellMar>
              </w:tblPrEx>
              <w:trPr>
                <w:trHeight w:val="369" w:hRule="atLeast"/>
                <w:jc w:val="center"/>
              </w:trPr>
              <w:tc>
                <w:tcPr>
                  <w:tcW w:w="2495" w:type="pct"/>
                  <w:tcBorders>
                    <w:top w:val="outset" w:color="auto" w:sz="6" w:space="0"/>
                    <w:left w:val="outset" w:color="auto" w:sz="6" w:space="0"/>
                    <w:bottom w:val="outset" w:color="auto" w:sz="6" w:space="0"/>
                    <w:right w:val="outset" w:color="auto" w:sz="6" w:space="0"/>
                  </w:tcBorders>
                  <w:shd w:val="clear" w:color="auto" w:fill="auto"/>
                  <w:noWrap w:val="0"/>
                  <w:tcMar>
                    <w:top w:w="68" w:type="dxa"/>
                    <w:left w:w="68" w:type="dxa"/>
                    <w:bottom w:w="68" w:type="dxa"/>
                    <w:right w:w="68" w:type="dxa"/>
                  </w:tcMar>
                  <w:vAlign w:val="center"/>
                </w:tcPr>
                <w:p>
                  <w:pPr>
                    <w:pStyle w:val="20"/>
                    <w:keepNext w:val="0"/>
                    <w:keepLines w:val="0"/>
                    <w:pageBreakBefore w:val="0"/>
                    <w:kinsoku/>
                    <w:wordWrap/>
                    <w:overflowPunct/>
                    <w:topLinePunct w:val="0"/>
                    <w:autoSpaceDE/>
                    <w:autoSpaceDN/>
                    <w:bidi w:val="0"/>
                    <w:adjustRightInd w:val="0"/>
                    <w:snapToGrid w:val="0"/>
                    <w:spacing w:before="0" w:beforeAutospacing="0" w:after="0" w:afterAutospacing="0" w:line="240" w:lineRule="auto"/>
                    <w:ind w:firstLine="0" w:firstLineChars="0"/>
                    <w:jc w:val="center"/>
                    <w:textAlignment w:val="auto"/>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lang w:val="en-US" w:eastAsia="zh-CN"/>
                    </w:rPr>
                    <w:t>《湖南省“十三五”战略性新兴产业发展规划》</w:t>
                  </w:r>
                  <w:r>
                    <w:rPr>
                      <w:rFonts w:hint="eastAsia" w:ascii="Times New Roman" w:hAnsi="Times New Roman" w:eastAsia="宋体" w:cs="Times New Roman"/>
                      <w:bCs/>
                      <w:sz w:val="21"/>
                      <w:szCs w:val="21"/>
                      <w:lang w:val="en-US" w:eastAsia="zh-CN"/>
                    </w:rPr>
                    <w:t>（部分摘录）</w:t>
                  </w:r>
                </w:p>
              </w:tc>
              <w:tc>
                <w:tcPr>
                  <w:tcW w:w="1522" w:type="pct"/>
                  <w:tcBorders>
                    <w:top w:val="outset" w:color="auto" w:sz="6" w:space="0"/>
                    <w:left w:val="outset" w:color="auto" w:sz="6" w:space="0"/>
                    <w:bottom w:val="outset" w:color="auto" w:sz="6" w:space="0"/>
                    <w:right w:val="outset" w:color="auto" w:sz="6" w:space="0"/>
                  </w:tcBorders>
                  <w:shd w:val="clear" w:color="auto" w:fill="auto"/>
                  <w:noWrap w:val="0"/>
                  <w:tcMar>
                    <w:top w:w="68" w:type="dxa"/>
                    <w:left w:w="68" w:type="dxa"/>
                    <w:bottom w:w="68" w:type="dxa"/>
                    <w:right w:w="68"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Cs/>
                      <w:sz w:val="21"/>
                      <w:szCs w:val="21"/>
                      <w:u w:val="none" w:color="auto"/>
                    </w:rPr>
                  </w:pPr>
                  <w:r>
                    <w:rPr>
                      <w:rFonts w:hint="default" w:ascii="Times New Roman" w:hAnsi="Times New Roman" w:eastAsia="宋体" w:cs="Times New Roman"/>
                      <w:color w:val="auto"/>
                      <w:kern w:val="24"/>
                      <w:sz w:val="21"/>
                      <w:szCs w:val="21"/>
                      <w:u w:val="none" w:color="auto"/>
                      <w:vertAlign w:val="baseline"/>
                      <w:lang w:val="en-US" w:eastAsia="zh-CN" w:bidi="ar-SA"/>
                    </w:rPr>
                    <w:t>项目情况</w:t>
                  </w:r>
                </w:p>
              </w:tc>
              <w:tc>
                <w:tcPr>
                  <w:tcW w:w="982" w:type="pct"/>
                  <w:tcBorders>
                    <w:top w:val="outset" w:color="auto" w:sz="6" w:space="0"/>
                    <w:left w:val="outset" w:color="auto" w:sz="6" w:space="0"/>
                    <w:bottom w:val="outset" w:color="auto" w:sz="6" w:space="0"/>
                    <w:right w:val="outset" w:color="auto" w:sz="6" w:space="0"/>
                  </w:tcBorders>
                  <w:shd w:val="clear" w:color="auto" w:fill="auto"/>
                  <w:noWrap w:val="0"/>
                  <w:tcMar>
                    <w:top w:w="68" w:type="dxa"/>
                    <w:left w:w="68" w:type="dxa"/>
                    <w:bottom w:w="68" w:type="dxa"/>
                    <w:right w:w="68"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Cs/>
                      <w:sz w:val="21"/>
                      <w:szCs w:val="21"/>
                      <w:u w:val="none" w:color="auto"/>
                    </w:rPr>
                  </w:pPr>
                  <w:r>
                    <w:rPr>
                      <w:rFonts w:hint="default" w:ascii="Times New Roman" w:hAnsi="Times New Roman" w:eastAsia="宋体" w:cs="Times New Roman"/>
                      <w:color w:val="auto"/>
                      <w:kern w:val="24"/>
                      <w:sz w:val="21"/>
                      <w:szCs w:val="21"/>
                      <w:u w:val="none" w:color="auto"/>
                      <w:vertAlign w:val="baseline"/>
                      <w:lang w:val="en-US" w:eastAsia="zh-CN" w:bidi="ar-SA"/>
                    </w:rPr>
                    <w:t>符合性分析</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rHeight w:val="541" w:hRule="atLeast"/>
                <w:jc w:val="center"/>
              </w:trPr>
              <w:tc>
                <w:tcPr>
                  <w:tcW w:w="2495" w:type="pct"/>
                  <w:tcBorders>
                    <w:top w:val="outset" w:color="auto" w:sz="6" w:space="0"/>
                    <w:left w:val="outset" w:color="auto" w:sz="6" w:space="0"/>
                    <w:bottom w:val="outset" w:color="auto" w:sz="6" w:space="0"/>
                    <w:right w:val="outset" w:color="auto" w:sz="6" w:space="0"/>
                  </w:tcBorders>
                  <w:shd w:val="clear" w:color="auto" w:fill="auto"/>
                  <w:noWrap w:val="0"/>
                  <w:tcMar>
                    <w:top w:w="68" w:type="dxa"/>
                    <w:left w:w="68" w:type="dxa"/>
                    <w:bottom w:w="68" w:type="dxa"/>
                    <w:right w:w="68" w:type="dxa"/>
                  </w:tcMar>
                  <w:vAlign w:val="top"/>
                </w:tcPr>
                <w:p>
                  <w:pPr>
                    <w:keepNext w:val="0"/>
                    <w:keepLines w:val="0"/>
                    <w:pageBreakBefore w:val="0"/>
                    <w:kinsoku/>
                    <w:wordWrap/>
                    <w:overflowPunct/>
                    <w:topLinePunct w:val="0"/>
                    <w:autoSpaceDE/>
                    <w:autoSpaceDN/>
                    <w:bidi w:val="0"/>
                    <w:adjustRightInd w:val="0"/>
                    <w:snapToGrid w:val="0"/>
                    <w:spacing w:beforeAutospacing="0" w:afterAutospacing="0" w:line="240" w:lineRule="auto"/>
                    <w:ind w:firstLine="0" w:firstLineChars="0"/>
                    <w:textAlignment w:val="auto"/>
                    <w:rPr>
                      <w:rFonts w:hint="default" w:ascii="Times New Roman" w:hAnsi="Times New Roman" w:eastAsia="宋体" w:cs="Times New Roman"/>
                      <w:sz w:val="21"/>
                      <w:szCs w:val="21"/>
                    </w:rPr>
                  </w:pPr>
                  <w:r>
                    <w:rPr>
                      <w:rFonts w:hint="default" w:ascii="Times New Roman" w:hAnsi="Times New Roman" w:eastAsia="宋体" w:cs="Times New Roman"/>
                      <w:b w:val="0"/>
                      <w:bCs/>
                      <w:sz w:val="21"/>
                      <w:szCs w:val="21"/>
                    </w:rPr>
                    <w:t>先进储能材料：</w:t>
                  </w:r>
                  <w:r>
                    <w:rPr>
                      <w:rFonts w:hint="default" w:ascii="Times New Roman" w:hAnsi="Times New Roman" w:eastAsia="宋体" w:cs="Times New Roman"/>
                      <w:sz w:val="21"/>
                      <w:szCs w:val="21"/>
                    </w:rPr>
                    <w:t xml:space="preserve">加快电动汽车用锂电池、混合动力汽车用镍氢电池、超级电容器等关键材料研究，突破电解液、动力电池隔膜等关键技术，重点打造锂离子电池、镍氢电池材料产业链，提升储能用液流电池、燃料电池、新型铅酸电池技术创新链，大力发展镍钴锰三元氧化物、磷酸铁锂等新型正极材料，动力型超强泡沫镍、球型氢氧化镍等新型负极材料，六氟磷酸锂电解质等。                                                                                                                                                                                                                                                                                                                                                                                     </w:t>
                  </w:r>
                </w:p>
              </w:tc>
              <w:tc>
                <w:tcPr>
                  <w:tcW w:w="1522" w:type="pct"/>
                  <w:tcBorders>
                    <w:top w:val="outset" w:color="auto" w:sz="6" w:space="0"/>
                    <w:left w:val="outset" w:color="auto" w:sz="6" w:space="0"/>
                    <w:bottom w:val="outset" w:color="auto" w:sz="6" w:space="0"/>
                    <w:right w:val="outset" w:color="auto" w:sz="6" w:space="0"/>
                  </w:tcBorders>
                  <w:shd w:val="clear" w:color="auto" w:fill="auto"/>
                  <w:noWrap w:val="0"/>
                  <w:tcMar>
                    <w:top w:w="68" w:type="dxa"/>
                    <w:left w:w="68" w:type="dxa"/>
                    <w:bottom w:w="68" w:type="dxa"/>
                    <w:right w:w="68" w:type="dxa"/>
                  </w:tcMar>
                  <w:vAlign w:val="center"/>
                </w:tcPr>
                <w:p>
                  <w:pPr>
                    <w:keepNext w:val="0"/>
                    <w:keepLines w:val="0"/>
                    <w:pageBreakBefore w:val="0"/>
                    <w:kinsoku/>
                    <w:wordWrap/>
                    <w:overflowPunct/>
                    <w:topLinePunct w:val="0"/>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宋体" w:cs="Times New Roman"/>
                      <w:b w:val="0"/>
                      <w:bCs/>
                      <w:sz w:val="21"/>
                      <w:szCs w:val="21"/>
                    </w:rPr>
                  </w:pPr>
                  <w:r>
                    <w:rPr>
                      <w:rFonts w:hint="default" w:ascii="Times New Roman" w:hAnsi="Times New Roman" w:eastAsia="宋体" w:cs="Times New Roman"/>
                      <w:b w:val="0"/>
                      <w:bCs/>
                      <w:sz w:val="21"/>
                      <w:szCs w:val="21"/>
                      <w:lang w:val="en-US" w:eastAsia="zh-CN"/>
                    </w:rPr>
                    <w:t>本项目</w:t>
                  </w:r>
                  <w:r>
                    <w:rPr>
                      <w:rFonts w:hint="eastAsia" w:ascii="Times New Roman" w:hAnsi="Times New Roman" w:eastAsia="宋体" w:cs="Times New Roman"/>
                      <w:b w:val="0"/>
                      <w:bCs/>
                      <w:sz w:val="21"/>
                      <w:szCs w:val="21"/>
                      <w:lang w:val="en-US" w:eastAsia="zh-CN"/>
                    </w:rPr>
                    <w:t>拟建设锂电池生产项目，建成后年产圆柱18650锂离子电池3亿个</w:t>
                  </w:r>
                </w:p>
              </w:tc>
              <w:tc>
                <w:tcPr>
                  <w:tcW w:w="982" w:type="pct"/>
                  <w:tcBorders>
                    <w:top w:val="outset" w:color="auto" w:sz="6" w:space="0"/>
                    <w:left w:val="outset" w:color="auto" w:sz="6" w:space="0"/>
                    <w:bottom w:val="outset" w:color="auto" w:sz="6" w:space="0"/>
                    <w:right w:val="outset" w:color="auto" w:sz="6" w:space="0"/>
                  </w:tcBorders>
                  <w:shd w:val="clear" w:color="auto" w:fill="auto"/>
                  <w:noWrap w:val="0"/>
                  <w:tcMar>
                    <w:top w:w="68" w:type="dxa"/>
                    <w:left w:w="68" w:type="dxa"/>
                    <w:bottom w:w="68" w:type="dxa"/>
                    <w:right w:w="68" w:type="dxa"/>
                  </w:tcMar>
                  <w:vAlign w:val="center"/>
                </w:tcPr>
                <w:p>
                  <w:pPr>
                    <w:keepNext w:val="0"/>
                    <w:keepLines w:val="0"/>
                    <w:pageBreakBefore w:val="0"/>
                    <w:kinsoku/>
                    <w:wordWrap/>
                    <w:overflowPunct/>
                    <w:topLinePunct w:val="0"/>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宋体" w:cs="Times New Roman"/>
                      <w:b w:val="0"/>
                      <w:bCs/>
                      <w:sz w:val="21"/>
                      <w:szCs w:val="21"/>
                      <w:lang w:val="en-US" w:eastAsia="zh-CN"/>
                    </w:rPr>
                  </w:pPr>
                  <w:r>
                    <w:rPr>
                      <w:rFonts w:hint="eastAsia" w:ascii="Times New Roman" w:hAnsi="Times New Roman" w:eastAsia="宋体" w:cs="Times New Roman"/>
                      <w:b w:val="0"/>
                      <w:bCs/>
                      <w:sz w:val="21"/>
                      <w:szCs w:val="21"/>
                      <w:lang w:val="en-US" w:eastAsia="zh-CN"/>
                    </w:rPr>
                    <w:t>符合</w:t>
                  </w:r>
                </w:p>
              </w:tc>
            </w:tr>
          </w:tbl>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cs="Times New Roman"/>
                <w:color w:val="000000"/>
                <w:sz w:val="24"/>
                <w:szCs w:val="22"/>
                <w:highlight w:val="none"/>
                <w:u w:val="none" w:color="auto"/>
                <w:lang w:val="en-US" w:eastAsia="zh-CN"/>
              </w:rPr>
            </w:pPr>
            <w:r>
              <w:rPr>
                <w:rFonts w:hint="eastAsia" w:cs="Times New Roman"/>
                <w:color w:val="000000"/>
                <w:sz w:val="24"/>
                <w:szCs w:val="22"/>
                <w:highlight w:val="none"/>
                <w:u w:val="none" w:color="auto"/>
                <w:lang w:val="en-US" w:eastAsia="zh-CN"/>
              </w:rPr>
              <w:t>根据上述内容可知，本项目与《湖南省“十三五”战略性新兴产业发展规划》要求相符合。</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color w:val="000000"/>
                <w:sz w:val="24"/>
                <w:szCs w:val="22"/>
                <w:highlight w:val="none"/>
                <w:u w:val="none" w:color="auto"/>
                <w:lang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color w:val="000000"/>
                <w:sz w:val="24"/>
                <w:szCs w:val="22"/>
                <w:highlight w:val="none"/>
                <w:u w:val="none" w:color="auto"/>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pPr>
            <w:r>
              <w:rPr>
                <w:rFonts w:hint="eastAsia" w:cs="Times New Roman"/>
                <w:color w:val="000000"/>
                <w:sz w:val="24"/>
                <w:szCs w:val="22"/>
                <w:highlight w:val="none"/>
                <w:u w:val="none" w:color="auto"/>
                <w:lang w:val="en-US" w:eastAsia="zh-CN"/>
              </w:rPr>
              <w:t xml:space="preserve"> </w:t>
            </w:r>
          </w:p>
        </w:tc>
      </w:tr>
    </w:tbl>
    <w:p>
      <w:pPr>
        <w:bidi w:val="0"/>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sectPr>
          <w:footerReference r:id="rId5" w:type="default"/>
          <w:pgSz w:w="11906" w:h="16838"/>
          <w:pgMar w:top="1440" w:right="1080" w:bottom="1440" w:left="1080"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p>
    <w:p>
      <w:pPr>
        <w:pStyle w:val="3"/>
        <w:keepNext/>
        <w:keepLines/>
        <w:pageBreakBefore w:val="0"/>
        <w:widowControl w:val="0"/>
        <w:numPr>
          <w:ilvl w:val="0"/>
          <w:numId w:val="0"/>
        </w:numPr>
        <w:kinsoku/>
        <w:wordWrap/>
        <w:overflowPunct/>
        <w:topLinePunct w:val="0"/>
        <w:autoSpaceDE/>
        <w:autoSpaceDN/>
        <w:bidi w:val="0"/>
        <w:adjustRightInd w:val="0"/>
        <w:snapToGrid w:val="0"/>
        <w:spacing w:before="0" w:beforeLines="0" w:after="0" w:afterLines="0" w:line="240" w:lineRule="auto"/>
        <w:ind w:leftChars="0"/>
        <w:jc w:val="center"/>
        <w:textAlignment w:val="auto"/>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pPr>
      <w:bookmarkStart w:id="1" w:name="_Toc9658"/>
      <w:r>
        <w:rPr>
          <w:rFonts w:hint="default" w:ascii="Times New Roman" w:hAnsi="Times New Roman" w:cs="Times New Roman" w:eastAsiaTheme="minorEastAsia"/>
          <w:b/>
          <w:color w:val="000000" w:themeColor="text1"/>
          <w:sz w:val="36"/>
          <w:szCs w:val="36"/>
          <w:highlight w:val="none"/>
          <w:u w:val="none" w:color="auto"/>
          <w:lang w:val="en-US" w:eastAsia="zh-CN"/>
          <w14:textFill>
            <w14:solidFill>
              <w14:schemeClr w14:val="tx1"/>
            </w14:solidFill>
          </w14:textFill>
        </w:rPr>
        <w:t>二、建设项目工程分析</w:t>
      </w:r>
      <w:bookmarkEnd w:id="1"/>
    </w:p>
    <w:tbl>
      <w:tblPr>
        <w:tblStyle w:val="24"/>
        <w:tblW w:w="4999"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867"/>
        <w:gridCol w:w="909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3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vertAlign w:val="baseline"/>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vertAlign w:val="baseline"/>
                <w:lang w:val="en-US" w:eastAsia="zh-CN"/>
                <w14:textFill>
                  <w14:solidFill>
                    <w14:schemeClr w14:val="tx1"/>
                  </w14:solidFill>
                </w14:textFill>
              </w:rPr>
              <w:t>建设内容</w:t>
            </w:r>
          </w:p>
        </w:tc>
        <w:tc>
          <w:tcPr>
            <w:tcW w:w="4564" w:type="pct"/>
            <w:tcBorders>
              <w:tl2br w:val="nil"/>
              <w:tr2bl w:val="nil"/>
            </w:tcBorders>
            <w:vAlign w:val="center"/>
          </w:tcPr>
          <w:p>
            <w:pPr>
              <w:spacing w:beforeLines="50"/>
              <w:ind w:firstLine="0" w:firstLineChars="0"/>
              <w:rPr>
                <w:rFonts w:ascii="Times New Roman" w:hAnsi="Times New Roman" w:eastAsia="宋体" w:cs="Times New Roman"/>
                <w:b/>
                <w:sz w:val="28"/>
                <w:szCs w:val="28"/>
              </w:rPr>
            </w:pPr>
            <w:r>
              <w:rPr>
                <w:rFonts w:ascii="Times New Roman" w:hAnsi="Times New Roman" w:eastAsia="宋体" w:cs="Times New Roman"/>
                <w:b/>
                <w:sz w:val="28"/>
                <w:szCs w:val="28"/>
              </w:rPr>
              <w:t>工程内容及规模：</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firstLine="482" w:firstLineChars="200"/>
              <w:textAlignment w:val="auto"/>
              <w:rPr>
                <w:rFonts w:hint="default" w:ascii="Times New Roman" w:hAnsi="Times New Roman" w:cs="Times New Roman" w:eastAsiaTheme="minorEastAsia"/>
                <w:b/>
                <w:bCs/>
                <w:color w:val="000000" w:themeColor="text1"/>
                <w:sz w:val="24"/>
                <w:szCs w:val="24"/>
                <w:highlight w:val="none"/>
                <w:u w:val="none" w:color="auto"/>
                <w14:textFill>
                  <w14:solidFill>
                    <w14:schemeClr w14:val="tx1"/>
                  </w14:solidFill>
                </w14:textFill>
              </w:rPr>
            </w:pPr>
            <w:r>
              <w:rPr>
                <w:rFonts w:hint="eastAsia" w:cs="Times New Roman" w:eastAsiaTheme="minorEastAsia"/>
                <w:b/>
                <w:bCs/>
                <w:color w:val="000000" w:themeColor="text1"/>
                <w:sz w:val="24"/>
                <w:szCs w:val="24"/>
                <w:highlight w:val="none"/>
                <w:u w:val="none" w:color="auto"/>
                <w:lang w:val="en-US" w:eastAsia="zh-CN"/>
                <w14:textFill>
                  <w14:solidFill>
                    <w14:schemeClr w14:val="tx1"/>
                  </w14:solidFill>
                </w14:textFill>
              </w:rPr>
              <w:t>1、</w:t>
            </w:r>
            <w:r>
              <w:rPr>
                <w:rFonts w:hint="default" w:ascii="Times New Roman" w:hAnsi="Times New Roman" w:cs="Times New Roman" w:eastAsiaTheme="minorEastAsia"/>
                <w:b/>
                <w:bCs/>
                <w:color w:val="000000" w:themeColor="text1"/>
                <w:sz w:val="24"/>
                <w:szCs w:val="24"/>
                <w:highlight w:val="none"/>
                <w:u w:val="none" w:color="auto"/>
                <w14:textFill>
                  <w14:solidFill>
                    <w14:schemeClr w14:val="tx1"/>
                  </w14:solidFill>
                </w14:textFill>
              </w:rPr>
              <w:t>工程概况</w:t>
            </w:r>
          </w:p>
          <w:p>
            <w:pPr>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outlineLvl w:val="9"/>
              <w:rPr>
                <w:rFonts w:hint="eastAsia"/>
                <w:bCs/>
                <w:szCs w:val="24"/>
                <w:lang w:eastAsia="zh-CN"/>
              </w:rPr>
            </w:pPr>
            <w:r>
              <w:rPr>
                <w:rFonts w:hint="eastAsia" w:eastAsia="宋体"/>
                <w:bCs/>
                <w:szCs w:val="24"/>
                <w:lang w:eastAsia="zh-CN"/>
              </w:rPr>
              <w:t>随着国家新兴战略性产业规划的落实，新能源电池的需求迅速增长，将极大的推动锂电池市场的快速发展。从行业发展方向上看，锂电池作为二次电池的一个最重要的方面，有着巨大的发展空间，将会有十分广阔的市场前景，特别是集节能、环保、可循环利用的绿色锂离子电池，是目前国内最具代表性的清洁能源</w:t>
            </w:r>
            <w:r>
              <w:rPr>
                <w:rFonts w:hint="eastAsia"/>
                <w:bCs/>
                <w:szCs w:val="24"/>
                <w:lang w:eastAsia="zh-CN"/>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outlineLvl w:val="9"/>
              <w:rPr>
                <w:rFonts w:hint="eastAsia"/>
                <w:bCs/>
                <w:szCs w:val="24"/>
                <w:lang w:val="en-US" w:eastAsia="zh-CN"/>
              </w:rPr>
            </w:pPr>
            <w:r>
              <w:rPr>
                <w:rFonts w:hint="eastAsia"/>
                <w:bCs/>
                <w:szCs w:val="24"/>
                <w:lang w:val="en-US" w:eastAsia="zh-CN"/>
              </w:rPr>
              <w:t>对比传统电池，</w:t>
            </w:r>
            <w:r>
              <w:rPr>
                <w:rFonts w:hint="eastAsia"/>
                <w:bCs/>
                <w:szCs w:val="24"/>
                <w:lang w:eastAsia="zh-CN"/>
              </w:rPr>
              <w:t>锂离子电池组不含有铅、</w:t>
            </w:r>
            <w:r>
              <w:rPr>
                <w:rFonts w:hint="eastAsia"/>
                <w:bCs/>
                <w:szCs w:val="24"/>
                <w:lang w:val="en-US" w:eastAsia="zh-CN"/>
              </w:rPr>
              <w:t>氟</w:t>
            </w:r>
            <w:r>
              <w:rPr>
                <w:rFonts w:hint="eastAsia"/>
                <w:bCs/>
                <w:szCs w:val="24"/>
                <w:lang w:eastAsia="zh-CN"/>
              </w:rPr>
              <w:t>、汞等有毒物质，同时因为电池必须被很好地密封，在使用过程中极少有气体放出，不对环境造成污染。生产制造过程中用于溶解粘结剂的溶剂也可以做到完全回收，</w:t>
            </w:r>
            <w:r>
              <w:rPr>
                <w:rFonts w:hint="eastAsia"/>
                <w:bCs/>
                <w:szCs w:val="24"/>
                <w:lang w:val="en-US" w:eastAsia="zh-CN"/>
              </w:rPr>
              <w:t>且对比传统电池，锂离子电池生产工艺较为简单，且污染极小</w:t>
            </w:r>
            <w:r>
              <w:rPr>
                <w:rFonts w:hint="eastAsia"/>
                <w:bCs/>
                <w:szCs w:val="24"/>
                <w:lang w:eastAsia="zh-CN"/>
              </w:rPr>
              <w:t>。</w:t>
            </w:r>
            <w:r>
              <w:rPr>
                <w:rFonts w:hint="eastAsia"/>
                <w:bCs/>
                <w:szCs w:val="24"/>
                <w:lang w:val="en-US" w:eastAsia="zh-CN"/>
              </w:rPr>
              <w:t>本项目仅生产锂离子电池，不生产传统电池。</w:t>
            </w:r>
          </w:p>
          <w:p>
            <w:pPr>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outlineLvl w:val="9"/>
              <w:rPr>
                <w:rFonts w:hint="default"/>
                <w:bCs/>
                <w:szCs w:val="24"/>
                <w:lang w:val="en-US" w:eastAsia="zh-CN"/>
              </w:rPr>
            </w:pPr>
            <w:r>
              <w:rPr>
                <w:rFonts w:hint="eastAsia" w:eastAsia="宋体"/>
                <w:bCs/>
                <w:szCs w:val="24"/>
                <w:lang w:eastAsia="zh-CN"/>
              </w:rPr>
              <w:t>为此</w:t>
            </w:r>
            <w:r>
              <w:rPr>
                <w:bCs/>
                <w:szCs w:val="24"/>
              </w:rPr>
              <w:t>，</w:t>
            </w:r>
            <w:r>
              <w:rPr>
                <w:rFonts w:hint="eastAsia"/>
                <w:bCs/>
                <w:szCs w:val="24"/>
                <w:lang w:val="en-US" w:eastAsia="zh-CN"/>
              </w:rPr>
              <w:t>湖南镁鑫新能源有限公司</w:t>
            </w:r>
            <w:r>
              <w:rPr>
                <w:rFonts w:hint="eastAsia"/>
                <w:bCs/>
                <w:szCs w:val="24"/>
              </w:rPr>
              <w:t>抓住市场机遇</w:t>
            </w:r>
            <w:r>
              <w:rPr>
                <w:rFonts w:hint="eastAsia" w:ascii="Times New Roman" w:eastAsia="宋体"/>
                <w:bCs/>
                <w:szCs w:val="24"/>
                <w:lang w:val="en-US" w:eastAsia="zh-CN"/>
              </w:rPr>
              <w:t>拟投资30000万建设</w:t>
            </w:r>
            <w:r>
              <w:rPr>
                <w:rFonts w:hint="eastAsia"/>
                <w:bCs/>
                <w:szCs w:val="24"/>
                <w:lang w:val="en-US" w:eastAsia="zh-CN"/>
              </w:rPr>
              <w:t>湖南镁鑫新能源有限公司锂电池生产项目</w:t>
            </w:r>
            <w:r>
              <w:rPr>
                <w:rFonts w:hint="eastAsia" w:ascii="Times New Roman" w:eastAsia="宋体"/>
                <w:bCs/>
                <w:szCs w:val="24"/>
                <w:lang w:val="en-US" w:eastAsia="zh-CN"/>
              </w:rPr>
              <w:t>，项目建成后年产锂离子电池3亿个。</w:t>
            </w:r>
            <w:r>
              <w:rPr>
                <w:bCs/>
                <w:szCs w:val="24"/>
              </w:rPr>
              <w:t>项目</w:t>
            </w:r>
            <w:r>
              <w:rPr>
                <w:rFonts w:hint="eastAsia" w:ascii="Times New Roman" w:eastAsia="宋体"/>
                <w:bCs/>
                <w:szCs w:val="24"/>
                <w:lang w:val="en-US" w:eastAsia="zh-CN"/>
              </w:rPr>
              <w:t>总</w:t>
            </w:r>
            <w:r>
              <w:rPr>
                <w:bCs/>
                <w:szCs w:val="24"/>
              </w:rPr>
              <w:t>占地面积</w:t>
            </w:r>
            <w:r>
              <w:rPr>
                <w:rFonts w:hint="eastAsia" w:ascii="Times New Roman" w:eastAsia="宋体"/>
                <w:bCs/>
                <w:szCs w:val="24"/>
                <w:lang w:val="en-US" w:eastAsia="zh-CN"/>
              </w:rPr>
              <w:t>7000</w:t>
            </w:r>
            <w:r>
              <w:rPr>
                <w:bCs/>
                <w:szCs w:val="24"/>
              </w:rPr>
              <w:t>m</w:t>
            </w:r>
            <w:r>
              <w:rPr>
                <w:bCs/>
                <w:szCs w:val="24"/>
                <w:vertAlign w:val="superscript"/>
              </w:rPr>
              <w:t>2</w:t>
            </w:r>
            <w:r>
              <w:rPr>
                <w:rFonts w:hint="eastAsia" w:eastAsia="宋体"/>
                <w:bCs/>
                <w:szCs w:val="24"/>
                <w:vertAlign w:val="baseline"/>
                <w:lang w:eastAsia="zh-CN"/>
              </w:rPr>
              <w:t>，</w:t>
            </w:r>
            <w:r>
              <w:rPr>
                <w:rFonts w:hint="eastAsia" w:ascii="Times New Roman" w:eastAsia="宋体"/>
                <w:bCs/>
                <w:szCs w:val="24"/>
                <w:vertAlign w:val="baseline"/>
                <w:lang w:val="en-US" w:eastAsia="zh-CN"/>
              </w:rPr>
              <w:t>建筑面积28000</w:t>
            </w:r>
            <w:r>
              <w:rPr>
                <w:bCs/>
                <w:szCs w:val="24"/>
              </w:rPr>
              <w:t>m</w:t>
            </w:r>
            <w:r>
              <w:rPr>
                <w:bCs/>
                <w:szCs w:val="24"/>
                <w:vertAlign w:val="superscript"/>
              </w:rPr>
              <w:t>2</w:t>
            </w:r>
            <w:r>
              <w:rPr>
                <w:bCs/>
                <w:szCs w:val="24"/>
              </w:rPr>
              <w:t>。项目</w:t>
            </w:r>
            <w:r>
              <w:rPr>
                <w:bCs/>
                <w:szCs w:val="24"/>
                <w:highlight w:val="none"/>
              </w:rPr>
              <w:t>主要建设内容包括</w:t>
            </w:r>
            <w:r>
              <w:rPr>
                <w:rFonts w:hint="eastAsia"/>
                <w:bCs/>
                <w:szCs w:val="24"/>
                <w:highlight w:val="none"/>
                <w:lang w:val="en-US" w:eastAsia="zh-CN"/>
              </w:rPr>
              <w:t>两栋厂房，分别为9#栋厂房（一楼布置材料仓库；正极、负极配料车间；正极、负极涂布烤箱放置区；正极、负极分条区；二楼布置装配车间；物料仓库；工程维修部；正极、负极制片车间；三楼布置烤箱车间；物料仓库；除湿机房；注液车间；电池高温搁置车间；四楼布置化成、分选车间）、10#栋厂房（一楼布置材料仓库；正极、负极配料车间；正极、负极涂布烤箱放置区；正极、负极分条区；二楼布置装配车间；物料仓库；工程维修部；正极、负极制片车间；三楼布置烤箱车间；物料仓库；除湿机房；注液车间；电池高温搁置车间；四楼布置化成、分选车间）</w:t>
            </w:r>
            <w:r>
              <w:rPr>
                <w:bCs/>
                <w:szCs w:val="24"/>
                <w:highlight w:val="none"/>
              </w:rPr>
              <w:t>及其配套公用工程、办公室及环保设施等</w:t>
            </w:r>
            <w:r>
              <w:rPr>
                <w:rFonts w:hint="eastAsia"/>
                <w:bCs/>
                <w:szCs w:val="24"/>
                <w:highlight w:val="none"/>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outlineLvl w:val="9"/>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bCs/>
                <w:szCs w:val="24"/>
                <w:lang w:val="zh-CN"/>
              </w:rPr>
              <w:t>根据《中华人民共和国环境保护法》、《中华人民共和国环境影响评价法》和《建设项目环境保护管理条例》等法律、法规的要求，该项目需要进行环境影响评价</w:t>
            </w:r>
            <w:r>
              <w:rPr>
                <w:rFonts w:hint="eastAsia"/>
                <w:bCs/>
                <w:szCs w:val="24"/>
                <w:lang w:val="zh-CN"/>
              </w:rPr>
              <w:t>，</w:t>
            </w:r>
            <w:r>
              <w:rPr>
                <w:bCs/>
                <w:szCs w:val="24"/>
                <w:lang w:val="zh-CN"/>
              </w:rPr>
              <w:t>202</w:t>
            </w:r>
            <w:r>
              <w:rPr>
                <w:rFonts w:hint="eastAsia"/>
                <w:bCs/>
                <w:szCs w:val="24"/>
                <w:lang w:val="zh-CN" w:eastAsia="zh-CN"/>
              </w:rPr>
              <w:t>2</w:t>
            </w:r>
            <w:r>
              <w:rPr>
                <w:bCs/>
                <w:szCs w:val="24"/>
                <w:lang w:val="zh-CN"/>
              </w:rPr>
              <w:t>年</w:t>
            </w:r>
            <w:r>
              <w:rPr>
                <w:rFonts w:hint="eastAsia"/>
                <w:bCs/>
                <w:szCs w:val="24"/>
                <w:lang w:val="en-US" w:eastAsia="zh-CN"/>
              </w:rPr>
              <w:t>3</w:t>
            </w:r>
            <w:r>
              <w:rPr>
                <w:bCs/>
                <w:szCs w:val="24"/>
                <w:lang w:val="zh-CN"/>
              </w:rPr>
              <w:t>月，</w:t>
            </w:r>
            <w:r>
              <w:rPr>
                <w:rFonts w:hint="eastAsia"/>
                <w:bCs/>
                <w:szCs w:val="24"/>
                <w:lang w:val="zh-CN" w:eastAsia="zh-CN"/>
              </w:rPr>
              <w:t>湖南镁鑫新能源有限公司</w:t>
            </w:r>
            <w:r>
              <w:rPr>
                <w:bCs/>
                <w:szCs w:val="24"/>
                <w:lang w:val="zh-CN"/>
              </w:rPr>
              <w:t>委托</w:t>
            </w:r>
            <w:r>
              <w:rPr>
                <w:rFonts w:hint="eastAsia"/>
                <w:bCs/>
                <w:szCs w:val="24"/>
                <w:lang w:val="zh-CN" w:eastAsia="zh-CN"/>
              </w:rPr>
              <w:t>河北昂竹环保科技有限责任公司</w:t>
            </w:r>
            <w:r>
              <w:rPr>
                <w:bCs/>
                <w:szCs w:val="24"/>
                <w:lang w:val="zh-CN"/>
              </w:rPr>
              <w:t>对</w:t>
            </w:r>
            <w:r>
              <w:rPr>
                <w:rFonts w:hint="eastAsia"/>
                <w:bCs/>
                <w:szCs w:val="24"/>
                <w:lang w:val="zh-CN" w:eastAsia="zh-CN"/>
              </w:rPr>
              <w:t>湖南镁鑫新能源有限公司锂电池生产项目</w:t>
            </w:r>
            <w:r>
              <w:rPr>
                <w:bCs/>
                <w:szCs w:val="24"/>
                <w:highlight w:val="none"/>
                <w:lang w:val="zh-CN"/>
              </w:rPr>
              <w:t>进行环境影响评价工作。</w:t>
            </w:r>
            <w:r>
              <w:rPr>
                <w:rFonts w:hint="eastAsia" w:ascii="Times New Roman"/>
                <w:bCs/>
                <w:szCs w:val="24"/>
                <w:highlight w:val="none"/>
                <w:lang w:val="zh-CN"/>
              </w:rPr>
              <w:t>按照《建设项目环境影响评价分类管理名录》</w:t>
            </w:r>
            <w:r>
              <w:rPr>
                <w:rFonts w:hint="eastAsia" w:eastAsia="宋体"/>
                <w:bCs/>
                <w:szCs w:val="24"/>
                <w:highlight w:val="none"/>
                <w:lang w:eastAsia="zh-CN"/>
              </w:rPr>
              <w:t>（</w:t>
            </w:r>
            <w:r>
              <w:rPr>
                <w:rFonts w:hint="eastAsia" w:ascii="Times New Roman" w:eastAsia="宋体"/>
                <w:bCs/>
                <w:szCs w:val="24"/>
                <w:highlight w:val="none"/>
                <w:lang w:val="en-US" w:eastAsia="zh-CN"/>
              </w:rPr>
              <w:t>2021版</w:t>
            </w:r>
            <w:r>
              <w:rPr>
                <w:rFonts w:hint="eastAsia" w:eastAsia="宋体"/>
                <w:bCs/>
                <w:szCs w:val="24"/>
                <w:highlight w:val="none"/>
                <w:lang w:eastAsia="zh-CN"/>
              </w:rPr>
              <w:t>）</w:t>
            </w:r>
            <w:r>
              <w:rPr>
                <w:bCs/>
                <w:szCs w:val="24"/>
                <w:highlight w:val="none"/>
              </w:rPr>
              <w:t>，</w:t>
            </w:r>
            <w:r>
              <w:rPr>
                <w:rFonts w:hint="eastAsia" w:ascii="Times New Roman" w:eastAsia="宋体"/>
                <w:bCs/>
                <w:szCs w:val="24"/>
                <w:highlight w:val="none"/>
                <w:lang w:val="en-US" w:eastAsia="zh-CN"/>
              </w:rPr>
              <w:t>本</w:t>
            </w:r>
            <w:r>
              <w:rPr>
                <w:bCs/>
                <w:szCs w:val="24"/>
                <w:highlight w:val="none"/>
              </w:rPr>
              <w:t>项目</w:t>
            </w:r>
            <w:r>
              <w:rPr>
                <w:rFonts w:hint="eastAsia" w:ascii="Times New Roman" w:eastAsia="宋体"/>
                <w:bCs/>
                <w:szCs w:val="24"/>
                <w:highlight w:val="none"/>
                <w:lang w:val="en-US" w:eastAsia="zh-CN"/>
              </w:rPr>
              <w:t>锂离子电池生产属于“</w:t>
            </w:r>
            <w:r>
              <w:rPr>
                <w:bCs/>
                <w:szCs w:val="24"/>
                <w:highlight w:val="none"/>
                <w:lang w:val="en-US" w:eastAsia="zh-CN"/>
              </w:rPr>
              <w:t>三十五、电气机械和器材制造业</w:t>
            </w:r>
            <w:r>
              <w:rPr>
                <w:rFonts w:hint="eastAsia" w:ascii="Times New Roman" w:eastAsia="宋体"/>
                <w:bCs/>
                <w:szCs w:val="24"/>
                <w:highlight w:val="none"/>
                <w:lang w:val="en-US" w:eastAsia="zh-CN"/>
              </w:rPr>
              <w:t>”中的“77、电池制造”中的“其他”，</w:t>
            </w:r>
            <w:r>
              <w:rPr>
                <w:rFonts w:hint="eastAsia"/>
                <w:bCs/>
                <w:szCs w:val="24"/>
                <w:highlight w:val="none"/>
                <w:lang w:val="en-US" w:eastAsia="zh-CN"/>
              </w:rPr>
              <w:t>且本项目实际年用溶剂型涂料（含稀释剂）在10吨以下，</w:t>
            </w:r>
            <w:r>
              <w:rPr>
                <w:rFonts w:hint="eastAsia" w:ascii="Times New Roman" w:eastAsia="宋体"/>
                <w:bCs/>
                <w:szCs w:val="24"/>
                <w:highlight w:val="none"/>
                <w:lang w:val="en-US" w:eastAsia="zh-CN"/>
              </w:rPr>
              <w:t>故项目应编制环境影响报告表</w:t>
            </w:r>
            <w:r>
              <w:rPr>
                <w:rFonts w:hint="eastAsia" w:ascii="Times New Roman" w:eastAsia="宋体"/>
                <w:bCs/>
                <w:szCs w:val="24"/>
                <w:lang w:val="en-US" w:eastAsia="zh-CN"/>
              </w:rPr>
              <w:t>。</w:t>
            </w:r>
            <w:r>
              <w:rPr>
                <w:bCs/>
                <w:snapToGrid w:val="0"/>
                <w:szCs w:val="24"/>
              </w:rPr>
              <w:t>根据建设方提供的工程相关基础资料，按照环评技术导则要求，编制了《</w:t>
            </w:r>
            <w:r>
              <w:rPr>
                <w:rFonts w:hint="eastAsia"/>
                <w:bCs/>
                <w:szCs w:val="24"/>
                <w:lang w:eastAsia="zh-CN"/>
              </w:rPr>
              <w:t>湖南镁鑫新能源有限公司锂电池生产项目</w:t>
            </w:r>
            <w:r>
              <w:rPr>
                <w:bCs/>
                <w:snapToGrid w:val="0"/>
                <w:szCs w:val="24"/>
              </w:rPr>
              <w:t>环境影响报告表》。</w:t>
            </w:r>
          </w:p>
          <w:p>
            <w:pPr>
              <w:ind w:firstLine="482"/>
              <w:rPr>
                <w:rFonts w:ascii="Times New Roman" w:hAnsi="Times New Roman" w:eastAsia="宋体" w:cs="Times New Roman"/>
                <w:b/>
                <w:szCs w:val="24"/>
              </w:rPr>
            </w:pPr>
            <w:r>
              <w:rPr>
                <w:rFonts w:hint="eastAsia" w:ascii="Times New Roman" w:hAnsi="Times New Roman" w:eastAsia="宋体" w:cs="Times New Roman"/>
                <w:b/>
                <w:szCs w:val="24"/>
                <w:lang w:val="en-US" w:eastAsia="zh-CN"/>
              </w:rPr>
              <w:t>2、</w:t>
            </w:r>
            <w:r>
              <w:rPr>
                <w:rFonts w:ascii="Times New Roman" w:hAnsi="Times New Roman" w:eastAsia="宋体" w:cs="Times New Roman"/>
                <w:b/>
                <w:szCs w:val="24"/>
              </w:rPr>
              <w:t>建设项目名称、性质、建设单位和地点</w:t>
            </w:r>
          </w:p>
          <w:p>
            <w:pPr>
              <w:keepNext w:val="0"/>
              <w:keepLines w:val="0"/>
              <w:pageBreakBefore w:val="0"/>
              <w:widowControl w:val="0"/>
              <w:kinsoku/>
              <w:wordWrap/>
              <w:overflowPunct/>
              <w:topLinePunct w:val="0"/>
              <w:autoSpaceDE/>
              <w:autoSpaceDN/>
              <w:bidi w:val="0"/>
              <w:adjustRightInd w:val="0"/>
              <w:snapToGrid w:val="0"/>
              <w:spacing w:line="360" w:lineRule="auto"/>
              <w:ind w:firstLine="482"/>
              <w:textAlignment w:val="auto"/>
              <w:rPr>
                <w:rFonts w:hint="eastAsia" w:eastAsia="宋体"/>
                <w:b w:val="0"/>
                <w:bCs/>
                <w:szCs w:val="24"/>
                <w:lang w:eastAsia="zh-CN"/>
              </w:rPr>
            </w:pPr>
            <w:r>
              <w:rPr>
                <w:b w:val="0"/>
                <w:bCs/>
                <w:szCs w:val="24"/>
              </w:rPr>
              <w:t>（1）项目名称：</w:t>
            </w:r>
            <w:r>
              <w:rPr>
                <w:rFonts w:hint="eastAsia"/>
                <w:b w:val="0"/>
                <w:bCs/>
                <w:szCs w:val="24"/>
                <w:lang w:eastAsia="zh-CN"/>
              </w:rPr>
              <w:t>湖南镁鑫新能源有限公司锂电池生产项目</w:t>
            </w:r>
          </w:p>
          <w:p>
            <w:pPr>
              <w:keepNext w:val="0"/>
              <w:keepLines w:val="0"/>
              <w:pageBreakBefore w:val="0"/>
              <w:widowControl w:val="0"/>
              <w:kinsoku/>
              <w:wordWrap/>
              <w:overflowPunct/>
              <w:topLinePunct w:val="0"/>
              <w:autoSpaceDE/>
              <w:autoSpaceDN/>
              <w:bidi w:val="0"/>
              <w:adjustRightInd w:val="0"/>
              <w:snapToGrid w:val="0"/>
              <w:spacing w:line="360" w:lineRule="auto"/>
              <w:ind w:firstLine="482"/>
              <w:textAlignment w:val="auto"/>
              <w:rPr>
                <w:rFonts w:hint="eastAsia"/>
                <w:b w:val="0"/>
                <w:bCs/>
                <w:szCs w:val="24"/>
              </w:rPr>
            </w:pPr>
            <w:r>
              <w:rPr>
                <w:b w:val="0"/>
                <w:bCs/>
                <w:szCs w:val="24"/>
              </w:rPr>
              <w:t>（2）工程性质：新建</w:t>
            </w:r>
          </w:p>
          <w:p>
            <w:pPr>
              <w:keepNext w:val="0"/>
              <w:keepLines w:val="0"/>
              <w:pageBreakBefore w:val="0"/>
              <w:widowControl w:val="0"/>
              <w:kinsoku/>
              <w:wordWrap/>
              <w:overflowPunct/>
              <w:topLinePunct w:val="0"/>
              <w:autoSpaceDE/>
              <w:autoSpaceDN/>
              <w:bidi w:val="0"/>
              <w:adjustRightInd w:val="0"/>
              <w:snapToGrid w:val="0"/>
              <w:spacing w:line="360" w:lineRule="auto"/>
              <w:ind w:firstLine="482"/>
              <w:textAlignment w:val="auto"/>
              <w:rPr>
                <w:rFonts w:hint="eastAsia"/>
                <w:b w:val="0"/>
                <w:bCs/>
                <w:szCs w:val="24"/>
                <w:lang w:eastAsia="zh-CN"/>
              </w:rPr>
            </w:pPr>
            <w:r>
              <w:rPr>
                <w:b w:val="0"/>
                <w:bCs/>
                <w:szCs w:val="24"/>
              </w:rPr>
              <w:t>（3）建设单位：</w:t>
            </w:r>
            <w:r>
              <w:rPr>
                <w:rFonts w:hint="eastAsia" w:eastAsia="宋体"/>
                <w:b w:val="0"/>
                <w:bCs/>
                <w:szCs w:val="24"/>
                <w:lang w:eastAsia="zh-CN"/>
              </w:rPr>
              <w:t>湖南镁鑫新能源有限公司</w:t>
            </w:r>
          </w:p>
          <w:p>
            <w:pPr>
              <w:keepNext w:val="0"/>
              <w:keepLines w:val="0"/>
              <w:pageBreakBefore w:val="0"/>
              <w:widowControl w:val="0"/>
              <w:kinsoku/>
              <w:wordWrap/>
              <w:overflowPunct/>
              <w:topLinePunct w:val="0"/>
              <w:autoSpaceDE/>
              <w:autoSpaceDN/>
              <w:bidi w:val="0"/>
              <w:adjustRightInd w:val="0"/>
              <w:snapToGrid w:val="0"/>
              <w:spacing w:line="360" w:lineRule="auto"/>
              <w:ind w:firstLine="482"/>
              <w:textAlignment w:val="auto"/>
              <w:rPr>
                <w:color w:val="auto"/>
                <w:szCs w:val="24"/>
              </w:rPr>
            </w:pPr>
            <w:r>
              <w:rPr>
                <w:b w:val="0"/>
                <w:bCs/>
                <w:szCs w:val="24"/>
              </w:rPr>
              <w:t>（4）建设地点：</w:t>
            </w:r>
            <w:r>
              <w:rPr>
                <w:rFonts w:hint="eastAsia" w:ascii="Times New Roman" w:hAnsi="Times New Roman"/>
                <w:kern w:val="24"/>
                <w:szCs w:val="24"/>
                <w:lang w:val="en-US" w:eastAsia="zh-CN"/>
              </w:rPr>
              <w:t>湖南省永州市新田县龙泉街道工业园南园新能源新材料产业园10号栋</w:t>
            </w:r>
            <w:r>
              <w:rPr>
                <w:rFonts w:hint="default" w:ascii="Times New Roman" w:hAnsi="Times New Roman" w:cs="Times New Roman"/>
                <w:szCs w:val="24"/>
              </w:rPr>
              <w:t>，</w:t>
            </w:r>
            <w:r>
              <w:rPr>
                <w:rFonts w:hint="default" w:ascii="Times New Roman" w:hAnsi="Times New Roman" w:cs="Times New Roman"/>
                <w:color w:val="auto"/>
                <w:szCs w:val="24"/>
              </w:rPr>
              <w:t>东经112°11′48.85654″</w:t>
            </w:r>
            <w:r>
              <w:rPr>
                <w:rFonts w:hint="default" w:ascii="Times New Roman" w:hAnsi="Times New Roman" w:cs="Times New Roman"/>
                <w:color w:val="auto"/>
                <w:szCs w:val="24"/>
                <w:lang w:eastAsia="zh-CN"/>
              </w:rPr>
              <w:t>，</w:t>
            </w:r>
            <w:r>
              <w:rPr>
                <w:rFonts w:hint="default" w:ascii="Times New Roman" w:hAnsi="Times New Roman" w:cs="Times New Roman"/>
                <w:color w:val="auto"/>
                <w:szCs w:val="24"/>
              </w:rPr>
              <w:t>北纬25°53′32.11625″。</w:t>
            </w:r>
            <w:r>
              <w:rPr>
                <w:color w:val="auto"/>
                <w:szCs w:val="24"/>
              </w:rPr>
              <w:t>项目地理位置见附图1</w:t>
            </w:r>
          </w:p>
          <w:p>
            <w:pPr>
              <w:keepNext w:val="0"/>
              <w:keepLines w:val="0"/>
              <w:pageBreakBefore w:val="0"/>
              <w:widowControl w:val="0"/>
              <w:kinsoku/>
              <w:wordWrap/>
              <w:overflowPunct/>
              <w:topLinePunct w:val="0"/>
              <w:autoSpaceDE/>
              <w:autoSpaceDN/>
              <w:bidi w:val="0"/>
              <w:adjustRightInd w:val="0"/>
              <w:snapToGrid w:val="0"/>
              <w:spacing w:line="360" w:lineRule="auto"/>
              <w:ind w:firstLine="482"/>
              <w:textAlignment w:val="auto"/>
              <w:rPr>
                <w:color w:val="auto"/>
                <w:szCs w:val="24"/>
                <w:highlight w:val="yellow"/>
              </w:rPr>
            </w:pPr>
            <w:r>
              <w:rPr>
                <w:b w:val="0"/>
                <w:bCs/>
                <w:color w:val="auto"/>
                <w:szCs w:val="24"/>
              </w:rPr>
              <w:t>（5）总投资：</w:t>
            </w:r>
            <w:r>
              <w:rPr>
                <w:rFonts w:hint="eastAsia" w:ascii="Times New Roman" w:eastAsia="宋体"/>
                <w:b w:val="0"/>
                <w:bCs/>
                <w:color w:val="auto"/>
                <w:szCs w:val="24"/>
                <w:lang w:val="en-US" w:eastAsia="zh-CN"/>
              </w:rPr>
              <w:t>30</w:t>
            </w:r>
            <w:r>
              <w:rPr>
                <w:rFonts w:hint="eastAsia" w:ascii="Times New Roman" w:eastAsia="宋体"/>
                <w:b w:val="0"/>
                <w:bCs/>
                <w:color w:val="auto"/>
                <w:szCs w:val="24"/>
                <w:highlight w:val="none"/>
                <w:lang w:val="en-US" w:eastAsia="zh-CN"/>
              </w:rPr>
              <w:t>0</w:t>
            </w:r>
            <w:r>
              <w:rPr>
                <w:rFonts w:hint="eastAsia" w:ascii="Times New Roman" w:eastAsia="宋体"/>
                <w:color w:val="auto"/>
                <w:szCs w:val="24"/>
                <w:highlight w:val="none"/>
                <w:lang w:val="en-US" w:eastAsia="zh-CN"/>
              </w:rPr>
              <w:t>00</w:t>
            </w:r>
            <w:r>
              <w:rPr>
                <w:color w:val="auto"/>
                <w:szCs w:val="24"/>
                <w:highlight w:val="none"/>
              </w:rPr>
              <w:t>万元，其中环保投资</w:t>
            </w:r>
            <w:r>
              <w:rPr>
                <w:rFonts w:hint="eastAsia"/>
                <w:color w:val="auto"/>
                <w:szCs w:val="24"/>
                <w:highlight w:val="none"/>
                <w:lang w:val="en-US" w:eastAsia="zh-CN"/>
              </w:rPr>
              <w:t>188</w:t>
            </w:r>
            <w:r>
              <w:rPr>
                <w:color w:val="auto"/>
                <w:szCs w:val="24"/>
                <w:highlight w:val="none"/>
              </w:rPr>
              <w:t>万元</w:t>
            </w:r>
          </w:p>
          <w:p>
            <w:pPr>
              <w:keepNext w:val="0"/>
              <w:keepLines w:val="0"/>
              <w:pageBreakBefore w:val="0"/>
              <w:widowControl w:val="0"/>
              <w:kinsoku/>
              <w:wordWrap/>
              <w:overflowPunct/>
              <w:topLinePunct w:val="0"/>
              <w:autoSpaceDE/>
              <w:autoSpaceDN/>
              <w:bidi w:val="0"/>
              <w:adjustRightInd w:val="0"/>
              <w:snapToGrid w:val="0"/>
              <w:spacing w:line="360" w:lineRule="auto"/>
              <w:ind w:firstLine="482"/>
              <w:textAlignment w:val="auto"/>
              <w:rPr>
                <w:b/>
                <w:szCs w:val="24"/>
                <w:u w:val="none" w:color="auto"/>
              </w:rPr>
            </w:pPr>
            <w:r>
              <w:rPr>
                <w:b/>
                <w:szCs w:val="24"/>
                <w:u w:val="none" w:color="auto"/>
              </w:rPr>
              <w:t>3、工程内容及规模</w:t>
            </w:r>
          </w:p>
          <w:p>
            <w:pPr>
              <w:keepNext w:val="0"/>
              <w:keepLines w:val="0"/>
              <w:pageBreakBefore w:val="0"/>
              <w:widowControl w:val="0"/>
              <w:kinsoku/>
              <w:wordWrap/>
              <w:overflowPunct/>
              <w:topLinePunct w:val="0"/>
              <w:autoSpaceDE/>
              <w:autoSpaceDN/>
              <w:bidi w:val="0"/>
              <w:adjustRightInd w:val="0"/>
              <w:snapToGrid w:val="0"/>
              <w:spacing w:line="360" w:lineRule="auto"/>
              <w:ind w:firstLine="482"/>
              <w:textAlignment w:val="auto"/>
              <w:rPr>
                <w:szCs w:val="24"/>
                <w:highlight w:val="yellow"/>
                <w:u w:val="none" w:color="auto"/>
              </w:rPr>
            </w:pPr>
            <w:r>
              <w:rPr>
                <w:rFonts w:hint="eastAsia" w:eastAsia="宋体"/>
                <w:bCs/>
                <w:szCs w:val="24"/>
                <w:u w:val="none" w:color="auto"/>
                <w:lang w:eastAsia="zh-CN"/>
              </w:rPr>
              <w:t>湖南镁鑫新能源有限公司</w:t>
            </w:r>
            <w:r>
              <w:rPr>
                <w:bCs/>
                <w:szCs w:val="24"/>
                <w:u w:val="none" w:color="auto"/>
              </w:rPr>
              <w:t>位于</w:t>
            </w:r>
            <w:r>
              <w:rPr>
                <w:rFonts w:hint="eastAsia" w:ascii="Times New Roman" w:hAnsi="Times New Roman"/>
                <w:kern w:val="24"/>
                <w:szCs w:val="24"/>
                <w:u w:val="none" w:color="auto"/>
                <w:lang w:val="en-US" w:eastAsia="zh-CN"/>
              </w:rPr>
              <w:t>湖南省永州市新田县龙泉街道工业园南园新能源新材</w:t>
            </w:r>
            <w:r>
              <w:rPr>
                <w:rFonts w:hint="eastAsia" w:ascii="Times New Roman" w:hAnsi="Times New Roman"/>
                <w:kern w:val="24"/>
                <w:szCs w:val="24"/>
                <w:highlight w:val="none"/>
                <w:u w:val="none" w:color="auto"/>
                <w:lang w:val="en-US" w:eastAsia="zh-CN"/>
              </w:rPr>
              <w:t>料产业园10号栋</w:t>
            </w:r>
            <w:r>
              <w:rPr>
                <w:bCs/>
                <w:szCs w:val="24"/>
                <w:highlight w:val="none"/>
                <w:u w:val="none" w:color="auto"/>
              </w:rPr>
              <w:t>，</w:t>
            </w:r>
            <w:r>
              <w:rPr>
                <w:bCs/>
                <w:color w:val="auto"/>
                <w:szCs w:val="24"/>
                <w:highlight w:val="none"/>
                <w:u w:val="none" w:color="auto"/>
              </w:rPr>
              <w:t>总占地面积</w:t>
            </w:r>
            <w:r>
              <w:rPr>
                <w:rFonts w:hint="eastAsia" w:ascii="Times New Roman" w:eastAsia="宋体"/>
                <w:bCs/>
                <w:color w:val="auto"/>
                <w:szCs w:val="24"/>
                <w:highlight w:val="none"/>
                <w:u w:val="none" w:color="auto"/>
                <w:lang w:val="en-US" w:eastAsia="zh-CN"/>
              </w:rPr>
              <w:t>7000</w:t>
            </w:r>
            <w:r>
              <w:rPr>
                <w:bCs/>
                <w:color w:val="auto"/>
                <w:szCs w:val="24"/>
                <w:highlight w:val="none"/>
                <w:u w:val="none" w:color="auto"/>
              </w:rPr>
              <w:t>m</w:t>
            </w:r>
            <w:r>
              <w:rPr>
                <w:bCs/>
                <w:color w:val="auto"/>
                <w:szCs w:val="24"/>
                <w:highlight w:val="none"/>
                <w:u w:val="none" w:color="auto"/>
                <w:vertAlign w:val="superscript"/>
              </w:rPr>
              <w:t>2</w:t>
            </w:r>
            <w:r>
              <w:rPr>
                <w:color w:val="auto"/>
                <w:szCs w:val="24"/>
                <w:highlight w:val="none"/>
                <w:u w:val="none" w:color="auto"/>
              </w:rPr>
              <w:t>。</w:t>
            </w:r>
            <w:r>
              <w:rPr>
                <w:szCs w:val="24"/>
                <w:highlight w:val="none"/>
                <w:u w:val="none" w:color="auto"/>
              </w:rPr>
              <w:t>主要建设内容包括</w:t>
            </w:r>
            <w:r>
              <w:rPr>
                <w:rFonts w:hint="eastAsia"/>
                <w:szCs w:val="24"/>
                <w:highlight w:val="none"/>
                <w:u w:val="none" w:color="auto"/>
                <w:lang w:val="en-US" w:eastAsia="zh-CN"/>
              </w:rPr>
              <w:t>两栋厂房，分别为9#栋厂房（一楼布置材料仓库；正极、负极配料车间；正极、负极涂布烤箱放置区；正极、负极分条区；二楼布置装配车间；物料仓库；工程维修部；正极、负极制片车间；三楼布置烤箱车间；物料仓库；除湿机房；注液车间；电池高温搁置车间；四楼布置化成、分选车间）、10#栋厂房（一楼布置材料仓库；正极、负极配料车间；正极、负极涂布烤箱放置区；正极、负极分条区；二楼布置装配车间；物料仓库；工程维修部；正极、负极制片车间；三楼布置烤箱车间；物料仓库；除湿机房；注液车间；电池高温搁置车间；四楼布置化成、分选车间）</w:t>
            </w:r>
            <w:r>
              <w:rPr>
                <w:szCs w:val="24"/>
                <w:highlight w:val="none"/>
                <w:u w:val="none" w:color="auto"/>
              </w:rPr>
              <w:t>及其配套公用工程、办公室及环保设施等</w:t>
            </w:r>
            <w:r>
              <w:rPr>
                <w:rFonts w:hint="eastAsia"/>
                <w:szCs w:val="24"/>
                <w:highlight w:val="none"/>
                <w:u w:val="none" w:color="auto"/>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rPr>
                <w:szCs w:val="24"/>
                <w:u w:val="none" w:color="auto"/>
              </w:rPr>
            </w:pPr>
            <w:r>
              <w:rPr>
                <w:szCs w:val="24"/>
                <w:u w:val="none" w:color="auto"/>
              </w:rPr>
              <w:t>项目主要建设内容见表2-</w:t>
            </w:r>
            <w:r>
              <w:rPr>
                <w:rFonts w:hint="eastAsia" w:ascii="Times New Roman" w:eastAsia="宋体"/>
                <w:szCs w:val="24"/>
                <w:u w:val="none" w:color="auto"/>
                <w:lang w:val="en-US" w:eastAsia="zh-CN"/>
              </w:rPr>
              <w:t>1</w:t>
            </w:r>
            <w:r>
              <w:rPr>
                <w:szCs w:val="24"/>
                <w:u w:val="none" w:color="auto"/>
              </w:rPr>
              <w:t>。</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cs="Times New Roman" w:eastAsiaTheme="minorEastAsia"/>
                <w:b/>
                <w:bCs/>
                <w:color w:val="auto"/>
                <w:sz w:val="21"/>
                <w:szCs w:val="21"/>
                <w:highlight w:val="none"/>
                <w:u w:val="none" w:color="auto"/>
              </w:rPr>
            </w:pPr>
            <w:r>
              <w:rPr>
                <w:rFonts w:hint="default" w:ascii="Times New Roman" w:hAnsi="Times New Roman" w:cs="Times New Roman" w:eastAsiaTheme="minorEastAsia"/>
                <w:b/>
                <w:bCs/>
                <w:color w:val="auto"/>
                <w:sz w:val="21"/>
                <w:szCs w:val="21"/>
                <w:highlight w:val="none"/>
                <w:u w:val="none" w:color="auto"/>
              </w:rPr>
              <w:t>表</w:t>
            </w:r>
            <w:r>
              <w:rPr>
                <w:rFonts w:hint="default" w:ascii="Times New Roman" w:hAnsi="Times New Roman" w:cs="Times New Roman" w:eastAsiaTheme="minorEastAsia"/>
                <w:b/>
                <w:bCs/>
                <w:color w:val="auto"/>
                <w:sz w:val="21"/>
                <w:szCs w:val="21"/>
                <w:highlight w:val="none"/>
                <w:u w:val="none" w:color="auto"/>
                <w:lang w:val="en-US" w:eastAsia="zh-CN"/>
              </w:rPr>
              <w:t>2-</w:t>
            </w:r>
            <w:r>
              <w:rPr>
                <w:rFonts w:hint="eastAsia" w:ascii="Times New Roman" w:hAnsi="Times New Roman" w:cs="Times New Roman" w:eastAsiaTheme="minorEastAsia"/>
                <w:b/>
                <w:bCs/>
                <w:color w:val="auto"/>
                <w:sz w:val="21"/>
                <w:szCs w:val="21"/>
                <w:highlight w:val="none"/>
                <w:u w:val="none" w:color="auto"/>
                <w:lang w:val="en-US" w:eastAsia="zh-CN"/>
              </w:rPr>
              <w:t>1</w:t>
            </w:r>
            <w:r>
              <w:rPr>
                <w:rFonts w:hint="default" w:ascii="Times New Roman" w:hAnsi="Times New Roman" w:cs="Times New Roman" w:eastAsiaTheme="minorEastAsia"/>
                <w:b/>
                <w:bCs/>
                <w:color w:val="auto"/>
                <w:sz w:val="21"/>
                <w:szCs w:val="21"/>
                <w:highlight w:val="none"/>
                <w:u w:val="none" w:color="auto"/>
              </w:rPr>
              <w:t xml:space="preserve"> 主要建设内容一览表</w:t>
            </w:r>
          </w:p>
          <w:tbl>
            <w:tblPr>
              <w:tblStyle w:val="23"/>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6"/>
              <w:gridCol w:w="1154"/>
              <w:gridCol w:w="5804"/>
              <w:gridCol w:w="6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r>
                    <w:rPr>
                      <w:rFonts w:hint="default" w:ascii="Times New Roman" w:hAnsi="Times New Roman" w:eastAsia="宋体" w:cs="Times New Roman"/>
                      <w:color w:val="auto"/>
                      <w:sz w:val="21"/>
                      <w:szCs w:val="21"/>
                      <w:highlight w:val="none"/>
                      <w:u w:val="none" w:color="auto"/>
                      <w:lang w:val="en-US" w:eastAsia="zh-CN"/>
                    </w:rPr>
                    <w:t>类别</w:t>
                  </w: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r>
                    <w:rPr>
                      <w:rFonts w:hint="default" w:ascii="Times New Roman" w:hAnsi="Times New Roman" w:eastAsia="宋体" w:cs="Times New Roman"/>
                      <w:color w:val="auto"/>
                      <w:sz w:val="21"/>
                      <w:szCs w:val="21"/>
                      <w:highlight w:val="none"/>
                      <w:u w:val="none" w:color="auto"/>
                      <w:lang w:val="en-US" w:eastAsia="zh-CN"/>
                    </w:rPr>
                    <w:t>名称</w:t>
                  </w:r>
                </w:p>
              </w:tc>
              <w:tc>
                <w:tcPr>
                  <w:tcW w:w="3651" w:type="pct"/>
                  <w:gridSpan w:val="2"/>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r>
                    <w:rPr>
                      <w:rFonts w:hint="default" w:ascii="Times New Roman" w:hAnsi="Times New Roman" w:eastAsia="宋体" w:cs="Times New Roman"/>
                      <w:color w:val="auto"/>
                      <w:sz w:val="21"/>
                      <w:szCs w:val="21"/>
                      <w:highlight w:val="none"/>
                      <w:u w:val="none" w:color="auto"/>
                      <w:lang w:val="en-US" w:eastAsia="zh-CN"/>
                    </w:rPr>
                    <w:t>建设内容及规模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restar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18"/>
                      <w:szCs w:val="18"/>
                      <w:highlight w:val="none"/>
                    </w:rPr>
                  </w:pPr>
                  <w:r>
                    <w:rPr>
                      <w:rFonts w:hint="default"/>
                      <w:b w:val="0"/>
                      <w:bCs w:val="0"/>
                      <w:sz w:val="21"/>
                      <w:szCs w:val="21"/>
                      <w:highlight w:val="none"/>
                    </w:rPr>
                    <w:t>主体工程</w:t>
                  </w: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lang w:val="en-US" w:eastAsia="zh-CN"/>
                    </w:rPr>
                  </w:pPr>
                  <w:r>
                    <w:rPr>
                      <w:rFonts w:hint="eastAsia"/>
                      <w:b w:val="0"/>
                      <w:bCs w:val="0"/>
                      <w:sz w:val="21"/>
                      <w:szCs w:val="21"/>
                      <w:highlight w:val="none"/>
                      <w:lang w:val="en-US" w:eastAsia="zh-CN"/>
                    </w:rPr>
                    <w:t>9#栋一楼</w:t>
                  </w:r>
                </w:p>
              </w:tc>
              <w:tc>
                <w:tcPr>
                  <w:tcW w:w="3273" w:type="pct"/>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Cs w:val="18"/>
                      <w:highlight w:val="none"/>
                      <w:lang w:val="en-US" w:eastAsia="zh-CN"/>
                    </w:rPr>
                  </w:pPr>
                  <w:r>
                    <w:rPr>
                      <w:rFonts w:hint="eastAsia" w:ascii="宋体" w:hAnsi="宋体" w:eastAsia="宋体" w:cs="宋体"/>
                      <w:b w:val="0"/>
                      <w:bCs w:val="0"/>
                      <w:color w:val="000000"/>
                      <w:kern w:val="0"/>
                      <w:sz w:val="21"/>
                      <w:szCs w:val="21"/>
                      <w:highlight w:val="none"/>
                      <w:lang w:val="en-US" w:eastAsia="zh-CN" w:bidi="ar"/>
                    </w:rPr>
                    <w:t>布置</w:t>
                  </w:r>
                  <w:r>
                    <w:rPr>
                      <w:rFonts w:hint="eastAsia" w:ascii="宋体" w:hAnsi="宋体" w:cs="宋体"/>
                      <w:b w:val="0"/>
                      <w:bCs w:val="0"/>
                      <w:color w:val="000000"/>
                      <w:kern w:val="0"/>
                      <w:sz w:val="21"/>
                      <w:szCs w:val="21"/>
                      <w:highlight w:val="none"/>
                      <w:lang w:val="en-US" w:eastAsia="zh-CN" w:bidi="ar"/>
                    </w:rPr>
                    <w:t>材料仓库；正极、负极配料车间；正极、负极涂布烤箱放置区；正极、负极分条区</w:t>
                  </w:r>
                </w:p>
              </w:tc>
              <w:tc>
                <w:tcPr>
                  <w:tcW w:w="377" w:type="pct"/>
                  <w:vMerge w:val="restar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18"/>
                      <w:szCs w:val="18"/>
                      <w:highlight w:val="none"/>
                      <w:lang w:val="en-US" w:eastAsia="zh-CN"/>
                    </w:rPr>
                  </w:pPr>
                  <w:r>
                    <w:rPr>
                      <w:rFonts w:hint="eastAsia"/>
                      <w:b w:val="0"/>
                      <w:bCs w:val="0"/>
                      <w:sz w:val="21"/>
                      <w:szCs w:val="21"/>
                      <w:highlight w:val="none"/>
                      <w:lang w:val="en-US" w:eastAsia="zh-CN"/>
                    </w:rPr>
                    <w:t>租赁开发区标准厂房进装修改造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b w:val="0"/>
                      <w:bCs w:val="0"/>
                      <w:sz w:val="18"/>
                      <w:szCs w:val="18"/>
                      <w:highlight w:val="none"/>
                    </w:rPr>
                  </w:pP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lang w:val="en-US" w:eastAsia="zh-CN"/>
                    </w:rPr>
                  </w:pPr>
                  <w:r>
                    <w:rPr>
                      <w:rFonts w:hint="eastAsia"/>
                      <w:b w:val="0"/>
                      <w:bCs w:val="0"/>
                      <w:sz w:val="21"/>
                      <w:szCs w:val="21"/>
                      <w:highlight w:val="none"/>
                      <w:lang w:val="en-US" w:eastAsia="zh-CN"/>
                    </w:rPr>
                    <w:t>9#栋二楼</w:t>
                  </w:r>
                </w:p>
              </w:tc>
              <w:tc>
                <w:tcPr>
                  <w:tcW w:w="3273" w:type="pct"/>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Cs w:val="18"/>
                      <w:highlight w:val="none"/>
                      <w:lang w:val="en-US" w:eastAsia="zh-CN"/>
                    </w:rPr>
                  </w:pPr>
                  <w:r>
                    <w:rPr>
                      <w:rFonts w:hint="eastAsia" w:ascii="宋体" w:hAnsi="宋体" w:eastAsia="宋体" w:cs="宋体"/>
                      <w:b w:val="0"/>
                      <w:bCs w:val="0"/>
                      <w:color w:val="000000"/>
                      <w:kern w:val="0"/>
                      <w:sz w:val="21"/>
                      <w:szCs w:val="21"/>
                      <w:highlight w:val="none"/>
                      <w:lang w:val="en-US" w:eastAsia="zh-CN" w:bidi="ar"/>
                    </w:rPr>
                    <w:t>布置</w:t>
                  </w:r>
                  <w:r>
                    <w:rPr>
                      <w:rFonts w:hint="eastAsia" w:ascii="宋体" w:hAnsi="宋体" w:cs="宋体"/>
                      <w:b w:val="0"/>
                      <w:bCs w:val="0"/>
                      <w:color w:val="000000"/>
                      <w:kern w:val="0"/>
                      <w:sz w:val="21"/>
                      <w:szCs w:val="21"/>
                      <w:highlight w:val="none"/>
                      <w:lang w:val="en-US" w:eastAsia="zh-CN" w:bidi="ar"/>
                    </w:rPr>
                    <w:t>装配车间；物料仓库；工程维修部；正极、负极制片车间</w:t>
                  </w:r>
                </w:p>
              </w:tc>
              <w:tc>
                <w:tcPr>
                  <w:tcW w:w="37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18"/>
                      <w:szCs w:val="18"/>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b w:val="0"/>
                      <w:bCs w:val="0"/>
                      <w:sz w:val="18"/>
                      <w:szCs w:val="18"/>
                      <w:highlight w:val="none"/>
                    </w:rPr>
                  </w:pP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lang w:val="en-US" w:eastAsia="zh-CN"/>
                    </w:rPr>
                  </w:pPr>
                  <w:r>
                    <w:rPr>
                      <w:rFonts w:hint="eastAsia"/>
                      <w:b w:val="0"/>
                      <w:bCs w:val="0"/>
                      <w:sz w:val="21"/>
                      <w:szCs w:val="21"/>
                      <w:highlight w:val="none"/>
                      <w:lang w:val="en-US" w:eastAsia="zh-CN"/>
                    </w:rPr>
                    <w:t>9#栋三楼</w:t>
                  </w:r>
                </w:p>
              </w:tc>
              <w:tc>
                <w:tcPr>
                  <w:tcW w:w="3273"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18"/>
                      <w:szCs w:val="18"/>
                      <w:highlight w:val="none"/>
                      <w:lang w:val="en-US" w:eastAsia="zh-CN"/>
                    </w:rPr>
                  </w:pPr>
                  <w:r>
                    <w:rPr>
                      <w:rFonts w:hint="eastAsia"/>
                      <w:b w:val="0"/>
                      <w:bCs w:val="0"/>
                      <w:sz w:val="21"/>
                      <w:szCs w:val="21"/>
                      <w:highlight w:val="none"/>
                      <w:lang w:val="en-US" w:eastAsia="zh-CN"/>
                    </w:rPr>
                    <w:t>布置烤箱车间；物料仓库；除湿机房；注液车间；电池高温搁置车间</w:t>
                  </w:r>
                </w:p>
              </w:tc>
              <w:tc>
                <w:tcPr>
                  <w:tcW w:w="37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18"/>
                      <w:szCs w:val="18"/>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b w:val="0"/>
                      <w:bCs w:val="0"/>
                      <w:sz w:val="18"/>
                      <w:szCs w:val="18"/>
                      <w:highlight w:val="none"/>
                    </w:rPr>
                  </w:pP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lang w:val="en-US" w:eastAsia="zh-CN"/>
                    </w:rPr>
                  </w:pPr>
                  <w:r>
                    <w:rPr>
                      <w:rFonts w:hint="eastAsia"/>
                      <w:b w:val="0"/>
                      <w:bCs w:val="0"/>
                      <w:sz w:val="21"/>
                      <w:szCs w:val="21"/>
                      <w:highlight w:val="none"/>
                      <w:lang w:val="en-US" w:eastAsia="zh-CN"/>
                    </w:rPr>
                    <w:t>9#栋四楼</w:t>
                  </w:r>
                </w:p>
              </w:tc>
              <w:tc>
                <w:tcPr>
                  <w:tcW w:w="3273"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18"/>
                      <w:szCs w:val="18"/>
                      <w:highlight w:val="none"/>
                      <w:lang w:val="en-US" w:eastAsia="zh-CN"/>
                    </w:rPr>
                  </w:pPr>
                  <w:r>
                    <w:rPr>
                      <w:rFonts w:hint="eastAsia"/>
                      <w:b w:val="0"/>
                      <w:bCs w:val="0"/>
                      <w:sz w:val="21"/>
                      <w:szCs w:val="21"/>
                      <w:highlight w:val="none"/>
                      <w:lang w:val="en-US" w:eastAsia="zh-CN"/>
                    </w:rPr>
                    <w:t>布置化成、分选车间</w:t>
                  </w:r>
                </w:p>
              </w:tc>
              <w:tc>
                <w:tcPr>
                  <w:tcW w:w="37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18"/>
                      <w:szCs w:val="18"/>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b w:val="0"/>
                      <w:bCs w:val="0"/>
                      <w:sz w:val="18"/>
                      <w:szCs w:val="18"/>
                      <w:highlight w:val="none"/>
                    </w:rPr>
                  </w:pP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lang w:val="en-US" w:eastAsia="zh-CN"/>
                    </w:rPr>
                  </w:pPr>
                  <w:r>
                    <w:rPr>
                      <w:rFonts w:hint="eastAsia"/>
                      <w:b w:val="0"/>
                      <w:bCs w:val="0"/>
                      <w:sz w:val="21"/>
                      <w:szCs w:val="21"/>
                      <w:highlight w:val="none"/>
                      <w:lang w:val="en-US" w:eastAsia="zh-CN"/>
                    </w:rPr>
                    <w:t>10#栋一楼</w:t>
                  </w:r>
                </w:p>
              </w:tc>
              <w:tc>
                <w:tcPr>
                  <w:tcW w:w="3273" w:type="pct"/>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auto"/>
                    <w:rPr>
                      <w:rFonts w:hint="eastAsia"/>
                      <w:b w:val="0"/>
                      <w:bCs w:val="0"/>
                      <w:sz w:val="18"/>
                      <w:szCs w:val="18"/>
                      <w:highlight w:val="none"/>
                      <w:lang w:val="en-US" w:eastAsia="zh-CN"/>
                    </w:rPr>
                  </w:pPr>
                  <w:r>
                    <w:rPr>
                      <w:rFonts w:hint="eastAsia" w:ascii="宋体" w:hAnsi="宋体" w:eastAsia="宋体" w:cs="宋体"/>
                      <w:b w:val="0"/>
                      <w:bCs w:val="0"/>
                      <w:color w:val="000000"/>
                      <w:kern w:val="0"/>
                      <w:sz w:val="21"/>
                      <w:szCs w:val="21"/>
                      <w:highlight w:val="none"/>
                      <w:lang w:val="en-US" w:eastAsia="zh-CN" w:bidi="ar"/>
                    </w:rPr>
                    <w:t>布置</w:t>
                  </w:r>
                  <w:r>
                    <w:rPr>
                      <w:rFonts w:hint="eastAsia" w:ascii="宋体" w:hAnsi="宋体" w:cs="宋体"/>
                      <w:b w:val="0"/>
                      <w:bCs w:val="0"/>
                      <w:color w:val="000000"/>
                      <w:kern w:val="0"/>
                      <w:sz w:val="21"/>
                      <w:szCs w:val="21"/>
                      <w:highlight w:val="none"/>
                      <w:lang w:val="en-US" w:eastAsia="zh-CN" w:bidi="ar"/>
                    </w:rPr>
                    <w:t>材料仓库；正极、负极配料车间；正极、负极涂布烤箱放置区；正极、负极分条区</w:t>
                  </w:r>
                </w:p>
              </w:tc>
              <w:tc>
                <w:tcPr>
                  <w:tcW w:w="37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18"/>
                      <w:szCs w:val="18"/>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b w:val="0"/>
                      <w:bCs w:val="0"/>
                      <w:sz w:val="18"/>
                      <w:szCs w:val="18"/>
                      <w:highlight w:val="none"/>
                    </w:rPr>
                  </w:pP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lang w:val="en-US" w:eastAsia="zh-CN"/>
                    </w:rPr>
                  </w:pPr>
                  <w:r>
                    <w:rPr>
                      <w:rFonts w:hint="eastAsia"/>
                      <w:b w:val="0"/>
                      <w:bCs w:val="0"/>
                      <w:sz w:val="21"/>
                      <w:szCs w:val="21"/>
                      <w:highlight w:val="none"/>
                      <w:lang w:val="en-US" w:eastAsia="zh-CN"/>
                    </w:rPr>
                    <w:t>10#栋二楼</w:t>
                  </w:r>
                </w:p>
              </w:tc>
              <w:tc>
                <w:tcPr>
                  <w:tcW w:w="3273" w:type="pct"/>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both"/>
                    <w:textAlignment w:val="auto"/>
                    <w:rPr>
                      <w:rFonts w:hint="default" w:ascii="宋体" w:hAnsi="宋体" w:eastAsia="宋体" w:cs="宋体"/>
                      <w:b w:val="0"/>
                      <w:bCs w:val="0"/>
                      <w:color w:val="000000"/>
                      <w:kern w:val="0"/>
                      <w:sz w:val="21"/>
                      <w:szCs w:val="21"/>
                      <w:highlight w:val="none"/>
                      <w:lang w:val="en-US" w:eastAsia="zh-CN" w:bidi="ar"/>
                    </w:rPr>
                  </w:pPr>
                  <w:r>
                    <w:rPr>
                      <w:rFonts w:hint="eastAsia" w:ascii="宋体" w:hAnsi="宋体" w:eastAsia="宋体" w:cs="宋体"/>
                      <w:b w:val="0"/>
                      <w:bCs w:val="0"/>
                      <w:color w:val="000000"/>
                      <w:kern w:val="0"/>
                      <w:sz w:val="21"/>
                      <w:szCs w:val="21"/>
                      <w:highlight w:val="none"/>
                      <w:lang w:val="en-US" w:eastAsia="zh-CN" w:bidi="ar"/>
                    </w:rPr>
                    <w:t>布置</w:t>
                  </w:r>
                  <w:r>
                    <w:rPr>
                      <w:rFonts w:hint="eastAsia" w:ascii="宋体" w:hAnsi="宋体" w:cs="宋体"/>
                      <w:b w:val="0"/>
                      <w:bCs w:val="0"/>
                      <w:color w:val="000000"/>
                      <w:kern w:val="0"/>
                      <w:sz w:val="21"/>
                      <w:szCs w:val="21"/>
                      <w:highlight w:val="none"/>
                      <w:lang w:val="en-US" w:eastAsia="zh-CN" w:bidi="ar"/>
                    </w:rPr>
                    <w:t>装配车间；物料仓库；工程维修部；正极、负极制片车间</w:t>
                  </w:r>
                </w:p>
              </w:tc>
              <w:tc>
                <w:tcPr>
                  <w:tcW w:w="37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18"/>
                      <w:szCs w:val="18"/>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b w:val="0"/>
                      <w:bCs w:val="0"/>
                      <w:sz w:val="18"/>
                      <w:szCs w:val="18"/>
                      <w:highlight w:val="none"/>
                    </w:rPr>
                  </w:pP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eastAsia"/>
                      <w:b w:val="0"/>
                      <w:bCs w:val="0"/>
                      <w:sz w:val="21"/>
                      <w:szCs w:val="21"/>
                      <w:highlight w:val="none"/>
                      <w:lang w:val="en-US" w:eastAsia="zh-CN"/>
                    </w:rPr>
                  </w:pPr>
                  <w:r>
                    <w:rPr>
                      <w:rFonts w:hint="eastAsia"/>
                      <w:b w:val="0"/>
                      <w:bCs w:val="0"/>
                      <w:sz w:val="21"/>
                      <w:szCs w:val="21"/>
                      <w:highlight w:val="none"/>
                      <w:lang w:val="en-US" w:eastAsia="zh-CN"/>
                    </w:rPr>
                    <w:t>10#栋三楼</w:t>
                  </w:r>
                </w:p>
              </w:tc>
              <w:tc>
                <w:tcPr>
                  <w:tcW w:w="3273"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ascii="宋体" w:hAnsi="宋体" w:eastAsia="宋体" w:cs="宋体"/>
                      <w:b w:val="0"/>
                      <w:bCs w:val="0"/>
                      <w:color w:val="000000"/>
                      <w:kern w:val="0"/>
                      <w:sz w:val="21"/>
                      <w:szCs w:val="21"/>
                      <w:highlight w:val="none"/>
                      <w:lang w:val="en-US" w:eastAsia="zh-CN" w:bidi="ar"/>
                    </w:rPr>
                  </w:pPr>
                  <w:r>
                    <w:rPr>
                      <w:rFonts w:hint="eastAsia"/>
                      <w:b w:val="0"/>
                      <w:bCs w:val="0"/>
                      <w:sz w:val="21"/>
                      <w:szCs w:val="21"/>
                      <w:highlight w:val="none"/>
                      <w:lang w:val="en-US" w:eastAsia="zh-CN"/>
                    </w:rPr>
                    <w:t>布置烤箱车间；物料仓库；除湿机房；注液车间；电池高温搁置车间</w:t>
                  </w:r>
                </w:p>
              </w:tc>
              <w:tc>
                <w:tcPr>
                  <w:tcW w:w="37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18"/>
                      <w:szCs w:val="18"/>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b w:val="0"/>
                      <w:bCs w:val="0"/>
                      <w:sz w:val="18"/>
                      <w:szCs w:val="18"/>
                      <w:highlight w:val="none"/>
                    </w:rPr>
                  </w:pP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eastAsia"/>
                      <w:b w:val="0"/>
                      <w:bCs w:val="0"/>
                      <w:sz w:val="21"/>
                      <w:szCs w:val="21"/>
                      <w:highlight w:val="none"/>
                      <w:lang w:val="en-US" w:eastAsia="zh-CN"/>
                    </w:rPr>
                  </w:pPr>
                  <w:r>
                    <w:rPr>
                      <w:rFonts w:hint="eastAsia"/>
                      <w:b w:val="0"/>
                      <w:bCs w:val="0"/>
                      <w:sz w:val="21"/>
                      <w:szCs w:val="21"/>
                      <w:highlight w:val="none"/>
                      <w:lang w:val="en-US" w:eastAsia="zh-CN"/>
                    </w:rPr>
                    <w:t>10#栋四楼</w:t>
                  </w:r>
                </w:p>
              </w:tc>
              <w:tc>
                <w:tcPr>
                  <w:tcW w:w="3273"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eastAsia" w:ascii="宋体" w:hAnsi="宋体" w:eastAsia="宋体" w:cs="宋体"/>
                      <w:b w:val="0"/>
                      <w:bCs w:val="0"/>
                      <w:color w:val="000000"/>
                      <w:kern w:val="0"/>
                      <w:sz w:val="21"/>
                      <w:szCs w:val="21"/>
                      <w:highlight w:val="none"/>
                      <w:lang w:val="en-US" w:eastAsia="zh-CN" w:bidi="ar"/>
                    </w:rPr>
                  </w:pPr>
                  <w:r>
                    <w:rPr>
                      <w:rFonts w:hint="eastAsia"/>
                      <w:b w:val="0"/>
                      <w:bCs w:val="0"/>
                      <w:sz w:val="21"/>
                      <w:szCs w:val="21"/>
                      <w:highlight w:val="none"/>
                      <w:lang w:val="en-US" w:eastAsia="zh-CN"/>
                    </w:rPr>
                    <w:t>布置化成、分选车间</w:t>
                  </w:r>
                </w:p>
              </w:tc>
              <w:tc>
                <w:tcPr>
                  <w:tcW w:w="37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18"/>
                      <w:szCs w:val="18"/>
                      <w:highlight w:val="no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697" w:type="pct"/>
                  <w:vMerge w:val="restart"/>
                  <w:tcBorders>
                    <w:top w:val="single" w:color="auto" w:sz="4" w:space="0"/>
                  </w:tcBorders>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r>
                    <w:rPr>
                      <w:rFonts w:hint="default"/>
                      <w:b w:val="0"/>
                      <w:bCs w:val="0"/>
                      <w:sz w:val="21"/>
                      <w:szCs w:val="21"/>
                      <w:highlight w:val="none"/>
                    </w:rPr>
                    <w:t>公用工程</w:t>
                  </w:r>
                </w:p>
              </w:tc>
              <w:tc>
                <w:tcPr>
                  <w:tcW w:w="651" w:type="pct"/>
                  <w:tcBorders>
                    <w:top w:val="single" w:color="auto" w:sz="4" w:space="0"/>
                  </w:tcBorders>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r>
                    <w:rPr>
                      <w:rFonts w:hint="default"/>
                      <w:b w:val="0"/>
                      <w:bCs w:val="0"/>
                      <w:sz w:val="21"/>
                      <w:szCs w:val="21"/>
                      <w:highlight w:val="none"/>
                    </w:rPr>
                    <w:t>供水</w:t>
                  </w:r>
                </w:p>
              </w:tc>
              <w:tc>
                <w:tcPr>
                  <w:tcW w:w="3651" w:type="pct"/>
                  <w:gridSpan w:val="2"/>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21"/>
                      <w:szCs w:val="21"/>
                      <w:highlight w:val="none"/>
                    </w:rPr>
                  </w:pPr>
                  <w:r>
                    <w:rPr>
                      <w:rFonts w:hint="default"/>
                      <w:b w:val="0"/>
                      <w:bCs w:val="0"/>
                      <w:sz w:val="21"/>
                      <w:szCs w:val="21"/>
                      <w:highlight w:val="none"/>
                    </w:rPr>
                    <w:t>依托</w:t>
                  </w:r>
                  <w:r>
                    <w:rPr>
                      <w:rFonts w:hint="eastAsia"/>
                      <w:b w:val="0"/>
                      <w:bCs w:val="0"/>
                      <w:sz w:val="21"/>
                      <w:szCs w:val="21"/>
                      <w:highlight w:val="none"/>
                      <w:lang w:eastAsia="zh-CN"/>
                    </w:rPr>
                    <w:t>开发区</w:t>
                  </w:r>
                  <w:r>
                    <w:rPr>
                      <w:rFonts w:hint="default"/>
                      <w:b w:val="0"/>
                      <w:bCs w:val="0"/>
                      <w:sz w:val="21"/>
                      <w:szCs w:val="21"/>
                      <w:highlight w:val="none"/>
                    </w:rPr>
                    <w:t>供水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p>
              </w:tc>
              <w:tc>
                <w:tcPr>
                  <w:tcW w:w="651" w:type="pct"/>
                  <w:tcBorders>
                    <w:top w:val="single" w:color="auto" w:sz="4" w:space="0"/>
                  </w:tcBorders>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r>
                    <w:rPr>
                      <w:rFonts w:hint="default"/>
                      <w:b w:val="0"/>
                      <w:bCs w:val="0"/>
                      <w:sz w:val="21"/>
                      <w:szCs w:val="21"/>
                      <w:highlight w:val="none"/>
                    </w:rPr>
                    <w:t>供电</w:t>
                  </w:r>
                </w:p>
              </w:tc>
              <w:tc>
                <w:tcPr>
                  <w:tcW w:w="3651" w:type="pct"/>
                  <w:gridSpan w:val="2"/>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21"/>
                      <w:szCs w:val="21"/>
                      <w:highlight w:val="none"/>
                    </w:rPr>
                  </w:pPr>
                  <w:r>
                    <w:rPr>
                      <w:rFonts w:hint="default"/>
                      <w:b w:val="0"/>
                      <w:bCs w:val="0"/>
                      <w:sz w:val="21"/>
                      <w:szCs w:val="21"/>
                      <w:highlight w:val="none"/>
                    </w:rPr>
                    <w:t>依托</w:t>
                  </w:r>
                  <w:r>
                    <w:rPr>
                      <w:rFonts w:hint="eastAsia"/>
                      <w:b w:val="0"/>
                      <w:bCs w:val="0"/>
                      <w:sz w:val="21"/>
                      <w:szCs w:val="21"/>
                      <w:highlight w:val="none"/>
                      <w:lang w:eastAsia="zh-CN"/>
                    </w:rPr>
                    <w:t>开发区</w:t>
                  </w:r>
                  <w:r>
                    <w:rPr>
                      <w:rFonts w:hint="default"/>
                      <w:b w:val="0"/>
                      <w:bCs w:val="0"/>
                      <w:sz w:val="21"/>
                      <w:szCs w:val="21"/>
                      <w:highlight w:val="none"/>
                    </w:rPr>
                    <w:t>供电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restar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r>
                    <w:rPr>
                      <w:rFonts w:hint="default"/>
                      <w:b w:val="0"/>
                      <w:bCs w:val="0"/>
                      <w:sz w:val="21"/>
                      <w:szCs w:val="21"/>
                      <w:highlight w:val="none"/>
                    </w:rPr>
                    <w:t>环保工程</w:t>
                  </w: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r>
                    <w:rPr>
                      <w:rFonts w:hint="default"/>
                      <w:b w:val="0"/>
                      <w:bCs w:val="0"/>
                      <w:sz w:val="21"/>
                      <w:szCs w:val="21"/>
                      <w:highlight w:val="none"/>
                    </w:rPr>
                    <w:t>废气</w:t>
                  </w:r>
                </w:p>
              </w:tc>
              <w:tc>
                <w:tcPr>
                  <w:tcW w:w="3651" w:type="pct"/>
                  <w:gridSpan w:val="2"/>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cs="Times New Roman"/>
                      <w:b w:val="0"/>
                      <w:bCs w:val="0"/>
                      <w:color w:val="auto"/>
                      <w:sz w:val="21"/>
                      <w:szCs w:val="21"/>
                      <w:highlight w:val="none"/>
                      <w:lang w:val="en-US" w:eastAsia="zh-CN"/>
                    </w:rPr>
                  </w:pPr>
                  <w:r>
                    <w:rPr>
                      <w:rFonts w:hint="default" w:ascii="Times New Roman" w:hAnsi="Times New Roman" w:cs="Times New Roman"/>
                      <w:b w:val="0"/>
                      <w:bCs w:val="0"/>
                      <w:color w:val="auto"/>
                      <w:sz w:val="21"/>
                      <w:szCs w:val="21"/>
                      <w:highlight w:val="none"/>
                      <w:lang w:val="en-US" w:eastAsia="zh-CN"/>
                    </w:rPr>
                    <w:t>NMP废气</w:t>
                  </w:r>
                  <w:r>
                    <w:rPr>
                      <w:rFonts w:hint="eastAsia" w:cs="Times New Roman"/>
                      <w:b w:val="0"/>
                      <w:bCs w:val="0"/>
                      <w:color w:val="auto"/>
                      <w:sz w:val="21"/>
                      <w:szCs w:val="21"/>
                      <w:highlight w:val="none"/>
                      <w:lang w:val="en-US" w:eastAsia="zh-CN"/>
                    </w:rPr>
                    <w:t>：拟设计一套NMP回收系统（三级降温冷凝+水喷淋）+尾气处理系统（活性炭+回风循环），经处理后的废气由管道引至楼顶排放</w:t>
                  </w:r>
                </w:p>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eastAsia" w:cs="Times New Roman"/>
                      <w:b w:val="0"/>
                      <w:bCs w:val="0"/>
                      <w:color w:val="auto"/>
                      <w:sz w:val="21"/>
                      <w:szCs w:val="21"/>
                      <w:highlight w:val="none"/>
                      <w:lang w:val="en-US" w:eastAsia="zh-CN"/>
                    </w:rPr>
                  </w:pPr>
                  <w:r>
                    <w:rPr>
                      <w:rFonts w:hint="eastAsia" w:cs="Times New Roman"/>
                      <w:b w:val="0"/>
                      <w:bCs w:val="0"/>
                      <w:color w:val="auto"/>
                      <w:sz w:val="21"/>
                      <w:szCs w:val="21"/>
                      <w:highlight w:val="none"/>
                      <w:lang w:val="en-US" w:eastAsia="zh-CN"/>
                    </w:rPr>
                    <w:t>装卸粉尘：加强管理、减少无组织排放</w:t>
                  </w:r>
                </w:p>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21"/>
                      <w:szCs w:val="21"/>
                      <w:highlight w:val="none"/>
                      <w:lang w:val="en-US" w:eastAsia="zh-CN"/>
                    </w:rPr>
                  </w:pPr>
                  <w:r>
                    <w:rPr>
                      <w:rFonts w:hint="eastAsia" w:cs="Times New Roman"/>
                      <w:b w:val="0"/>
                      <w:bCs w:val="0"/>
                      <w:color w:val="auto"/>
                      <w:sz w:val="21"/>
                      <w:szCs w:val="21"/>
                      <w:highlight w:val="none"/>
                      <w:lang w:val="en-US" w:eastAsia="zh-CN"/>
                    </w:rPr>
                    <w:t>食堂油烟：油烟净化器+烟道排放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r>
                    <w:rPr>
                      <w:rFonts w:hint="default"/>
                      <w:b w:val="0"/>
                      <w:bCs w:val="0"/>
                      <w:sz w:val="21"/>
                      <w:szCs w:val="21"/>
                      <w:highlight w:val="none"/>
                    </w:rPr>
                    <w:t>废水</w:t>
                  </w:r>
                </w:p>
              </w:tc>
              <w:tc>
                <w:tcPr>
                  <w:tcW w:w="3651" w:type="pct"/>
                  <w:gridSpan w:val="2"/>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eastAsia"/>
                      <w:b w:val="0"/>
                      <w:bCs w:val="0"/>
                      <w:sz w:val="21"/>
                      <w:szCs w:val="21"/>
                      <w:highlight w:val="none"/>
                      <w:lang w:val="en-US" w:eastAsia="zh-CN"/>
                    </w:rPr>
                  </w:pPr>
                  <w:r>
                    <w:rPr>
                      <w:rFonts w:hint="eastAsia"/>
                      <w:b w:val="0"/>
                      <w:bCs w:val="0"/>
                      <w:sz w:val="21"/>
                      <w:szCs w:val="21"/>
                      <w:highlight w:val="none"/>
                      <w:lang w:val="en-US" w:eastAsia="zh-CN"/>
                    </w:rPr>
                    <w:t>生活污水：经化粪池处理后排入开发区污水管网进入新田县污水处理厂进行深度处理</w:t>
                  </w:r>
                </w:p>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eastAsia"/>
                      <w:b w:val="0"/>
                      <w:bCs w:val="0"/>
                      <w:sz w:val="21"/>
                      <w:szCs w:val="21"/>
                      <w:highlight w:val="none"/>
                      <w:lang w:val="en-US" w:eastAsia="zh-CN"/>
                    </w:rPr>
                  </w:pPr>
                  <w:r>
                    <w:rPr>
                      <w:rFonts w:hint="eastAsia"/>
                      <w:b w:val="0"/>
                      <w:bCs w:val="0"/>
                      <w:sz w:val="21"/>
                      <w:szCs w:val="21"/>
                      <w:highlight w:val="none"/>
                      <w:lang w:val="en-US" w:eastAsia="zh-CN"/>
                    </w:rPr>
                    <w:t>搅拌桶清洗废水、电池清洗废水：经三级沉淀池+水处理试剂预处理后排入开发区污水管网进入新田县污水处理厂进行深度处理</w:t>
                  </w:r>
                </w:p>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eastAsia"/>
                      <w:b w:val="0"/>
                      <w:bCs w:val="0"/>
                      <w:sz w:val="21"/>
                      <w:szCs w:val="21"/>
                      <w:highlight w:val="none"/>
                      <w:lang w:val="en-US" w:eastAsia="zh-CN"/>
                    </w:rPr>
                  </w:pPr>
                  <w:r>
                    <w:rPr>
                      <w:rFonts w:hint="eastAsia"/>
                      <w:b w:val="0"/>
                      <w:bCs w:val="0"/>
                      <w:sz w:val="21"/>
                      <w:szCs w:val="21"/>
                      <w:highlight w:val="none"/>
                      <w:lang w:val="en-US" w:eastAsia="zh-CN"/>
                    </w:rPr>
                    <w:t>循环冷却水：经冷却塔冷却后循环使用</w:t>
                  </w:r>
                </w:p>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21"/>
                      <w:szCs w:val="21"/>
                      <w:highlight w:val="none"/>
                      <w:lang w:val="en-US" w:eastAsia="zh-CN"/>
                    </w:rPr>
                  </w:pPr>
                  <w:r>
                    <w:rPr>
                      <w:rFonts w:hint="eastAsia"/>
                      <w:b w:val="0"/>
                      <w:bCs w:val="0"/>
                      <w:sz w:val="21"/>
                      <w:szCs w:val="21"/>
                      <w:highlight w:val="none"/>
                      <w:lang w:val="en-US" w:eastAsia="zh-CN"/>
                    </w:rPr>
                    <w:t>喷淋废水：交由供应商回收替换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r>
                    <w:rPr>
                      <w:rFonts w:hint="default"/>
                      <w:b w:val="0"/>
                      <w:bCs w:val="0"/>
                      <w:sz w:val="21"/>
                      <w:szCs w:val="21"/>
                      <w:highlight w:val="none"/>
                    </w:rPr>
                    <w:t>噪声</w:t>
                  </w:r>
                </w:p>
              </w:tc>
              <w:tc>
                <w:tcPr>
                  <w:tcW w:w="3651" w:type="pct"/>
                  <w:gridSpan w:val="2"/>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21"/>
                      <w:szCs w:val="21"/>
                      <w:highlight w:val="none"/>
                    </w:rPr>
                  </w:pPr>
                  <w:r>
                    <w:rPr>
                      <w:rFonts w:hint="default"/>
                      <w:b w:val="0"/>
                      <w:bCs w:val="0"/>
                      <w:sz w:val="21"/>
                      <w:szCs w:val="21"/>
                      <w:highlight w:val="none"/>
                      <w:lang w:val="en-US" w:eastAsia="zh-CN"/>
                    </w:rPr>
                    <w:t>基础减振、合理布局、厂房隔声、低噪声设备、定期保养等措施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697" w:type="pct"/>
                  <w:vMerge w:val="continue"/>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p>
              </w:tc>
              <w:tc>
                <w:tcPr>
                  <w:tcW w:w="651" w:type="pct"/>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b w:val="0"/>
                      <w:bCs w:val="0"/>
                      <w:sz w:val="21"/>
                      <w:szCs w:val="21"/>
                      <w:highlight w:val="none"/>
                    </w:rPr>
                  </w:pPr>
                  <w:r>
                    <w:rPr>
                      <w:rFonts w:hint="default"/>
                      <w:b w:val="0"/>
                      <w:bCs w:val="0"/>
                      <w:sz w:val="21"/>
                      <w:szCs w:val="21"/>
                      <w:highlight w:val="none"/>
                    </w:rPr>
                    <w:t>固废</w:t>
                  </w:r>
                </w:p>
              </w:tc>
              <w:tc>
                <w:tcPr>
                  <w:tcW w:w="3651" w:type="pct"/>
                  <w:gridSpan w:val="2"/>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both"/>
                    <w:textAlignment w:val="auto"/>
                    <w:rPr>
                      <w:rFonts w:hint="default"/>
                      <w:b w:val="0"/>
                      <w:bCs w:val="0"/>
                      <w:sz w:val="21"/>
                      <w:szCs w:val="21"/>
                      <w:highlight w:val="none"/>
                      <w:lang w:val="en-US" w:eastAsia="zh-CN"/>
                    </w:rPr>
                  </w:pPr>
                  <w:r>
                    <w:rPr>
                      <w:rFonts w:hint="eastAsia"/>
                      <w:b w:val="0"/>
                      <w:bCs w:val="0"/>
                      <w:sz w:val="21"/>
                      <w:szCs w:val="21"/>
                      <w:highlight w:val="none"/>
                      <w:lang w:val="en-US" w:eastAsia="zh-CN"/>
                    </w:rPr>
                    <w:t>拟在9#栋厂房一楼的东南角设置危废暂存间（35m</w:t>
                  </w:r>
                  <w:r>
                    <w:rPr>
                      <w:rFonts w:hint="eastAsia"/>
                      <w:b w:val="0"/>
                      <w:bCs w:val="0"/>
                      <w:sz w:val="21"/>
                      <w:szCs w:val="21"/>
                      <w:highlight w:val="none"/>
                      <w:vertAlign w:val="superscript"/>
                      <w:lang w:val="en-US" w:eastAsia="zh-CN"/>
                    </w:rPr>
                    <w:t>2</w:t>
                  </w:r>
                  <w:r>
                    <w:rPr>
                      <w:rFonts w:hint="eastAsia"/>
                      <w:b w:val="0"/>
                      <w:bCs w:val="0"/>
                      <w:sz w:val="21"/>
                      <w:szCs w:val="21"/>
                      <w:highlight w:val="none"/>
                      <w:lang w:val="en-US" w:eastAsia="zh-CN"/>
                    </w:rPr>
                    <w:t>）和一般固废暂存间（40m</w:t>
                  </w:r>
                  <w:r>
                    <w:rPr>
                      <w:rFonts w:hint="eastAsia"/>
                      <w:b w:val="0"/>
                      <w:bCs w:val="0"/>
                      <w:sz w:val="21"/>
                      <w:szCs w:val="21"/>
                      <w:highlight w:val="none"/>
                      <w:vertAlign w:val="superscript"/>
                      <w:lang w:val="en-US" w:eastAsia="zh-CN"/>
                    </w:rPr>
                    <w:t>2</w:t>
                  </w:r>
                  <w:r>
                    <w:rPr>
                      <w:rFonts w:hint="eastAsia"/>
                      <w:b w:val="0"/>
                      <w:bCs w:val="0"/>
                      <w:sz w:val="21"/>
                      <w:szCs w:val="21"/>
                      <w:highlight w:val="none"/>
                      <w:lang w:val="en-US" w:eastAsia="zh-CN"/>
                    </w:rPr>
                    <w:t>）</w:t>
                  </w:r>
                </w:p>
              </w:tc>
            </w:tr>
          </w:tbl>
          <w:p>
            <w:pPr>
              <w:keepNext w:val="0"/>
              <w:keepLines w:val="0"/>
              <w:pageBreakBefore w:val="0"/>
              <w:widowControl w:val="0"/>
              <w:kinsoku/>
              <w:wordWrap/>
              <w:overflowPunct/>
              <w:topLinePunct w:val="0"/>
              <w:autoSpaceDE/>
              <w:autoSpaceDN/>
              <w:bidi w:val="0"/>
              <w:adjustRightInd w:val="0"/>
              <w:snapToGrid w:val="0"/>
              <w:spacing w:after="0" w:afterLines="0" w:line="360" w:lineRule="auto"/>
              <w:ind w:firstLine="482" w:firstLineChars="200"/>
              <w:jc w:val="both"/>
              <w:textAlignment w:val="auto"/>
              <w:rPr>
                <w:rFonts w:hint="default" w:ascii="Times New Roman" w:hAnsi="Times New Roman" w:cs="Times New Roman" w:eastAsiaTheme="minorEastAsia"/>
                <w:b/>
                <w:color w:val="auto"/>
                <w:kern w:val="0"/>
                <w:sz w:val="21"/>
                <w:szCs w:val="21"/>
                <w:highlight w:val="none"/>
                <w:u w:val="none" w:color="auto"/>
              </w:rPr>
            </w:pPr>
            <w:r>
              <w:rPr>
                <w:rFonts w:hint="eastAsia" w:cs="Times New Roman" w:eastAsiaTheme="minorEastAsia"/>
                <w:b/>
                <w:bCs/>
                <w:color w:val="auto"/>
                <w:kern w:val="2"/>
                <w:sz w:val="24"/>
                <w:szCs w:val="24"/>
                <w:highlight w:val="none"/>
                <w:u w:val="none" w:color="auto"/>
                <w:lang w:val="en-US" w:eastAsia="zh-CN" w:bidi="ar-SA"/>
              </w:rPr>
              <w:t>4、</w:t>
            </w:r>
            <w:r>
              <w:rPr>
                <w:rFonts w:hint="default" w:ascii="Times New Roman" w:hAnsi="Times New Roman" w:cs="Times New Roman" w:eastAsiaTheme="minorEastAsia"/>
                <w:b/>
                <w:bCs/>
                <w:color w:val="auto"/>
                <w:kern w:val="2"/>
                <w:sz w:val="24"/>
                <w:szCs w:val="24"/>
                <w:highlight w:val="none"/>
                <w:u w:val="none" w:color="auto"/>
                <w:lang w:val="en-US" w:eastAsia="zh-CN" w:bidi="ar-SA"/>
              </w:rPr>
              <w:t>主要产品方案</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480" w:firstLineChars="200"/>
              <w:textAlignment w:val="auto"/>
              <w:rPr>
                <w:rFonts w:hint="default" w:ascii="Times New Roman" w:hAnsi="Times New Roman" w:cs="Times New Roman" w:eastAsiaTheme="minorEastAsia"/>
                <w:b/>
                <w:bCs/>
                <w:color w:val="000000" w:themeColor="text1"/>
                <w:szCs w:val="21"/>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项目产品主要为</w:t>
            </w:r>
            <w:r>
              <w:rPr>
                <w:rFonts w:hint="eastAsia" w:cs="Times New Roman" w:eastAsiaTheme="minorEastAsia"/>
                <w:color w:val="000000" w:themeColor="text1"/>
                <w:sz w:val="24"/>
                <w:highlight w:val="none"/>
                <w:u w:val="none" w:color="auto"/>
                <w:lang w:val="en-US" w:eastAsia="zh-CN"/>
                <w14:textFill>
                  <w14:solidFill>
                    <w14:schemeClr w14:val="tx1"/>
                  </w14:solidFill>
                </w14:textFill>
              </w:rPr>
              <w:t>锂离子电池</w:t>
            </w: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，具体产品方案见表</w:t>
            </w:r>
            <w:r>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w:t>
            </w:r>
            <w:r>
              <w:rPr>
                <w:rFonts w:hint="eastAsia" w:cs="Times New Roman" w:eastAsiaTheme="minorEastAsia"/>
                <w:color w:val="000000" w:themeColor="text1"/>
                <w:sz w:val="24"/>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val="0"/>
              <w:spacing w:after="0" w:afterLines="0" w:line="240" w:lineRule="auto"/>
              <w:ind w:left="0" w:leftChars="0" w:firstLine="0" w:firstLineChars="0"/>
              <w:jc w:val="center"/>
              <w:textAlignment w:val="auto"/>
              <w:rPr>
                <w:rFonts w:hint="eastAsia" w:ascii="Times New Roman" w:hAnsi="Times New Roman" w:cs="Times New Roman" w:eastAsiaTheme="minorEastAsia"/>
                <w:b/>
                <w:color w:val="000000" w:themeColor="text1"/>
                <w:kern w:val="0"/>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b/>
                <w:color w:val="000000" w:themeColor="text1"/>
                <w:kern w:val="0"/>
                <w:sz w:val="21"/>
                <w:szCs w:val="21"/>
                <w:highlight w:val="none"/>
                <w:u w:val="none" w:color="auto"/>
                <w14:textFill>
                  <w14:solidFill>
                    <w14:schemeClr w14:val="tx1"/>
                  </w14:solidFill>
                </w14:textFill>
              </w:rPr>
              <w:t>表</w:t>
            </w:r>
            <w:r>
              <w:rPr>
                <w:rFonts w:hint="default" w:ascii="Times New Roman" w:hAnsi="Times New Roman" w:cs="Times New Roman" w:eastAsiaTheme="minorEastAsia"/>
                <w:b/>
                <w:color w:val="000000" w:themeColor="text1"/>
                <w:kern w:val="0"/>
                <w:sz w:val="21"/>
                <w:szCs w:val="21"/>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b/>
                <w:color w:val="000000" w:themeColor="text1"/>
                <w:kern w:val="0"/>
                <w:sz w:val="21"/>
                <w:szCs w:val="21"/>
                <w:highlight w:val="none"/>
                <w:u w:val="none" w:color="auto"/>
                <w14:textFill>
                  <w14:solidFill>
                    <w14:schemeClr w14:val="tx1"/>
                  </w14:solidFill>
                </w14:textFill>
              </w:rPr>
              <w:t>-</w:t>
            </w:r>
            <w:r>
              <w:rPr>
                <w:rFonts w:hint="eastAsia" w:cs="Times New Roman" w:eastAsiaTheme="minorEastAsia"/>
                <w:b/>
                <w:color w:val="000000" w:themeColor="text1"/>
                <w:kern w:val="0"/>
                <w:sz w:val="21"/>
                <w:szCs w:val="21"/>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b/>
                <w:color w:val="000000" w:themeColor="text1"/>
                <w:kern w:val="0"/>
                <w:sz w:val="21"/>
                <w:szCs w:val="21"/>
                <w:highlight w:val="none"/>
                <w:u w:val="none" w:color="auto"/>
                <w:lang w:val="en-US" w:eastAsia="zh-CN"/>
                <w14:textFill>
                  <w14:solidFill>
                    <w14:schemeClr w14:val="tx1"/>
                  </w14:solidFill>
                </w14:textFill>
              </w:rPr>
              <w:t xml:space="preserve"> </w:t>
            </w:r>
            <w:r>
              <w:rPr>
                <w:rFonts w:hint="default" w:ascii="Times New Roman" w:hAnsi="Times New Roman" w:cs="Times New Roman" w:eastAsiaTheme="minorEastAsia"/>
                <w:b/>
                <w:color w:val="000000" w:themeColor="text1"/>
                <w:kern w:val="0"/>
                <w:sz w:val="21"/>
                <w:szCs w:val="21"/>
                <w:highlight w:val="none"/>
                <w:u w:val="none" w:color="auto"/>
                <w14:textFill>
                  <w14:solidFill>
                    <w14:schemeClr w14:val="tx1"/>
                  </w14:solidFill>
                </w14:textFill>
              </w:rPr>
              <w:t>项目主要产品及产量</w:t>
            </w:r>
            <w:r>
              <w:rPr>
                <w:rFonts w:hint="eastAsia" w:ascii="Times New Roman" w:hAnsi="Times New Roman" w:cs="Times New Roman" w:eastAsiaTheme="minorEastAsia"/>
                <w:b/>
                <w:color w:val="000000" w:themeColor="text1"/>
                <w:kern w:val="0"/>
                <w:sz w:val="21"/>
                <w:szCs w:val="21"/>
                <w:highlight w:val="none"/>
                <w:u w:val="none" w:color="auto"/>
                <w:lang w:val="en-US" w:eastAsia="zh-CN"/>
                <w14:textFill>
                  <w14:solidFill>
                    <w14:schemeClr w14:val="tx1"/>
                  </w14:solidFill>
                </w14:textFill>
              </w:rPr>
              <w:t>一览表</w:t>
            </w:r>
          </w:p>
          <w:tbl>
            <w:tblPr>
              <w:tblStyle w:val="23"/>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4"/>
              <w:gridCol w:w="2414"/>
              <w:gridCol w:w="2499"/>
              <w:gridCol w:w="27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685" w:type="pct"/>
                  <w:noWrap w:val="0"/>
                  <w:vAlign w:val="center"/>
                </w:tcPr>
                <w:p>
                  <w:pPr>
                    <w:pStyle w:val="59"/>
                    <w:bidi w:val="0"/>
                    <w:rPr>
                      <w:rFonts w:hint="default"/>
                      <w:highlight w:val="none"/>
                    </w:rPr>
                  </w:pPr>
                  <w:r>
                    <w:rPr>
                      <w:rFonts w:hint="default"/>
                      <w:highlight w:val="none"/>
                    </w:rPr>
                    <w:t>序号</w:t>
                  </w:r>
                </w:p>
              </w:tc>
              <w:tc>
                <w:tcPr>
                  <w:tcW w:w="1361" w:type="pct"/>
                  <w:noWrap w:val="0"/>
                  <w:vAlign w:val="center"/>
                </w:tcPr>
                <w:p>
                  <w:pPr>
                    <w:pStyle w:val="59"/>
                    <w:bidi w:val="0"/>
                    <w:rPr>
                      <w:rFonts w:hint="default"/>
                      <w:highlight w:val="none"/>
                      <w:lang w:val="en-US" w:eastAsia="zh-CN"/>
                    </w:rPr>
                  </w:pPr>
                  <w:r>
                    <w:rPr>
                      <w:rFonts w:hint="default"/>
                      <w:highlight w:val="none"/>
                      <w:lang w:val="en-US" w:eastAsia="zh-CN"/>
                    </w:rPr>
                    <w:t>产品种类</w:t>
                  </w:r>
                </w:p>
              </w:tc>
              <w:tc>
                <w:tcPr>
                  <w:tcW w:w="1409" w:type="pct"/>
                  <w:noWrap w:val="0"/>
                  <w:vAlign w:val="center"/>
                </w:tcPr>
                <w:p>
                  <w:pPr>
                    <w:pStyle w:val="59"/>
                    <w:bidi w:val="0"/>
                    <w:rPr>
                      <w:rFonts w:hint="eastAsia" w:eastAsia="宋体"/>
                      <w:highlight w:val="none"/>
                      <w:lang w:val="en-US" w:eastAsia="zh-CN"/>
                    </w:rPr>
                  </w:pPr>
                  <w:r>
                    <w:rPr>
                      <w:rFonts w:hint="eastAsia"/>
                      <w:highlight w:val="none"/>
                      <w:lang w:val="en-US" w:eastAsia="zh-CN"/>
                    </w:rPr>
                    <w:t>单位</w:t>
                  </w:r>
                </w:p>
              </w:tc>
              <w:tc>
                <w:tcPr>
                  <w:tcW w:w="1543" w:type="pct"/>
                  <w:noWrap w:val="0"/>
                  <w:vAlign w:val="center"/>
                </w:tcPr>
                <w:p>
                  <w:pPr>
                    <w:pStyle w:val="59"/>
                    <w:bidi w:val="0"/>
                    <w:rPr>
                      <w:rFonts w:hint="default"/>
                      <w:highlight w:val="none"/>
                      <w:lang w:val="en-US" w:eastAsia="zh-CN"/>
                    </w:rPr>
                  </w:pPr>
                  <w:r>
                    <w:rPr>
                      <w:rFonts w:hint="eastAsia"/>
                      <w:highlight w:val="none"/>
                      <w:lang w:val="en-US" w:eastAsia="zh-CN"/>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685" w:type="pct"/>
                  <w:noWrap w:val="0"/>
                  <w:vAlign w:val="center"/>
                </w:tcPr>
                <w:p>
                  <w:pPr>
                    <w:pStyle w:val="59"/>
                    <w:bidi w:val="0"/>
                    <w:rPr>
                      <w:rFonts w:hint="default"/>
                      <w:highlight w:val="none"/>
                    </w:rPr>
                  </w:pPr>
                  <w:r>
                    <w:rPr>
                      <w:rFonts w:hint="default"/>
                      <w:highlight w:val="none"/>
                    </w:rPr>
                    <w:t>1</w:t>
                  </w:r>
                </w:p>
              </w:tc>
              <w:tc>
                <w:tcPr>
                  <w:tcW w:w="1361" w:type="pct"/>
                  <w:noWrap w:val="0"/>
                  <w:vAlign w:val="center"/>
                </w:tcPr>
                <w:p>
                  <w:pPr>
                    <w:pStyle w:val="59"/>
                    <w:bidi w:val="0"/>
                    <w:rPr>
                      <w:rFonts w:hint="default"/>
                      <w:highlight w:val="none"/>
                      <w:lang w:val="en-US" w:eastAsia="zh-CN"/>
                    </w:rPr>
                  </w:pPr>
                  <w:r>
                    <w:rPr>
                      <w:rFonts w:hint="eastAsia"/>
                      <w:highlight w:val="none"/>
                      <w:lang w:val="en-US" w:eastAsia="zh-CN"/>
                    </w:rPr>
                    <w:t>圆柱18650锂离子电池</w:t>
                  </w:r>
                </w:p>
              </w:tc>
              <w:tc>
                <w:tcPr>
                  <w:tcW w:w="1409" w:type="pct"/>
                  <w:noWrap w:val="0"/>
                  <w:vAlign w:val="center"/>
                </w:tcPr>
                <w:p>
                  <w:pPr>
                    <w:pStyle w:val="59"/>
                    <w:bidi w:val="0"/>
                    <w:rPr>
                      <w:rFonts w:hint="default"/>
                      <w:highlight w:val="none"/>
                      <w:lang w:val="en-US" w:eastAsia="zh-CN"/>
                    </w:rPr>
                  </w:pPr>
                  <w:r>
                    <w:rPr>
                      <w:rFonts w:hint="eastAsia"/>
                      <w:highlight w:val="none"/>
                      <w:lang w:val="en-US" w:eastAsia="zh-CN"/>
                    </w:rPr>
                    <w:t>个</w:t>
                  </w:r>
                </w:p>
              </w:tc>
              <w:tc>
                <w:tcPr>
                  <w:tcW w:w="1543" w:type="pct"/>
                  <w:noWrap w:val="0"/>
                  <w:vAlign w:val="center"/>
                </w:tcPr>
                <w:p>
                  <w:pPr>
                    <w:pStyle w:val="59"/>
                    <w:bidi w:val="0"/>
                    <w:rPr>
                      <w:rFonts w:hint="default" w:eastAsia="宋体"/>
                      <w:highlight w:val="none"/>
                      <w:lang w:val="en-US" w:eastAsia="zh-CN"/>
                    </w:rPr>
                  </w:pPr>
                  <w:r>
                    <w:rPr>
                      <w:rFonts w:hint="eastAsia"/>
                      <w:highlight w:val="none"/>
                      <w:lang w:val="en-US" w:eastAsia="zh-CN"/>
                    </w:rPr>
                    <w:t>3亿</w:t>
                  </w:r>
                </w:p>
              </w:tc>
            </w:tr>
          </w:tbl>
          <w:p>
            <w:pPr>
              <w:keepNext/>
              <w:keepLines/>
              <w:pageBreakBefore w:val="0"/>
              <w:widowControl w:val="0"/>
              <w:numPr>
                <w:ilvl w:val="0"/>
                <w:numId w:val="0"/>
              </w:numPr>
              <w:kinsoku/>
              <w:wordWrap/>
              <w:overflowPunct/>
              <w:topLinePunct w:val="0"/>
              <w:autoSpaceDE/>
              <w:autoSpaceDN/>
              <w:bidi w:val="0"/>
              <w:adjustRightInd w:val="0"/>
              <w:snapToGrid w:val="0"/>
              <w:spacing w:line="360" w:lineRule="auto"/>
              <w:ind w:firstLine="482" w:firstLineChars="200"/>
              <w:jc w:val="both"/>
              <w:textAlignment w:val="auto"/>
              <w:outlineLvl w:val="2"/>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pPr>
            <w:r>
              <w:rPr>
                <w:rFonts w:hint="eastAsia"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t>5、</w:t>
            </w:r>
            <w:r>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t>主要原辅材料及能源动力</w:t>
            </w:r>
          </w:p>
          <w:p>
            <w:pPr>
              <w:keepNext w:val="0"/>
              <w:keepLines w:val="0"/>
              <w:pageBreakBefore w:val="0"/>
              <w:widowControl w:val="0"/>
              <w:kinsoku/>
              <w:wordWrap/>
              <w:overflowPunct/>
              <w:topLinePunct w:val="0"/>
              <w:autoSpaceDE/>
              <w:autoSpaceDN/>
              <w:bidi w:val="0"/>
              <w:adjustRightInd w:val="0"/>
              <w:snapToGrid w:val="0"/>
              <w:spacing w:line="360" w:lineRule="auto"/>
              <w:ind w:firstLine="573"/>
              <w:textAlignment w:val="baseline"/>
              <w:rPr>
                <w:rFonts w:hint="default" w:ascii="Times New Roman" w:hAnsi="Times New Roman" w:cs="Times New Roman" w:eastAsiaTheme="minorEastAsia"/>
                <w:b/>
                <w:bCs/>
                <w:color w:val="000000" w:themeColor="text1"/>
                <w:spacing w:val="4"/>
                <w:sz w:val="21"/>
                <w:szCs w:val="21"/>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项目主要原辅材料及能源消耗见表</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2-</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3</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w:t>
            </w:r>
          </w:p>
          <w:p>
            <w:pPr>
              <w:spacing w:line="240" w:lineRule="auto"/>
              <w:jc w:val="center"/>
              <w:rPr>
                <w:rFonts w:hint="default" w:ascii="Times New Roman" w:hAnsi="Times New Roman" w:cs="Times New Roman" w:eastAsiaTheme="minorEastAsia"/>
                <w:b/>
                <w:bCs/>
                <w:color w:val="000000" w:themeColor="text1"/>
                <w:sz w:val="21"/>
                <w:szCs w:val="21"/>
                <w:highlight w:val="none"/>
                <w:u w:val="none" w:color="auto"/>
                <w14:textFill>
                  <w14:solidFill>
                    <w14:schemeClr w14:val="tx1"/>
                  </w14:solidFill>
                </w14:textFill>
              </w:rPr>
            </w:pPr>
            <w:r>
              <w:rPr>
                <w:rFonts w:hint="default" w:ascii="Times New Roman" w:hAnsi="Times New Roman" w:cs="Times New Roman" w:eastAsiaTheme="minorEastAsia"/>
                <w:b/>
                <w:bCs/>
                <w:color w:val="000000" w:themeColor="text1"/>
                <w:sz w:val="21"/>
                <w:szCs w:val="21"/>
                <w:highlight w:val="none"/>
                <w:u w:val="none" w:color="auto"/>
                <w14:textFill>
                  <w14:solidFill>
                    <w14:schemeClr w14:val="tx1"/>
                  </w14:solidFill>
                </w14:textFill>
              </w:rPr>
              <w:t>表</w:t>
            </w:r>
            <w:r>
              <w:rPr>
                <w:rFonts w:hint="default" w:ascii="Times New Roman" w:hAnsi="Times New Roman" w:cs="Times New Roman" w:eastAsiaTheme="minorEastAsia"/>
                <w:b/>
                <w:bCs/>
                <w:color w:val="000000" w:themeColor="text1"/>
                <w:sz w:val="21"/>
                <w:szCs w:val="21"/>
                <w:highlight w:val="none"/>
                <w:u w:val="none" w:color="auto"/>
                <w:lang w:val="en-US" w:eastAsia="zh-CN"/>
                <w14:textFill>
                  <w14:solidFill>
                    <w14:schemeClr w14:val="tx1"/>
                  </w14:solidFill>
                </w14:textFill>
              </w:rPr>
              <w:t>2-</w:t>
            </w:r>
            <w:r>
              <w:rPr>
                <w:rFonts w:hint="eastAsia" w:cs="Times New Roman" w:eastAsiaTheme="minorEastAsia"/>
                <w:b/>
                <w:bCs/>
                <w:color w:val="000000" w:themeColor="text1"/>
                <w:sz w:val="21"/>
                <w:szCs w:val="21"/>
                <w:highlight w:val="none"/>
                <w:u w:val="none" w:color="auto"/>
                <w:lang w:val="en-US" w:eastAsia="zh-CN"/>
                <w14:textFill>
                  <w14:solidFill>
                    <w14:schemeClr w14:val="tx1"/>
                  </w14:solidFill>
                </w14:textFill>
              </w:rPr>
              <w:t>3</w:t>
            </w:r>
            <w:r>
              <w:rPr>
                <w:rFonts w:hint="eastAsia" w:ascii="Times New Roman" w:hAnsi="Times New Roman" w:cs="Times New Roman" w:eastAsiaTheme="minorEastAsia"/>
                <w:b/>
                <w:bCs/>
                <w:color w:val="000000" w:themeColor="text1"/>
                <w:sz w:val="21"/>
                <w:szCs w:val="21"/>
                <w:highlight w:val="none"/>
                <w:u w:val="none" w:color="auto"/>
                <w:lang w:val="en-US" w:eastAsia="zh-CN"/>
                <w14:textFill>
                  <w14:solidFill>
                    <w14:schemeClr w14:val="tx1"/>
                  </w14:solidFill>
                </w14:textFill>
              </w:rPr>
              <w:t xml:space="preserve"> 项目</w:t>
            </w:r>
            <w:r>
              <w:rPr>
                <w:rFonts w:hint="default" w:ascii="Times New Roman" w:hAnsi="Times New Roman" w:cs="Times New Roman" w:eastAsiaTheme="minorEastAsia"/>
                <w:b/>
                <w:bCs/>
                <w:color w:val="000000" w:themeColor="text1"/>
                <w:sz w:val="21"/>
                <w:szCs w:val="21"/>
                <w:highlight w:val="none"/>
                <w:u w:val="none" w:color="auto"/>
                <w14:textFill>
                  <w14:solidFill>
                    <w14:schemeClr w14:val="tx1"/>
                  </w14:solidFill>
                </w14:textFill>
              </w:rPr>
              <w:t>主要原辅材料及能源消耗一览表</w:t>
            </w:r>
          </w:p>
          <w:tbl>
            <w:tblPr>
              <w:tblStyle w:val="24"/>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1"/>
              <w:gridCol w:w="1501"/>
              <w:gridCol w:w="1406"/>
              <w:gridCol w:w="1436"/>
              <w:gridCol w:w="886"/>
              <w:gridCol w:w="1085"/>
              <w:gridCol w:w="16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序号</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品名</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使用工艺</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形态</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单位</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sz w:val="21"/>
                      <w:szCs w:val="21"/>
                      <w:highlight w:val="none"/>
                      <w:vertAlign w:val="baseline"/>
                      <w:lang w:val="en-US" w:eastAsia="zh-CN"/>
                    </w:rPr>
                  </w:pPr>
                  <w:r>
                    <w:rPr>
                      <w:rFonts w:hint="default" w:ascii="Times New Roman" w:hAnsi="Times New Roman" w:eastAsia="宋体" w:cs="Times New Roman"/>
                      <w:b w:val="0"/>
                      <w:bCs w:val="0"/>
                      <w:sz w:val="21"/>
                      <w:szCs w:val="21"/>
                      <w:highlight w:val="none"/>
                      <w:vertAlign w:val="baseline"/>
                      <w:lang w:val="en-US" w:eastAsia="zh-CN"/>
                    </w:rPr>
                    <w:t>用量</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sz w:val="21"/>
                      <w:szCs w:val="21"/>
                      <w:highlight w:val="none"/>
                      <w:vertAlign w:val="baseline"/>
                      <w:lang w:val="en-US" w:eastAsia="zh-CN"/>
                    </w:rPr>
                  </w:pPr>
                  <w:r>
                    <w:rPr>
                      <w:rFonts w:hint="default" w:ascii="Times New Roman" w:hAnsi="Times New Roman" w:eastAsia="宋体" w:cs="Times New Roman"/>
                      <w:b w:val="0"/>
                      <w:bCs w:val="0"/>
                      <w:sz w:val="21"/>
                      <w:szCs w:val="21"/>
                      <w:highlight w:val="none"/>
                      <w:vertAlign w:val="baseline"/>
                      <w:lang w:val="en-US" w:eastAsia="zh-CN"/>
                    </w:rPr>
                    <w:t>厂区最大存储量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000" w:type="pct"/>
                  <w:gridSpan w:val="7"/>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正极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镍钴锰酸锂</w:t>
                  </w:r>
                </w:p>
              </w:tc>
              <w:tc>
                <w:tcPr>
                  <w:tcW w:w="793" w:type="pct"/>
                  <w:tcBorders>
                    <w:top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配料</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粉状</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2500</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导电炭黑</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配料</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粉状</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50</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0"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3</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N-甲基吡咯烷酮（NMP）</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配料</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液体</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350</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0"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4</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聚偏氟乙烯(PVDF)</w:t>
                  </w:r>
                </w:p>
              </w:tc>
              <w:tc>
                <w:tcPr>
                  <w:tcW w:w="135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配料</w:t>
                  </w:r>
                </w:p>
              </w:tc>
              <w:tc>
                <w:tcPr>
                  <w:tcW w:w="13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粉状</w:t>
                  </w:r>
                </w:p>
              </w:tc>
              <w:tc>
                <w:tcPr>
                  <w:tcW w:w="856"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80</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4</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铝箔</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涂布</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卷料</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200</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5</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铝带</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压片</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卷料</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8</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6</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耐高温胶带</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压片</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卷料</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3</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5000" w:type="pct"/>
                  <w:gridSpan w:val="7"/>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负极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石墨</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配料</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粉状</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750</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导电炭黑</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配料</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粉状</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50</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3</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丁苯橡胶（SBR）</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配料</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液体</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default" w:ascii="Times New Roman" w:hAnsi="Times New Roman" w:eastAsia="宋体" w:cs="Times New Roman"/>
                      <w:sz w:val="21"/>
                      <w:szCs w:val="21"/>
                      <w:highlight w:val="none"/>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highlight w:val="none"/>
                      <w:vertAlign w:val="baseline"/>
                      <w:lang w:val="en-US" w:eastAsia="zh-CN"/>
                    </w:rPr>
                  </w:pPr>
                  <w:r>
                    <w:rPr>
                      <w:rFonts w:hint="eastAsia" w:cs="Times New Roman"/>
                      <w:sz w:val="21"/>
                      <w:szCs w:val="21"/>
                      <w:highlight w:val="none"/>
                      <w:vertAlign w:val="baseline"/>
                      <w:lang w:val="en-US" w:eastAsia="zh-CN"/>
                    </w:rPr>
                    <w:t>25</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4</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铜箔</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涂布</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卷料</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200</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5</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镍带</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压片</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卷料</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20</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6</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耐高温胶带</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压片</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卷料</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3</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5000" w:type="pct"/>
                  <w:gridSpan w:val="7"/>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辅助材料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隔膜</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卷绕</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卷料</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m</w:t>
                  </w:r>
                  <w:r>
                    <w:rPr>
                      <w:rFonts w:hint="default" w:ascii="Times New Roman" w:hAnsi="Times New Roman" w:eastAsia="宋体" w:cs="Times New Roman"/>
                      <w:sz w:val="21"/>
                      <w:szCs w:val="21"/>
                      <w:vertAlign w:val="superscript"/>
                      <w:lang w:val="en-US" w:eastAsia="zh-CN"/>
                    </w:rPr>
                    <w:t>2</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1500万</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50万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电解液</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注液</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液体</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850</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3</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盖帽</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封口</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固体</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个</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1.6亿</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90万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4</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喷码油墨</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喷码</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液体</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0.375</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5000" w:type="pct"/>
                  <w:gridSpan w:val="7"/>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能源消耗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水</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m³/a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14695.02</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49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w:t>
                  </w:r>
                </w:p>
              </w:tc>
              <w:tc>
                <w:tcPr>
                  <w:tcW w:w="847"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电</w:t>
                  </w:r>
                </w:p>
              </w:tc>
              <w:tc>
                <w:tcPr>
                  <w:tcW w:w="79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w:t>
                  </w:r>
                </w:p>
              </w:tc>
              <w:tc>
                <w:tcPr>
                  <w:tcW w:w="81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w:t>
                  </w:r>
                </w:p>
              </w:tc>
              <w:tc>
                <w:tcPr>
                  <w:tcW w:w="5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度/a</w:t>
                  </w:r>
                </w:p>
              </w:tc>
              <w:tc>
                <w:tcPr>
                  <w:tcW w:w="61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800万</w:t>
                  </w:r>
                </w:p>
              </w:tc>
              <w:tc>
                <w:tcPr>
                  <w:tcW w:w="939"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w:t>
                  </w:r>
                </w:p>
              </w:tc>
            </w:tr>
          </w:tbl>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b/>
                <w:bCs/>
                <w:sz w:val="24"/>
                <w:szCs w:val="24"/>
                <w:lang w:eastAsia="zh-CN"/>
              </w:rPr>
            </w:pPr>
            <w:r>
              <w:rPr>
                <w:rFonts w:hint="default"/>
                <w:b/>
                <w:bCs/>
                <w:sz w:val="24"/>
                <w:szCs w:val="24"/>
                <w:lang w:val="en-US" w:eastAsia="zh-CN"/>
              </w:rPr>
              <w:t>主要原料理化性质如下：</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sz w:val="24"/>
                <w:szCs w:val="24"/>
                <w:lang w:eastAsia="zh-CN"/>
              </w:rPr>
            </w:pPr>
            <w:r>
              <w:rPr>
                <w:rFonts w:hint="default"/>
                <w:b/>
                <w:bCs/>
                <w:sz w:val="24"/>
                <w:szCs w:val="24"/>
                <w:lang w:eastAsia="zh-CN"/>
              </w:rPr>
              <w:t>镍钴锰酸锂</w:t>
            </w:r>
            <w:r>
              <w:rPr>
                <w:rFonts w:hint="eastAsia" w:eastAsia="宋体"/>
                <w:b w:val="0"/>
                <w:bCs w:val="0"/>
                <w:sz w:val="24"/>
                <w:szCs w:val="24"/>
                <w:lang w:eastAsia="zh-CN"/>
              </w:rPr>
              <w:t>：</w:t>
            </w:r>
            <w:r>
              <w:rPr>
                <w:rFonts w:hint="default"/>
                <w:sz w:val="24"/>
                <w:szCs w:val="24"/>
                <w:lang w:eastAsia="zh-CN"/>
              </w:rPr>
              <w:t>镍钴锰酸锂三元产品，LiNi</w:t>
            </w:r>
            <w:r>
              <w:rPr>
                <w:rFonts w:hint="default"/>
                <w:sz w:val="24"/>
                <w:szCs w:val="24"/>
                <w:vertAlign w:val="subscript"/>
                <w:lang w:eastAsia="zh-CN"/>
              </w:rPr>
              <w:t>0.5</w:t>
            </w:r>
            <w:r>
              <w:rPr>
                <w:rFonts w:hint="default"/>
                <w:sz w:val="24"/>
                <w:szCs w:val="24"/>
                <w:lang w:eastAsia="zh-CN"/>
              </w:rPr>
              <w:t>Co</w:t>
            </w:r>
            <w:r>
              <w:rPr>
                <w:rFonts w:hint="default"/>
                <w:sz w:val="24"/>
                <w:szCs w:val="24"/>
                <w:vertAlign w:val="subscript"/>
                <w:lang w:eastAsia="zh-CN"/>
              </w:rPr>
              <w:t>0.2</w:t>
            </w:r>
            <w:r>
              <w:rPr>
                <w:rFonts w:hint="default"/>
                <w:sz w:val="24"/>
                <w:szCs w:val="24"/>
                <w:lang w:eastAsia="zh-CN"/>
              </w:rPr>
              <w:t>Mn</w:t>
            </w:r>
            <w:r>
              <w:rPr>
                <w:rFonts w:hint="default"/>
                <w:sz w:val="24"/>
                <w:szCs w:val="24"/>
                <w:vertAlign w:val="subscript"/>
                <w:lang w:eastAsia="zh-CN"/>
              </w:rPr>
              <w:t>0.3</w:t>
            </w:r>
            <w:r>
              <w:rPr>
                <w:rFonts w:hint="default"/>
                <w:sz w:val="24"/>
                <w:szCs w:val="24"/>
                <w:lang w:eastAsia="zh-CN"/>
              </w:rPr>
              <w:t>O</w:t>
            </w:r>
            <w:r>
              <w:rPr>
                <w:rFonts w:hint="default"/>
                <w:sz w:val="24"/>
                <w:szCs w:val="24"/>
                <w:vertAlign w:val="subscript"/>
                <w:lang w:eastAsia="zh-CN"/>
              </w:rPr>
              <w:t>2</w:t>
            </w:r>
            <w:r>
              <w:rPr>
                <w:rFonts w:hint="default"/>
                <w:sz w:val="24"/>
                <w:szCs w:val="24"/>
                <w:lang w:eastAsia="zh-CN"/>
              </w:rPr>
              <w:t>、理化特性：灰黑色粉末，振实密度2.1-2.4kg/L，粉末粒径10-13μm，不溶于水，不溶于盐酸、硝酸和稀硫酸。毒性毒理：低毒，口服—大鼠LD</w:t>
            </w:r>
            <w:r>
              <w:rPr>
                <w:rFonts w:hint="default"/>
                <w:sz w:val="24"/>
                <w:szCs w:val="24"/>
                <w:vertAlign w:val="subscript"/>
                <w:lang w:eastAsia="zh-CN"/>
              </w:rPr>
              <w:t>50</w:t>
            </w:r>
            <w:r>
              <w:rPr>
                <w:rFonts w:hint="default"/>
                <w:sz w:val="24"/>
                <w:szCs w:val="24"/>
                <w:lang w:eastAsia="zh-CN"/>
              </w:rPr>
              <w:t>＞6000毫克/公斤；腹腔—小鼠LD</w:t>
            </w:r>
            <w:r>
              <w:rPr>
                <w:rFonts w:hint="default"/>
                <w:sz w:val="24"/>
                <w:szCs w:val="24"/>
                <w:vertAlign w:val="subscript"/>
                <w:lang w:eastAsia="zh-CN"/>
              </w:rPr>
              <w:t>50</w:t>
            </w:r>
            <w:r>
              <w:rPr>
                <w:rFonts w:hint="default"/>
                <w:sz w:val="24"/>
                <w:szCs w:val="24"/>
                <w:lang w:eastAsia="zh-CN"/>
              </w:rPr>
              <w:t>＞2000毫克/公斤。</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sz w:val="24"/>
                <w:szCs w:val="24"/>
                <w:lang w:eastAsia="zh-CN"/>
              </w:rPr>
            </w:pPr>
            <w:r>
              <w:rPr>
                <w:rFonts w:hint="default"/>
                <w:b/>
                <w:bCs/>
                <w:sz w:val="24"/>
                <w:szCs w:val="24"/>
              </w:rPr>
              <w:t>N-甲基吡咯烷酮（NMP）</w:t>
            </w:r>
            <w:r>
              <w:rPr>
                <w:rFonts w:hint="eastAsia" w:eastAsia="宋体"/>
                <w:sz w:val="24"/>
                <w:szCs w:val="24"/>
                <w:lang w:eastAsia="zh-CN"/>
              </w:rPr>
              <w:t>：</w:t>
            </w:r>
            <w:r>
              <w:rPr>
                <w:rFonts w:hint="default"/>
                <w:sz w:val="24"/>
                <w:szCs w:val="24"/>
              </w:rPr>
              <w:t>N-甲基吡咯烷酮（1-Methyl- 2-pyrr olidino ne），分子式为C</w:t>
            </w:r>
            <w:r>
              <w:rPr>
                <w:rFonts w:hint="default"/>
                <w:sz w:val="24"/>
                <w:szCs w:val="24"/>
                <w:vertAlign w:val="subscript"/>
              </w:rPr>
              <w:t>5</w:t>
            </w:r>
            <w:r>
              <w:rPr>
                <w:rFonts w:hint="default"/>
                <w:sz w:val="24"/>
                <w:szCs w:val="24"/>
              </w:rPr>
              <w:t>H</w:t>
            </w:r>
            <w:r>
              <w:rPr>
                <w:rFonts w:hint="default"/>
                <w:sz w:val="24"/>
                <w:szCs w:val="24"/>
                <w:vertAlign w:val="subscript"/>
              </w:rPr>
              <w:t>9</w:t>
            </w:r>
            <w:r>
              <w:rPr>
                <w:rFonts w:hint="default"/>
                <w:sz w:val="24"/>
                <w:szCs w:val="24"/>
              </w:rPr>
              <w:t>NO，CAS序号为872-50-4，</w:t>
            </w:r>
            <w:r>
              <w:rPr>
                <w:rFonts w:hint="eastAsia"/>
                <w:sz w:val="24"/>
                <w:szCs w:val="24"/>
                <w:lang w:val="en-US" w:eastAsia="zh-CN"/>
              </w:rPr>
              <w:t>纯度为99.9%，</w:t>
            </w:r>
            <w:r>
              <w:rPr>
                <w:rFonts w:hint="default"/>
                <w:sz w:val="24"/>
                <w:szCs w:val="24"/>
              </w:rPr>
              <w:t>中文别名为NMP、1-甲基-2-吡咯烷酮、N-甲基吡咯烷酮(工业级)、N-甲基吡咯烷酮(电子级)。</w:t>
            </w:r>
            <w:r>
              <w:rPr>
                <w:rFonts w:hint="default"/>
                <w:sz w:val="24"/>
                <w:szCs w:val="24"/>
                <w:lang w:eastAsia="zh-CN"/>
              </w:rPr>
              <w:t>性状为无色透明油状液体，微有胺的气味，挥发性低，化学稳定性好，低毒，</w:t>
            </w:r>
            <w:r>
              <w:rPr>
                <w:rFonts w:hint="eastAsia" w:ascii="Times New Roman" w:hAnsi="Times New Roman" w:cs="Times New Roman"/>
                <w:color w:val="auto"/>
                <w:sz w:val="24"/>
                <w:szCs w:val="24"/>
                <w:lang w:val="en-US" w:eastAsia="zh-CN"/>
              </w:rPr>
              <w:t>大鼠</w:t>
            </w:r>
            <w:r>
              <w:rPr>
                <w:rFonts w:hint="default" w:ascii="Times New Roman" w:hAnsi="Times New Roman" w:cs="Times New Roman"/>
                <w:color w:val="auto"/>
                <w:sz w:val="24"/>
                <w:szCs w:val="24"/>
                <w:lang w:eastAsia="zh-CN"/>
              </w:rPr>
              <w:t>LD</w:t>
            </w:r>
            <w:r>
              <w:rPr>
                <w:rFonts w:hint="default" w:ascii="Times New Roman" w:hAnsi="Times New Roman" w:cs="Times New Roman"/>
                <w:color w:val="auto"/>
                <w:sz w:val="24"/>
                <w:szCs w:val="24"/>
                <w:vertAlign w:val="subscript"/>
                <w:lang w:eastAsia="zh-CN"/>
              </w:rPr>
              <w:t>50</w:t>
            </w:r>
            <w:r>
              <w:rPr>
                <w:rFonts w:hint="default"/>
                <w:sz w:val="24"/>
                <w:szCs w:val="24"/>
                <w:lang w:val="en-US" w:eastAsia="zh-CN"/>
              </w:rPr>
              <w:t>3914mg/kg</w:t>
            </w:r>
            <w:r>
              <w:rPr>
                <w:rFonts w:hint="default"/>
                <w:sz w:val="24"/>
                <w:szCs w:val="24"/>
                <w:lang w:eastAsia="zh-CN"/>
              </w:rPr>
              <w:t>，工作场所最高容许浓度100mg/m³；熔点为-24℃；沸点为202℃；相对密度为1.028；折射率为1.465-1.470；闪点为95℃；能与水、醇、醚、酯、酮、卤代烃、芳烃互溶。</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sz w:val="24"/>
                <w:szCs w:val="24"/>
                <w:lang w:eastAsia="zh-CN"/>
              </w:rPr>
            </w:pPr>
            <w:r>
              <w:rPr>
                <w:rFonts w:hint="default"/>
                <w:b/>
                <w:bCs/>
                <w:sz w:val="24"/>
                <w:szCs w:val="24"/>
                <w:lang w:eastAsia="zh-CN"/>
              </w:rPr>
              <w:t>聚偏氟乙烯（PVDF）：</w:t>
            </w:r>
            <w:r>
              <w:rPr>
                <w:rFonts w:hint="default" w:ascii="Times New Roman" w:hAnsi="Times New Roman" w:cs="Times New Roman"/>
                <w:sz w:val="24"/>
                <w:szCs w:val="24"/>
                <w:lang w:eastAsia="zh-CN"/>
              </w:rPr>
              <w:t>聚偏氟乙烯（PVDF），英文名为Polyvinylidene fluoride，分子结构式为[-CH</w:t>
            </w:r>
            <w:r>
              <w:rPr>
                <w:rFonts w:hint="default" w:ascii="Times New Roman" w:hAnsi="Times New Roman" w:cs="Times New Roman"/>
                <w:sz w:val="24"/>
                <w:szCs w:val="24"/>
                <w:vertAlign w:val="subscript"/>
                <w:lang w:eastAsia="zh-CN"/>
              </w:rPr>
              <w:t>2</w:t>
            </w:r>
            <w:r>
              <w:rPr>
                <w:rFonts w:hint="default" w:ascii="Times New Roman" w:hAnsi="Times New Roman" w:cs="Times New Roman"/>
                <w:sz w:val="24"/>
                <w:szCs w:val="24"/>
                <w:lang w:eastAsia="zh-CN"/>
              </w:rPr>
              <w:t>-CF</w:t>
            </w:r>
            <w:r>
              <w:rPr>
                <w:rFonts w:hint="default" w:ascii="Times New Roman" w:hAnsi="Times New Roman" w:cs="Times New Roman"/>
                <w:sz w:val="24"/>
                <w:szCs w:val="24"/>
                <w:vertAlign w:val="subscript"/>
                <w:lang w:eastAsia="zh-CN"/>
              </w:rPr>
              <w:t>2</w:t>
            </w:r>
            <w:r>
              <w:rPr>
                <w:rFonts w:hint="default" w:ascii="Times New Roman" w:hAnsi="Times New Roman" w:cs="Times New Roman"/>
                <w:sz w:val="24"/>
                <w:szCs w:val="24"/>
                <w:lang w:eastAsia="zh-CN"/>
              </w:rPr>
              <w:t>-]-，白色粉末状结晶性聚合物，密度1.75-1.78g/cm，玻璃化湿度-39℃，脆化温度-62℃，熔点170℃，热分解温度316℃以上，长期使用温度－40～150℃。可用一般热塑性塑料加工方法成型。其突出特点是机械强度高，耐辐照性好。具有良好的化学稳定性，在室温下不被酸、碱、强氧化剂和卤素所腐蚀，发烟硫酸、强碱、酮、醚绵少数化学药品能使其溶胀或部分溶解，二甲基乙酰胺和二甲基亚砜等强极性有机溶剂能使其溶解成胶体状溶液。</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sz w:val="24"/>
                <w:szCs w:val="24"/>
                <w:lang w:eastAsia="zh-CN"/>
              </w:rPr>
            </w:pPr>
            <w:r>
              <w:rPr>
                <w:rFonts w:hint="default"/>
                <w:b/>
                <w:bCs/>
                <w:sz w:val="24"/>
                <w:szCs w:val="24"/>
                <w:lang w:eastAsia="zh-CN"/>
              </w:rPr>
              <w:t>丁苯橡胶（SBR）</w:t>
            </w:r>
            <w:r>
              <w:rPr>
                <w:rFonts w:hint="eastAsia" w:eastAsia="宋体"/>
                <w:sz w:val="24"/>
                <w:szCs w:val="24"/>
                <w:lang w:eastAsia="zh-CN"/>
              </w:rPr>
              <w:t>：</w:t>
            </w:r>
            <w:r>
              <w:rPr>
                <w:rFonts w:hint="default"/>
                <w:sz w:val="24"/>
                <w:szCs w:val="24"/>
                <w:lang w:eastAsia="zh-CN"/>
              </w:rPr>
              <w:t>丁苯橡胶（SBR粘结剂）是丁二烯和苯乙烯经共聚合制得的橡胶。</w:t>
            </w:r>
            <w:r>
              <w:rPr>
                <w:rFonts w:hint="eastAsia" w:ascii="宋体" w:hAnsi="宋体" w:eastAsia="宋体" w:cs="宋体"/>
                <w:color w:val="000000"/>
                <w:kern w:val="0"/>
                <w:sz w:val="24"/>
                <w:szCs w:val="24"/>
                <w:lang w:val="en-US" w:eastAsia="zh-CN" w:bidi="ar"/>
              </w:rPr>
              <w:t>常</w:t>
            </w:r>
            <w:r>
              <w:rPr>
                <w:rFonts w:hint="eastAsia" w:ascii="Times New Roman" w:eastAsia="宋体"/>
                <w:sz w:val="24"/>
                <w:szCs w:val="24"/>
                <w:lang w:val="en-US" w:eastAsia="zh-CN"/>
              </w:rPr>
              <w:t>温下为白色固体或透明无悬浮物液体，最高耐热</w:t>
            </w:r>
            <w:r>
              <w:rPr>
                <w:sz w:val="24"/>
                <w:szCs w:val="24"/>
                <w:lang w:val="en-US" w:eastAsia="zh-CN"/>
              </w:rPr>
              <w:t>150</w:t>
            </w:r>
            <w:r>
              <w:rPr>
                <w:rFonts w:hint="eastAsia" w:ascii="Times New Roman" w:eastAsia="宋体"/>
                <w:sz w:val="24"/>
                <w:szCs w:val="24"/>
                <w:lang w:val="en-US" w:eastAsia="zh-CN"/>
              </w:rPr>
              <w:t>℃。</w:t>
            </w:r>
            <w:r>
              <w:rPr>
                <w:rFonts w:hint="default"/>
                <w:sz w:val="24"/>
                <w:szCs w:val="24"/>
                <w:lang w:eastAsia="zh-CN"/>
              </w:rPr>
              <w:t>化学式为由丁二烯（CH</w:t>
            </w:r>
            <w:r>
              <w:rPr>
                <w:rFonts w:hint="default"/>
                <w:sz w:val="24"/>
                <w:szCs w:val="24"/>
                <w:vertAlign w:val="subscript"/>
                <w:lang w:eastAsia="zh-CN"/>
              </w:rPr>
              <w:t>2</w:t>
            </w:r>
            <w:r>
              <w:rPr>
                <w:rFonts w:hint="default"/>
                <w:sz w:val="24"/>
                <w:szCs w:val="24"/>
                <w:lang w:eastAsia="zh-CN"/>
              </w:rPr>
              <w:t>=CH-CH=CH</w:t>
            </w:r>
            <w:r>
              <w:rPr>
                <w:rFonts w:hint="default"/>
                <w:sz w:val="24"/>
                <w:szCs w:val="24"/>
                <w:vertAlign w:val="subscript"/>
                <w:lang w:eastAsia="zh-CN"/>
              </w:rPr>
              <w:t>2</w:t>
            </w:r>
            <w:r>
              <w:rPr>
                <w:rFonts w:hint="default"/>
                <w:sz w:val="24"/>
                <w:szCs w:val="24"/>
                <w:lang w:eastAsia="zh-CN"/>
              </w:rPr>
              <w:t>）和苯乙烯（C</w:t>
            </w:r>
            <w:r>
              <w:rPr>
                <w:rFonts w:hint="default"/>
                <w:sz w:val="24"/>
                <w:szCs w:val="24"/>
                <w:vertAlign w:val="subscript"/>
                <w:lang w:eastAsia="zh-CN"/>
              </w:rPr>
              <w:t>6</w:t>
            </w:r>
            <w:r>
              <w:rPr>
                <w:rFonts w:hint="default"/>
                <w:sz w:val="24"/>
                <w:szCs w:val="24"/>
                <w:lang w:eastAsia="zh-CN"/>
              </w:rPr>
              <w:t>H</w:t>
            </w:r>
            <w:r>
              <w:rPr>
                <w:rFonts w:hint="default"/>
                <w:sz w:val="24"/>
                <w:szCs w:val="24"/>
                <w:vertAlign w:val="subscript"/>
                <w:lang w:eastAsia="zh-CN"/>
              </w:rPr>
              <w:t>5</w:t>
            </w:r>
            <w:r>
              <w:rPr>
                <w:rFonts w:hint="default"/>
                <w:sz w:val="24"/>
                <w:szCs w:val="24"/>
                <w:lang w:eastAsia="zh-CN"/>
              </w:rPr>
              <w:t>C</w:t>
            </w:r>
            <w:r>
              <w:rPr>
                <w:rFonts w:hint="default"/>
                <w:sz w:val="24"/>
                <w:szCs w:val="24"/>
                <w:vertAlign w:val="subscript"/>
                <w:lang w:eastAsia="zh-CN"/>
              </w:rPr>
              <w:t>2</w:t>
            </w:r>
            <w:r>
              <w:rPr>
                <w:rFonts w:hint="default"/>
                <w:sz w:val="24"/>
                <w:szCs w:val="24"/>
                <w:lang w:eastAsia="zh-CN"/>
              </w:rPr>
              <w:t>H</w:t>
            </w:r>
            <w:r>
              <w:rPr>
                <w:rFonts w:hint="default"/>
                <w:sz w:val="24"/>
                <w:szCs w:val="24"/>
                <w:vertAlign w:val="subscript"/>
                <w:lang w:eastAsia="zh-CN"/>
              </w:rPr>
              <w:t>3</w:t>
            </w:r>
            <w:r>
              <w:rPr>
                <w:rFonts w:hint="default"/>
                <w:sz w:val="24"/>
                <w:szCs w:val="24"/>
                <w:lang w:eastAsia="zh-CN"/>
              </w:rPr>
              <w:t>）共聚而得到的弹性体。其黏合性﹑弹性和形变发热量均不如天然橡胶，但耐磨性﹑耐自然老化性﹑耐水性﹑气密性等却优于天然橡胶，因此是一种综合性能较好的橡胶。</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sz w:val="24"/>
                <w:szCs w:val="24"/>
                <w:lang w:eastAsia="zh-CN"/>
              </w:rPr>
            </w:pPr>
            <w:r>
              <w:rPr>
                <w:rFonts w:hint="default"/>
                <w:b/>
                <w:bCs/>
                <w:sz w:val="24"/>
                <w:szCs w:val="24"/>
                <w:lang w:eastAsia="zh-CN"/>
              </w:rPr>
              <w:t>电解液</w:t>
            </w:r>
            <w:r>
              <w:rPr>
                <w:rFonts w:hint="eastAsia" w:eastAsia="宋体"/>
                <w:b w:val="0"/>
                <w:bCs w:val="0"/>
                <w:sz w:val="24"/>
                <w:szCs w:val="24"/>
                <w:lang w:eastAsia="zh-CN"/>
              </w:rPr>
              <w:t>：</w:t>
            </w:r>
            <w:r>
              <w:rPr>
                <w:rFonts w:hint="default"/>
                <w:sz w:val="24"/>
                <w:szCs w:val="24"/>
                <w:lang w:eastAsia="zh-CN"/>
              </w:rPr>
              <w:t>主要成份：六氟磷酸锂（60%）</w:t>
            </w:r>
            <w:r>
              <w:rPr>
                <w:rFonts w:hint="default"/>
                <w:sz w:val="24"/>
                <w:szCs w:val="24"/>
                <w:highlight w:val="none"/>
                <w:lang w:eastAsia="zh-CN"/>
              </w:rPr>
              <w:t>、碳酸乙烯酯（10%）、碳酸甲乙酯（5%）、碳酸丙烯酯（10%）、碳酸二甲酯（10%）、碳酸二乙酯（5%）</w:t>
            </w:r>
            <w:r>
              <w:rPr>
                <w:rFonts w:hint="default"/>
                <w:sz w:val="24"/>
                <w:szCs w:val="24"/>
                <w:lang w:eastAsia="zh-CN"/>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sz w:val="24"/>
                <w:szCs w:val="24"/>
                <w:lang w:eastAsia="zh-CN"/>
              </w:rPr>
            </w:pPr>
            <w:r>
              <w:rPr>
                <w:rFonts w:hint="default"/>
                <w:b w:val="0"/>
                <w:bCs w:val="0"/>
                <w:sz w:val="24"/>
                <w:szCs w:val="24"/>
                <w:lang w:eastAsia="zh-CN"/>
              </w:rPr>
              <w:t>六氟磷酸锂</w:t>
            </w:r>
            <w:r>
              <w:rPr>
                <w:rFonts w:hint="default"/>
                <w:sz w:val="24"/>
                <w:szCs w:val="24"/>
                <w:lang w:eastAsia="zh-CN"/>
              </w:rPr>
              <w:t>：分子式：LiPF</w:t>
            </w:r>
            <w:r>
              <w:rPr>
                <w:rFonts w:hint="default"/>
                <w:sz w:val="24"/>
                <w:szCs w:val="24"/>
                <w:vertAlign w:val="subscript"/>
                <w:lang w:eastAsia="zh-CN"/>
              </w:rPr>
              <w:t>6</w:t>
            </w:r>
            <w:r>
              <w:rPr>
                <w:rFonts w:hint="default"/>
                <w:sz w:val="24"/>
                <w:szCs w:val="24"/>
                <w:lang w:eastAsia="zh-CN"/>
              </w:rPr>
              <w:t>相对分子质量：151.91白色结晶或粉末，相对密度1.50。潮解性强；易溶于水、还溶于低浓度甲醇、乙醇、丙酮、碳酸酯类等有机溶剂。暴露空气中或加热时分解。暴露空气中或加热时六氟磷酸锂在空气中由于水蒸气的作用而迅速分解，放出PF5而产生白色烟雾。六氟磷酸锂主要用作锂离子电池电解质材料。</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sz w:val="24"/>
                <w:szCs w:val="24"/>
                <w:lang w:eastAsia="zh-CN"/>
              </w:rPr>
            </w:pPr>
            <w:r>
              <w:rPr>
                <w:rFonts w:hint="default"/>
                <w:b w:val="0"/>
                <w:bCs w:val="0"/>
                <w:sz w:val="24"/>
                <w:szCs w:val="24"/>
                <w:lang w:eastAsia="zh-CN"/>
              </w:rPr>
              <w:t>碳酸乙烯酯</w:t>
            </w:r>
            <w:r>
              <w:rPr>
                <w:rFonts w:hint="default"/>
                <w:sz w:val="24"/>
                <w:szCs w:val="24"/>
                <w:lang w:eastAsia="zh-CN"/>
              </w:rPr>
              <w:t>：分子式：C</w:t>
            </w:r>
            <w:r>
              <w:rPr>
                <w:rFonts w:hint="default"/>
                <w:sz w:val="24"/>
                <w:szCs w:val="24"/>
                <w:vertAlign w:val="subscript"/>
                <w:lang w:eastAsia="zh-CN"/>
              </w:rPr>
              <w:t>3</w:t>
            </w:r>
            <w:r>
              <w:rPr>
                <w:rFonts w:hint="default"/>
                <w:sz w:val="24"/>
                <w:szCs w:val="24"/>
                <w:lang w:eastAsia="zh-CN"/>
              </w:rPr>
              <w:t>H</w:t>
            </w:r>
            <w:r>
              <w:rPr>
                <w:rFonts w:hint="default"/>
                <w:sz w:val="24"/>
                <w:szCs w:val="24"/>
                <w:vertAlign w:val="subscript"/>
                <w:lang w:eastAsia="zh-CN"/>
              </w:rPr>
              <w:t>4</w:t>
            </w:r>
            <w:r>
              <w:rPr>
                <w:rFonts w:hint="default"/>
                <w:sz w:val="24"/>
                <w:szCs w:val="24"/>
                <w:lang w:eastAsia="zh-CN"/>
              </w:rPr>
              <w:t>O</w:t>
            </w:r>
            <w:r>
              <w:rPr>
                <w:rFonts w:hint="default"/>
                <w:sz w:val="24"/>
                <w:szCs w:val="24"/>
                <w:vertAlign w:val="subscript"/>
                <w:lang w:eastAsia="zh-CN"/>
              </w:rPr>
              <w:t>3</w:t>
            </w:r>
            <w:r>
              <w:rPr>
                <w:rFonts w:hint="default"/>
                <w:sz w:val="24"/>
                <w:szCs w:val="24"/>
                <w:lang w:eastAsia="zh-CN"/>
              </w:rPr>
              <w:t>，透明无色液体(&gt;35℃)，室温时为结晶固体。熔点38.5-39℃，沸点152℃（4.0kPa），100℃（1.07kPa），相对密度1.4259（20/4℃）。闪点152℃。易溶于水及有机溶剂。在电池工业上，可作为锂电池电解液的优良溶剂。</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sz w:val="24"/>
                <w:szCs w:val="24"/>
                <w:lang w:eastAsia="zh-CN"/>
              </w:rPr>
            </w:pPr>
            <w:r>
              <w:rPr>
                <w:rFonts w:hint="default"/>
                <w:b w:val="0"/>
                <w:bCs w:val="0"/>
                <w:sz w:val="24"/>
                <w:szCs w:val="24"/>
                <w:lang w:eastAsia="zh-CN"/>
              </w:rPr>
              <w:t>碳酸甲乙酯</w:t>
            </w:r>
            <w:r>
              <w:rPr>
                <w:rFonts w:hint="default"/>
                <w:sz w:val="24"/>
                <w:szCs w:val="24"/>
                <w:lang w:eastAsia="zh-CN"/>
              </w:rPr>
              <w:t>：分子式：C</w:t>
            </w:r>
            <w:r>
              <w:rPr>
                <w:rFonts w:hint="default"/>
                <w:sz w:val="24"/>
                <w:szCs w:val="24"/>
                <w:vertAlign w:val="subscript"/>
                <w:lang w:eastAsia="zh-CN"/>
              </w:rPr>
              <w:t>4</w:t>
            </w:r>
            <w:r>
              <w:rPr>
                <w:rFonts w:hint="default"/>
                <w:sz w:val="24"/>
                <w:szCs w:val="24"/>
                <w:lang w:eastAsia="zh-CN"/>
              </w:rPr>
              <w:t>H</w:t>
            </w:r>
            <w:r>
              <w:rPr>
                <w:rFonts w:hint="default"/>
                <w:sz w:val="24"/>
                <w:szCs w:val="24"/>
                <w:vertAlign w:val="subscript"/>
                <w:lang w:eastAsia="zh-CN"/>
              </w:rPr>
              <w:t>8</w:t>
            </w:r>
            <w:r>
              <w:rPr>
                <w:rFonts w:hint="default"/>
                <w:sz w:val="24"/>
                <w:szCs w:val="24"/>
                <w:lang w:eastAsia="zh-CN"/>
              </w:rPr>
              <w:t>O</w:t>
            </w:r>
            <w:r>
              <w:rPr>
                <w:rFonts w:hint="default"/>
                <w:sz w:val="24"/>
                <w:szCs w:val="24"/>
                <w:vertAlign w:val="subscript"/>
                <w:lang w:eastAsia="zh-CN"/>
              </w:rPr>
              <w:t>3</w:t>
            </w:r>
            <w:r>
              <w:rPr>
                <w:rFonts w:hint="default"/>
                <w:sz w:val="24"/>
                <w:szCs w:val="24"/>
                <w:lang w:eastAsia="zh-CN"/>
              </w:rPr>
              <w:t>，分子量：104.1，密度1.00g/cm³，无色透明液体，沸点109℃，熔点-55℃，是近年来兴起的高科技、高附加值的化工产品，一种优良的锂离子电池电解液的溶剂，是随着碳酸二甲酯及锂离子电池产量增大而延伸出的最新产品，由于它同时拥有甲基和乙基，兼有碳酸二甲酯、碳酸二乙酯特性，也是特种香料和中间体的溶剂。</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sz w:val="24"/>
                <w:szCs w:val="24"/>
                <w:lang w:eastAsia="zh-CN"/>
              </w:rPr>
            </w:pPr>
            <w:r>
              <w:rPr>
                <w:rFonts w:hint="default"/>
                <w:sz w:val="24"/>
                <w:szCs w:val="24"/>
                <w:lang w:eastAsia="zh-CN"/>
              </w:rPr>
              <w:t>碳酸丙烯酯：分子式：C</w:t>
            </w:r>
            <w:r>
              <w:rPr>
                <w:rFonts w:hint="default"/>
                <w:sz w:val="24"/>
                <w:szCs w:val="24"/>
                <w:vertAlign w:val="subscript"/>
                <w:lang w:eastAsia="zh-CN"/>
              </w:rPr>
              <w:t>4</w:t>
            </w:r>
            <w:r>
              <w:rPr>
                <w:rFonts w:hint="default"/>
                <w:sz w:val="24"/>
                <w:szCs w:val="24"/>
                <w:lang w:eastAsia="zh-CN"/>
              </w:rPr>
              <w:t>H</w:t>
            </w:r>
            <w:r>
              <w:rPr>
                <w:rFonts w:hint="default"/>
                <w:sz w:val="24"/>
                <w:szCs w:val="24"/>
                <w:vertAlign w:val="subscript"/>
                <w:lang w:eastAsia="zh-CN"/>
              </w:rPr>
              <w:t>6</w:t>
            </w:r>
            <w:r>
              <w:rPr>
                <w:rFonts w:hint="default"/>
                <w:sz w:val="24"/>
                <w:szCs w:val="24"/>
                <w:lang w:eastAsia="zh-CN"/>
              </w:rPr>
              <w:t>O</w:t>
            </w:r>
            <w:r>
              <w:rPr>
                <w:rFonts w:hint="default"/>
                <w:sz w:val="24"/>
                <w:szCs w:val="24"/>
                <w:vertAlign w:val="subscript"/>
                <w:lang w:eastAsia="zh-CN"/>
              </w:rPr>
              <w:t>3</w:t>
            </w:r>
            <w:r>
              <w:rPr>
                <w:rFonts w:hint="default"/>
                <w:sz w:val="24"/>
                <w:szCs w:val="24"/>
                <w:lang w:eastAsia="zh-CN"/>
              </w:rPr>
              <w:t>，无色无气味,或淡黄色透明液体，溶于水和四氯化碳，与乙醚，丙酮，苯等混溶。是一种优良的极性溶剂。本产品主要用于高分子作业、气体分离工艺及电化学。特别是用来吸收天然气、石化厂合成氨原料其中的二氧化碳，还可用作增塑剂、纺丝溶剂、烯烃和芳烃萃取剂等。物理性质：外观无色透明液体，熔点-48.8℃，沸点242℃，闪点132℃。</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sz w:val="24"/>
                <w:szCs w:val="24"/>
                <w:lang w:eastAsia="zh-CN"/>
              </w:rPr>
            </w:pPr>
            <w:r>
              <w:rPr>
                <w:rFonts w:hint="default"/>
                <w:b w:val="0"/>
                <w:bCs w:val="0"/>
                <w:sz w:val="24"/>
                <w:szCs w:val="24"/>
                <w:lang w:eastAsia="zh-CN"/>
              </w:rPr>
              <w:t>碳酸二甲酯</w:t>
            </w:r>
            <w:r>
              <w:rPr>
                <w:rFonts w:hint="default"/>
                <w:sz w:val="24"/>
                <w:szCs w:val="24"/>
                <w:lang w:eastAsia="zh-CN"/>
              </w:rPr>
              <w:t>：常温时是一种无色透明、略有气味、微甜的液体，熔点4℃，沸点90.1℃，密度1.069 g/cm³，难溶于水，但可以与醇、醚、酮等几乎所有的有机溶剂混溶。DMC在常压下和甲醇共沸，共沸温度63.8℃。DMC毒性很低，在1992年就被欧洲列为无毒产品，是一种符合现代"清洁工艺"要求的环保型化工原料。</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sz w:val="24"/>
                <w:szCs w:val="24"/>
                <w:lang w:eastAsia="zh-CN"/>
              </w:rPr>
            </w:pPr>
            <w:r>
              <w:rPr>
                <w:rFonts w:hint="default"/>
                <w:b w:val="0"/>
                <w:bCs w:val="0"/>
                <w:sz w:val="24"/>
                <w:szCs w:val="24"/>
                <w:lang w:eastAsia="zh-CN"/>
              </w:rPr>
              <w:t>碳酸二乙酯</w:t>
            </w:r>
            <w:r>
              <w:rPr>
                <w:rFonts w:hint="default"/>
                <w:sz w:val="24"/>
                <w:szCs w:val="24"/>
                <w:lang w:eastAsia="zh-CN"/>
              </w:rPr>
              <w:t>：无色液体，稍有气味；蒸汽压1.33kPa/23.8℃；闪点25℃；熔点-43℃；沸点125.8℃；溶解性：不溶于水，可混溶于醇、酮、酯等多数有机溶剂</w:t>
            </w:r>
            <w:r>
              <w:rPr>
                <w:rFonts w:hint="eastAsia"/>
                <w:sz w:val="24"/>
                <w:szCs w:val="24"/>
                <w:lang w:eastAsia="zh-CN"/>
              </w:rPr>
              <w:t>；</w:t>
            </w:r>
            <w:r>
              <w:rPr>
                <w:rFonts w:hint="default"/>
                <w:sz w:val="24"/>
                <w:szCs w:val="24"/>
                <w:lang w:eastAsia="zh-CN"/>
              </w:rPr>
              <w:t>密度：相对密度(水=1)1.0；相对密度(空气=1)4.07；稳定性：稳定；危险标记7</w:t>
            </w:r>
            <w:r>
              <w:rPr>
                <w:rFonts w:hint="eastAsia" w:ascii="宋体" w:hAnsi="宋体" w:eastAsia="宋体" w:cs="宋体"/>
                <w:sz w:val="24"/>
                <w:szCs w:val="24"/>
                <w:lang w:eastAsia="zh-CN"/>
              </w:rPr>
              <w:t>(易燃液体)</w:t>
            </w:r>
            <w:r>
              <w:rPr>
                <w:rFonts w:hint="default"/>
                <w:sz w:val="24"/>
                <w:szCs w:val="24"/>
                <w:lang w:eastAsia="zh-CN"/>
              </w:rPr>
              <w:t>；主要用途：用作溶剂及用于有机合成。</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sz w:val="24"/>
                <w:szCs w:val="24"/>
                <w:lang w:eastAsia="zh-CN"/>
              </w:rPr>
            </w:pPr>
            <w:r>
              <w:rPr>
                <w:rFonts w:hint="default"/>
                <w:sz w:val="24"/>
                <w:szCs w:val="24"/>
                <w:lang w:eastAsia="zh-CN"/>
              </w:rPr>
              <w:t>电解液毒理特性：本品有腐蚀性，勿入眼、口，勿触皮肤。如误触，立即用清水冲洗，严重者，按强酸烧伤就医。</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sz w:val="24"/>
                <w:szCs w:val="24"/>
                <w:lang w:val="en-US" w:eastAsia="zh-CN"/>
              </w:rPr>
            </w:pPr>
            <w:r>
              <w:rPr>
                <w:rFonts w:hint="eastAsia" w:ascii="Times New Roman" w:eastAsia="宋体"/>
                <w:b/>
                <w:bCs/>
                <w:sz w:val="24"/>
                <w:szCs w:val="24"/>
                <w:lang w:val="en-US" w:eastAsia="zh-CN"/>
              </w:rPr>
              <w:t>喷码油墨</w:t>
            </w:r>
            <w:r>
              <w:rPr>
                <w:rFonts w:hint="eastAsia" w:ascii="Times New Roman" w:eastAsia="宋体"/>
                <w:sz w:val="24"/>
                <w:szCs w:val="24"/>
                <w:lang w:val="en-US" w:eastAsia="zh-CN"/>
              </w:rPr>
              <w:t>：主要成分</w:t>
            </w:r>
            <w:r>
              <w:rPr>
                <w:sz w:val="24"/>
                <w:szCs w:val="24"/>
                <w:lang w:val="en-US" w:eastAsia="zh-CN"/>
              </w:rPr>
              <w:t>甲基乙基酮</w:t>
            </w:r>
            <w:r>
              <w:rPr>
                <w:rFonts w:hint="eastAsia" w:ascii="Times New Roman" w:eastAsia="宋体"/>
                <w:sz w:val="24"/>
                <w:szCs w:val="24"/>
                <w:lang w:val="en-US" w:eastAsia="zh-CN"/>
              </w:rPr>
              <w:t>、异丙醇、</w:t>
            </w:r>
            <w:r>
              <w:rPr>
                <w:sz w:val="24"/>
                <w:szCs w:val="24"/>
                <w:lang w:val="en-US" w:eastAsia="zh-CN"/>
              </w:rPr>
              <w:t>硝化棉</w:t>
            </w:r>
            <w:r>
              <w:rPr>
                <w:rFonts w:hint="eastAsia" w:ascii="Times New Roman" w:eastAsia="宋体"/>
                <w:sz w:val="24"/>
                <w:szCs w:val="24"/>
                <w:lang w:val="en-US" w:eastAsia="zh-CN"/>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color w:val="auto"/>
                <w:sz w:val="24"/>
                <w:szCs w:val="24"/>
                <w:lang w:val="en-US" w:eastAsia="zh-CN"/>
              </w:rPr>
            </w:pPr>
            <w:r>
              <w:rPr>
                <w:color w:val="auto"/>
                <w:sz w:val="24"/>
                <w:szCs w:val="24"/>
                <w:lang w:val="en-US" w:eastAsia="zh-CN"/>
              </w:rPr>
              <w:t>甲基乙基酮</w:t>
            </w:r>
            <w:r>
              <w:rPr>
                <w:rFonts w:hint="eastAsia" w:ascii="Times New Roman" w:eastAsia="宋体"/>
                <w:color w:val="auto"/>
                <w:sz w:val="24"/>
                <w:szCs w:val="24"/>
                <w:lang w:val="en-US" w:eastAsia="zh-CN"/>
              </w:rPr>
              <w:t>：</w:t>
            </w:r>
            <w:r>
              <w:rPr>
                <w:rFonts w:hint="eastAsia"/>
                <w:color w:val="auto"/>
                <w:sz w:val="24"/>
                <w:szCs w:val="24"/>
              </w:rPr>
              <w:t>甲基乙基酮是一种有机化合物，化学式为CH</w:t>
            </w:r>
            <w:r>
              <w:rPr>
                <w:rFonts w:hint="default"/>
                <w:color w:val="auto"/>
                <w:sz w:val="24"/>
                <w:szCs w:val="24"/>
                <w:vertAlign w:val="subscript"/>
              </w:rPr>
              <w:t>3</w:t>
            </w:r>
            <w:r>
              <w:rPr>
                <w:rFonts w:hint="default"/>
                <w:color w:val="auto"/>
                <w:sz w:val="24"/>
                <w:szCs w:val="24"/>
              </w:rPr>
              <w:t>COCH</w:t>
            </w:r>
            <w:r>
              <w:rPr>
                <w:rFonts w:hint="default"/>
                <w:color w:val="auto"/>
                <w:sz w:val="24"/>
                <w:szCs w:val="24"/>
                <w:vertAlign w:val="subscript"/>
              </w:rPr>
              <w:t>2</w:t>
            </w:r>
            <w:r>
              <w:rPr>
                <w:rFonts w:hint="default"/>
                <w:color w:val="auto"/>
                <w:sz w:val="24"/>
                <w:szCs w:val="24"/>
              </w:rPr>
              <w:t>CH</w:t>
            </w:r>
            <w:r>
              <w:rPr>
                <w:rFonts w:hint="default"/>
                <w:color w:val="auto"/>
                <w:sz w:val="24"/>
                <w:szCs w:val="24"/>
                <w:vertAlign w:val="subscript"/>
              </w:rPr>
              <w:t>3</w:t>
            </w:r>
            <w:r>
              <w:rPr>
                <w:rFonts w:hint="default"/>
                <w:color w:val="auto"/>
                <w:sz w:val="24"/>
                <w:szCs w:val="24"/>
              </w:rPr>
              <w:t>，分子量为72.11。无色透明液体，有类似丙酮气味。易挥发。能与乙醇、</w:t>
            </w:r>
            <w:r>
              <w:rPr>
                <w:rFonts w:hint="default"/>
                <w:color w:val="auto"/>
                <w:sz w:val="24"/>
                <w:szCs w:val="24"/>
              </w:rPr>
              <w:fldChar w:fldCharType="begin"/>
            </w:r>
            <w:r>
              <w:rPr>
                <w:rFonts w:hint="default"/>
                <w:color w:val="auto"/>
                <w:sz w:val="24"/>
                <w:szCs w:val="24"/>
              </w:rPr>
              <w:instrText xml:space="preserve"> HYPERLINK "https://baike.baidu.com/item/%E4%B9%99%E9%86%9A/316922" \t "https://baike.baidu.com/item/%E7%94%B2%E5%9F%BA%E4%B9%99%E5%9F%BA%E9%85%AE/_blank" </w:instrText>
            </w:r>
            <w:r>
              <w:rPr>
                <w:rFonts w:hint="default"/>
                <w:color w:val="auto"/>
                <w:sz w:val="24"/>
                <w:szCs w:val="24"/>
              </w:rPr>
              <w:fldChar w:fldCharType="separate"/>
            </w:r>
            <w:r>
              <w:rPr>
                <w:rFonts w:hint="default" w:ascii="Arial" w:hAnsi="Arial" w:eastAsia="宋体" w:cs="Arial"/>
                <w:i w:val="0"/>
                <w:caps w:val="0"/>
                <w:color w:val="auto"/>
                <w:spacing w:val="0"/>
                <w:sz w:val="24"/>
                <w:szCs w:val="24"/>
                <w:u w:val="none"/>
              </w:rPr>
              <w:t>乙醚</w:t>
            </w:r>
            <w:r>
              <w:rPr>
                <w:rFonts w:hint="default"/>
                <w:color w:val="auto"/>
                <w:sz w:val="24"/>
                <w:szCs w:val="24"/>
              </w:rPr>
              <w:fldChar w:fldCharType="end"/>
            </w:r>
            <w:r>
              <w:rPr>
                <w:rFonts w:hint="default"/>
                <w:color w:val="auto"/>
                <w:sz w:val="24"/>
                <w:szCs w:val="24"/>
              </w:rPr>
              <w:t>、</w:t>
            </w:r>
            <w:r>
              <w:rPr>
                <w:rFonts w:hint="default"/>
                <w:color w:val="auto"/>
                <w:sz w:val="24"/>
                <w:szCs w:val="24"/>
              </w:rPr>
              <w:fldChar w:fldCharType="begin"/>
            </w:r>
            <w:r>
              <w:rPr>
                <w:rFonts w:hint="default"/>
                <w:color w:val="auto"/>
                <w:sz w:val="24"/>
                <w:szCs w:val="24"/>
              </w:rPr>
              <w:instrText xml:space="preserve"> HYPERLINK "https://baike.baidu.com/item/%E8%8B%AF" \t "https://baike.baidu.com/item/%E7%94%B2%E5%9F%BA%E4%B9%99%E5%9F%BA%E9%85%AE/_blank" </w:instrText>
            </w:r>
            <w:r>
              <w:rPr>
                <w:rFonts w:hint="default"/>
                <w:color w:val="auto"/>
                <w:sz w:val="24"/>
                <w:szCs w:val="24"/>
              </w:rPr>
              <w:fldChar w:fldCharType="separate"/>
            </w:r>
            <w:r>
              <w:rPr>
                <w:rFonts w:hint="default" w:ascii="Arial" w:hAnsi="Arial" w:eastAsia="宋体" w:cs="Arial"/>
                <w:i w:val="0"/>
                <w:caps w:val="0"/>
                <w:color w:val="auto"/>
                <w:spacing w:val="0"/>
                <w:sz w:val="24"/>
                <w:szCs w:val="24"/>
                <w:u w:val="none"/>
              </w:rPr>
              <w:t>苯</w:t>
            </w:r>
            <w:r>
              <w:rPr>
                <w:rFonts w:hint="default"/>
                <w:color w:val="auto"/>
                <w:sz w:val="24"/>
                <w:szCs w:val="24"/>
              </w:rPr>
              <w:fldChar w:fldCharType="end"/>
            </w:r>
            <w:r>
              <w:rPr>
                <w:rFonts w:hint="default"/>
                <w:color w:val="auto"/>
                <w:sz w:val="24"/>
                <w:szCs w:val="24"/>
              </w:rPr>
              <w:t>、</w:t>
            </w:r>
            <w:r>
              <w:rPr>
                <w:rFonts w:hint="default"/>
                <w:color w:val="auto"/>
                <w:sz w:val="24"/>
                <w:szCs w:val="24"/>
              </w:rPr>
              <w:fldChar w:fldCharType="begin"/>
            </w:r>
            <w:r>
              <w:rPr>
                <w:rFonts w:hint="default"/>
                <w:color w:val="auto"/>
                <w:sz w:val="24"/>
                <w:szCs w:val="24"/>
              </w:rPr>
              <w:instrText xml:space="preserve"> HYPERLINK "https://baike.baidu.com/item/%E6%B0%AF%E4%BB%BF/521847" \t "https://baike.baidu.com/item/%E7%94%B2%E5%9F%BA%E4%B9%99%E5%9F%BA%E9%85%AE/_blank" </w:instrText>
            </w:r>
            <w:r>
              <w:rPr>
                <w:rFonts w:hint="default"/>
                <w:color w:val="auto"/>
                <w:sz w:val="24"/>
                <w:szCs w:val="24"/>
              </w:rPr>
              <w:fldChar w:fldCharType="separate"/>
            </w:r>
            <w:r>
              <w:rPr>
                <w:rFonts w:hint="default" w:ascii="Arial" w:hAnsi="Arial" w:eastAsia="宋体" w:cs="Arial"/>
                <w:i w:val="0"/>
                <w:caps w:val="0"/>
                <w:color w:val="auto"/>
                <w:spacing w:val="0"/>
                <w:sz w:val="24"/>
                <w:szCs w:val="24"/>
                <w:u w:val="none"/>
              </w:rPr>
              <w:t>氯仿</w:t>
            </w:r>
            <w:r>
              <w:rPr>
                <w:rFonts w:hint="default"/>
                <w:color w:val="auto"/>
                <w:sz w:val="24"/>
                <w:szCs w:val="24"/>
              </w:rPr>
              <w:fldChar w:fldCharType="end"/>
            </w:r>
            <w:r>
              <w:rPr>
                <w:rFonts w:hint="default"/>
                <w:color w:val="auto"/>
                <w:sz w:val="24"/>
                <w:szCs w:val="24"/>
              </w:rPr>
              <w:t>、油类混溶。溶于4份水中，但温度升高时溶解度降低。能与水形成</w:t>
            </w:r>
            <w:r>
              <w:rPr>
                <w:rFonts w:hint="default"/>
                <w:color w:val="auto"/>
                <w:sz w:val="24"/>
                <w:szCs w:val="24"/>
              </w:rPr>
              <w:fldChar w:fldCharType="begin"/>
            </w:r>
            <w:r>
              <w:rPr>
                <w:rFonts w:hint="default"/>
                <w:color w:val="auto"/>
                <w:sz w:val="24"/>
                <w:szCs w:val="24"/>
              </w:rPr>
              <w:instrText xml:space="preserve"> HYPERLINK "https://baike.baidu.com/item/%E5%85%B1%E6%B2%B8%E6%B7%B7%E5%90%88%E7%89%A9/1590559" \t "https://baike.baidu.com/item/%E7%94%B2%E5%9F%BA%E4%B9%99%E5%9F%BA%E9%85%AE/_blank" </w:instrText>
            </w:r>
            <w:r>
              <w:rPr>
                <w:rFonts w:hint="default"/>
                <w:color w:val="auto"/>
                <w:sz w:val="24"/>
                <w:szCs w:val="24"/>
              </w:rPr>
              <w:fldChar w:fldCharType="separate"/>
            </w:r>
            <w:r>
              <w:rPr>
                <w:rFonts w:hint="default" w:ascii="Arial" w:hAnsi="Arial" w:eastAsia="宋体" w:cs="Arial"/>
                <w:i w:val="0"/>
                <w:caps w:val="0"/>
                <w:color w:val="auto"/>
                <w:spacing w:val="0"/>
                <w:sz w:val="24"/>
                <w:szCs w:val="24"/>
                <w:u w:val="none"/>
              </w:rPr>
              <w:t>共沸混合物</w:t>
            </w:r>
            <w:r>
              <w:rPr>
                <w:rFonts w:hint="default"/>
                <w:color w:val="auto"/>
                <w:sz w:val="24"/>
                <w:szCs w:val="24"/>
              </w:rPr>
              <w:fldChar w:fldCharType="end"/>
            </w:r>
            <w:r>
              <w:rPr>
                <w:rFonts w:hint="default"/>
                <w:color w:val="auto"/>
                <w:sz w:val="24"/>
                <w:szCs w:val="24"/>
              </w:rPr>
              <w:t>（含水11.3%），共沸点73.4℃（含</w:t>
            </w:r>
            <w:r>
              <w:rPr>
                <w:rFonts w:hint="default"/>
                <w:color w:val="auto"/>
                <w:sz w:val="24"/>
                <w:szCs w:val="24"/>
              </w:rPr>
              <w:fldChar w:fldCharType="begin"/>
            </w:r>
            <w:r>
              <w:rPr>
                <w:rFonts w:hint="default"/>
                <w:color w:val="auto"/>
                <w:sz w:val="24"/>
                <w:szCs w:val="24"/>
              </w:rPr>
              <w:instrText xml:space="preserve"> HYPERLINK "https://baike.baidu.com/item/%E4%B8%81%E9%85%AE/10196216" \t "https://baike.baidu.com/item/%E7%94%B2%E5%9F%BA%E4%B9%99%E5%9F%BA%E9%85%AE/_blank" </w:instrText>
            </w:r>
            <w:r>
              <w:rPr>
                <w:rFonts w:hint="default"/>
                <w:color w:val="auto"/>
                <w:sz w:val="24"/>
                <w:szCs w:val="24"/>
              </w:rPr>
              <w:fldChar w:fldCharType="separate"/>
            </w:r>
            <w:r>
              <w:rPr>
                <w:rFonts w:hint="default" w:ascii="Arial" w:hAnsi="Arial" w:eastAsia="宋体" w:cs="Arial"/>
                <w:i w:val="0"/>
                <w:caps w:val="0"/>
                <w:color w:val="auto"/>
                <w:spacing w:val="0"/>
                <w:sz w:val="24"/>
                <w:szCs w:val="24"/>
                <w:u w:val="none"/>
              </w:rPr>
              <w:t>丁酮</w:t>
            </w:r>
            <w:r>
              <w:rPr>
                <w:rFonts w:hint="default"/>
                <w:color w:val="auto"/>
                <w:sz w:val="24"/>
                <w:szCs w:val="24"/>
              </w:rPr>
              <w:fldChar w:fldCharType="end"/>
            </w:r>
            <w:r>
              <w:rPr>
                <w:rFonts w:hint="default"/>
                <w:color w:val="auto"/>
                <w:sz w:val="24"/>
                <w:szCs w:val="24"/>
              </w:rPr>
              <w:t>88.7%）。</w:t>
            </w:r>
            <w:r>
              <w:rPr>
                <w:rFonts w:hint="default"/>
                <w:color w:val="auto"/>
                <w:sz w:val="24"/>
                <w:szCs w:val="24"/>
              </w:rPr>
              <w:fldChar w:fldCharType="begin"/>
            </w:r>
            <w:r>
              <w:rPr>
                <w:rFonts w:hint="default"/>
                <w:color w:val="auto"/>
                <w:sz w:val="24"/>
                <w:szCs w:val="24"/>
              </w:rPr>
              <w:instrText xml:space="preserve"> HYPERLINK "https://baike.baidu.com/item/%E7%9B%B8%E5%AF%B9%E5%AF%86%E5%BA%A6/5064282" \t "https://baike.baidu.com/item/%E7%94%B2%E5%9F%BA%E4%B9%99%E5%9F%BA%E9%85%AE/_blank" </w:instrText>
            </w:r>
            <w:r>
              <w:rPr>
                <w:rFonts w:hint="default"/>
                <w:color w:val="auto"/>
                <w:sz w:val="24"/>
                <w:szCs w:val="24"/>
              </w:rPr>
              <w:fldChar w:fldCharType="separate"/>
            </w:r>
            <w:r>
              <w:rPr>
                <w:rFonts w:hint="default" w:ascii="Arial" w:hAnsi="Arial" w:eastAsia="宋体" w:cs="Arial"/>
                <w:i w:val="0"/>
                <w:caps w:val="0"/>
                <w:color w:val="auto"/>
                <w:spacing w:val="0"/>
                <w:sz w:val="24"/>
                <w:szCs w:val="24"/>
                <w:u w:val="none"/>
              </w:rPr>
              <w:t>相对密度</w:t>
            </w:r>
            <w:r>
              <w:rPr>
                <w:rFonts w:hint="default"/>
                <w:color w:val="auto"/>
                <w:sz w:val="24"/>
                <w:szCs w:val="24"/>
              </w:rPr>
              <w:fldChar w:fldCharType="end"/>
            </w:r>
            <w:r>
              <w:rPr>
                <w:rFonts w:hint="default"/>
                <w:color w:val="auto"/>
                <w:sz w:val="24"/>
                <w:szCs w:val="24"/>
              </w:rPr>
              <w:t>（d204）为0.805。</w:t>
            </w:r>
            <w:r>
              <w:rPr>
                <w:rFonts w:hint="default"/>
                <w:color w:val="auto"/>
                <w:sz w:val="24"/>
                <w:szCs w:val="24"/>
              </w:rPr>
              <w:fldChar w:fldCharType="begin"/>
            </w:r>
            <w:r>
              <w:rPr>
                <w:rFonts w:hint="default"/>
                <w:color w:val="auto"/>
                <w:sz w:val="24"/>
                <w:szCs w:val="24"/>
              </w:rPr>
              <w:instrText xml:space="preserve"> HYPERLINK "https://baike.baidu.com/item/%E5%87%9D%E5%9B%BA%E7%82%B9/848861" \t "https://baike.baidu.com/item/%E7%94%B2%E5%9F%BA%E4%B9%99%E5%9F%BA%E9%85%AE/_blank" </w:instrText>
            </w:r>
            <w:r>
              <w:rPr>
                <w:rFonts w:hint="default"/>
                <w:color w:val="auto"/>
                <w:sz w:val="24"/>
                <w:szCs w:val="24"/>
              </w:rPr>
              <w:fldChar w:fldCharType="separate"/>
            </w:r>
            <w:r>
              <w:rPr>
                <w:rFonts w:hint="default" w:ascii="Arial" w:hAnsi="Arial" w:eastAsia="宋体" w:cs="Arial"/>
                <w:i w:val="0"/>
                <w:caps w:val="0"/>
                <w:color w:val="auto"/>
                <w:spacing w:val="0"/>
                <w:sz w:val="24"/>
                <w:szCs w:val="24"/>
                <w:u w:val="none"/>
              </w:rPr>
              <w:t>凝固点</w:t>
            </w:r>
            <w:r>
              <w:rPr>
                <w:rFonts w:hint="default"/>
                <w:color w:val="auto"/>
                <w:sz w:val="24"/>
                <w:szCs w:val="24"/>
              </w:rPr>
              <w:fldChar w:fldCharType="end"/>
            </w:r>
            <w:r>
              <w:rPr>
                <w:rFonts w:hint="default"/>
                <w:color w:val="auto"/>
                <w:sz w:val="24"/>
                <w:szCs w:val="24"/>
              </w:rPr>
              <w:t>-86℃。沸点79.6℃。</w:t>
            </w:r>
            <w:r>
              <w:rPr>
                <w:rFonts w:hint="default"/>
                <w:color w:val="auto"/>
                <w:sz w:val="24"/>
                <w:szCs w:val="24"/>
              </w:rPr>
              <w:fldChar w:fldCharType="begin"/>
            </w:r>
            <w:r>
              <w:rPr>
                <w:rFonts w:hint="default"/>
                <w:color w:val="auto"/>
                <w:sz w:val="24"/>
                <w:szCs w:val="24"/>
              </w:rPr>
              <w:instrText xml:space="preserve"> HYPERLINK "https://baike.baidu.com/item/%E6%8A%98%E5%85%89%E7%8E%87/5655413" \t "https://baike.baidu.com/item/%E7%94%B2%E5%9F%BA%E4%B9%99%E5%9F%BA%E9%85%AE/_blank" </w:instrText>
            </w:r>
            <w:r>
              <w:rPr>
                <w:rFonts w:hint="default"/>
                <w:color w:val="auto"/>
                <w:sz w:val="24"/>
                <w:szCs w:val="24"/>
              </w:rPr>
              <w:fldChar w:fldCharType="separate"/>
            </w:r>
            <w:r>
              <w:rPr>
                <w:rFonts w:hint="default" w:ascii="Arial" w:hAnsi="Arial" w:eastAsia="宋体" w:cs="Arial"/>
                <w:i w:val="0"/>
                <w:caps w:val="0"/>
                <w:color w:val="auto"/>
                <w:spacing w:val="0"/>
                <w:sz w:val="24"/>
                <w:szCs w:val="24"/>
                <w:u w:val="none"/>
              </w:rPr>
              <w:t>折光率</w:t>
            </w:r>
            <w:r>
              <w:rPr>
                <w:rFonts w:hint="default"/>
                <w:color w:val="auto"/>
                <w:sz w:val="24"/>
                <w:szCs w:val="24"/>
              </w:rPr>
              <w:fldChar w:fldCharType="end"/>
            </w:r>
            <w:r>
              <w:rPr>
                <w:rFonts w:hint="default"/>
                <w:color w:val="auto"/>
                <w:sz w:val="24"/>
                <w:szCs w:val="24"/>
              </w:rPr>
              <w:t>（n15D）1.3814。</w:t>
            </w:r>
            <w:r>
              <w:rPr>
                <w:rFonts w:hint="default"/>
                <w:color w:val="auto"/>
                <w:sz w:val="24"/>
                <w:szCs w:val="24"/>
              </w:rPr>
              <w:fldChar w:fldCharType="begin"/>
            </w:r>
            <w:r>
              <w:rPr>
                <w:rFonts w:hint="default"/>
                <w:color w:val="auto"/>
                <w:sz w:val="24"/>
                <w:szCs w:val="24"/>
              </w:rPr>
              <w:instrText xml:space="preserve"> HYPERLINK "https://baike.baidu.com/item/%E9%97%AA%E7%82%B9/2519439" \t "https://baike.baidu.com/item/%E7%94%B2%E5%9F%BA%E4%B9%99%E5%9F%BA%E9%85%AE/_blank" </w:instrText>
            </w:r>
            <w:r>
              <w:rPr>
                <w:rFonts w:hint="default"/>
                <w:color w:val="auto"/>
                <w:sz w:val="24"/>
                <w:szCs w:val="24"/>
              </w:rPr>
              <w:fldChar w:fldCharType="separate"/>
            </w:r>
            <w:r>
              <w:rPr>
                <w:rFonts w:hint="default" w:ascii="Arial" w:hAnsi="Arial" w:eastAsia="宋体" w:cs="Arial"/>
                <w:i w:val="0"/>
                <w:caps w:val="0"/>
                <w:color w:val="auto"/>
                <w:spacing w:val="0"/>
                <w:sz w:val="24"/>
                <w:szCs w:val="24"/>
                <w:u w:val="none"/>
              </w:rPr>
              <w:t>闪点</w:t>
            </w:r>
            <w:r>
              <w:rPr>
                <w:rFonts w:hint="default"/>
                <w:color w:val="auto"/>
                <w:sz w:val="24"/>
                <w:szCs w:val="24"/>
              </w:rPr>
              <w:fldChar w:fldCharType="end"/>
            </w:r>
            <w:r>
              <w:rPr>
                <w:rFonts w:hint="default"/>
                <w:color w:val="auto"/>
                <w:sz w:val="24"/>
                <w:szCs w:val="24"/>
              </w:rPr>
              <w:t>1.1℃。低毒，半数致死量（大鼠，经口）3300mg/kg。易燃，蒸气能与空气形成</w:t>
            </w:r>
            <w:r>
              <w:rPr>
                <w:rFonts w:hint="default"/>
                <w:color w:val="auto"/>
                <w:sz w:val="24"/>
                <w:szCs w:val="24"/>
              </w:rPr>
              <w:fldChar w:fldCharType="begin"/>
            </w:r>
            <w:r>
              <w:rPr>
                <w:rFonts w:hint="default"/>
                <w:color w:val="auto"/>
                <w:sz w:val="24"/>
                <w:szCs w:val="24"/>
              </w:rPr>
              <w:instrText xml:space="preserve"> HYPERLINK "https://baike.baidu.com/item/%E7%88%86%E7%82%B8%E6%80%A7%E6%B7%B7%E5%90%88%E7%89%A9/5537872" \t "https://baike.baidu.com/item/%E7%94%B2%E5%9F%BA%E4%B9%99%E5%9F%BA%E9%85%AE/_blank" </w:instrText>
            </w:r>
            <w:r>
              <w:rPr>
                <w:rFonts w:hint="default"/>
                <w:color w:val="auto"/>
                <w:sz w:val="24"/>
                <w:szCs w:val="24"/>
              </w:rPr>
              <w:fldChar w:fldCharType="separate"/>
            </w:r>
            <w:r>
              <w:rPr>
                <w:rFonts w:hint="default" w:ascii="Arial" w:hAnsi="Arial" w:eastAsia="宋体" w:cs="Arial"/>
                <w:i w:val="0"/>
                <w:caps w:val="0"/>
                <w:color w:val="auto"/>
                <w:spacing w:val="0"/>
                <w:sz w:val="24"/>
                <w:szCs w:val="24"/>
                <w:u w:val="none"/>
              </w:rPr>
              <w:t>爆炸性混合物</w:t>
            </w:r>
            <w:r>
              <w:rPr>
                <w:rFonts w:hint="default"/>
                <w:color w:val="auto"/>
                <w:sz w:val="24"/>
                <w:szCs w:val="24"/>
              </w:rPr>
              <w:fldChar w:fldCharType="end"/>
            </w:r>
            <w:r>
              <w:rPr>
                <w:rFonts w:hint="default"/>
                <w:color w:val="auto"/>
                <w:sz w:val="24"/>
                <w:szCs w:val="24"/>
              </w:rPr>
              <w:t>，</w:t>
            </w:r>
            <w:r>
              <w:rPr>
                <w:rFonts w:hint="default"/>
                <w:color w:val="auto"/>
                <w:sz w:val="24"/>
                <w:szCs w:val="24"/>
              </w:rPr>
              <w:fldChar w:fldCharType="begin"/>
            </w:r>
            <w:r>
              <w:rPr>
                <w:rFonts w:hint="default"/>
                <w:color w:val="auto"/>
                <w:sz w:val="24"/>
                <w:szCs w:val="24"/>
              </w:rPr>
              <w:instrText xml:space="preserve"> HYPERLINK "https://baike.baidu.com/item/%E7%88%86%E7%82%B8%E6%9E%81%E9%99%90/2422877" \t "https://baike.baidu.com/item/%E7%94%B2%E5%9F%BA%E4%B9%99%E5%9F%BA%E9%85%AE/_blank" </w:instrText>
            </w:r>
            <w:r>
              <w:rPr>
                <w:rFonts w:hint="default"/>
                <w:color w:val="auto"/>
                <w:sz w:val="24"/>
                <w:szCs w:val="24"/>
              </w:rPr>
              <w:fldChar w:fldCharType="separate"/>
            </w:r>
            <w:r>
              <w:rPr>
                <w:rFonts w:hint="default" w:ascii="Arial" w:hAnsi="Arial" w:eastAsia="宋体" w:cs="Arial"/>
                <w:i w:val="0"/>
                <w:caps w:val="0"/>
                <w:color w:val="auto"/>
                <w:spacing w:val="0"/>
                <w:sz w:val="24"/>
                <w:szCs w:val="24"/>
                <w:u w:val="none"/>
              </w:rPr>
              <w:t>爆炸极限</w:t>
            </w:r>
            <w:r>
              <w:rPr>
                <w:rFonts w:hint="default"/>
                <w:color w:val="auto"/>
                <w:sz w:val="24"/>
                <w:szCs w:val="24"/>
              </w:rPr>
              <w:fldChar w:fldCharType="end"/>
            </w:r>
            <w:r>
              <w:rPr>
                <w:rFonts w:hint="default"/>
                <w:color w:val="auto"/>
                <w:sz w:val="24"/>
                <w:szCs w:val="24"/>
              </w:rPr>
              <w:t>1.81%～11.5%（体积）。高浓度蒸气有麻醉性。</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sz w:val="24"/>
                <w:szCs w:val="24"/>
                <w:lang w:val="en-US" w:eastAsia="zh-CN"/>
              </w:rPr>
            </w:pPr>
            <w:r>
              <w:rPr>
                <w:rFonts w:hint="eastAsia" w:ascii="Times New Roman" w:eastAsia="宋体"/>
                <w:sz w:val="24"/>
                <w:szCs w:val="24"/>
                <w:lang w:val="en-US" w:eastAsia="zh-CN"/>
              </w:rPr>
              <w:t>异丙醇：</w:t>
            </w:r>
            <w:r>
              <w:rPr>
                <w:rFonts w:hint="eastAsia"/>
                <w:sz w:val="24"/>
                <w:szCs w:val="24"/>
              </w:rPr>
              <w:t>异丙醇是一种</w:t>
            </w:r>
            <w:r>
              <w:rPr>
                <w:rFonts w:hint="default"/>
                <w:sz w:val="24"/>
                <w:szCs w:val="24"/>
              </w:rPr>
              <w:fldChar w:fldCharType="begin"/>
            </w:r>
            <w:r>
              <w:rPr>
                <w:rFonts w:hint="default"/>
                <w:sz w:val="24"/>
                <w:szCs w:val="24"/>
              </w:rPr>
              <w:instrText xml:space="preserve"> HYPERLINK "https://baike.baidu.com/item/%E6%9C%89%E6%9C%BA%E5%8C%96%E5%90%88%E7%89%A9/2950156" \t "https://baike.baidu.com/item/%E5%BC%82%E4%B8%99%E9%86%87/_blank" </w:instrText>
            </w:r>
            <w:r>
              <w:rPr>
                <w:rFonts w:hint="default"/>
                <w:sz w:val="24"/>
                <w:szCs w:val="24"/>
              </w:rPr>
              <w:fldChar w:fldCharType="separate"/>
            </w:r>
            <w:r>
              <w:rPr>
                <w:rFonts w:hint="default"/>
                <w:sz w:val="24"/>
                <w:szCs w:val="24"/>
              </w:rPr>
              <w:t>有机化合物</w:t>
            </w:r>
            <w:r>
              <w:rPr>
                <w:rFonts w:hint="default"/>
                <w:sz w:val="24"/>
                <w:szCs w:val="24"/>
              </w:rPr>
              <w:fldChar w:fldCharType="end"/>
            </w:r>
            <w:r>
              <w:rPr>
                <w:rFonts w:hint="default"/>
                <w:sz w:val="24"/>
                <w:szCs w:val="24"/>
              </w:rPr>
              <w:t>，分子式是C</w:t>
            </w:r>
            <w:r>
              <w:rPr>
                <w:rFonts w:hint="default"/>
                <w:sz w:val="24"/>
                <w:szCs w:val="24"/>
                <w:vertAlign w:val="subscript"/>
              </w:rPr>
              <w:t>3</w:t>
            </w:r>
            <w:r>
              <w:rPr>
                <w:rFonts w:hint="default"/>
                <w:sz w:val="24"/>
                <w:szCs w:val="24"/>
              </w:rPr>
              <w:t>H</w:t>
            </w:r>
            <w:r>
              <w:rPr>
                <w:rFonts w:hint="default"/>
                <w:sz w:val="24"/>
                <w:szCs w:val="24"/>
                <w:vertAlign w:val="subscript"/>
              </w:rPr>
              <w:t>8</w:t>
            </w:r>
            <w:r>
              <w:rPr>
                <w:rFonts w:hint="default"/>
                <w:sz w:val="24"/>
                <w:szCs w:val="24"/>
              </w:rPr>
              <w:t>O，是正丙醇的</w:t>
            </w:r>
            <w:r>
              <w:rPr>
                <w:rFonts w:hint="default"/>
                <w:sz w:val="24"/>
                <w:szCs w:val="24"/>
              </w:rPr>
              <w:fldChar w:fldCharType="begin"/>
            </w:r>
            <w:r>
              <w:rPr>
                <w:rFonts w:hint="default"/>
                <w:sz w:val="24"/>
                <w:szCs w:val="24"/>
              </w:rPr>
              <w:instrText xml:space="preserve"> HYPERLINK "https://baike.baidu.com/item/%E5%90%8C%E5%88%86%E5%BC%82%E6%9E%84%E4%BD%93/1137110" \t "https://baike.baidu.com/item/%E5%BC%82%E4%B8%99%E9%86%87/_blank" </w:instrText>
            </w:r>
            <w:r>
              <w:rPr>
                <w:rFonts w:hint="default"/>
                <w:sz w:val="24"/>
                <w:szCs w:val="24"/>
              </w:rPr>
              <w:fldChar w:fldCharType="separate"/>
            </w:r>
            <w:r>
              <w:rPr>
                <w:rFonts w:hint="default"/>
                <w:sz w:val="24"/>
                <w:szCs w:val="24"/>
              </w:rPr>
              <w:t>同分异构体</w:t>
            </w:r>
            <w:r>
              <w:rPr>
                <w:rFonts w:hint="default"/>
                <w:sz w:val="24"/>
                <w:szCs w:val="24"/>
              </w:rPr>
              <w:fldChar w:fldCharType="end"/>
            </w:r>
            <w:r>
              <w:rPr>
                <w:rFonts w:hint="default"/>
                <w:sz w:val="24"/>
                <w:szCs w:val="24"/>
              </w:rPr>
              <w:t>，别名</w:t>
            </w:r>
            <w:r>
              <w:rPr>
                <w:rFonts w:hint="default"/>
                <w:sz w:val="24"/>
                <w:szCs w:val="24"/>
              </w:rPr>
              <w:fldChar w:fldCharType="begin"/>
            </w:r>
            <w:r>
              <w:rPr>
                <w:rFonts w:hint="default"/>
                <w:sz w:val="24"/>
                <w:szCs w:val="24"/>
              </w:rPr>
              <w:instrText xml:space="preserve"> HYPERLINK "https://baike.baidu.com/item/%E4%BA%8C%E7%94%B2%E5%9F%BA%E7%94%B2%E9%86%87/9488617" \t "https://baike.baidu.com/item/%E5%BC%82%E4%B8%99%E9%86%87/_blank" </w:instrText>
            </w:r>
            <w:r>
              <w:rPr>
                <w:rFonts w:hint="default"/>
                <w:sz w:val="24"/>
                <w:szCs w:val="24"/>
              </w:rPr>
              <w:fldChar w:fldCharType="separate"/>
            </w:r>
            <w:r>
              <w:rPr>
                <w:rFonts w:hint="default"/>
                <w:sz w:val="24"/>
                <w:szCs w:val="24"/>
              </w:rPr>
              <w:t>二甲基甲醇</w:t>
            </w:r>
            <w:r>
              <w:rPr>
                <w:rFonts w:hint="default"/>
                <w:sz w:val="24"/>
                <w:szCs w:val="24"/>
              </w:rPr>
              <w:fldChar w:fldCharType="end"/>
            </w:r>
            <w:r>
              <w:rPr>
                <w:rFonts w:hint="default"/>
                <w:sz w:val="24"/>
                <w:szCs w:val="24"/>
              </w:rPr>
              <w:t>、2-丙醇，行业中也作IPA。是无色透明液体，易燃，有似</w:t>
            </w:r>
            <w:r>
              <w:rPr>
                <w:rFonts w:hint="default"/>
                <w:sz w:val="24"/>
                <w:szCs w:val="24"/>
              </w:rPr>
              <w:fldChar w:fldCharType="begin"/>
            </w:r>
            <w:r>
              <w:rPr>
                <w:rFonts w:hint="default"/>
                <w:sz w:val="24"/>
                <w:szCs w:val="24"/>
              </w:rPr>
              <w:instrText xml:space="preserve"> HYPERLINK "https://baike.baidu.com/item/%E4%B9%99%E9%86%87/135334" \t "https://baike.baidu.com/item/%E5%BC%82%E4%B8%99%E9%86%87/_blank" </w:instrText>
            </w:r>
            <w:r>
              <w:rPr>
                <w:rFonts w:hint="default"/>
                <w:sz w:val="24"/>
                <w:szCs w:val="24"/>
              </w:rPr>
              <w:fldChar w:fldCharType="separate"/>
            </w:r>
            <w:r>
              <w:rPr>
                <w:rFonts w:hint="default"/>
                <w:sz w:val="24"/>
                <w:szCs w:val="24"/>
              </w:rPr>
              <w:t>乙醇</w:t>
            </w:r>
            <w:r>
              <w:rPr>
                <w:rFonts w:hint="default"/>
                <w:sz w:val="24"/>
                <w:szCs w:val="24"/>
              </w:rPr>
              <w:fldChar w:fldCharType="end"/>
            </w:r>
            <w:r>
              <w:rPr>
                <w:rFonts w:hint="default"/>
                <w:sz w:val="24"/>
                <w:szCs w:val="24"/>
              </w:rPr>
              <w:t>和</w:t>
            </w:r>
            <w:r>
              <w:rPr>
                <w:rFonts w:hint="default"/>
                <w:sz w:val="24"/>
                <w:szCs w:val="24"/>
              </w:rPr>
              <w:fldChar w:fldCharType="begin"/>
            </w:r>
            <w:r>
              <w:rPr>
                <w:rFonts w:hint="default"/>
                <w:sz w:val="24"/>
                <w:szCs w:val="24"/>
              </w:rPr>
              <w:instrText xml:space="preserve"> HYPERLINK "https://baike.baidu.com/item/%E4%B8%99%E9%85%AE/955883" \t "https://baike.baidu.com/item/%E5%BC%82%E4%B8%99%E9%86%87/_blank" </w:instrText>
            </w:r>
            <w:r>
              <w:rPr>
                <w:rFonts w:hint="default"/>
                <w:sz w:val="24"/>
                <w:szCs w:val="24"/>
              </w:rPr>
              <w:fldChar w:fldCharType="separate"/>
            </w:r>
            <w:r>
              <w:rPr>
                <w:rFonts w:hint="default"/>
                <w:sz w:val="24"/>
                <w:szCs w:val="24"/>
              </w:rPr>
              <w:t>丙酮</w:t>
            </w:r>
            <w:r>
              <w:rPr>
                <w:rFonts w:hint="default"/>
                <w:sz w:val="24"/>
                <w:szCs w:val="24"/>
              </w:rPr>
              <w:fldChar w:fldCharType="end"/>
            </w:r>
            <w:r>
              <w:rPr>
                <w:rFonts w:hint="default"/>
                <w:sz w:val="24"/>
                <w:szCs w:val="24"/>
              </w:rPr>
              <w:t>混合物的气味。溶于水，也溶于</w:t>
            </w:r>
            <w:r>
              <w:rPr>
                <w:rFonts w:hint="default"/>
                <w:sz w:val="24"/>
                <w:szCs w:val="24"/>
              </w:rPr>
              <w:fldChar w:fldCharType="begin"/>
            </w:r>
            <w:r>
              <w:rPr>
                <w:rFonts w:hint="default"/>
                <w:sz w:val="24"/>
                <w:szCs w:val="24"/>
              </w:rPr>
              <w:instrText xml:space="preserve"> HYPERLINK "https://baike.baidu.com/item/%E9%86%87/254166" \t "https://baike.baidu.com/item/%E5%BC%82%E4%B8%99%E9%86%87/_blank" </w:instrText>
            </w:r>
            <w:r>
              <w:rPr>
                <w:rFonts w:hint="default"/>
                <w:sz w:val="24"/>
                <w:szCs w:val="24"/>
              </w:rPr>
              <w:fldChar w:fldCharType="separate"/>
            </w:r>
            <w:r>
              <w:rPr>
                <w:rFonts w:hint="default"/>
                <w:sz w:val="24"/>
                <w:szCs w:val="24"/>
              </w:rPr>
              <w:t>醇</w:t>
            </w:r>
            <w:r>
              <w:rPr>
                <w:rFonts w:hint="default"/>
                <w:sz w:val="24"/>
                <w:szCs w:val="24"/>
              </w:rPr>
              <w:fldChar w:fldCharType="end"/>
            </w:r>
            <w:r>
              <w:rPr>
                <w:rFonts w:hint="default"/>
                <w:sz w:val="24"/>
                <w:szCs w:val="24"/>
              </w:rPr>
              <w:t>、</w:t>
            </w:r>
            <w:r>
              <w:rPr>
                <w:rFonts w:hint="default"/>
                <w:sz w:val="24"/>
                <w:szCs w:val="24"/>
              </w:rPr>
              <w:fldChar w:fldCharType="begin"/>
            </w:r>
            <w:r>
              <w:rPr>
                <w:rFonts w:hint="default"/>
                <w:sz w:val="24"/>
                <w:szCs w:val="24"/>
              </w:rPr>
              <w:instrText xml:space="preserve"> HYPERLINK "https://baike.baidu.com/item/%E9%86%9A/1141483" \t "https://baike.baidu.com/item/%E5%BC%82%E4%B8%99%E9%86%87/_blank" </w:instrText>
            </w:r>
            <w:r>
              <w:rPr>
                <w:rFonts w:hint="default"/>
                <w:sz w:val="24"/>
                <w:szCs w:val="24"/>
              </w:rPr>
              <w:fldChar w:fldCharType="separate"/>
            </w:r>
            <w:r>
              <w:rPr>
                <w:rFonts w:hint="default"/>
                <w:sz w:val="24"/>
                <w:szCs w:val="24"/>
              </w:rPr>
              <w:t>醚</w:t>
            </w:r>
            <w:r>
              <w:rPr>
                <w:rFonts w:hint="default"/>
                <w:sz w:val="24"/>
                <w:szCs w:val="24"/>
              </w:rPr>
              <w:fldChar w:fldCharType="end"/>
            </w:r>
            <w:r>
              <w:rPr>
                <w:rFonts w:hint="default"/>
                <w:sz w:val="24"/>
                <w:szCs w:val="24"/>
              </w:rPr>
              <w:t>、</w:t>
            </w:r>
            <w:r>
              <w:rPr>
                <w:rFonts w:hint="default"/>
                <w:sz w:val="24"/>
                <w:szCs w:val="24"/>
              </w:rPr>
              <w:fldChar w:fldCharType="begin"/>
            </w:r>
            <w:r>
              <w:rPr>
                <w:rFonts w:hint="default"/>
                <w:sz w:val="24"/>
                <w:szCs w:val="24"/>
              </w:rPr>
              <w:instrText xml:space="preserve"> HYPERLINK "https://baike.baidu.com/item/%E8%8B%AF" \t "https://baike.baidu.com/item/%E5%BC%82%E4%B8%99%E9%86%87/_blank" </w:instrText>
            </w:r>
            <w:r>
              <w:rPr>
                <w:rFonts w:hint="default"/>
                <w:sz w:val="24"/>
                <w:szCs w:val="24"/>
              </w:rPr>
              <w:fldChar w:fldCharType="separate"/>
            </w:r>
            <w:r>
              <w:rPr>
                <w:rFonts w:hint="default"/>
                <w:sz w:val="24"/>
                <w:szCs w:val="24"/>
              </w:rPr>
              <w:t>苯</w:t>
            </w:r>
            <w:r>
              <w:rPr>
                <w:rFonts w:hint="default"/>
                <w:sz w:val="24"/>
                <w:szCs w:val="24"/>
              </w:rPr>
              <w:fldChar w:fldCharType="end"/>
            </w:r>
            <w:r>
              <w:rPr>
                <w:rFonts w:hint="default"/>
                <w:sz w:val="24"/>
                <w:szCs w:val="24"/>
              </w:rPr>
              <w:t>、</w:t>
            </w:r>
            <w:r>
              <w:rPr>
                <w:rFonts w:hint="default"/>
                <w:sz w:val="24"/>
                <w:szCs w:val="24"/>
              </w:rPr>
              <w:fldChar w:fldCharType="begin"/>
            </w:r>
            <w:r>
              <w:rPr>
                <w:rFonts w:hint="default"/>
                <w:sz w:val="24"/>
                <w:szCs w:val="24"/>
              </w:rPr>
              <w:instrText xml:space="preserve"> HYPERLINK "https://baike.baidu.com/item/%E6%B0%AF%E4%BB%BF/521847" \t "https://baike.baidu.com/item/%E5%BC%82%E4%B8%99%E9%86%87/_blank" </w:instrText>
            </w:r>
            <w:r>
              <w:rPr>
                <w:rFonts w:hint="default"/>
                <w:sz w:val="24"/>
                <w:szCs w:val="24"/>
              </w:rPr>
              <w:fldChar w:fldCharType="separate"/>
            </w:r>
            <w:r>
              <w:rPr>
                <w:rFonts w:hint="default"/>
                <w:sz w:val="24"/>
                <w:szCs w:val="24"/>
              </w:rPr>
              <w:t>氯仿</w:t>
            </w:r>
            <w:r>
              <w:rPr>
                <w:rFonts w:hint="default"/>
                <w:sz w:val="24"/>
                <w:szCs w:val="24"/>
              </w:rPr>
              <w:fldChar w:fldCharType="end"/>
            </w:r>
            <w:r>
              <w:rPr>
                <w:rFonts w:hint="default"/>
                <w:sz w:val="24"/>
                <w:szCs w:val="24"/>
              </w:rPr>
              <w:t>等多数</w:t>
            </w:r>
            <w:r>
              <w:rPr>
                <w:rFonts w:hint="default"/>
                <w:sz w:val="24"/>
                <w:szCs w:val="24"/>
              </w:rPr>
              <w:fldChar w:fldCharType="begin"/>
            </w:r>
            <w:r>
              <w:rPr>
                <w:rFonts w:hint="default"/>
                <w:sz w:val="24"/>
                <w:szCs w:val="24"/>
              </w:rPr>
              <w:instrText xml:space="preserve"> HYPERLINK "https://baike.baidu.com/item/%E6%9C%89%E6%9C%BA%E6%BA%B6%E5%89%82/7921016" \t "https://baike.baidu.com/item/%E5%BC%82%E4%B8%99%E9%86%87/_blank" </w:instrText>
            </w:r>
            <w:r>
              <w:rPr>
                <w:rFonts w:hint="default"/>
                <w:sz w:val="24"/>
                <w:szCs w:val="24"/>
              </w:rPr>
              <w:fldChar w:fldCharType="separate"/>
            </w:r>
            <w:r>
              <w:rPr>
                <w:rFonts w:hint="default"/>
                <w:sz w:val="24"/>
                <w:szCs w:val="24"/>
              </w:rPr>
              <w:t>有机溶剂</w:t>
            </w:r>
            <w:r>
              <w:rPr>
                <w:rFonts w:hint="default"/>
                <w:sz w:val="24"/>
                <w:szCs w:val="24"/>
              </w:rPr>
              <w:fldChar w:fldCharType="end"/>
            </w:r>
            <w:r>
              <w:rPr>
                <w:rFonts w:hint="default"/>
                <w:sz w:val="24"/>
                <w:szCs w:val="24"/>
              </w:rPr>
              <w:t>。 异丙醇是重要的化工产品和原料。主要用于制药、化妆品、塑料、香料、涂料等。</w:t>
            </w:r>
            <w:r>
              <w:rPr>
                <w:rFonts w:hint="default"/>
                <w:sz w:val="24"/>
                <w:szCs w:val="24"/>
                <w:lang w:val="en-US" w:eastAsia="zh-CN"/>
              </w:rPr>
              <w:t>性状：无色透明具有乙醇气味的易燃性液体。沸点82.45℃</w:t>
            </w:r>
            <w:r>
              <w:rPr>
                <w:rFonts w:hint="eastAsia" w:ascii="Times New Roman" w:eastAsia="宋体"/>
                <w:sz w:val="24"/>
                <w:szCs w:val="24"/>
                <w:lang w:val="en-US" w:eastAsia="zh-CN"/>
              </w:rPr>
              <w:t>；</w:t>
            </w:r>
            <w:r>
              <w:rPr>
                <w:rFonts w:hint="default"/>
                <w:sz w:val="24"/>
                <w:szCs w:val="24"/>
                <w:lang w:val="en-US" w:eastAsia="zh-CN"/>
              </w:rPr>
              <w:t>熔点-87.9℃</w:t>
            </w:r>
            <w:r>
              <w:rPr>
                <w:rFonts w:hint="eastAsia" w:ascii="Times New Roman" w:eastAsia="宋体"/>
                <w:sz w:val="24"/>
                <w:szCs w:val="24"/>
                <w:lang w:val="en-US" w:eastAsia="zh-CN"/>
              </w:rPr>
              <w:t>；</w:t>
            </w:r>
            <w:r>
              <w:rPr>
                <w:rFonts w:hint="default"/>
                <w:sz w:val="24"/>
                <w:szCs w:val="24"/>
                <w:lang w:val="en-US" w:eastAsia="zh-CN"/>
              </w:rPr>
              <w:t>相对密度0.7863g/mL</w:t>
            </w:r>
            <w:r>
              <w:rPr>
                <w:rFonts w:hint="eastAsia" w:ascii="Times New Roman" w:eastAsia="宋体"/>
                <w:sz w:val="24"/>
                <w:szCs w:val="24"/>
                <w:lang w:val="en-US" w:eastAsia="zh-CN"/>
              </w:rPr>
              <w:t>；</w:t>
            </w:r>
            <w:r>
              <w:rPr>
                <w:rFonts w:hint="default"/>
                <w:sz w:val="24"/>
                <w:szCs w:val="24"/>
                <w:lang w:val="en-US" w:eastAsia="zh-CN"/>
              </w:rPr>
              <w:t>相对蒸汽密度2.1g/mL</w:t>
            </w:r>
            <w:r>
              <w:rPr>
                <w:rFonts w:hint="eastAsia" w:ascii="Times New Roman" w:eastAsia="宋体"/>
                <w:sz w:val="24"/>
                <w:szCs w:val="24"/>
                <w:lang w:val="en-US" w:eastAsia="zh-CN"/>
              </w:rPr>
              <w:t>。</w:t>
            </w:r>
          </w:p>
          <w:p>
            <w:pPr>
              <w:pStyle w:val="2"/>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cs="Times New Roman" w:eastAsiaTheme="minorEastAsia"/>
                <w:b/>
                <w:bCs/>
                <w:color w:val="000000" w:themeColor="text1"/>
                <w:sz w:val="24"/>
                <w:szCs w:val="24"/>
                <w:highlight w:val="none"/>
                <w:u w:val="none" w:color="auto"/>
                <w14:textFill>
                  <w14:solidFill>
                    <w14:schemeClr w14:val="tx1"/>
                  </w14:solidFill>
                </w14:textFill>
              </w:rPr>
            </w:pPr>
            <w:r>
              <w:rPr>
                <w:rFonts w:hint="eastAsia" w:ascii="Times New Roman" w:eastAsia="宋体"/>
                <w:color w:val="auto"/>
                <w:sz w:val="24"/>
                <w:szCs w:val="24"/>
                <w:lang w:val="en-US" w:eastAsia="zh-CN"/>
              </w:rPr>
              <w:t>硝化棉：一般是指硝化纤维素，</w:t>
            </w:r>
            <w:r>
              <w:rPr>
                <w:rFonts w:hint="eastAsia"/>
                <w:color w:val="auto"/>
                <w:sz w:val="24"/>
                <w:szCs w:val="24"/>
              </w:rPr>
              <w:t>化学式（C</w:t>
            </w:r>
            <w:r>
              <w:rPr>
                <w:rFonts w:hint="default"/>
                <w:color w:val="auto"/>
                <w:sz w:val="24"/>
                <w:szCs w:val="24"/>
                <w:vertAlign w:val="subscript"/>
              </w:rPr>
              <w:t>6</w:t>
            </w:r>
            <w:r>
              <w:rPr>
                <w:rFonts w:hint="default"/>
                <w:color w:val="auto"/>
                <w:sz w:val="24"/>
                <w:szCs w:val="24"/>
              </w:rPr>
              <w:t>H</w:t>
            </w:r>
            <w:r>
              <w:rPr>
                <w:rFonts w:hint="default"/>
                <w:color w:val="auto"/>
                <w:sz w:val="24"/>
                <w:szCs w:val="24"/>
                <w:vertAlign w:val="subscript"/>
              </w:rPr>
              <w:t>7</w:t>
            </w:r>
            <w:r>
              <w:rPr>
                <w:rFonts w:hint="default"/>
                <w:color w:val="auto"/>
                <w:sz w:val="24"/>
                <w:szCs w:val="24"/>
              </w:rPr>
              <w:t>N</w:t>
            </w:r>
            <w:r>
              <w:rPr>
                <w:rFonts w:hint="default"/>
                <w:color w:val="auto"/>
                <w:sz w:val="24"/>
                <w:szCs w:val="24"/>
                <w:vertAlign w:val="subscript"/>
              </w:rPr>
              <w:t>3</w:t>
            </w:r>
            <w:r>
              <w:rPr>
                <w:rFonts w:hint="default"/>
                <w:color w:val="auto"/>
                <w:sz w:val="24"/>
                <w:szCs w:val="24"/>
              </w:rPr>
              <w:t>O</w:t>
            </w:r>
            <w:r>
              <w:rPr>
                <w:rFonts w:hint="default"/>
                <w:color w:val="auto"/>
                <w:sz w:val="24"/>
                <w:szCs w:val="24"/>
                <w:vertAlign w:val="subscript"/>
              </w:rPr>
              <w:t>11</w:t>
            </w:r>
            <w:r>
              <w:rPr>
                <w:rFonts w:hint="default"/>
                <w:color w:val="auto"/>
                <w:sz w:val="24"/>
                <w:szCs w:val="24"/>
              </w:rPr>
              <w:t>）n，又名纤维素硝酸酯，属硝酸酯类，呈白色或微黄色棉絮状，溶于丙酮。为纤维素与硝酸</w:t>
            </w:r>
            <w:r>
              <w:rPr>
                <w:rFonts w:hint="default"/>
                <w:color w:val="auto"/>
                <w:sz w:val="24"/>
                <w:szCs w:val="24"/>
              </w:rPr>
              <w:fldChar w:fldCharType="begin"/>
            </w:r>
            <w:r>
              <w:rPr>
                <w:rFonts w:hint="default"/>
                <w:color w:val="auto"/>
                <w:sz w:val="24"/>
                <w:szCs w:val="24"/>
              </w:rPr>
              <w:instrText xml:space="preserve"> HYPERLINK "https://baike.baidu.com/item/%E9%85%AF%E5%8C%96%E5%8F%8D%E5%BA%94/3591731" \t "https://baike.baidu.com/item/%E7%A1%9D%E5%8C%96%E7%BA%A4%E7%BB%B4%E7%B4%A0/_blank" </w:instrText>
            </w:r>
            <w:r>
              <w:rPr>
                <w:rFonts w:hint="default"/>
                <w:color w:val="auto"/>
                <w:sz w:val="24"/>
                <w:szCs w:val="24"/>
              </w:rPr>
              <w:fldChar w:fldCharType="separate"/>
            </w:r>
            <w:r>
              <w:rPr>
                <w:rFonts w:hint="default" w:ascii="Arial" w:hAnsi="Arial" w:eastAsia="宋体" w:cs="Arial"/>
                <w:i w:val="0"/>
                <w:caps w:val="0"/>
                <w:color w:val="auto"/>
                <w:spacing w:val="0"/>
                <w:sz w:val="24"/>
                <w:szCs w:val="24"/>
                <w:u w:val="none"/>
              </w:rPr>
              <w:t>酯化反应</w:t>
            </w:r>
            <w:r>
              <w:rPr>
                <w:rFonts w:hint="default"/>
                <w:color w:val="auto"/>
                <w:sz w:val="24"/>
                <w:szCs w:val="24"/>
              </w:rPr>
              <w:fldChar w:fldCharType="end"/>
            </w:r>
            <w:r>
              <w:rPr>
                <w:rFonts w:hint="default"/>
                <w:color w:val="auto"/>
                <w:sz w:val="24"/>
                <w:szCs w:val="24"/>
              </w:rPr>
              <w:t>的产物。</w:t>
            </w:r>
            <w:r>
              <w:rPr>
                <w:rFonts w:hint="default"/>
                <w:color w:val="auto"/>
                <w:sz w:val="24"/>
                <w:szCs w:val="24"/>
              </w:rPr>
              <w:fldChar w:fldCharType="begin"/>
            </w:r>
            <w:r>
              <w:rPr>
                <w:rFonts w:hint="default"/>
                <w:color w:val="auto"/>
                <w:sz w:val="24"/>
                <w:szCs w:val="24"/>
              </w:rPr>
              <w:instrText xml:space="preserve"> HYPERLINK "https://baike.baidu.com/item/%E7%A1%9D%E9%85%B8%E7%BA%A4%E7%BB%B4%E7%B4%A0/6169907" \t "https://baike.baidu.com/item/%E7%A1%9D%E5%8C%96%E7%BA%A4%E7%BB%B4%E7%B4%A0/_blank" </w:instrText>
            </w:r>
            <w:r>
              <w:rPr>
                <w:rFonts w:hint="default"/>
                <w:color w:val="auto"/>
                <w:sz w:val="24"/>
                <w:szCs w:val="24"/>
              </w:rPr>
              <w:fldChar w:fldCharType="separate"/>
            </w:r>
            <w:r>
              <w:rPr>
                <w:rFonts w:hint="default" w:ascii="Arial" w:hAnsi="Arial" w:eastAsia="宋体" w:cs="Arial"/>
                <w:i w:val="0"/>
                <w:caps w:val="0"/>
                <w:color w:val="auto"/>
                <w:spacing w:val="0"/>
                <w:sz w:val="24"/>
                <w:szCs w:val="24"/>
                <w:u w:val="none"/>
              </w:rPr>
              <w:t>硝酸纤维素</w:t>
            </w:r>
            <w:r>
              <w:rPr>
                <w:rFonts w:hint="default"/>
                <w:color w:val="auto"/>
                <w:sz w:val="24"/>
                <w:szCs w:val="24"/>
              </w:rPr>
              <w:fldChar w:fldCharType="end"/>
            </w:r>
            <w:r>
              <w:rPr>
                <w:rFonts w:hint="default"/>
                <w:color w:val="auto"/>
                <w:sz w:val="24"/>
                <w:szCs w:val="24"/>
              </w:rPr>
              <w:t>是用精制棉与</w:t>
            </w:r>
            <w:r>
              <w:rPr>
                <w:rFonts w:hint="default"/>
                <w:color w:val="auto"/>
                <w:sz w:val="24"/>
                <w:szCs w:val="24"/>
              </w:rPr>
              <w:fldChar w:fldCharType="begin"/>
            </w:r>
            <w:r>
              <w:rPr>
                <w:rFonts w:hint="default"/>
                <w:color w:val="auto"/>
                <w:sz w:val="24"/>
                <w:szCs w:val="24"/>
              </w:rPr>
              <w:instrText xml:space="preserve"> HYPERLINK "https://baike.baidu.com/item/%E6%B5%93%E7%A1%9D%E9%85%B8/7275542" \t "https://baike.baidu.com/item/%E7%A1%9D%E5%8C%96%E7%BA%A4%E7%BB%B4%E7%B4%A0/_blank" </w:instrText>
            </w:r>
            <w:r>
              <w:rPr>
                <w:rFonts w:hint="default"/>
                <w:color w:val="auto"/>
                <w:sz w:val="24"/>
                <w:szCs w:val="24"/>
              </w:rPr>
              <w:fldChar w:fldCharType="separate"/>
            </w:r>
            <w:r>
              <w:rPr>
                <w:rFonts w:hint="default" w:ascii="Arial" w:hAnsi="Arial" w:eastAsia="宋体" w:cs="Arial"/>
                <w:i w:val="0"/>
                <w:caps w:val="0"/>
                <w:color w:val="auto"/>
                <w:spacing w:val="0"/>
                <w:sz w:val="24"/>
                <w:szCs w:val="24"/>
                <w:u w:val="none"/>
              </w:rPr>
              <w:t>浓硝酸</w:t>
            </w:r>
            <w:r>
              <w:rPr>
                <w:rFonts w:hint="default"/>
                <w:color w:val="auto"/>
                <w:sz w:val="24"/>
                <w:szCs w:val="24"/>
              </w:rPr>
              <w:fldChar w:fldCharType="end"/>
            </w:r>
            <w:r>
              <w:rPr>
                <w:rFonts w:hint="default"/>
                <w:color w:val="auto"/>
                <w:sz w:val="24"/>
                <w:szCs w:val="24"/>
              </w:rPr>
              <w:t>和</w:t>
            </w:r>
            <w:r>
              <w:rPr>
                <w:rFonts w:hint="default"/>
                <w:color w:val="auto"/>
                <w:sz w:val="24"/>
                <w:szCs w:val="24"/>
              </w:rPr>
              <w:fldChar w:fldCharType="begin"/>
            </w:r>
            <w:r>
              <w:rPr>
                <w:rFonts w:hint="default"/>
                <w:color w:val="auto"/>
                <w:sz w:val="24"/>
                <w:szCs w:val="24"/>
              </w:rPr>
              <w:instrText xml:space="preserve"> HYPERLINK "https://baike.baidu.com/item/%E6%B5%93%E7%A1%AB%E9%85%B8/1101897" \t "https://baike.baidu.com/item/%E7%A1%9D%E5%8C%96%E7%BA%A4%E7%BB%B4%E7%B4%A0/_blank" </w:instrText>
            </w:r>
            <w:r>
              <w:rPr>
                <w:rFonts w:hint="default"/>
                <w:color w:val="auto"/>
                <w:sz w:val="24"/>
                <w:szCs w:val="24"/>
              </w:rPr>
              <w:fldChar w:fldCharType="separate"/>
            </w:r>
            <w:r>
              <w:rPr>
                <w:rFonts w:hint="default" w:ascii="Arial" w:hAnsi="Arial" w:eastAsia="宋体" w:cs="Arial"/>
                <w:i w:val="0"/>
                <w:caps w:val="0"/>
                <w:color w:val="auto"/>
                <w:spacing w:val="0"/>
                <w:sz w:val="24"/>
                <w:szCs w:val="24"/>
                <w:u w:val="none"/>
              </w:rPr>
              <w:t>浓硫酸</w:t>
            </w:r>
            <w:r>
              <w:rPr>
                <w:rFonts w:hint="default"/>
                <w:color w:val="auto"/>
                <w:sz w:val="24"/>
                <w:szCs w:val="24"/>
              </w:rPr>
              <w:fldChar w:fldCharType="end"/>
            </w:r>
            <w:r>
              <w:rPr>
                <w:rFonts w:hint="default"/>
                <w:color w:val="auto"/>
                <w:sz w:val="24"/>
                <w:szCs w:val="24"/>
              </w:rPr>
              <w:t>酯化反应而得</w:t>
            </w:r>
            <w:r>
              <w:rPr>
                <w:rFonts w:hint="eastAsia" w:eastAsia="宋体"/>
                <w:color w:val="auto"/>
                <w:sz w:val="24"/>
                <w:szCs w:val="24"/>
                <w:lang w:eastAsia="zh-CN"/>
              </w:rPr>
              <w:t>。</w:t>
            </w:r>
            <w:r>
              <w:rPr>
                <w:rFonts w:hint="eastAsia" w:ascii="Times New Roman" w:eastAsia="宋体"/>
                <w:color w:val="auto"/>
                <w:sz w:val="24"/>
                <w:szCs w:val="24"/>
                <w:lang w:val="en-US" w:eastAsia="zh-CN"/>
              </w:rPr>
              <w:t>可</w:t>
            </w:r>
            <w:r>
              <w:rPr>
                <w:rFonts w:hint="eastAsia"/>
                <w:color w:val="auto"/>
                <w:sz w:val="24"/>
                <w:szCs w:val="24"/>
              </w:rPr>
              <w:t>用于油墨、皮革、各种硝基漆、胶帽、打字蜡纸等。</w:t>
            </w:r>
          </w:p>
          <w:p>
            <w:pPr>
              <w:keepNext/>
              <w:keepLines/>
              <w:pageBreakBefore w:val="0"/>
              <w:widowControl w:val="0"/>
              <w:numPr>
                <w:ilvl w:val="0"/>
                <w:numId w:val="0"/>
              </w:numPr>
              <w:kinsoku/>
              <w:wordWrap/>
              <w:overflowPunct/>
              <w:topLinePunct w:val="0"/>
              <w:autoSpaceDE/>
              <w:autoSpaceDN/>
              <w:bidi w:val="0"/>
              <w:adjustRightInd w:val="0"/>
              <w:snapToGrid w:val="0"/>
              <w:spacing w:line="360" w:lineRule="auto"/>
              <w:ind w:firstLine="482" w:firstLineChars="200"/>
              <w:jc w:val="both"/>
              <w:textAlignment w:val="auto"/>
              <w:outlineLvl w:val="2"/>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pPr>
            <w:r>
              <w:rPr>
                <w:rFonts w:hint="eastAsia"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t>6、</w:t>
            </w:r>
            <w:r>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t>主要生产设备</w:t>
            </w:r>
          </w:p>
          <w:p>
            <w:pPr>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color w:val="000000" w:themeColor="text1"/>
                <w:sz w:val="24"/>
                <w:szCs w:val="21"/>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1"/>
                <w:highlight w:val="none"/>
                <w:u w:val="none" w:color="auto"/>
                <w:lang w:val="en-US" w:eastAsia="zh-CN"/>
                <w14:textFill>
                  <w14:solidFill>
                    <w14:schemeClr w14:val="tx1"/>
                  </w14:solidFill>
                </w14:textFill>
              </w:rPr>
              <w:t>项目</w:t>
            </w:r>
            <w:r>
              <w:rPr>
                <w:rFonts w:hint="default" w:ascii="Times New Roman" w:hAnsi="Times New Roman" w:cs="Times New Roman" w:eastAsiaTheme="minorEastAsia"/>
                <w:color w:val="000000" w:themeColor="text1"/>
                <w:sz w:val="24"/>
                <w:szCs w:val="21"/>
                <w:highlight w:val="none"/>
                <w:u w:val="none" w:color="auto"/>
                <w14:textFill>
                  <w14:solidFill>
                    <w14:schemeClr w14:val="tx1"/>
                  </w14:solidFill>
                </w14:textFill>
              </w:rPr>
              <w:t>生产设备情况详见表</w:t>
            </w:r>
            <w:r>
              <w:rPr>
                <w:rFonts w:hint="default" w:ascii="Times New Roman" w:hAnsi="Times New Roman" w:cs="Times New Roman" w:eastAsiaTheme="minorEastAsia"/>
                <w:color w:val="000000" w:themeColor="text1"/>
                <w:sz w:val="24"/>
                <w:szCs w:val="21"/>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color w:val="000000" w:themeColor="text1"/>
                <w:sz w:val="24"/>
                <w:szCs w:val="21"/>
                <w:highlight w:val="none"/>
                <w:u w:val="none" w:color="auto"/>
                <w14:textFill>
                  <w14:solidFill>
                    <w14:schemeClr w14:val="tx1"/>
                  </w14:solidFill>
                </w14:textFill>
              </w:rPr>
              <w:t>-</w:t>
            </w:r>
            <w:r>
              <w:rPr>
                <w:rFonts w:hint="eastAsia" w:cs="Times New Roman" w:eastAsiaTheme="minorEastAsia"/>
                <w:color w:val="000000" w:themeColor="text1"/>
                <w:sz w:val="24"/>
                <w:szCs w:val="21"/>
                <w:highlight w:val="none"/>
                <w:u w:val="none" w:color="auto"/>
                <w:lang w:val="en-US" w:eastAsia="zh-CN"/>
                <w14:textFill>
                  <w14:solidFill>
                    <w14:schemeClr w14:val="tx1"/>
                  </w14:solidFill>
                </w14:textFill>
              </w:rPr>
              <w:t>4</w:t>
            </w:r>
            <w:r>
              <w:rPr>
                <w:rFonts w:hint="default" w:ascii="Times New Roman" w:hAnsi="Times New Roman" w:cs="Times New Roman" w:eastAsiaTheme="minorEastAsia"/>
                <w:color w:val="000000" w:themeColor="text1"/>
                <w:sz w:val="24"/>
                <w:szCs w:val="21"/>
                <w:highlight w:val="none"/>
                <w:u w:val="none" w:color="auto"/>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pP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表</w:t>
            </w:r>
            <w:r>
              <w:rPr>
                <w:rFonts w:hint="default"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w:t>
            </w:r>
            <w:r>
              <w:rPr>
                <w:rFonts w:hint="eastAsia" w:cs="Times New Roman" w:eastAsiaTheme="minorEastAsia"/>
                <w:b/>
                <w:color w:val="000000" w:themeColor="text1"/>
                <w:sz w:val="21"/>
                <w:szCs w:val="21"/>
                <w:highlight w:val="none"/>
                <w:u w:val="none" w:color="auto"/>
                <w:lang w:val="en-US" w:eastAsia="zh-CN"/>
                <w14:textFill>
                  <w14:solidFill>
                    <w14:schemeClr w14:val="tx1"/>
                  </w14:solidFill>
                </w14:textFill>
              </w:rPr>
              <w:t>4</w:t>
            </w:r>
            <w:r>
              <w:rPr>
                <w:rFonts w:hint="default"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t xml:space="preserve"> </w:t>
            </w: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项目主要设备一览表</w:t>
            </w:r>
          </w:p>
          <w:tbl>
            <w:tblPr>
              <w:tblStyle w:val="23"/>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41"/>
              <w:gridCol w:w="3157"/>
              <w:gridCol w:w="2215"/>
              <w:gridCol w:w="20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813"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设备分类</w:t>
                  </w: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设备名称</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cs="Times New Roman"/>
                      <w:highlight w:val="none"/>
                      <w:u w:val="none" w:color="auto"/>
                      <w:lang w:val="en-US" w:eastAsia="zh-CN"/>
                    </w:rPr>
                    <w:t>9#栋设备</w:t>
                  </w:r>
                  <w:r>
                    <w:rPr>
                      <w:rFonts w:hint="eastAsia" w:ascii="Times New Roman" w:hAnsi="Times New Roman" w:eastAsia="宋体" w:cs="Times New Roman"/>
                      <w:highlight w:val="none"/>
                      <w:u w:val="none" w:color="auto"/>
                      <w:lang w:val="en-US" w:eastAsia="zh-CN"/>
                    </w:rPr>
                    <w:t>数量</w:t>
                  </w:r>
                </w:p>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（台）</w:t>
                  </w:r>
                </w:p>
              </w:tc>
              <w:tc>
                <w:tcPr>
                  <w:tcW w:w="1156"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cs="Times New Roman"/>
                      <w:highlight w:val="none"/>
                      <w:u w:val="none" w:color="auto"/>
                      <w:lang w:val="en-US" w:eastAsia="zh-CN"/>
                    </w:rPr>
                    <w:t>10#栋设备数量（台）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813" w:type="pct"/>
                  <w:vMerge w:val="restar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生产设备</w:t>
                  </w: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搅拌机</w:t>
                  </w:r>
                </w:p>
              </w:tc>
              <w:tc>
                <w:tcPr>
                  <w:tcW w:w="1249"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4台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8台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81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涂布机</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81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对辊机</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98" w:hRule="atLeast"/>
              </w:trPr>
              <w:tc>
                <w:tcPr>
                  <w:tcW w:w="81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分条机</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81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制片机</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20台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20台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81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卷绕机</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10台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10台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81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一体机</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10 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15台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81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注液机</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98" w:hRule="atLeast"/>
              </w:trPr>
              <w:tc>
                <w:tcPr>
                  <w:tcW w:w="81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烤箱</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81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化成柜</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10台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10台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81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套膜机</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3台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81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1780"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分选机</w:t>
                  </w:r>
                </w:p>
              </w:tc>
              <w:tc>
                <w:tcPr>
                  <w:tcW w:w="1249"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5台</w:t>
                  </w:r>
                </w:p>
              </w:tc>
              <w:tc>
                <w:tcPr>
                  <w:tcW w:w="1156"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8台</w:t>
                  </w:r>
                </w:p>
              </w:tc>
            </w:tr>
          </w:tbl>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firstLine="482" w:firstLineChars="200"/>
              <w:jc w:val="both"/>
              <w:textAlignment w:val="auto"/>
              <w:rPr>
                <w:rFonts w:hint="default" w:ascii="Times New Roman" w:hAnsi="Times New Roman" w:cs="Times New Roman" w:eastAsiaTheme="minorEastAsia"/>
                <w:b/>
                <w:color w:val="000000" w:themeColor="text1"/>
                <w:spacing w:val="0"/>
                <w:kern w:val="21"/>
                <w:sz w:val="24"/>
                <w:szCs w:val="24"/>
                <w:highlight w:val="none"/>
                <w:u w:val="none" w:color="auto"/>
                <w:lang w:val="en-US" w:eastAsia="zh-CN" w:bidi="ar-SA"/>
                <w14:textFill>
                  <w14:solidFill>
                    <w14:schemeClr w14:val="tx1"/>
                  </w14:solidFill>
                </w14:textFill>
              </w:rPr>
            </w:pPr>
            <w:r>
              <w:rPr>
                <w:rFonts w:hint="eastAsia" w:cs="Times New Roman" w:eastAsiaTheme="minorEastAsia"/>
                <w:b/>
                <w:color w:val="000000" w:themeColor="text1"/>
                <w:spacing w:val="0"/>
                <w:kern w:val="21"/>
                <w:sz w:val="24"/>
                <w:szCs w:val="24"/>
                <w:highlight w:val="none"/>
                <w:u w:val="none" w:color="auto"/>
                <w:lang w:val="en-US" w:eastAsia="zh-CN" w:bidi="ar-SA"/>
                <w14:textFill>
                  <w14:solidFill>
                    <w14:schemeClr w14:val="tx1"/>
                  </w14:solidFill>
                </w14:textFill>
              </w:rPr>
              <w:t>7、</w:t>
            </w:r>
            <w:r>
              <w:rPr>
                <w:rFonts w:hint="default" w:ascii="Times New Roman" w:hAnsi="Times New Roman" w:cs="Times New Roman" w:eastAsiaTheme="minorEastAsia"/>
                <w:b/>
                <w:color w:val="000000" w:themeColor="text1"/>
                <w:spacing w:val="0"/>
                <w:kern w:val="21"/>
                <w:sz w:val="24"/>
                <w:szCs w:val="24"/>
                <w:highlight w:val="none"/>
                <w:u w:val="none" w:color="auto"/>
                <w:lang w:val="en-US" w:eastAsia="zh-CN" w:bidi="ar-SA"/>
                <w14:textFill>
                  <w14:solidFill>
                    <w14:schemeClr w14:val="tx1"/>
                  </w14:solidFill>
                </w14:textFill>
              </w:rPr>
              <w:t>公用工程</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0" w:leftChars="0" w:right="0" w:firstLine="480" w:firstLineChars="200"/>
              <w:textAlignment w:val="auto"/>
              <w:rPr>
                <w:rFonts w:hint="default" w:ascii="Times New Roman" w:hAnsi="Times New Roman" w:cs="Times New Roman" w:eastAsiaTheme="minorEastAsia"/>
                <w:b w:val="0"/>
                <w:bCs w:val="0"/>
                <w:color w:val="000000" w:themeColor="text1"/>
                <w:sz w:val="24"/>
                <w:szCs w:val="22"/>
                <w:highlight w:val="none"/>
                <w:u w:val="none" w:color="auto"/>
                <w:lang w:eastAsia="zh-CN"/>
                <w14:textFill>
                  <w14:solidFill>
                    <w14:schemeClr w14:val="tx1"/>
                  </w14:solidFill>
                </w14:textFill>
              </w:rPr>
            </w:pPr>
            <w:r>
              <w:rPr>
                <w:rFonts w:hint="eastAsia" w:cs="Times New Roman" w:eastAsiaTheme="minorEastAsia"/>
                <w:b w:val="0"/>
                <w:bCs w:val="0"/>
                <w:color w:val="000000" w:themeColor="text1"/>
                <w:sz w:val="24"/>
                <w:szCs w:val="22"/>
                <w:highlight w:val="none"/>
                <w:u w:val="none" w:color="auto"/>
                <w:lang w:val="en-US" w:eastAsia="zh-CN"/>
                <w14:textFill>
                  <w14:solidFill>
                    <w14:schemeClr w14:val="tx1"/>
                  </w14:solidFill>
                </w14:textFill>
              </w:rPr>
              <w:t>（1）</w:t>
            </w:r>
            <w:r>
              <w:rPr>
                <w:rFonts w:hint="default" w:ascii="Times New Roman" w:hAnsi="Times New Roman" w:cs="Times New Roman" w:eastAsiaTheme="minorEastAsia"/>
                <w:b w:val="0"/>
                <w:bCs w:val="0"/>
                <w:color w:val="000000" w:themeColor="text1"/>
                <w:sz w:val="24"/>
                <w:szCs w:val="22"/>
                <w:highlight w:val="none"/>
                <w:u w:val="none" w:color="auto"/>
                <w:lang w:val="en-US" w:eastAsia="zh-CN"/>
                <w14:textFill>
                  <w14:solidFill>
                    <w14:schemeClr w14:val="tx1"/>
                  </w14:solidFill>
                </w14:textFill>
              </w:rPr>
              <w:t>给、排水</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leftChars="0" w:right="0" w:firstLine="480" w:firstLineChars="200"/>
              <w:textAlignment w:val="auto"/>
              <w:rPr>
                <w:rFonts w:hint="default" w:ascii="Times New Roman" w:hAnsi="Times New Roman" w:cs="Times New Roman" w:eastAsiaTheme="minorEastAsia"/>
                <w:color w:val="000000" w:themeColor="text1"/>
                <w:sz w:val="24"/>
                <w:szCs w:val="22"/>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①</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给水：</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由</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自来水</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供水</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leftChars="0" w:right="0" w:firstLine="480" w:firstLineChars="200"/>
              <w:textAlignment w:val="auto"/>
              <w:rPr>
                <w:rFonts w:hint="eastAsia" w:ascii="Times New Roman" w:hAnsi="Times New Roman" w:cs="Times New Roman" w:eastAsiaTheme="minorEastAsia"/>
                <w:bCs/>
                <w:i w:val="0"/>
                <w:iCs w:val="0"/>
                <w:color w:val="000000" w:themeColor="text1"/>
                <w:kern w:val="21"/>
                <w:sz w:val="24"/>
                <w:szCs w:val="22"/>
                <w:highlight w:val="none"/>
                <w:u w:val="none" w:color="auto"/>
                <w:lang w:eastAsia="zh-CN"/>
                <w14:textFill>
                  <w14:solidFill>
                    <w14:schemeClr w14:val="tx1"/>
                  </w14:solidFill>
                </w14:textFill>
              </w:rPr>
            </w:pPr>
            <w:r>
              <w:rPr>
                <w:rFonts w:hint="default" w:ascii="Times New Roman" w:hAnsi="Times New Roman" w:cs="Times New Roman" w:eastAsiaTheme="minorEastAsia"/>
                <w:bCs/>
                <w:i w:val="0"/>
                <w:iCs w:val="0"/>
                <w:snapToGrid w:val="0"/>
                <w:color w:val="000000" w:themeColor="text1"/>
                <w:sz w:val="24"/>
                <w:szCs w:val="22"/>
                <w:highlight w:val="none"/>
                <w:u w:val="none" w:color="auto"/>
                <w14:textFill>
                  <w14:solidFill>
                    <w14:schemeClr w14:val="tx1"/>
                  </w14:solidFill>
                </w14:textFill>
              </w:rPr>
              <w:t>②</w:t>
            </w:r>
            <w:r>
              <w:rPr>
                <w:rFonts w:hint="default" w:ascii="Times New Roman" w:hAnsi="Times New Roman" w:cs="Times New Roman" w:eastAsiaTheme="minorEastAsia"/>
                <w:bCs/>
                <w:i w:val="0"/>
                <w:iCs w:val="0"/>
                <w:color w:val="000000" w:themeColor="text1"/>
                <w:kern w:val="21"/>
                <w:sz w:val="24"/>
                <w:szCs w:val="20"/>
                <w:highlight w:val="none"/>
                <w:u w:val="none" w:color="auto"/>
                <w:lang w:val="en-US" w:eastAsia="zh-CN"/>
                <w14:textFill>
                  <w14:solidFill>
                    <w14:schemeClr w14:val="tx1"/>
                  </w14:solidFill>
                </w14:textFill>
              </w:rPr>
              <w:t>排水：</w:t>
            </w:r>
            <w:r>
              <w:rPr>
                <w:rFonts w:hint="default" w:ascii="Times New Roman" w:hAnsi="Times New Roman" w:cs="Times New Roman" w:eastAsiaTheme="minorEastAsia"/>
                <w:i w:val="0"/>
                <w:iCs w:val="0"/>
                <w:color w:val="000000" w:themeColor="text1"/>
                <w:sz w:val="24"/>
                <w:szCs w:val="24"/>
                <w:highlight w:val="none"/>
                <w:u w:val="none" w:color="auto"/>
                <w:lang w:val="en-US" w:eastAsia="zh-CN"/>
                <w14:textFill>
                  <w14:solidFill>
                    <w14:schemeClr w14:val="tx1"/>
                  </w14:solidFill>
                </w14:textFill>
              </w:rPr>
              <w:t>生活污水经化粪池处理后</w:t>
            </w:r>
            <w:r>
              <w:rPr>
                <w:rFonts w:hint="eastAsia" w:cs="Times New Roman" w:eastAsiaTheme="minorEastAsia"/>
                <w:i w:val="0"/>
                <w:iCs w:val="0"/>
                <w:color w:val="000000" w:themeColor="text1"/>
                <w:sz w:val="24"/>
                <w:szCs w:val="24"/>
                <w:highlight w:val="none"/>
                <w:u w:val="none" w:color="auto"/>
                <w:lang w:val="en-US" w:eastAsia="zh-CN"/>
                <w14:textFill>
                  <w14:solidFill>
                    <w14:schemeClr w14:val="tx1"/>
                  </w14:solidFill>
                </w14:textFill>
              </w:rPr>
              <w:t>进入</w:t>
            </w:r>
            <w:r>
              <w:rPr>
                <w:rFonts w:hint="default" w:ascii="Times New Roman" w:hAnsi="Times New Roman" w:cs="Times New Roman" w:eastAsiaTheme="minorEastAsia"/>
                <w:i w:val="0"/>
                <w:iCs w:val="0"/>
                <w:color w:val="000000" w:themeColor="text1"/>
                <w:sz w:val="24"/>
                <w:szCs w:val="24"/>
                <w:highlight w:val="none"/>
                <w:u w:val="none" w:color="auto"/>
                <w:lang w:val="en-US" w:eastAsia="zh-CN"/>
                <w14:textFill>
                  <w14:solidFill>
                    <w14:schemeClr w14:val="tx1"/>
                  </w14:solidFill>
                </w14:textFill>
              </w:rPr>
              <w:t>市政管网，排入新田县污水处理厂进行深度处理</w:t>
            </w:r>
            <w:r>
              <w:rPr>
                <w:rFonts w:hint="eastAsia" w:cs="Times New Roman" w:eastAsiaTheme="minorEastAsia"/>
                <w:i w:val="0"/>
                <w:iCs w:val="0"/>
                <w:color w:val="000000" w:themeColor="text1"/>
                <w:sz w:val="24"/>
                <w:szCs w:val="24"/>
                <w:highlight w:val="none"/>
                <w:u w:val="none" w:color="auto"/>
                <w:lang w:val="en-US" w:eastAsia="zh-CN"/>
                <w14:textFill>
                  <w14:solidFill>
                    <w14:schemeClr w14:val="tx1"/>
                  </w14:solidFill>
                </w14:textFill>
              </w:rPr>
              <w:t>；搅拌桶清洗废水、电池清洗废水经三级沉淀池+水处理试剂预处理后排入开发区污水管网进入新田县污水处理厂进行深度处理；循环冷却水经冷却塔冷却后循环使用；喷淋废水交由供应商回收替换。</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0" w:leftChars="0" w:firstLine="480" w:firstLineChars="200"/>
              <w:textAlignment w:val="auto"/>
              <w:rPr>
                <w:rFonts w:hint="default" w:ascii="Times New Roman" w:hAnsi="Times New Roman" w:cs="Times New Roman" w:eastAsiaTheme="minorEastAsia"/>
                <w:b w:val="0"/>
                <w:bCs w:val="0"/>
                <w:color w:val="000000" w:themeColor="text1"/>
                <w:sz w:val="24"/>
                <w:szCs w:val="22"/>
                <w:highlight w:val="none"/>
                <w:u w:val="none" w:color="auto"/>
                <w14:textFill>
                  <w14:solidFill>
                    <w14:schemeClr w14:val="tx1"/>
                  </w14:solidFill>
                </w14:textFill>
              </w:rPr>
            </w:pPr>
            <w:r>
              <w:rPr>
                <w:rFonts w:hint="eastAsia" w:cs="Times New Roman" w:eastAsiaTheme="minorEastAsia"/>
                <w:b w:val="0"/>
                <w:bCs w:val="0"/>
                <w:color w:val="000000" w:themeColor="text1"/>
                <w:sz w:val="24"/>
                <w:szCs w:val="22"/>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b w:val="0"/>
                <w:bCs w:val="0"/>
                <w:color w:val="000000" w:themeColor="text1"/>
                <w:sz w:val="24"/>
                <w:szCs w:val="22"/>
                <w:highlight w:val="none"/>
                <w:u w:val="none" w:color="auto"/>
                <w14:textFill>
                  <w14:solidFill>
                    <w14:schemeClr w14:val="tx1"/>
                  </w14:solidFill>
                </w14:textFill>
              </w:rPr>
              <w:t>供电</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0" w:leftChars="0" w:firstLine="480" w:firstLineChars="200"/>
              <w:textAlignment w:val="auto"/>
              <w:rPr>
                <w:rFonts w:hint="eastAsia" w:ascii="Times New Roman" w:hAnsi="Times New Roman" w:cs="Times New Roman" w:eastAsiaTheme="minorEastAsia"/>
                <w:b w:val="0"/>
                <w:bCs w:val="0"/>
                <w:color w:val="000000" w:themeColor="text1"/>
                <w:sz w:val="24"/>
                <w:highlight w:val="none"/>
                <w:u w:val="none" w:color="auto"/>
                <w:lang w:eastAsia="zh-CN"/>
                <w14:textFill>
                  <w14:solidFill>
                    <w14:schemeClr w14:val="tx1"/>
                  </w14:solidFill>
                </w14:textFill>
              </w:rPr>
            </w:pPr>
            <w:r>
              <w:rPr>
                <w:rFonts w:hint="default" w:ascii="Times New Roman" w:hAnsi="Times New Roman" w:cs="Times New Roman" w:eastAsiaTheme="minorEastAsia"/>
                <w:b w:val="0"/>
                <w:bCs w:val="0"/>
                <w:color w:val="000000" w:themeColor="text1"/>
                <w:sz w:val="24"/>
                <w:highlight w:val="none"/>
                <w:u w:val="none" w:color="auto"/>
                <w14:textFill>
                  <w14:solidFill>
                    <w14:schemeClr w14:val="tx1"/>
                  </w14:solidFill>
                </w14:textFill>
              </w:rPr>
              <w:t>本项目用电由市政电网接入</w:t>
            </w:r>
            <w:r>
              <w:rPr>
                <w:rFonts w:hint="eastAsia" w:cs="Times New Roman" w:eastAsiaTheme="minorEastAsia"/>
                <w:b w:val="0"/>
                <w:bCs w:val="0"/>
                <w:color w:val="000000" w:themeColor="text1"/>
                <w:sz w:val="24"/>
                <w:highlight w:val="none"/>
                <w:u w:val="none" w:color="auto"/>
                <w:lang w:eastAsia="zh-CN"/>
                <w14:textFill>
                  <w14:solidFill>
                    <w14:schemeClr w14:val="tx1"/>
                  </w14:solidFill>
                </w14:textFill>
              </w:rPr>
              <w:t>。</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b w:val="0"/>
                <w:bCs w:val="0"/>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b w:val="0"/>
                <w:bCs w:val="0"/>
                <w:color w:val="000000" w:themeColor="text1"/>
                <w:sz w:val="24"/>
                <w:szCs w:val="24"/>
                <w:highlight w:val="none"/>
                <w:u w:val="none" w:color="auto"/>
                <w:lang w:val="en-US" w:eastAsia="zh-CN"/>
                <w14:textFill>
                  <w14:solidFill>
                    <w14:schemeClr w14:val="tx1"/>
                  </w14:solidFill>
                </w14:textFill>
              </w:rPr>
              <w:t>（3）</w:t>
            </w:r>
            <w:r>
              <w:rPr>
                <w:rFonts w:hint="default" w:ascii="Times New Roman" w:hAnsi="Times New Roman" w:cs="Times New Roman" w:eastAsiaTheme="minorEastAsia"/>
                <w:b w:val="0"/>
                <w:bCs w:val="0"/>
                <w:color w:val="000000" w:themeColor="text1"/>
                <w:sz w:val="24"/>
                <w:szCs w:val="24"/>
                <w:highlight w:val="none"/>
                <w:u w:val="none" w:color="auto"/>
                <w:lang w:val="en-US" w:eastAsia="zh-CN"/>
                <w14:textFill>
                  <w14:solidFill>
                    <w14:schemeClr w14:val="tx1"/>
                  </w14:solidFill>
                </w14:textFill>
              </w:rPr>
              <w:t>施工进度安排</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b w:val="0"/>
                <w:bCs w:val="0"/>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b w:val="0"/>
                <w:bCs w:val="0"/>
                <w:color w:val="000000" w:themeColor="text1"/>
                <w:sz w:val="24"/>
                <w:szCs w:val="24"/>
                <w:highlight w:val="none"/>
                <w:u w:val="none" w:color="auto"/>
                <w:lang w:val="en-US" w:eastAsia="zh-CN"/>
                <w14:textFill>
                  <w14:solidFill>
                    <w14:schemeClr w14:val="tx1"/>
                  </w14:solidFill>
                </w14:textFill>
              </w:rPr>
              <w:t>预计2021年12月开始建设，建设工期约</w:t>
            </w:r>
            <w:r>
              <w:rPr>
                <w:rFonts w:hint="eastAsia" w:cs="Times New Roman" w:eastAsiaTheme="minorEastAsia"/>
                <w:b w:val="0"/>
                <w:bCs w:val="0"/>
                <w:color w:val="000000" w:themeColor="text1"/>
                <w:sz w:val="24"/>
                <w:szCs w:val="24"/>
                <w:highlight w:val="none"/>
                <w:u w:val="none" w:color="auto"/>
                <w:lang w:val="en-US" w:eastAsia="zh-CN"/>
                <w14:textFill>
                  <w14:solidFill>
                    <w14:schemeClr w14:val="tx1"/>
                  </w14:solidFill>
                </w14:textFill>
              </w:rPr>
              <w:t>5</w:t>
            </w:r>
            <w:r>
              <w:rPr>
                <w:rFonts w:hint="eastAsia" w:ascii="Times New Roman" w:hAnsi="Times New Roman" w:cs="Times New Roman" w:eastAsiaTheme="minorEastAsia"/>
                <w:b w:val="0"/>
                <w:bCs w:val="0"/>
                <w:color w:val="000000" w:themeColor="text1"/>
                <w:sz w:val="24"/>
                <w:szCs w:val="24"/>
                <w:highlight w:val="none"/>
                <w:u w:val="none" w:color="auto"/>
                <w:lang w:val="en-US" w:eastAsia="zh-CN"/>
                <w14:textFill>
                  <w14:solidFill>
                    <w14:schemeClr w14:val="tx1"/>
                  </w14:solidFill>
                </w14:textFill>
              </w:rPr>
              <w:t>个月</w:t>
            </w:r>
            <w:r>
              <w:rPr>
                <w:rFonts w:hint="default" w:ascii="Times New Roman" w:hAnsi="Times New Roman" w:cs="Times New Roman" w:eastAsiaTheme="minorEastAsia"/>
                <w:b w:val="0"/>
                <w:bCs w:val="0"/>
                <w:color w:val="000000" w:themeColor="text1"/>
                <w:sz w:val="24"/>
                <w:szCs w:val="24"/>
                <w:highlight w:val="none"/>
                <w:u w:val="none" w:color="auto"/>
                <w:lang w:val="en-US" w:eastAsia="zh-CN"/>
                <w14:textFill>
                  <w14:solidFill>
                    <w14:schemeClr w14:val="tx1"/>
                  </w14:solidFill>
                </w14:textFill>
              </w:rPr>
              <w:t>，202</w:t>
            </w:r>
            <w:r>
              <w:rPr>
                <w:rFonts w:hint="eastAsia" w:cs="Times New Roman" w:eastAsiaTheme="minorEastAsia"/>
                <w:b w:val="0"/>
                <w:bCs w:val="0"/>
                <w:color w:val="000000" w:themeColor="text1"/>
                <w:sz w:val="24"/>
                <w:szCs w:val="24"/>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b w:val="0"/>
                <w:bCs w:val="0"/>
                <w:color w:val="000000" w:themeColor="text1"/>
                <w:sz w:val="24"/>
                <w:szCs w:val="24"/>
                <w:highlight w:val="none"/>
                <w:u w:val="none" w:color="auto"/>
                <w:lang w:val="en-US" w:eastAsia="zh-CN"/>
                <w14:textFill>
                  <w14:solidFill>
                    <w14:schemeClr w14:val="tx1"/>
                  </w14:solidFill>
                </w14:textFill>
              </w:rPr>
              <w:t>年</w:t>
            </w:r>
            <w:r>
              <w:rPr>
                <w:rFonts w:hint="eastAsia" w:cs="Times New Roman" w:eastAsiaTheme="minorEastAsia"/>
                <w:b w:val="0"/>
                <w:bCs w:val="0"/>
                <w:color w:val="000000" w:themeColor="text1"/>
                <w:sz w:val="24"/>
                <w:szCs w:val="24"/>
                <w:highlight w:val="none"/>
                <w:u w:val="none" w:color="auto"/>
                <w:lang w:val="en-US" w:eastAsia="zh-CN"/>
                <w14:textFill>
                  <w14:solidFill>
                    <w14:schemeClr w14:val="tx1"/>
                  </w14:solidFill>
                </w14:textFill>
              </w:rPr>
              <w:t>4</w:t>
            </w:r>
            <w:r>
              <w:rPr>
                <w:rFonts w:hint="default" w:ascii="Times New Roman" w:hAnsi="Times New Roman" w:cs="Times New Roman" w:eastAsiaTheme="minorEastAsia"/>
                <w:b w:val="0"/>
                <w:bCs w:val="0"/>
                <w:color w:val="000000" w:themeColor="text1"/>
                <w:sz w:val="24"/>
                <w:szCs w:val="24"/>
                <w:highlight w:val="none"/>
                <w:u w:val="none" w:color="auto"/>
                <w:lang w:val="en-US" w:eastAsia="zh-CN"/>
                <w14:textFill>
                  <w14:solidFill>
                    <w14:schemeClr w14:val="tx1"/>
                  </w14:solidFill>
                </w14:textFill>
              </w:rPr>
              <w:t>月</w:t>
            </w:r>
            <w:r>
              <w:rPr>
                <w:rFonts w:hint="eastAsia" w:cs="Times New Roman" w:eastAsiaTheme="minorEastAsia"/>
                <w:b w:val="0"/>
                <w:bCs w:val="0"/>
                <w:color w:val="000000" w:themeColor="text1"/>
                <w:sz w:val="24"/>
                <w:szCs w:val="24"/>
                <w:highlight w:val="none"/>
                <w:u w:val="none" w:color="auto"/>
                <w:lang w:val="en-US" w:eastAsia="zh-CN"/>
                <w14:textFill>
                  <w14:solidFill>
                    <w14:schemeClr w14:val="tx1"/>
                  </w14:solidFill>
                </w14:textFill>
              </w:rPr>
              <w:t>底</w:t>
            </w:r>
            <w:r>
              <w:rPr>
                <w:rFonts w:hint="default" w:ascii="Times New Roman" w:hAnsi="Times New Roman" w:cs="Times New Roman" w:eastAsiaTheme="minorEastAsia"/>
                <w:b w:val="0"/>
                <w:bCs w:val="0"/>
                <w:color w:val="000000" w:themeColor="text1"/>
                <w:sz w:val="24"/>
                <w:szCs w:val="24"/>
                <w:highlight w:val="none"/>
                <w:u w:val="none" w:color="auto"/>
                <w:lang w:val="en-US" w:eastAsia="zh-CN"/>
                <w14:textFill>
                  <w14:solidFill>
                    <w14:schemeClr w14:val="tx1"/>
                  </w14:solidFill>
                </w14:textFill>
              </w:rPr>
              <w:t>投产运营。</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b w:val="0"/>
                <w:bCs w:val="0"/>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b w:val="0"/>
                <w:bCs w:val="0"/>
                <w:color w:val="000000" w:themeColor="text1"/>
                <w:sz w:val="24"/>
                <w:szCs w:val="24"/>
                <w:highlight w:val="none"/>
                <w:u w:val="none" w:color="auto"/>
                <w:lang w:val="en-US" w:eastAsia="zh-CN"/>
                <w14:textFill>
                  <w14:solidFill>
                    <w14:schemeClr w14:val="tx1"/>
                  </w14:solidFill>
                </w14:textFill>
              </w:rPr>
              <w:t>（4）</w:t>
            </w:r>
            <w:r>
              <w:rPr>
                <w:rFonts w:hint="default" w:ascii="Times New Roman" w:hAnsi="Times New Roman" w:cs="Times New Roman" w:eastAsiaTheme="minorEastAsia"/>
                <w:b w:val="0"/>
                <w:bCs w:val="0"/>
                <w:color w:val="000000" w:themeColor="text1"/>
                <w:sz w:val="24"/>
                <w:szCs w:val="24"/>
                <w:highlight w:val="none"/>
                <w:u w:val="none" w:color="auto"/>
                <w:lang w:val="en-US" w:eastAsia="zh-CN"/>
                <w14:textFill>
                  <w14:solidFill>
                    <w14:schemeClr w14:val="tx1"/>
                  </w14:solidFill>
                </w14:textFill>
              </w:rPr>
              <w:t>劳动定员及工作制度</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bCs/>
                <w:color w:val="000000" w:themeColor="text1"/>
                <w:sz w:val="24"/>
                <w:szCs w:val="20"/>
                <w:highlight w:val="none"/>
                <w:u w:val="none" w:color="auto"/>
                <w:lang w:val="en-US" w:eastAsia="zh-CN"/>
                <w14:textFill>
                  <w14:solidFill>
                    <w14:schemeClr w14:val="tx1"/>
                  </w14:solidFill>
                </w14:textFill>
              </w:rPr>
              <w:t>项目劳动定员400</w:t>
            </w:r>
            <w:r>
              <w:rPr>
                <w:rFonts w:hint="default" w:ascii="Times New Roman" w:hAnsi="Times New Roman" w:cs="Times New Roman" w:eastAsiaTheme="minorEastAsia"/>
                <w:bCs/>
                <w:color w:val="000000" w:themeColor="text1"/>
                <w:sz w:val="24"/>
                <w:szCs w:val="20"/>
                <w:highlight w:val="none"/>
                <w:u w:val="none" w:color="auto"/>
                <w14:textFill>
                  <w14:solidFill>
                    <w14:schemeClr w14:val="tx1"/>
                  </w14:solidFill>
                </w14:textFill>
              </w:rPr>
              <w:t>人</w:t>
            </w:r>
            <w:r>
              <w:rPr>
                <w:rFonts w:hint="eastAsia" w:ascii="Times New Roman" w:hAnsi="Times New Roman" w:cs="Times New Roman" w:eastAsiaTheme="minorEastAsia"/>
                <w:bCs/>
                <w:color w:val="000000" w:themeColor="text1"/>
                <w:sz w:val="24"/>
                <w:szCs w:val="20"/>
                <w:highlight w:val="none"/>
                <w:u w:val="none" w:color="auto"/>
                <w:lang w:eastAsia="zh-CN"/>
                <w14:textFill>
                  <w14:solidFill>
                    <w14:schemeClr w14:val="tx1"/>
                  </w14:solidFill>
                </w14:textFill>
              </w:rPr>
              <w:t>，</w:t>
            </w:r>
            <w:r>
              <w:rPr>
                <w:rFonts w:hint="eastAsia" w:cs="Times New Roman" w:eastAsiaTheme="minorEastAsia"/>
                <w:bCs/>
                <w:color w:val="000000" w:themeColor="text1"/>
                <w:sz w:val="24"/>
                <w:szCs w:val="20"/>
                <w:highlight w:val="none"/>
                <w:u w:val="none" w:color="auto"/>
                <w:lang w:val="en-US" w:eastAsia="zh-CN"/>
                <w14:textFill>
                  <w14:solidFill>
                    <w14:schemeClr w14:val="tx1"/>
                  </w14:solidFill>
                </w14:textFill>
              </w:rPr>
              <w:t>均不在开发区内食宿</w:t>
            </w:r>
            <w:r>
              <w:rPr>
                <w:rFonts w:hint="default" w:ascii="Times New Roman" w:hAnsi="Times New Roman" w:cs="Times New Roman" w:eastAsiaTheme="minorEastAsia"/>
                <w:bCs/>
                <w:color w:val="000000" w:themeColor="text1"/>
                <w:sz w:val="24"/>
                <w:szCs w:val="20"/>
                <w:highlight w:val="none"/>
                <w:u w:val="none" w:color="auto"/>
                <w14:textFill>
                  <w14:solidFill>
                    <w14:schemeClr w14:val="tx1"/>
                  </w14:solidFill>
                </w14:textFill>
              </w:rPr>
              <w:t>。</w:t>
            </w:r>
            <w:r>
              <w:rPr>
                <w:rFonts w:hint="eastAsia" w:ascii="Times New Roman" w:hAnsi="Times New Roman" w:cs="Times New Roman" w:eastAsiaTheme="minorEastAsia"/>
                <w:bCs/>
                <w:color w:val="000000" w:themeColor="text1"/>
                <w:sz w:val="24"/>
                <w:szCs w:val="20"/>
                <w:highlight w:val="none"/>
                <w:u w:val="none" w:color="auto"/>
                <w:lang w:val="en-US" w:eastAsia="zh-CN"/>
                <w14:textFill>
                  <w14:solidFill>
                    <w14:schemeClr w14:val="tx1"/>
                  </w14:solidFill>
                </w14:textFill>
              </w:rPr>
              <w:t>年工作</w:t>
            </w:r>
            <w:r>
              <w:rPr>
                <w:rFonts w:hint="eastAsia" w:cs="Times New Roman" w:eastAsiaTheme="minorEastAsia"/>
                <w:bCs/>
                <w:color w:val="000000" w:themeColor="text1"/>
                <w:sz w:val="24"/>
                <w:szCs w:val="20"/>
                <w:highlight w:val="none"/>
                <w:u w:val="none" w:color="auto"/>
                <w:lang w:val="en-US" w:eastAsia="zh-CN"/>
                <w14:textFill>
                  <w14:solidFill>
                    <w14:schemeClr w14:val="tx1"/>
                  </w14:solidFill>
                </w14:textFill>
              </w:rPr>
              <w:t>300</w:t>
            </w:r>
            <w:r>
              <w:rPr>
                <w:rFonts w:hint="eastAsia" w:ascii="Times New Roman" w:hAnsi="Times New Roman" w:cs="Times New Roman" w:eastAsiaTheme="minorEastAsia"/>
                <w:bCs/>
                <w:color w:val="000000" w:themeColor="text1"/>
                <w:sz w:val="24"/>
                <w:szCs w:val="20"/>
                <w:highlight w:val="none"/>
                <w:u w:val="none" w:color="auto"/>
                <w:lang w:val="en-US" w:eastAsia="zh-CN"/>
                <w14:textFill>
                  <w14:solidFill>
                    <w14:schemeClr w14:val="tx1"/>
                  </w14:solidFill>
                </w14:textFill>
              </w:rPr>
              <w:t>天，实行一班</w:t>
            </w:r>
            <w:r>
              <w:rPr>
                <w:rFonts w:hint="eastAsia" w:cs="Times New Roman" w:eastAsiaTheme="minorEastAsia"/>
                <w:bCs/>
                <w:color w:val="000000" w:themeColor="text1"/>
                <w:sz w:val="24"/>
                <w:szCs w:val="20"/>
                <w:highlight w:val="none"/>
                <w:u w:val="none" w:color="auto"/>
                <w:lang w:val="en-US" w:eastAsia="zh-CN"/>
                <w14:textFill>
                  <w14:solidFill>
                    <w14:schemeClr w14:val="tx1"/>
                  </w14:solidFill>
                </w14:textFill>
              </w:rPr>
              <w:t>12</w:t>
            </w:r>
            <w:r>
              <w:rPr>
                <w:rFonts w:hint="eastAsia" w:ascii="Times New Roman" w:hAnsi="Times New Roman" w:cs="Times New Roman" w:eastAsiaTheme="minorEastAsia"/>
                <w:bCs/>
                <w:color w:val="000000" w:themeColor="text1"/>
                <w:sz w:val="24"/>
                <w:szCs w:val="20"/>
                <w:highlight w:val="none"/>
                <w:u w:val="none" w:color="auto"/>
                <w:lang w:val="en-US" w:eastAsia="zh-CN"/>
                <w14:textFill>
                  <w14:solidFill>
                    <w14:schemeClr w14:val="tx1"/>
                  </w14:solidFill>
                </w14:textFill>
              </w:rPr>
              <w:t>小时制。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0" w:hRule="atLeast"/>
        </w:trPr>
        <w:tc>
          <w:tcPr>
            <w:tcW w:w="43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ascii="Times New Roman" w:hAnsi="Times New Roman" w:cs="Times New Roman" w:eastAsiaTheme="minorEastAsia"/>
                <w:color w:val="000000" w:themeColor="text1"/>
                <w:sz w:val="24"/>
                <w:szCs w:val="24"/>
                <w:highlight w:val="yellow"/>
                <w:u w:val="none" w:color="auto"/>
                <w:vertAlign w:val="baseline"/>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vertAlign w:val="baseline"/>
                <w:lang w:val="en-US" w:eastAsia="zh-CN"/>
                <w14:textFill>
                  <w14:solidFill>
                    <w14:schemeClr w14:val="tx1"/>
                  </w14:solidFill>
                </w14:textFill>
              </w:rPr>
              <w:t>工艺流程和产污环节</w:t>
            </w:r>
          </w:p>
        </w:tc>
        <w:tc>
          <w:tcPr>
            <w:tcW w:w="4564" w:type="pct"/>
            <w:tcBorders>
              <w:tl2br w:val="nil"/>
              <w:tr2bl w:val="nil"/>
            </w:tcBorders>
            <w:vAlign w:val="top"/>
          </w:tcPr>
          <w:p>
            <w:pPr>
              <w:keepNext w:val="0"/>
              <w:keepLines w:val="0"/>
              <w:pageBreakBefore w:val="0"/>
              <w:widowControl w:val="0"/>
              <w:kinsoku/>
              <w:wordWrap/>
              <w:overflowPunct/>
              <w:topLinePunct w:val="0"/>
              <w:autoSpaceDE/>
              <w:autoSpaceDN/>
              <w:bidi w:val="0"/>
              <w:adjustRightInd w:val="0"/>
              <w:snapToGrid w:val="0"/>
              <w:spacing w:before="157" w:beforeLines="50" w:line="360" w:lineRule="auto"/>
              <w:ind w:left="0" w:leftChars="0" w:right="0" w:firstLine="0" w:firstLineChars="0"/>
              <w:jc w:val="both"/>
              <w:textAlignment w:val="auto"/>
              <w:rPr>
                <w:rFonts w:hint="default" w:ascii="Times New Roman" w:hAnsi="Times New Roman" w:cs="Times New Roman" w:eastAsiaTheme="minorEastAsia"/>
                <w:b/>
                <w:color w:val="000000" w:themeColor="text1"/>
                <w:spacing w:val="0"/>
                <w:kern w:val="21"/>
                <w:sz w:val="28"/>
                <w:szCs w:val="28"/>
                <w:highlight w:val="none"/>
                <w:u w:val="none" w:color="auto"/>
                <w:lang w:val="en-US" w:eastAsia="zh-CN" w:bidi="ar-SA"/>
                <w14:textFill>
                  <w14:solidFill>
                    <w14:schemeClr w14:val="tx1"/>
                  </w14:solidFill>
                </w14:textFill>
              </w:rPr>
            </w:pPr>
            <w:r>
              <w:rPr>
                <w:rFonts w:hint="default" w:ascii="Times New Roman" w:hAnsi="Times New Roman" w:cs="Times New Roman" w:eastAsiaTheme="minorEastAsia"/>
                <w:b/>
                <w:color w:val="000000" w:themeColor="text1"/>
                <w:spacing w:val="0"/>
                <w:kern w:val="21"/>
                <w:sz w:val="28"/>
                <w:szCs w:val="28"/>
                <w:highlight w:val="none"/>
                <w:u w:val="none" w:color="auto"/>
                <w:lang w:val="en-US" w:eastAsia="zh-CN" w:bidi="ar-SA"/>
                <w14:textFill>
                  <w14:solidFill>
                    <w14:schemeClr w14:val="tx1"/>
                  </w14:solidFill>
                </w14:textFill>
              </w:rPr>
              <w:t>工艺流程简述：</w:t>
            </w:r>
          </w:p>
          <w:p>
            <w:pPr>
              <w:pStyle w:val="5"/>
              <w:pageBreakBefore w:val="0"/>
              <w:widowControl w:val="0"/>
              <w:numPr>
                <w:ilvl w:val="0"/>
                <w:numId w:val="0"/>
              </w:numPr>
              <w:kinsoku/>
              <w:wordWrap/>
              <w:overflowPunct/>
              <w:topLinePunct w:val="0"/>
              <w:autoSpaceDE/>
              <w:autoSpaceDN/>
              <w:bidi w:val="0"/>
              <w:adjustRightInd w:val="0"/>
              <w:snapToGrid w:val="0"/>
              <w:spacing w:line="360" w:lineRule="auto"/>
              <w:ind w:left="284" w:leftChars="0" w:firstLine="241" w:firstLineChars="100"/>
              <w:jc w:val="both"/>
              <w:textAlignment w:val="auto"/>
              <w:outlineLvl w:val="2"/>
              <w:rPr>
                <w:rFonts w:hint="default" w:ascii="Times New Roman" w:hAnsi="Times New Roman" w:cs="Times New Roman" w:eastAsiaTheme="minorEastAsia"/>
                <w:color w:val="000000" w:themeColor="text1"/>
                <w:szCs w:val="22"/>
                <w:highlight w:val="none"/>
                <w:u w:val="none" w:color="auto"/>
                <w:lang w:val="en-US" w:eastAsia="zh-CN"/>
                <w14:textFill>
                  <w14:solidFill>
                    <w14:schemeClr w14:val="tx1"/>
                  </w14:solidFill>
                </w14:textFill>
              </w:rPr>
            </w:pPr>
            <w:r>
              <w:rPr>
                <w:rFonts w:hint="eastAsia" w:cs="Times New Roman" w:eastAsiaTheme="minorEastAsia"/>
                <w:color w:val="000000" w:themeColor="text1"/>
                <w:szCs w:val="22"/>
                <w:highlight w:val="none"/>
                <w:u w:val="none" w:color="auto"/>
                <w:lang w:val="en-US" w:eastAsia="zh-CN"/>
                <w14:textFill>
                  <w14:solidFill>
                    <w14:schemeClr w14:val="tx1"/>
                  </w14:solidFill>
                </w14:textFill>
              </w:rPr>
              <w:t>1、</w:t>
            </w:r>
            <w:r>
              <w:rPr>
                <w:rFonts w:hint="default" w:ascii="Times New Roman" w:hAnsi="Times New Roman" w:cs="Times New Roman" w:eastAsiaTheme="minorEastAsia"/>
                <w:color w:val="000000" w:themeColor="text1"/>
                <w:szCs w:val="22"/>
                <w:highlight w:val="none"/>
                <w:u w:val="none" w:color="auto"/>
                <w:lang w:val="en-US" w:eastAsia="zh-CN"/>
                <w14:textFill>
                  <w14:solidFill>
                    <w14:schemeClr w14:val="tx1"/>
                  </w14:solidFill>
                </w14:textFill>
              </w:rPr>
              <w:t>施工期工艺流程及产污节点</w:t>
            </w:r>
          </w:p>
          <w:p>
            <w:pPr>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default" w:ascii="Times New Roman" w:hAnsi="Times New Roman" w:cs="Times New Roman" w:eastAsiaTheme="minorEastAsia"/>
                <w:b/>
                <w:snapToGrid w:val="0"/>
                <w:color w:val="000000" w:themeColor="text1"/>
                <w:spacing w:val="16"/>
                <w:kern w:val="0"/>
                <w:sz w:val="21"/>
                <w:szCs w:val="21"/>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2"/>
                <w:highlight w:val="none"/>
                <w:u w:val="none" w:color="auto"/>
                <w:lang w:val="en-US" w:eastAsia="zh-CN"/>
                <w14:textFill>
                  <w14:solidFill>
                    <w14:schemeClr w14:val="tx1"/>
                  </w14:solidFill>
                </w14:textFill>
              </w:rPr>
              <w:t>本项目厂房为租赁，施工期仅有设备安装</w:t>
            </w:r>
            <w:r>
              <w:rPr>
                <w:rFonts w:hint="eastAsia" w:cs="Times New Roman" w:eastAsiaTheme="minorEastAsia"/>
                <w:color w:val="000000" w:themeColor="text1"/>
                <w:sz w:val="24"/>
                <w:szCs w:val="22"/>
                <w:highlight w:val="none"/>
                <w:u w:val="none" w:color="auto"/>
                <w:lang w:val="en-US" w:eastAsia="zh-CN"/>
                <w14:textFill>
                  <w14:solidFill>
                    <w14:schemeClr w14:val="tx1"/>
                  </w14:solidFill>
                </w14:textFill>
              </w:rPr>
              <w:t>以及对厂房的装修</w:t>
            </w:r>
            <w:r>
              <w:rPr>
                <w:rFonts w:hint="default" w:ascii="Times New Roman" w:hAnsi="Times New Roman" w:cs="Times New Roman" w:eastAsiaTheme="minorEastAsia"/>
                <w:color w:val="000000" w:themeColor="text1"/>
                <w:sz w:val="24"/>
                <w:szCs w:val="22"/>
                <w:highlight w:val="none"/>
                <w:u w:val="none" w:color="auto"/>
                <w:lang w:val="en-US" w:eastAsia="zh-CN"/>
                <w14:textFill>
                  <w14:solidFill>
                    <w14:schemeClr w14:val="tx1"/>
                  </w14:solidFill>
                </w14:textFill>
              </w:rPr>
              <w:t>，不涉及土建工程，主要为运输设备车辆产生的汽车尾气、施工扬尘等，产生的污染物也较小，本次评价不作定量分析。施工噪声主要为车辆运输噪声、材料搬运装卸噪声和瞬时的敲击声，源强一般在65-80分贝之间，随着施工期的结束，这些污染也随即消失。</w:t>
            </w:r>
          </w:p>
          <w:p>
            <w:pPr>
              <w:pStyle w:val="5"/>
              <w:numPr>
                <w:ilvl w:val="0"/>
                <w:numId w:val="0"/>
              </w:numPr>
              <w:ind w:firstLine="482" w:firstLineChars="200"/>
              <w:jc w:val="both"/>
              <w:outlineLvl w:val="2"/>
              <w:rPr>
                <w:rFonts w:hint="default" w:ascii="Times New Roman" w:hAnsi="Times New Roman" w:cs="Times New Roman" w:eastAsiaTheme="minorEastAsia"/>
                <w:color w:val="000000" w:themeColor="text1"/>
                <w:szCs w:val="22"/>
                <w:highlight w:val="none"/>
                <w:u w:val="none" w:color="auto"/>
                <w:lang w:val="en-US" w:eastAsia="zh-CN"/>
                <w14:textFill>
                  <w14:solidFill>
                    <w14:schemeClr w14:val="tx1"/>
                  </w14:solidFill>
                </w14:textFill>
              </w:rPr>
            </w:pPr>
            <w:r>
              <w:rPr>
                <w:rFonts w:hint="eastAsia" w:cs="Times New Roman" w:eastAsiaTheme="minorEastAsia"/>
                <w:color w:val="000000" w:themeColor="text1"/>
                <w:szCs w:val="22"/>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color w:val="000000" w:themeColor="text1"/>
                <w:szCs w:val="22"/>
                <w:highlight w:val="none"/>
                <w:u w:val="none" w:color="auto"/>
                <w:lang w:val="en-US" w:eastAsia="zh-CN"/>
                <w14:textFill>
                  <w14:solidFill>
                    <w14:schemeClr w14:val="tx1"/>
                  </w14:solidFill>
                </w14:textFill>
              </w:rPr>
              <w:t>营运期工艺流程及产污节点</w:t>
            </w:r>
          </w:p>
          <w:p>
            <w:pPr>
              <w:adjustRightInd w:val="0"/>
              <w:snapToGrid w:val="0"/>
              <w:spacing w:line="360" w:lineRule="auto"/>
              <w:ind w:left="0" w:leftChars="0" w:firstLine="480" w:firstLineChars="200"/>
              <w:jc w:val="both"/>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本项目仅生产锂离子电池工艺流程及产排污节点</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见下图：</w:t>
            </w:r>
          </w:p>
          <w:p>
            <w:pPr>
              <w:adjustRightInd w:val="0"/>
              <w:snapToGrid w:val="0"/>
              <w:spacing w:line="240" w:lineRule="auto"/>
              <w:ind w:left="0" w:leftChars="0" w:firstLine="0" w:firstLineChars="0"/>
              <w:jc w:val="cente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drawing>
                <wp:inline distT="0" distB="0" distL="114300" distR="114300">
                  <wp:extent cx="5494655" cy="2670175"/>
                  <wp:effectExtent l="0" t="0" r="10795" b="15875"/>
                  <wp:docPr id="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7"/>
                          <pic:cNvPicPr>
                            <a:picLocks noChangeAspect="1"/>
                          </pic:cNvPicPr>
                        </pic:nvPicPr>
                        <pic:blipFill>
                          <a:blip r:embed="rId10"/>
                          <a:stretch>
                            <a:fillRect/>
                          </a:stretch>
                        </pic:blipFill>
                        <pic:spPr>
                          <a:xfrm>
                            <a:off x="0" y="0"/>
                            <a:ext cx="5494655" cy="2670175"/>
                          </a:xfrm>
                          <a:prstGeom prst="rect">
                            <a:avLst/>
                          </a:prstGeom>
                          <a:noFill/>
                          <a:ln>
                            <a:noFill/>
                          </a:ln>
                        </pic:spPr>
                      </pic:pic>
                    </a:graphicData>
                  </a:graphic>
                </wp:inline>
              </w:drawing>
            </w:r>
          </w:p>
          <w:p>
            <w:pPr>
              <w:spacing w:line="360" w:lineRule="auto"/>
              <w:ind w:left="0" w:leftChars="0" w:firstLine="0" w:firstLineChars="0"/>
              <w:jc w:val="center"/>
              <w:rPr>
                <w:rFonts w:hint="default" w:ascii="Times New Roman" w:hAnsi="Times New Roman" w:cs="Times New Roman" w:eastAsiaTheme="minorEastAsia"/>
                <w:b/>
                <w:bCs/>
                <w:color w:val="000000" w:themeColor="text1"/>
                <w:sz w:val="24"/>
                <w:highlight w:val="none"/>
                <w:u w:val="none" w:color="auto"/>
                <w14:textFill>
                  <w14:solidFill>
                    <w14:schemeClr w14:val="tx1"/>
                  </w14:solidFill>
                </w14:textFill>
              </w:rPr>
            </w:pPr>
            <w:r>
              <w:rPr>
                <w:rFonts w:hint="default" w:ascii="Times New Roman" w:hAnsi="Times New Roman" w:cs="Times New Roman" w:eastAsiaTheme="minorEastAsia"/>
                <w:b/>
                <w:bCs/>
                <w:color w:val="000000" w:themeColor="text1"/>
                <w:kern w:val="2"/>
                <w:sz w:val="21"/>
                <w:szCs w:val="21"/>
                <w:highlight w:val="none"/>
                <w:u w:val="none" w:color="auto"/>
                <w:lang w:val="en-US" w:eastAsia="zh-CN" w:bidi="ar-SA"/>
                <w14:textFill>
                  <w14:solidFill>
                    <w14:schemeClr w14:val="tx1"/>
                  </w14:solidFill>
                </w14:textFill>
              </w:rPr>
              <w:t>图2-</w:t>
            </w:r>
            <w:r>
              <w:rPr>
                <w:rFonts w:hint="eastAsia" w:cs="Times New Roman" w:eastAsiaTheme="minorEastAsia"/>
                <w:b/>
                <w:bCs/>
                <w:color w:val="000000" w:themeColor="text1"/>
                <w:kern w:val="2"/>
                <w:sz w:val="21"/>
                <w:szCs w:val="21"/>
                <w:highlight w:val="none"/>
                <w:u w:val="none" w:color="auto"/>
                <w:lang w:val="en-US" w:eastAsia="zh-CN" w:bidi="ar-SA"/>
                <w14:textFill>
                  <w14:solidFill>
                    <w14:schemeClr w14:val="tx1"/>
                  </w14:solidFill>
                </w14:textFill>
              </w:rPr>
              <w:t xml:space="preserve">1 </w:t>
            </w:r>
            <w:r>
              <w:rPr>
                <w:rFonts w:hint="default" w:ascii="Times New Roman" w:hAnsi="Times New Roman" w:cs="Times New Roman" w:eastAsiaTheme="minorEastAsia"/>
                <w:b/>
                <w:bCs/>
                <w:color w:val="000000" w:themeColor="text1"/>
                <w:kern w:val="2"/>
                <w:sz w:val="21"/>
                <w:szCs w:val="21"/>
                <w:highlight w:val="none"/>
                <w:u w:val="none" w:color="auto"/>
                <w:lang w:val="en-US" w:eastAsia="zh-CN" w:bidi="ar-SA"/>
                <w14:textFill>
                  <w14:solidFill>
                    <w14:schemeClr w14:val="tx1"/>
                  </w14:solidFill>
                </w14:textFill>
              </w:rPr>
              <w:t>项目工艺流程及产污环节图</w:t>
            </w:r>
          </w:p>
          <w:p>
            <w:pPr>
              <w:widowControl w:val="0"/>
              <w:spacing w:afterLines="0" w:line="360" w:lineRule="auto"/>
              <w:ind w:firstLine="482" w:firstLineChars="200"/>
              <w:jc w:val="both"/>
              <w:rPr>
                <w:rFonts w:ascii="Times New Roman" w:hAnsi="Times New Roman" w:eastAsia="宋体" w:cs="Times New Roman"/>
                <w:b/>
                <w:bCs/>
                <w:color w:val="auto"/>
                <w:kern w:val="2"/>
                <w:sz w:val="24"/>
                <w:szCs w:val="24"/>
                <w:highlight w:val="none"/>
                <w:lang w:val="en-US" w:eastAsia="zh-CN" w:bidi="ar-SA"/>
              </w:rPr>
            </w:pPr>
            <w:r>
              <w:rPr>
                <w:rFonts w:hint="eastAsia" w:ascii="Times New Roman" w:hAnsi="Times New Roman" w:eastAsia="宋体" w:cs="Times New Roman"/>
                <w:b/>
                <w:bCs/>
                <w:color w:val="auto"/>
                <w:kern w:val="2"/>
                <w:sz w:val="24"/>
                <w:szCs w:val="24"/>
                <w:highlight w:val="none"/>
                <w:lang w:val="en-US" w:eastAsia="zh-CN" w:bidi="ar-SA"/>
              </w:rPr>
              <w:t>工艺简要说明</w:t>
            </w:r>
            <w:r>
              <w:rPr>
                <w:rFonts w:ascii="Times New Roman" w:hAnsi="Times New Roman" w:eastAsia="宋体" w:cs="Times New Roman"/>
                <w:b/>
                <w:bCs/>
                <w:color w:val="auto"/>
                <w:kern w:val="2"/>
                <w:sz w:val="24"/>
                <w:szCs w:val="24"/>
                <w:highlight w:val="none"/>
                <w:lang w:val="en-US" w:eastAsia="zh-CN" w:bidi="ar-SA"/>
              </w:rPr>
              <w:t>：</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eastAsia"/>
                <w:color w:val="auto"/>
                <w:szCs w:val="24"/>
                <w:highlight w:val="none"/>
                <w:lang w:eastAsia="zh-CN"/>
              </w:rPr>
              <w:t>（</w:t>
            </w:r>
            <w:r>
              <w:rPr>
                <w:rFonts w:hint="eastAsia"/>
                <w:color w:val="auto"/>
                <w:szCs w:val="24"/>
                <w:highlight w:val="none"/>
                <w:lang w:val="en-US" w:eastAsia="zh-CN"/>
              </w:rPr>
              <w:t>1</w:t>
            </w:r>
            <w:r>
              <w:rPr>
                <w:rFonts w:hint="eastAsia"/>
                <w:color w:val="auto"/>
                <w:szCs w:val="24"/>
                <w:highlight w:val="none"/>
                <w:lang w:eastAsia="zh-CN"/>
              </w:rPr>
              <w:t>）</w:t>
            </w:r>
            <w:r>
              <w:rPr>
                <w:rFonts w:hint="default" w:ascii="Times New Roman" w:hAnsi="Times New Roman" w:eastAsia="宋体"/>
                <w:color w:val="auto"/>
                <w:szCs w:val="24"/>
                <w:highlight w:val="none"/>
              </w:rPr>
              <w:t>正、负极制备工序</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eastAsia"/>
                <w:color w:val="auto"/>
                <w:szCs w:val="24"/>
                <w:highlight w:val="none"/>
                <w:lang w:val="en-US" w:eastAsia="zh-CN"/>
              </w:rPr>
              <w:t>①</w:t>
            </w:r>
            <w:r>
              <w:rPr>
                <w:rFonts w:hint="default" w:ascii="Times New Roman" w:hAnsi="Times New Roman" w:eastAsia="宋体"/>
                <w:color w:val="auto"/>
                <w:szCs w:val="24"/>
                <w:highlight w:val="none"/>
              </w:rPr>
              <w:t>配料制浆</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default" w:ascii="Times New Roman" w:hAnsi="Times New Roman" w:eastAsia="宋体"/>
                <w:color w:val="auto"/>
                <w:szCs w:val="24"/>
                <w:highlight w:val="none"/>
              </w:rPr>
              <w:t>制浆又称搅拌，正</w:t>
            </w:r>
            <w:r>
              <w:rPr>
                <w:rFonts w:hint="eastAsia" w:ascii="Times New Roman" w:hAnsi="Times New Roman" w:eastAsia="宋体"/>
                <w:color w:val="auto"/>
                <w:szCs w:val="24"/>
                <w:highlight w:val="none"/>
                <w:lang w:eastAsia="zh-CN"/>
              </w:rPr>
              <w:t>、</w:t>
            </w:r>
            <w:r>
              <w:rPr>
                <w:rFonts w:hint="default" w:ascii="Times New Roman" w:hAnsi="Times New Roman" w:eastAsia="宋体"/>
                <w:color w:val="auto"/>
                <w:szCs w:val="24"/>
                <w:highlight w:val="none"/>
              </w:rPr>
              <w:t>负极制浆在两个独立工段。将满足规格要求的各种粉状物料通过全自动配料系统按照一定的配比加入到暂存罐中，溶剂通过全自动配料系统加入到溶剂储罐中，之后各种粉料和溶剂按照一定的要求进入真空搅拌罐中经过真空搅拌罐过程制得粘度适合的浆膏</w:t>
            </w:r>
            <w:r>
              <w:rPr>
                <w:rFonts w:hint="eastAsia" w:ascii="Times New Roman" w:hAnsi="Times New Roman" w:eastAsia="宋体"/>
                <w:color w:val="auto"/>
                <w:szCs w:val="24"/>
                <w:highlight w:val="none"/>
                <w:lang w:eastAsia="zh-CN"/>
              </w:rPr>
              <w:t>，</w:t>
            </w:r>
            <w:r>
              <w:rPr>
                <w:rFonts w:hint="default" w:ascii="Times New Roman" w:hAnsi="Times New Roman" w:eastAsia="宋体"/>
                <w:color w:val="auto"/>
                <w:szCs w:val="24"/>
                <w:highlight w:val="none"/>
              </w:rPr>
              <w:t>整个过程均在密闭环境下进行。</w:t>
            </w:r>
          </w:p>
          <w:p>
            <w:pPr>
              <w:keepNext w:val="0"/>
              <w:keepLines w:val="0"/>
              <w:suppressLineNumbers w:val="0"/>
              <w:spacing w:before="0" w:beforeAutospacing="0" w:after="0" w:afterAutospacing="0" w:line="360" w:lineRule="auto"/>
              <w:ind w:left="0" w:right="0" w:firstLine="480" w:firstLineChars="200"/>
              <w:jc w:val="both"/>
              <w:rPr>
                <w:rFonts w:hint="eastAsia" w:ascii="Times New Roman" w:hAnsi="Times New Roman" w:eastAsia="宋体"/>
                <w:color w:val="auto"/>
                <w:szCs w:val="24"/>
                <w:highlight w:val="none"/>
                <w:lang w:val="en-US" w:eastAsia="zh-CN"/>
              </w:rPr>
            </w:pPr>
            <w:r>
              <w:rPr>
                <w:rFonts w:hint="default" w:ascii="Times New Roman" w:hAnsi="Times New Roman" w:eastAsia="宋体"/>
                <w:color w:val="auto"/>
                <w:szCs w:val="24"/>
                <w:highlight w:val="none"/>
              </w:rPr>
              <w:t>制浆搅拌过程为物料机械过程，不发生化学反应。</w:t>
            </w:r>
            <w:r>
              <w:rPr>
                <w:rFonts w:hint="eastAsia" w:ascii="Times New Roman" w:hAnsi="Times New Roman" w:eastAsia="宋体"/>
                <w:color w:val="auto"/>
                <w:szCs w:val="24"/>
                <w:highlight w:val="none"/>
                <w:lang w:val="en-US" w:eastAsia="zh-CN"/>
              </w:rPr>
              <w:t>本项目加料过程为自动全密闭，不涉及人工拆包投料，不产生投料粉尘，仅在物料装卸过程中产生少量粉尘。</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eastAsia"/>
                <w:color w:val="auto"/>
                <w:szCs w:val="24"/>
                <w:highlight w:val="none"/>
                <w:lang w:val="en-US" w:eastAsia="zh-CN"/>
              </w:rPr>
              <w:t>②</w:t>
            </w:r>
            <w:r>
              <w:rPr>
                <w:rFonts w:hint="default" w:ascii="Times New Roman" w:hAnsi="Times New Roman" w:eastAsia="宋体"/>
                <w:color w:val="auto"/>
                <w:szCs w:val="24"/>
                <w:highlight w:val="none"/>
              </w:rPr>
              <w:t>涂布、烘干</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default" w:ascii="Times New Roman" w:hAnsi="Times New Roman" w:eastAsia="宋体"/>
                <w:color w:val="auto"/>
                <w:szCs w:val="24"/>
                <w:highlight w:val="none"/>
              </w:rPr>
              <w:t>正极：通过涂布机机头，将正极材料以一定的密度均匀的涂附在铝箔的正反面，经过涂布机烘烤箱进行烘干（电加热，多级温度烘烤，90</w:t>
            </w:r>
            <w:r>
              <w:rPr>
                <w:rFonts w:hint="eastAsia" w:ascii="Times New Roman" w:hAnsi="Times New Roman" w:eastAsia="宋体"/>
                <w:color w:val="auto"/>
                <w:szCs w:val="24"/>
                <w:highlight w:val="none"/>
                <w:lang w:val="en-US" w:eastAsia="zh-CN"/>
              </w:rPr>
              <w:t>-</w:t>
            </w:r>
            <w:r>
              <w:rPr>
                <w:rFonts w:hint="default" w:ascii="Times New Roman" w:hAnsi="Times New Roman" w:eastAsia="宋体"/>
                <w:color w:val="auto"/>
                <w:szCs w:val="24"/>
                <w:highlight w:val="none"/>
              </w:rPr>
              <w:t>110℃），最终制成正极片。</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default" w:ascii="Times New Roman" w:hAnsi="Times New Roman" w:eastAsia="宋体"/>
                <w:color w:val="auto"/>
                <w:szCs w:val="24"/>
                <w:highlight w:val="none"/>
              </w:rPr>
              <w:t>负极：通过涂布机机头，将负极材料以一定的密度均匀的涂附在铜箔的正反面，经过涂布机烘烤箱进行烘干（电加热，温度控制在90℃左右），最终制成</w:t>
            </w:r>
            <w:r>
              <w:rPr>
                <w:rFonts w:hint="eastAsia" w:ascii="Times New Roman" w:hAnsi="Times New Roman" w:eastAsia="宋体"/>
                <w:color w:val="auto"/>
                <w:szCs w:val="24"/>
                <w:highlight w:val="none"/>
                <w:lang w:val="en-US" w:eastAsia="zh-CN"/>
              </w:rPr>
              <w:t>负</w:t>
            </w:r>
            <w:r>
              <w:rPr>
                <w:rFonts w:hint="default" w:ascii="Times New Roman" w:hAnsi="Times New Roman" w:eastAsia="宋体"/>
                <w:color w:val="auto"/>
                <w:szCs w:val="24"/>
                <w:highlight w:val="none"/>
              </w:rPr>
              <w:t>极片。</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default" w:ascii="Times New Roman" w:hAnsi="Times New Roman" w:eastAsia="宋体"/>
                <w:color w:val="auto"/>
                <w:szCs w:val="24"/>
                <w:highlight w:val="none"/>
              </w:rPr>
              <w:t>涂布后的湿极片进入烘箱进行烘干，以去除极片中的溶剂（NMP和水）。溶剂NMP的沸点为204℃，正极片粘结剂聚偏氟乙烯（PVDF）热分解温度在316℃以上，而烘干温度约为90</w:t>
            </w:r>
            <w:r>
              <w:rPr>
                <w:rFonts w:hint="eastAsia" w:ascii="Times New Roman" w:hAnsi="Times New Roman" w:eastAsia="宋体"/>
                <w:color w:val="auto"/>
                <w:szCs w:val="24"/>
                <w:highlight w:val="none"/>
                <w:lang w:val="en-US" w:eastAsia="zh-CN"/>
              </w:rPr>
              <w:t>-</w:t>
            </w:r>
            <w:r>
              <w:rPr>
                <w:rFonts w:hint="default" w:ascii="Times New Roman" w:hAnsi="Times New Roman" w:eastAsia="宋体"/>
                <w:color w:val="auto"/>
                <w:szCs w:val="24"/>
                <w:highlight w:val="none"/>
              </w:rPr>
              <w:t>110℃，此温度能够保证NMP和水分挥发，而其他物质不会分解或损失。负极片干燥温度约为90℃左右，由于负极溶剂以水为溶剂，因此负极涂布过程仅有水蒸气排放。烘干产生的NMP废气进入NMP废气处理装置进行处理回收。</w:t>
            </w:r>
          </w:p>
          <w:p>
            <w:pPr>
              <w:keepNext w:val="0"/>
              <w:keepLines w:val="0"/>
              <w:suppressLineNumbers w:val="0"/>
              <w:spacing w:before="0" w:beforeAutospacing="0" w:after="0" w:afterAutospacing="0" w:line="360" w:lineRule="auto"/>
              <w:ind w:left="0" w:right="0" w:firstLine="480" w:firstLineChars="200"/>
              <w:jc w:val="both"/>
              <w:rPr>
                <w:rFonts w:hint="eastAsia" w:ascii="Times New Roman" w:hAnsi="Times New Roman" w:eastAsia="宋体"/>
                <w:color w:val="auto"/>
                <w:szCs w:val="24"/>
                <w:highlight w:val="none"/>
                <w:lang w:eastAsia="zh-CN"/>
              </w:rPr>
            </w:pPr>
            <w:r>
              <w:rPr>
                <w:rFonts w:hint="eastAsia"/>
                <w:color w:val="auto"/>
                <w:szCs w:val="24"/>
                <w:highlight w:val="none"/>
                <w:lang w:val="en-US" w:eastAsia="zh-CN"/>
              </w:rPr>
              <w:t>③</w:t>
            </w:r>
            <w:r>
              <w:rPr>
                <w:rFonts w:hint="default" w:ascii="Times New Roman" w:hAnsi="Times New Roman" w:eastAsia="宋体"/>
                <w:color w:val="auto"/>
                <w:szCs w:val="24"/>
                <w:highlight w:val="none"/>
              </w:rPr>
              <w:t>分</w:t>
            </w:r>
            <w:r>
              <w:rPr>
                <w:rFonts w:hint="eastAsia"/>
                <w:color w:val="auto"/>
                <w:szCs w:val="24"/>
                <w:highlight w:val="none"/>
                <w:lang w:val="en-US" w:eastAsia="zh-CN"/>
              </w:rPr>
              <w:t>条</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default" w:ascii="Times New Roman" w:hAnsi="Times New Roman" w:eastAsia="宋体"/>
                <w:color w:val="auto"/>
                <w:szCs w:val="24"/>
                <w:highlight w:val="none"/>
              </w:rPr>
              <w:t>经干燥后的正、负极集流体上涂满了正、负极材料混合物，需要用</w:t>
            </w:r>
            <w:r>
              <w:rPr>
                <w:rFonts w:hint="default" w:ascii="Times New Roman" w:hAnsi="Times New Roman" w:eastAsia="宋体"/>
                <w:color w:val="auto"/>
                <w:szCs w:val="24"/>
                <w:highlight w:val="none"/>
                <w:lang w:val="en-US" w:eastAsia="zh-CN"/>
              </w:rPr>
              <w:t>对辊机</w:t>
            </w:r>
            <w:r>
              <w:rPr>
                <w:rFonts w:hint="default" w:ascii="Times New Roman" w:hAnsi="Times New Roman" w:eastAsia="宋体"/>
                <w:color w:val="auto"/>
                <w:szCs w:val="24"/>
                <w:highlight w:val="none"/>
              </w:rPr>
              <w:t>对极片进行压实，达到合适的密度和厚度，压延成片状，根据不同规格的电池要求由分</w:t>
            </w:r>
            <w:r>
              <w:rPr>
                <w:rFonts w:hint="default" w:ascii="Times New Roman" w:hAnsi="Times New Roman" w:eastAsia="宋体"/>
                <w:color w:val="auto"/>
                <w:szCs w:val="24"/>
                <w:highlight w:val="none"/>
                <w:lang w:val="en-US" w:eastAsia="zh-CN"/>
              </w:rPr>
              <w:t>分条机</w:t>
            </w:r>
            <w:r>
              <w:rPr>
                <w:rFonts w:hint="default" w:ascii="Times New Roman" w:hAnsi="Times New Roman" w:eastAsia="宋体"/>
                <w:color w:val="auto"/>
                <w:szCs w:val="24"/>
                <w:highlight w:val="none"/>
              </w:rPr>
              <w:t>切断成相应的极板尺寸</w:t>
            </w:r>
            <w:r>
              <w:rPr>
                <w:rFonts w:hint="eastAsia" w:ascii="Times New Roman" w:hAnsi="Times New Roman" w:eastAsia="宋体"/>
                <w:color w:val="auto"/>
                <w:szCs w:val="24"/>
                <w:highlight w:val="none"/>
                <w:lang w:eastAsia="zh-CN"/>
              </w:rPr>
              <w:t>，</w:t>
            </w:r>
            <w:r>
              <w:rPr>
                <w:rFonts w:hint="default" w:ascii="Times New Roman" w:hAnsi="Times New Roman" w:eastAsia="宋体"/>
                <w:color w:val="auto"/>
                <w:szCs w:val="24"/>
                <w:highlight w:val="none"/>
              </w:rPr>
              <w:t>在分切过程中会有少量废边角料产生。</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eastAsia"/>
                <w:color w:val="auto"/>
                <w:szCs w:val="24"/>
                <w:highlight w:val="none"/>
                <w:lang w:eastAsia="zh-CN"/>
              </w:rPr>
              <w:t>（</w:t>
            </w:r>
            <w:r>
              <w:rPr>
                <w:rFonts w:hint="eastAsia"/>
                <w:color w:val="auto"/>
                <w:szCs w:val="24"/>
                <w:highlight w:val="none"/>
                <w:lang w:val="en-US" w:eastAsia="zh-CN"/>
              </w:rPr>
              <w:t>2</w:t>
            </w:r>
            <w:r>
              <w:rPr>
                <w:rFonts w:hint="eastAsia"/>
                <w:color w:val="auto"/>
                <w:szCs w:val="24"/>
                <w:highlight w:val="none"/>
                <w:lang w:eastAsia="zh-CN"/>
              </w:rPr>
              <w:t>）</w:t>
            </w:r>
            <w:r>
              <w:rPr>
                <w:rFonts w:hint="default" w:ascii="Times New Roman" w:hAnsi="Times New Roman" w:eastAsia="宋体"/>
                <w:color w:val="auto"/>
                <w:szCs w:val="24"/>
                <w:highlight w:val="none"/>
              </w:rPr>
              <w:t>电池组合工序</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eastAsia"/>
                <w:color w:val="auto"/>
                <w:szCs w:val="24"/>
                <w:highlight w:val="none"/>
                <w:lang w:val="en-US" w:eastAsia="zh-CN"/>
              </w:rPr>
              <w:t>①</w:t>
            </w:r>
            <w:r>
              <w:rPr>
                <w:rFonts w:hint="default" w:ascii="Times New Roman" w:hAnsi="Times New Roman" w:eastAsia="宋体"/>
                <w:color w:val="auto"/>
                <w:szCs w:val="24"/>
                <w:highlight w:val="none"/>
              </w:rPr>
              <w:t>卷绕</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default" w:ascii="Times New Roman" w:hAnsi="Times New Roman" w:eastAsia="宋体"/>
                <w:color w:val="auto"/>
                <w:szCs w:val="24"/>
                <w:highlight w:val="none"/>
              </w:rPr>
              <w:t>将正极板、负极板和隔膜按照正极片-隔膜-负极片-隔膜自上而下的顺序重叠放置后在全自动卷绕机上进行卷绕制成电池极芯，并将电芯装入电池的外壳内。</w:t>
            </w:r>
          </w:p>
          <w:p>
            <w:pPr>
              <w:keepNext w:val="0"/>
              <w:keepLines w:val="0"/>
              <w:suppressLineNumbers w:val="0"/>
              <w:spacing w:before="0" w:beforeAutospacing="0" w:after="0" w:afterAutospacing="0" w:line="360" w:lineRule="auto"/>
              <w:ind w:left="0" w:right="0" w:firstLine="480" w:firstLineChars="200"/>
              <w:jc w:val="both"/>
              <w:rPr>
                <w:rFonts w:hint="eastAsia"/>
                <w:color w:val="auto"/>
                <w:szCs w:val="24"/>
                <w:highlight w:val="none"/>
                <w:lang w:val="en-US" w:eastAsia="zh-CN"/>
              </w:rPr>
            </w:pPr>
            <w:r>
              <w:rPr>
                <w:rFonts w:hint="eastAsia"/>
                <w:color w:val="auto"/>
                <w:szCs w:val="24"/>
                <w:highlight w:val="none"/>
                <w:lang w:val="en-US" w:eastAsia="zh-CN"/>
              </w:rPr>
              <w:t>检测：电池极芯短路测试设备进行检测。</w:t>
            </w:r>
          </w:p>
          <w:p>
            <w:pPr>
              <w:keepNext w:val="0"/>
              <w:keepLines w:val="0"/>
              <w:suppressLineNumbers w:val="0"/>
              <w:spacing w:before="0" w:beforeAutospacing="0" w:after="0" w:afterAutospacing="0" w:line="360" w:lineRule="auto"/>
              <w:ind w:left="0" w:right="0" w:firstLine="480" w:firstLineChars="200"/>
              <w:jc w:val="both"/>
              <w:rPr>
                <w:rFonts w:hint="eastAsia"/>
                <w:color w:val="auto"/>
                <w:szCs w:val="24"/>
                <w:highlight w:val="none"/>
                <w:lang w:eastAsia="zh-CN"/>
              </w:rPr>
            </w:pPr>
            <w:r>
              <w:rPr>
                <w:rFonts w:hint="eastAsia"/>
                <w:color w:val="auto"/>
                <w:szCs w:val="24"/>
                <w:highlight w:val="none"/>
                <w:lang w:val="en-US" w:eastAsia="zh-CN"/>
              </w:rPr>
              <w:t>②</w:t>
            </w:r>
            <w:r>
              <w:rPr>
                <w:rFonts w:hint="default" w:ascii="Times New Roman" w:hAnsi="Times New Roman" w:eastAsia="宋体"/>
                <w:color w:val="auto"/>
                <w:szCs w:val="24"/>
                <w:highlight w:val="none"/>
              </w:rPr>
              <w:t>组装工序</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default" w:ascii="Times New Roman" w:hAnsi="Times New Roman" w:eastAsia="宋体"/>
                <w:color w:val="auto"/>
                <w:szCs w:val="24"/>
                <w:highlight w:val="none"/>
              </w:rPr>
              <w:t>极芯入壳：在卷绕完成的每个极芯底部放置一个垫片，然后将其装入外购的钢壳中。</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default" w:ascii="Times New Roman" w:hAnsi="Times New Roman" w:eastAsia="宋体"/>
                <w:color w:val="auto"/>
                <w:szCs w:val="24"/>
                <w:highlight w:val="none"/>
              </w:rPr>
              <w:t>点</w:t>
            </w:r>
            <w:r>
              <w:rPr>
                <w:rFonts w:hint="eastAsia"/>
                <w:color w:val="auto"/>
                <w:szCs w:val="24"/>
                <w:highlight w:val="none"/>
                <w:lang w:val="en-US" w:eastAsia="zh-CN"/>
              </w:rPr>
              <w:t>底</w:t>
            </w:r>
            <w:r>
              <w:rPr>
                <w:rFonts w:hint="default" w:ascii="Times New Roman" w:hAnsi="Times New Roman" w:eastAsia="宋体"/>
                <w:color w:val="auto"/>
                <w:szCs w:val="24"/>
                <w:highlight w:val="none"/>
              </w:rPr>
              <w:t>焊：将半成品电池放入极芯进料轨道，电芯会自动进入并自动点焊，</w:t>
            </w:r>
            <w:r>
              <w:rPr>
                <w:rFonts w:hint="eastAsia" w:ascii="Times New Roman" w:hAnsi="Times New Roman" w:eastAsia="宋体"/>
                <w:color w:val="auto"/>
                <w:szCs w:val="24"/>
                <w:highlight w:val="none"/>
                <w:lang w:val="en-US" w:eastAsia="zh-CN"/>
              </w:rPr>
              <w:t>本环节不使用助剂，不产生废气</w:t>
            </w:r>
            <w:r>
              <w:rPr>
                <w:rFonts w:hint="default" w:ascii="Times New Roman" w:hAnsi="Times New Roman" w:eastAsia="宋体"/>
                <w:color w:val="auto"/>
                <w:szCs w:val="24"/>
                <w:highlight w:val="none"/>
              </w:rPr>
              <w:t>。</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default" w:ascii="Times New Roman" w:hAnsi="Times New Roman" w:eastAsia="宋体"/>
                <w:color w:val="auto"/>
                <w:szCs w:val="24"/>
                <w:highlight w:val="none"/>
              </w:rPr>
              <w:t>滚槽：电芯顺着进入滚槽设备，设备会自动在钢壳侧面滚出一个凹槽，至此钢壳内的电芯彻底固定。</w:t>
            </w:r>
          </w:p>
          <w:p>
            <w:pPr>
              <w:keepNext w:val="0"/>
              <w:keepLines w:val="0"/>
              <w:suppressLineNumbers w:val="0"/>
              <w:spacing w:before="0" w:beforeAutospacing="0" w:after="0" w:afterAutospacing="0" w:line="360" w:lineRule="auto"/>
              <w:ind w:left="0" w:right="0" w:firstLine="480" w:firstLineChars="200"/>
              <w:jc w:val="both"/>
              <w:rPr>
                <w:rFonts w:hint="eastAsia" w:ascii="Times New Roman" w:hAnsi="Times New Roman" w:eastAsia="宋体"/>
                <w:color w:val="auto"/>
                <w:szCs w:val="24"/>
                <w:highlight w:val="none"/>
                <w:lang w:val="en-US" w:eastAsia="zh-CN"/>
              </w:rPr>
            </w:pPr>
            <w:r>
              <w:rPr>
                <w:rFonts w:hint="eastAsia"/>
                <w:color w:val="auto"/>
                <w:szCs w:val="24"/>
                <w:highlight w:val="none"/>
                <w:lang w:val="en-US" w:eastAsia="zh-CN"/>
              </w:rPr>
              <w:t>③</w:t>
            </w:r>
            <w:r>
              <w:rPr>
                <w:rFonts w:hint="default" w:ascii="Times New Roman" w:hAnsi="Times New Roman" w:eastAsia="宋体"/>
                <w:color w:val="auto"/>
                <w:szCs w:val="24"/>
                <w:highlight w:val="none"/>
              </w:rPr>
              <w:t>注液、封口</w:t>
            </w:r>
            <w:r>
              <w:rPr>
                <w:rFonts w:hint="eastAsia" w:ascii="Times New Roman" w:hAnsi="Times New Roman" w:eastAsia="宋体"/>
                <w:color w:val="auto"/>
                <w:szCs w:val="24"/>
                <w:highlight w:val="none"/>
                <w:lang w:eastAsia="zh-CN"/>
              </w:rPr>
              <w:t>、清洗</w:t>
            </w:r>
          </w:p>
          <w:p>
            <w:pPr>
              <w:keepNext w:val="0"/>
              <w:keepLines w:val="0"/>
              <w:suppressLineNumbers w:val="0"/>
              <w:spacing w:before="0" w:beforeAutospacing="0" w:after="0" w:afterAutospacing="0" w:line="360" w:lineRule="auto"/>
              <w:ind w:left="0" w:right="0" w:firstLine="480" w:firstLineChars="200"/>
              <w:jc w:val="both"/>
              <w:rPr>
                <w:rFonts w:hint="eastAsia" w:ascii="Times New Roman" w:hAnsi="Times New Roman" w:eastAsia="宋体"/>
                <w:color w:val="auto"/>
                <w:szCs w:val="24"/>
                <w:highlight w:val="none"/>
                <w:lang w:val="en-US" w:eastAsia="zh-CN"/>
              </w:rPr>
            </w:pPr>
            <w:r>
              <w:rPr>
                <w:rFonts w:hint="default" w:ascii="Times New Roman" w:hAnsi="Times New Roman" w:eastAsia="宋体"/>
                <w:color w:val="auto"/>
                <w:szCs w:val="24"/>
                <w:highlight w:val="none"/>
              </w:rPr>
              <w:t>注液</w:t>
            </w:r>
            <w:r>
              <w:rPr>
                <w:rFonts w:hint="eastAsia" w:ascii="Times New Roman" w:hAnsi="Times New Roman" w:eastAsia="宋体"/>
                <w:color w:val="auto"/>
                <w:szCs w:val="24"/>
                <w:highlight w:val="none"/>
                <w:lang w:eastAsia="zh-CN"/>
              </w:rPr>
              <w:t>：</w:t>
            </w:r>
            <w:r>
              <w:rPr>
                <w:rFonts w:hint="eastAsia" w:ascii="Times New Roman" w:hAnsi="Times New Roman" w:eastAsia="宋体"/>
                <w:color w:val="auto"/>
                <w:szCs w:val="24"/>
                <w:highlight w:val="none"/>
                <w:lang w:val="en-US" w:eastAsia="zh-CN"/>
              </w:rPr>
              <w:t>将烘干好的电芯放入密封的注液箱中进行注液，项目电解液成分中的</w:t>
            </w:r>
            <w:r>
              <w:rPr>
                <w:rFonts w:ascii="Times New Roman" w:hAnsi="Times New Roman" w:eastAsia="宋体"/>
                <w:color w:val="auto"/>
                <w:szCs w:val="24"/>
                <w:highlight w:val="none"/>
                <w:lang w:val="en-US" w:eastAsia="zh-CN"/>
              </w:rPr>
              <w:t>LiPF6</w:t>
            </w:r>
            <w:r>
              <w:rPr>
                <w:rFonts w:hint="eastAsia" w:ascii="Times New Roman" w:hAnsi="Times New Roman" w:eastAsia="宋体"/>
                <w:color w:val="auto"/>
                <w:szCs w:val="24"/>
                <w:highlight w:val="none"/>
                <w:lang w:val="en-US" w:eastAsia="zh-CN"/>
              </w:rPr>
              <w:t>潮解性强，易溶于水，还溶于低浓度甲醇、乙醇、丙酮、碳酸酯类等有机溶剂，接触空中的水汽会导致分解。由于项目电解液过程均在密闭且控制湿度的条件下进行，且工作温度设计为</w:t>
            </w:r>
            <w:r>
              <w:rPr>
                <w:rFonts w:hint="default" w:ascii="Times New Roman" w:hAnsi="Times New Roman" w:eastAsia="宋体"/>
                <w:color w:val="auto"/>
                <w:szCs w:val="24"/>
                <w:highlight w:val="none"/>
                <w:lang w:val="en-US" w:eastAsia="zh-CN"/>
              </w:rPr>
              <w:t>25</w:t>
            </w:r>
            <w:r>
              <w:rPr>
                <w:rFonts w:hint="eastAsia" w:ascii="Times New Roman" w:hAnsi="Times New Roman" w:eastAsia="宋体"/>
                <w:color w:val="auto"/>
                <w:szCs w:val="24"/>
                <w:highlight w:val="none"/>
                <w:lang w:val="en-US" w:eastAsia="zh-CN"/>
              </w:rPr>
              <w:t>℃、湿度低于</w:t>
            </w:r>
            <w:r>
              <w:rPr>
                <w:rFonts w:hint="default" w:ascii="Times New Roman" w:hAnsi="Times New Roman" w:eastAsia="宋体"/>
                <w:color w:val="auto"/>
                <w:szCs w:val="24"/>
                <w:highlight w:val="none"/>
                <w:lang w:val="en-US" w:eastAsia="zh-CN"/>
              </w:rPr>
              <w:t>0.5%</w:t>
            </w:r>
            <w:r>
              <w:rPr>
                <w:rFonts w:hint="eastAsia" w:ascii="Times New Roman" w:hAnsi="Times New Roman" w:eastAsia="宋体"/>
                <w:color w:val="auto"/>
                <w:szCs w:val="24"/>
                <w:highlight w:val="none"/>
                <w:lang w:val="en-US" w:eastAsia="zh-CN"/>
              </w:rPr>
              <w:t>的超级干燥且处于真空的环境中，用自动注液机按照工艺要求精确的将所需电解液加注到电芯中。将烘干好的电芯放入密封的注液箱中进行注液，在常温常压下电解液是通过全密闭的管道自动注入电芯中，因此注液过程电解液基本上不会挥发。</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default" w:ascii="Times New Roman" w:hAnsi="Times New Roman" w:eastAsia="宋体"/>
                <w:color w:val="auto"/>
                <w:szCs w:val="24"/>
                <w:highlight w:val="none"/>
              </w:rPr>
              <w:t>封口</w:t>
            </w:r>
            <w:r>
              <w:rPr>
                <w:rFonts w:hint="eastAsia" w:ascii="Times New Roman" w:hAnsi="Times New Roman" w:eastAsia="宋体"/>
                <w:color w:val="auto"/>
                <w:szCs w:val="24"/>
                <w:highlight w:val="none"/>
                <w:lang w:eastAsia="zh-CN"/>
              </w:rPr>
              <w:t>：</w:t>
            </w:r>
            <w:r>
              <w:rPr>
                <w:rFonts w:hint="default" w:ascii="Times New Roman" w:hAnsi="Times New Roman" w:eastAsia="宋体"/>
                <w:color w:val="auto"/>
                <w:szCs w:val="24"/>
                <w:highlight w:val="none"/>
              </w:rPr>
              <w:t>将用于焊接的盖帽放置于震动盘内，该装置会自动将盖帽放置于运行轨道上，然后将电芯放于盖帽上，当电池顺着轨道进入焊接位置后，设备上的压块下压，将电芯内的极耳与盖帽焊接在一起。将焊接完成的电芯放于进料轨道，顺着进料轨道，电芯会自动进入封口机，设备会自动对电芯进行压模封口。</w:t>
            </w:r>
          </w:p>
          <w:p>
            <w:pPr>
              <w:keepNext w:val="0"/>
              <w:keepLines w:val="0"/>
              <w:suppressLineNumbers w:val="0"/>
              <w:spacing w:before="0" w:beforeAutospacing="0" w:after="0" w:afterAutospacing="0" w:line="360" w:lineRule="auto"/>
              <w:ind w:left="0" w:right="0" w:firstLine="480" w:firstLineChars="200"/>
              <w:jc w:val="both"/>
              <w:rPr>
                <w:rFonts w:hint="eastAsia" w:ascii="Times New Roman" w:hAnsi="Times New Roman" w:eastAsia="宋体"/>
                <w:color w:val="auto"/>
                <w:szCs w:val="24"/>
                <w:highlight w:val="none"/>
                <w:lang w:eastAsia="zh-CN"/>
              </w:rPr>
            </w:pPr>
            <w:r>
              <w:rPr>
                <w:rFonts w:hint="eastAsia" w:ascii="Times New Roman" w:hAnsi="Times New Roman" w:eastAsia="宋体"/>
                <w:color w:val="auto"/>
                <w:szCs w:val="24"/>
                <w:highlight w:val="none"/>
                <w:lang w:eastAsia="zh-CN"/>
              </w:rPr>
              <w:t>清洗：</w:t>
            </w:r>
            <w:r>
              <w:rPr>
                <w:rFonts w:ascii="Times New Roman" w:hAnsi="Times New Roman" w:eastAsia="宋体"/>
                <w:color w:val="auto"/>
                <w:szCs w:val="24"/>
                <w:highlight w:val="none"/>
              </w:rPr>
              <w:t>通过电池</w:t>
            </w:r>
            <w:r>
              <w:rPr>
                <w:rFonts w:hint="eastAsia" w:ascii="Times New Roman" w:hAnsi="Times New Roman" w:eastAsia="宋体"/>
                <w:color w:val="auto"/>
                <w:szCs w:val="24"/>
                <w:highlight w:val="none"/>
              </w:rPr>
              <w:t>组装线</w:t>
            </w:r>
            <w:r>
              <w:rPr>
                <w:rFonts w:ascii="Times New Roman" w:hAnsi="Times New Roman" w:eastAsia="宋体"/>
                <w:color w:val="auto"/>
                <w:szCs w:val="24"/>
                <w:highlight w:val="none"/>
              </w:rPr>
              <w:t>装配出来的电池，用</w:t>
            </w:r>
            <w:r>
              <w:rPr>
                <w:rFonts w:hint="eastAsia" w:ascii="Times New Roman" w:hAnsi="Times New Roman" w:eastAsia="宋体"/>
                <w:color w:val="auto"/>
                <w:szCs w:val="24"/>
                <w:highlight w:val="none"/>
              </w:rPr>
              <w:t>水进行</w:t>
            </w:r>
            <w:r>
              <w:rPr>
                <w:rFonts w:ascii="Times New Roman" w:hAnsi="Times New Roman" w:eastAsia="宋体"/>
                <w:color w:val="auto"/>
                <w:szCs w:val="24"/>
                <w:highlight w:val="none"/>
              </w:rPr>
              <w:t>清洗，</w:t>
            </w:r>
            <w:r>
              <w:rPr>
                <w:rFonts w:hint="eastAsia" w:ascii="Times New Roman" w:hAnsi="Times New Roman" w:eastAsia="宋体"/>
                <w:color w:val="auto"/>
                <w:szCs w:val="24"/>
                <w:highlight w:val="none"/>
              </w:rPr>
              <w:t>去除表面灰尘</w:t>
            </w:r>
            <w:r>
              <w:rPr>
                <w:rFonts w:hint="eastAsia" w:ascii="Times New Roman" w:hAnsi="Times New Roman" w:eastAsia="宋体"/>
                <w:color w:val="auto"/>
                <w:szCs w:val="24"/>
                <w:highlight w:val="none"/>
                <w:lang w:val="en-US" w:eastAsia="zh-CN"/>
              </w:rPr>
              <w:t>和杂质</w:t>
            </w:r>
            <w:r>
              <w:rPr>
                <w:rFonts w:hint="eastAsia" w:ascii="Times New Roman" w:hAnsi="Times New Roman" w:eastAsia="宋体"/>
                <w:color w:val="auto"/>
                <w:szCs w:val="24"/>
                <w:highlight w:val="none"/>
              </w:rPr>
              <w:t>等</w:t>
            </w:r>
            <w:r>
              <w:rPr>
                <w:rFonts w:hint="eastAsia" w:ascii="Times New Roman" w:hAnsi="Times New Roman" w:eastAsia="宋体"/>
                <w:color w:val="auto"/>
                <w:szCs w:val="24"/>
                <w:highlight w:val="none"/>
                <w:lang w:eastAsia="zh-CN"/>
              </w:rPr>
              <w:t>。</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eastAsia"/>
                <w:color w:val="auto"/>
                <w:szCs w:val="24"/>
                <w:highlight w:val="none"/>
                <w:lang w:val="en-US" w:eastAsia="zh-CN"/>
              </w:rPr>
              <w:t>④</w:t>
            </w:r>
            <w:r>
              <w:rPr>
                <w:rFonts w:hint="default" w:ascii="Times New Roman" w:hAnsi="Times New Roman" w:eastAsia="宋体"/>
                <w:color w:val="auto"/>
                <w:szCs w:val="24"/>
                <w:highlight w:val="none"/>
              </w:rPr>
              <w:t>化成</w:t>
            </w:r>
          </w:p>
          <w:p>
            <w:pPr>
              <w:keepNext w:val="0"/>
              <w:keepLines w:val="0"/>
              <w:suppressLineNumbers w:val="0"/>
              <w:spacing w:before="0" w:beforeAutospacing="0" w:after="0" w:afterAutospacing="0" w:line="360" w:lineRule="auto"/>
              <w:ind w:left="0" w:right="0" w:firstLine="480" w:firstLineChars="200"/>
              <w:jc w:val="both"/>
              <w:rPr>
                <w:rFonts w:ascii="Times New Roman" w:hAnsi="Times New Roman" w:eastAsia="宋体"/>
                <w:color w:val="auto"/>
                <w:szCs w:val="24"/>
                <w:highlight w:val="none"/>
              </w:rPr>
            </w:pPr>
            <w:r>
              <w:rPr>
                <w:rFonts w:hint="eastAsia" w:ascii="Times New Roman" w:hAnsi="Times New Roman" w:eastAsia="宋体"/>
                <w:color w:val="auto"/>
                <w:szCs w:val="24"/>
                <w:highlight w:val="none"/>
                <w:lang w:val="en-US" w:eastAsia="zh-CN"/>
              </w:rPr>
              <w:t>化成是在高温干燥房内由自动化设备对注液完毕的电池进行活化、充电分容等激活检测，将电极材料激活，使正、负极电极片上聚合物与电解液相互渗透。此过程在常温常压下使用闭口化成方式，因此化成工序没有废电解液及电解液挥发废气产生。化成时间约为</w:t>
            </w:r>
            <w:r>
              <w:rPr>
                <w:rFonts w:hint="default" w:ascii="Times New Roman" w:hAnsi="Times New Roman" w:eastAsia="宋体"/>
                <w:color w:val="auto"/>
                <w:szCs w:val="24"/>
                <w:highlight w:val="none"/>
                <w:lang w:val="en-US" w:eastAsia="zh-CN"/>
              </w:rPr>
              <w:t>8</w:t>
            </w:r>
            <w:r>
              <w:rPr>
                <w:rFonts w:hint="eastAsia" w:ascii="Times New Roman" w:hAnsi="Times New Roman" w:eastAsia="宋体"/>
                <w:color w:val="auto"/>
                <w:szCs w:val="24"/>
                <w:highlight w:val="none"/>
                <w:lang w:val="en-US" w:eastAsia="zh-CN"/>
              </w:rPr>
              <w:t>小时。检测是检测电池内阻、电压、尺寸及重量等，根据测试结果对电池进行分选。检测工序会有少量不合格品废电池产生，挑出电芯内部存在微短路缺陷的短路、低电压电芯，保障电池性能。</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eastAsia"/>
                <w:color w:val="auto"/>
                <w:szCs w:val="24"/>
                <w:highlight w:val="none"/>
                <w:lang w:val="en-US" w:eastAsia="zh-CN"/>
              </w:rPr>
              <w:t>⑤</w:t>
            </w:r>
            <w:r>
              <w:rPr>
                <w:rFonts w:hint="default" w:ascii="Times New Roman" w:hAnsi="Times New Roman" w:eastAsia="宋体"/>
                <w:color w:val="auto"/>
                <w:szCs w:val="24"/>
                <w:highlight w:val="none"/>
              </w:rPr>
              <w:t>分容</w:t>
            </w:r>
          </w:p>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olor w:val="auto"/>
                <w:szCs w:val="24"/>
                <w:highlight w:val="none"/>
              </w:rPr>
            </w:pPr>
            <w:r>
              <w:rPr>
                <w:rFonts w:hint="default" w:ascii="Times New Roman" w:hAnsi="Times New Roman" w:eastAsia="宋体"/>
                <w:color w:val="auto"/>
                <w:szCs w:val="24"/>
                <w:highlight w:val="none"/>
              </w:rPr>
              <w:t>最后将完成的电池放入分选设备，设备会自动按照要求对电池进行分选操作，经分档后的电池包装入库。</w:t>
            </w:r>
          </w:p>
          <w:p>
            <w:pPr>
              <w:keepNext w:val="0"/>
              <w:keepLines w:val="0"/>
              <w:suppressLineNumbers w:val="0"/>
              <w:spacing w:before="0" w:beforeAutospacing="0" w:after="0" w:afterAutospacing="0" w:line="360" w:lineRule="auto"/>
              <w:ind w:left="0" w:right="0" w:firstLine="480" w:firstLineChars="200"/>
              <w:jc w:val="both"/>
              <w:rPr>
                <w:rFonts w:hint="eastAsia"/>
                <w:color w:val="auto"/>
                <w:szCs w:val="24"/>
                <w:highlight w:val="none"/>
                <w:lang w:val="en-US" w:eastAsia="zh-CN"/>
              </w:rPr>
            </w:pPr>
            <w:r>
              <w:rPr>
                <w:rFonts w:hint="eastAsia"/>
                <w:color w:val="auto"/>
                <w:szCs w:val="24"/>
                <w:highlight w:val="none"/>
                <w:lang w:val="en-US" w:eastAsia="zh-CN"/>
              </w:rPr>
              <w:t>⑥分选</w:t>
            </w:r>
          </w:p>
          <w:p>
            <w:pPr>
              <w:keepNext w:val="0"/>
              <w:keepLines w:val="0"/>
              <w:suppressLineNumbers w:val="0"/>
              <w:spacing w:before="0" w:beforeAutospacing="0" w:after="0" w:afterAutospacing="0" w:line="360" w:lineRule="auto"/>
              <w:ind w:left="0" w:right="0" w:firstLine="480" w:firstLineChars="200"/>
              <w:jc w:val="both"/>
              <w:rPr>
                <w:rFonts w:hint="eastAsia"/>
                <w:color w:val="auto"/>
                <w:szCs w:val="24"/>
                <w:highlight w:val="none"/>
                <w:lang w:val="en-US" w:eastAsia="zh-CN"/>
              </w:rPr>
            </w:pPr>
            <w:r>
              <w:rPr>
                <w:rFonts w:hint="eastAsia"/>
                <w:color w:val="auto"/>
                <w:szCs w:val="24"/>
                <w:highlight w:val="none"/>
                <w:lang w:val="en-US" w:eastAsia="zh-CN"/>
              </w:rPr>
              <w:t>最后将完成的电池放入分选设备，设备会自动按照要求对电池进行分选操作，经分档后的电池包装入库。</w:t>
            </w:r>
          </w:p>
          <w:p>
            <w:pPr>
              <w:keepNext w:val="0"/>
              <w:keepLines w:val="0"/>
              <w:suppressLineNumbers w:val="0"/>
              <w:spacing w:before="0" w:beforeAutospacing="0" w:after="0" w:afterAutospacing="0" w:line="360" w:lineRule="auto"/>
              <w:ind w:left="0" w:leftChars="0" w:right="0" w:firstLine="482" w:firstLineChars="200"/>
              <w:jc w:val="both"/>
              <w:rPr>
                <w:rFonts w:hint="default" w:ascii="Times New Roman" w:hAnsi="Times New Roman" w:cs="Times New Roman" w:eastAsiaTheme="minorEastAsia"/>
                <w:b/>
                <w:color w:val="auto"/>
                <w:sz w:val="24"/>
                <w:highlight w:val="none"/>
                <w:u w:val="none" w:color="auto"/>
              </w:rPr>
            </w:pPr>
            <w:r>
              <w:rPr>
                <w:rFonts w:hint="default" w:ascii="Times New Roman" w:hAnsi="Times New Roman" w:cs="Times New Roman" w:eastAsiaTheme="minorEastAsia"/>
                <w:b/>
                <w:color w:val="auto"/>
                <w:sz w:val="24"/>
                <w:highlight w:val="none"/>
                <w:u w:val="none" w:color="auto"/>
              </w:rPr>
              <w:t>营运期主要污染工序及污染因子：</w:t>
            </w:r>
          </w:p>
          <w:p>
            <w:pPr>
              <w:keepNext w:val="0"/>
              <w:keepLines w:val="0"/>
              <w:pageBreakBefore w:val="0"/>
              <w:widowControl w:val="0"/>
              <w:numPr>
                <w:ilvl w:val="0"/>
                <w:numId w:val="3"/>
              </w:numPr>
              <w:suppressLineNumbers w:val="0"/>
              <w:kinsoku/>
              <w:wordWrap/>
              <w:overflowPunct/>
              <w:topLinePunct w:val="0"/>
              <w:autoSpaceDE/>
              <w:autoSpaceDN/>
              <w:bidi w:val="0"/>
              <w:adjustRightInd w:val="0"/>
              <w:snapToGrid w:val="0"/>
              <w:spacing w:before="0" w:beforeAutospacing="0" w:after="0" w:afterAutospacing="0" w:line="360" w:lineRule="auto"/>
              <w:ind w:left="0" w:right="0" w:firstLine="480" w:firstLineChars="200"/>
              <w:jc w:val="both"/>
              <w:textAlignment w:val="auto"/>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pPr>
            <w:r>
              <w:rPr>
                <w:rFonts w:hint="default" w:ascii="Times New Roman" w:hAnsi="Times New Roman" w:cs="Times New Roman" w:eastAsiaTheme="minorEastAsia"/>
                <w:color w:val="auto"/>
                <w:sz w:val="24"/>
                <w:highlight w:val="none"/>
                <w:u w:val="none" w:color="auto"/>
              </w:rPr>
              <w:t>废水：</w:t>
            </w:r>
            <w:r>
              <w:rPr>
                <w:rFonts w:hint="default" w:ascii="Times New Roman" w:hAnsi="Times New Roman" w:cs="Times New Roman" w:eastAsiaTheme="minorEastAsia"/>
                <w:color w:val="auto"/>
                <w:sz w:val="24"/>
                <w:highlight w:val="none"/>
                <w:u w:val="none" w:color="auto"/>
                <w:lang w:val="en-US" w:eastAsia="zh-CN"/>
              </w:rPr>
              <w:t>项目废水主要为员工生活污水，搅拌桶清洗废水</w:t>
            </w:r>
            <w:r>
              <w:rPr>
                <w:rFonts w:hint="eastAsia" w:cs="Times New Roman" w:eastAsiaTheme="minorEastAsia"/>
                <w:color w:val="auto"/>
                <w:sz w:val="24"/>
                <w:highlight w:val="none"/>
                <w:u w:val="none" w:color="auto"/>
                <w:lang w:val="en-US" w:eastAsia="zh-CN"/>
              </w:rPr>
              <w:t>、循环冷却水</w:t>
            </w:r>
            <w:r>
              <w:rPr>
                <w:rFonts w:hint="default" w:ascii="Times New Roman" w:hAnsi="Times New Roman" w:cs="Times New Roman" w:eastAsiaTheme="minorEastAsia"/>
                <w:color w:val="auto"/>
                <w:sz w:val="24"/>
                <w:highlight w:val="none"/>
                <w:u w:val="none" w:color="auto"/>
                <w:lang w:val="en-US" w:eastAsia="zh-CN"/>
              </w:rPr>
              <w:t>、电池清洗废</w:t>
            </w:r>
            <w:r>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水</w:t>
            </w:r>
            <w:r>
              <w:rPr>
                <w:rFonts w:hint="eastAsia" w:cs="Times New Roman" w:eastAsiaTheme="minorEastAsia"/>
                <w:color w:val="000000" w:themeColor="text1"/>
                <w:sz w:val="24"/>
                <w:highlight w:val="none"/>
                <w:u w:val="none" w:color="auto"/>
                <w:lang w:val="en-US" w:eastAsia="zh-CN"/>
                <w14:textFill>
                  <w14:solidFill>
                    <w14:schemeClr w14:val="tx1"/>
                  </w14:solidFill>
                </w14:textFill>
              </w:rPr>
              <w:t>、喷淋废水</w:t>
            </w: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jc w:val="both"/>
              <w:textAlignment w:val="auto"/>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（2）废气：</w:t>
            </w:r>
            <w:r>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项目废气主要为正极料浆涂布烘干过程产生的NMP废气</w:t>
            </w:r>
            <w:r>
              <w:rPr>
                <w:rFonts w:hint="eastAsia" w:cs="Times New Roman" w:eastAsiaTheme="minorEastAsia"/>
                <w:color w:val="000000" w:themeColor="text1"/>
                <w:sz w:val="24"/>
                <w:highlight w:val="none"/>
                <w:u w:val="none" w:color="auto"/>
                <w:lang w:val="en-US" w:eastAsia="zh-CN"/>
                <w14:textFill>
                  <w14:solidFill>
                    <w14:schemeClr w14:val="tx1"/>
                  </w14:solidFill>
                </w14:textFill>
              </w:rPr>
              <w:t>、</w:t>
            </w:r>
            <w:r>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项目配料在自动全密闭系统进行，无粉尘产生，仅物料装卸过程中产生少量粉尘</w:t>
            </w:r>
            <w:r>
              <w:rPr>
                <w:rFonts w:hint="eastAsia" w:cs="Times New Roman" w:eastAsiaTheme="minorEastAsia"/>
                <w:color w:val="000000" w:themeColor="text1"/>
                <w:sz w:val="24"/>
                <w:highlight w:val="none"/>
                <w:u w:val="none" w:color="auto"/>
                <w:lang w:val="en-US" w:eastAsia="zh-CN"/>
                <w14:textFill>
                  <w14:solidFill>
                    <w14:schemeClr w14:val="tx1"/>
                  </w14:solidFill>
                </w14:textFill>
              </w:rPr>
              <w:t>以及食堂油烟废气。</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jc w:val="both"/>
              <w:textAlignment w:val="auto"/>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（3）噪声：</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项目噪声主要为各类生产设备的运行噪声</w:t>
            </w:r>
            <w:r>
              <w:rPr>
                <w:rFonts w:hint="default" w:ascii="Times New Roman" w:hAnsi="Times New Roman" w:cs="Times New Roman" w:eastAsiaTheme="minorEastAsia"/>
                <w:color w:val="000000" w:themeColor="text1"/>
                <w:sz w:val="24"/>
                <w:szCs w:val="24"/>
                <w:highlight w:val="none"/>
                <w:u w:val="none" w:color="auto"/>
                <w:lang w:bidi="ar"/>
                <w14:textFill>
                  <w14:solidFill>
                    <w14:schemeClr w14:val="tx1"/>
                  </w14:solidFill>
                </w14:textFill>
              </w:rPr>
              <w:t>。</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jc w:val="both"/>
              <w:textAlignment w:val="auto"/>
              <w:rPr>
                <w:rFonts w:hint="default" w:ascii="Times New Roman" w:hAnsi="Times New Roman" w:cs="Times New Roman" w:eastAsiaTheme="minorEastAsia"/>
                <w:color w:val="000000" w:themeColor="text1"/>
                <w:sz w:val="24"/>
                <w:szCs w:val="24"/>
                <w:highlight w:val="yellow"/>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（4）固体废物：</w:t>
            </w:r>
            <w:r>
              <w:rPr>
                <w:rFonts w:hint="default" w:ascii="Times New Roman" w:hAnsi="Times New Roman" w:cs="Times New Roman" w:eastAsiaTheme="minorEastAsia"/>
                <w:color w:val="000000" w:themeColor="text1"/>
                <w:sz w:val="24"/>
                <w:szCs w:val="21"/>
                <w:highlight w:val="none"/>
                <w:u w:val="none" w:color="auto"/>
                <w:lang w:val="en-US" w:eastAsia="zh-CN"/>
                <w14:textFill>
                  <w14:solidFill>
                    <w14:schemeClr w14:val="tx1"/>
                  </w14:solidFill>
                </w14:textFill>
              </w:rPr>
              <w:t>项目</w:t>
            </w:r>
            <w:r>
              <w:rPr>
                <w:rFonts w:hint="eastAsia" w:cs="Times New Roman" w:eastAsiaTheme="minorEastAsia"/>
                <w:color w:val="000000" w:themeColor="text1"/>
                <w:sz w:val="24"/>
                <w:szCs w:val="21"/>
                <w:highlight w:val="none"/>
                <w:u w:val="none" w:color="auto"/>
                <w:lang w:val="en-US" w:eastAsia="zh-CN"/>
                <w14:textFill>
                  <w14:solidFill>
                    <w14:schemeClr w14:val="tx1"/>
                  </w14:solidFill>
                </w14:textFill>
              </w:rPr>
              <w:t>产生的</w:t>
            </w:r>
            <w:r>
              <w:rPr>
                <w:rFonts w:hint="default" w:ascii="Times New Roman" w:hAnsi="Times New Roman" w:cs="Times New Roman" w:eastAsiaTheme="minorEastAsia"/>
                <w:color w:val="000000" w:themeColor="text1"/>
                <w:sz w:val="24"/>
                <w:szCs w:val="21"/>
                <w:highlight w:val="none"/>
                <w:u w:val="none" w:color="auto"/>
                <w:lang w:val="en-US" w:eastAsia="zh-CN"/>
                <w14:textFill>
                  <w14:solidFill>
                    <w14:schemeClr w14:val="tx1"/>
                  </w14:solidFill>
                </w14:textFill>
              </w:rPr>
              <w:t>固废主要为废隔膜、废边角料、原辅材料废包装袋（桶）、不合格电池</w:t>
            </w:r>
            <w:r>
              <w:rPr>
                <w:rFonts w:hint="eastAsia" w:cs="Times New Roman" w:eastAsiaTheme="minorEastAsia"/>
                <w:color w:val="000000" w:themeColor="text1"/>
                <w:sz w:val="24"/>
                <w:szCs w:val="21"/>
                <w:highlight w:val="none"/>
                <w:u w:val="none" w:color="auto"/>
                <w:lang w:val="en-US" w:eastAsia="zh-CN"/>
                <w14:textFill>
                  <w14:solidFill>
                    <w14:schemeClr w14:val="tx1"/>
                  </w14:solidFill>
                </w14:textFill>
              </w:rPr>
              <w:t>、</w:t>
            </w:r>
            <w:r>
              <w:rPr>
                <w:rFonts w:hint="default" w:ascii="Times New Roman" w:hAnsi="Times New Roman" w:cs="Times New Roman" w:eastAsiaTheme="minorEastAsia"/>
                <w:color w:val="000000" w:themeColor="text1"/>
                <w:sz w:val="24"/>
                <w:szCs w:val="21"/>
                <w:highlight w:val="none"/>
                <w:u w:val="none" w:color="auto"/>
                <w:lang w:val="en-US" w:eastAsia="zh-CN"/>
                <w14:textFill>
                  <w14:solidFill>
                    <w14:schemeClr w14:val="tx1"/>
                  </w14:solidFill>
                </w14:textFill>
              </w:rPr>
              <w:t>废活性炭、废电解液等</w:t>
            </w:r>
            <w:r>
              <w:rPr>
                <w:rFonts w:hint="eastAsia" w:ascii="Times New Roman" w:hAnsi="Times New Roman" w:cs="Times New Roman" w:eastAsiaTheme="minorEastAsia"/>
                <w:color w:val="000000" w:themeColor="text1"/>
                <w:sz w:val="24"/>
                <w:szCs w:val="21"/>
                <w:highlight w:val="none"/>
                <w:u w:val="none" w:color="auto"/>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3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vertAlign w:val="baseline"/>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vertAlign w:val="baseline"/>
                <w:lang w:val="en-US" w:eastAsia="zh-CN"/>
                <w14:textFill>
                  <w14:solidFill>
                    <w14:schemeClr w14:val="tx1"/>
                  </w14:solidFill>
                </w14:textFill>
              </w:rPr>
              <w:t>与项目有关的原有环境污染问题</w:t>
            </w:r>
          </w:p>
        </w:tc>
        <w:tc>
          <w:tcPr>
            <w:tcW w:w="4564" w:type="pct"/>
            <w:tcBorders>
              <w:tl2br w:val="nil"/>
              <w:tr2bl w:val="nil"/>
            </w:tcBorders>
            <w:vAlign w:val="center"/>
          </w:tcPr>
          <w:p>
            <w:pPr>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本项目为新建项目，不存在原有污染情况及环境问题。</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 xml:space="preserve"> </w:t>
            </w:r>
          </w:p>
        </w:tc>
      </w:tr>
    </w:tbl>
    <w:p>
      <w:pPr>
        <w:bidi w:val="0"/>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3"/>
        <w:keepNext/>
        <w:keepLines/>
        <w:pageBreakBefore w:val="0"/>
        <w:widowControl w:val="0"/>
        <w:numPr>
          <w:ilvl w:val="0"/>
          <w:numId w:val="0"/>
        </w:numPr>
        <w:kinsoku/>
        <w:wordWrap/>
        <w:overflowPunct/>
        <w:topLinePunct w:val="0"/>
        <w:autoSpaceDE/>
        <w:autoSpaceDN/>
        <w:bidi w:val="0"/>
        <w:adjustRightInd w:val="0"/>
        <w:snapToGrid w:val="0"/>
        <w:spacing w:before="0" w:beforeLines="0" w:after="0" w:afterLines="0" w:line="240" w:lineRule="auto"/>
        <w:ind w:leftChars="0"/>
        <w:jc w:val="center"/>
        <w:textAlignment w:val="auto"/>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pPr>
      <w:bookmarkStart w:id="2" w:name="_Toc23196"/>
      <w:r>
        <w:rPr>
          <w:rFonts w:hint="default" w:ascii="Times New Roman" w:hAnsi="Times New Roman" w:cs="Times New Roman" w:eastAsiaTheme="minorEastAsia"/>
          <w:b/>
          <w:color w:val="000000" w:themeColor="text1"/>
          <w:sz w:val="36"/>
          <w:szCs w:val="36"/>
          <w:highlight w:val="none"/>
          <w:u w:val="none" w:color="auto"/>
          <w:lang w:val="en-US" w:eastAsia="zh-CN"/>
          <w14:textFill>
            <w14:solidFill>
              <w14:schemeClr w14:val="tx1"/>
            </w14:solidFill>
          </w14:textFill>
        </w:rPr>
        <w:t>三、区域环境质量现状、环境保护目标及评价标准</w:t>
      </w:r>
      <w:bookmarkEnd w:id="2"/>
    </w:p>
    <w:tbl>
      <w:tblPr>
        <w:tblStyle w:val="24"/>
        <w:tblW w:w="4999"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835"/>
        <w:gridCol w:w="912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1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区域环境质量现状</w:t>
            </w:r>
          </w:p>
        </w:tc>
        <w:tc>
          <w:tcPr>
            <w:tcW w:w="4580" w:type="pct"/>
            <w:tcBorders>
              <w:tl2br w:val="nil"/>
              <w:tr2bl w:val="nil"/>
            </w:tcBorders>
            <w:vAlign w:val="center"/>
          </w:tcPr>
          <w:p>
            <w:pPr>
              <w:widowControl w:val="0"/>
              <w:adjustRightInd w:val="0"/>
              <w:snapToGrid w:val="0"/>
              <w:spacing w:line="360" w:lineRule="auto"/>
              <w:ind w:left="0" w:leftChars="0" w:right="318" w:firstLine="0" w:firstLineChars="0"/>
              <w:jc w:val="both"/>
              <w:rPr>
                <w:rFonts w:hint="default" w:ascii="Times New Roman" w:hAnsi="Times New Roman" w:cs="Times New Roman" w:eastAsiaTheme="minorEastAsia"/>
                <w:b/>
                <w:color w:val="000000" w:themeColor="text1"/>
                <w:spacing w:val="0"/>
                <w:kern w:val="21"/>
                <w:sz w:val="28"/>
                <w:szCs w:val="28"/>
                <w:highlight w:val="none"/>
                <w:u w:val="none" w:color="auto"/>
                <w:lang w:val="en-US" w:eastAsia="zh-CN" w:bidi="ar-SA"/>
                <w14:textFill>
                  <w14:solidFill>
                    <w14:schemeClr w14:val="tx1"/>
                  </w14:solidFill>
                </w14:textFill>
              </w:rPr>
            </w:pPr>
            <w:bookmarkStart w:id="3" w:name="_Toc411767822"/>
            <w:r>
              <w:rPr>
                <w:rFonts w:hint="default" w:ascii="Times New Roman" w:hAnsi="Times New Roman" w:cs="Times New Roman" w:eastAsiaTheme="minorEastAsia"/>
                <w:b/>
                <w:color w:val="000000" w:themeColor="text1"/>
                <w:spacing w:val="0"/>
                <w:kern w:val="21"/>
                <w:sz w:val="28"/>
                <w:szCs w:val="28"/>
                <w:highlight w:val="none"/>
                <w:u w:val="none" w:color="auto"/>
                <w:lang w:val="en-US" w:eastAsia="zh-CN" w:bidi="ar-SA"/>
                <w14:textFill>
                  <w14:solidFill>
                    <w14:schemeClr w14:val="tx1"/>
                  </w14:solidFill>
                </w14:textFill>
              </w:rPr>
              <w:t>建设项目所在地区域环境质量现状及主要环境问题（环境空气、地面水、地下水、声环境、生态环境等）</w:t>
            </w:r>
          </w:p>
          <w:p>
            <w:pPr>
              <w:keepNext/>
              <w:keepLines/>
              <w:pageBreakBefore w:val="0"/>
              <w:widowControl w:val="0"/>
              <w:numPr>
                <w:ilvl w:val="0"/>
                <w:numId w:val="0"/>
              </w:numPr>
              <w:kinsoku/>
              <w:wordWrap/>
              <w:overflowPunct/>
              <w:topLinePunct w:val="0"/>
              <w:autoSpaceDE/>
              <w:autoSpaceDN/>
              <w:bidi w:val="0"/>
              <w:adjustRightInd w:val="0"/>
              <w:snapToGrid w:val="0"/>
              <w:spacing w:line="360" w:lineRule="auto"/>
              <w:ind w:firstLine="482" w:firstLineChars="200"/>
              <w:jc w:val="both"/>
              <w:textAlignment w:val="auto"/>
              <w:outlineLvl w:val="2"/>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pPr>
            <w:r>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t>1、大气环境质量现状</w:t>
            </w:r>
            <w:bookmarkEnd w:id="3"/>
          </w:p>
          <w:p>
            <w:pPr>
              <w:keepNext w:val="0"/>
              <w:keepLines w:val="0"/>
              <w:pageBreakBefore w:val="0"/>
              <w:widowControl w:val="0"/>
              <w:kinsoku/>
              <w:wordWrap/>
              <w:overflowPunct/>
              <w:topLinePunct w:val="0"/>
              <w:autoSpaceDE/>
              <w:autoSpaceDN/>
              <w:bidi w:val="0"/>
              <w:adjustRightInd w:val="0"/>
              <w:snapToGrid w:val="0"/>
              <w:spacing w:line="360" w:lineRule="auto"/>
              <w:ind w:right="0" w:firstLine="480" w:firstLineChars="200"/>
              <w:textAlignment w:val="auto"/>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根据</w:t>
            </w:r>
            <w:r>
              <w:rPr>
                <w:rFonts w:hint="eastAsia" w:ascii="Times New Roman" w:hAnsi="Times New Roman" w:eastAsia="宋体" w:cs="Times New Roman"/>
                <w:color w:val="000000"/>
                <w:sz w:val="24"/>
                <w:szCs w:val="24"/>
              </w:rPr>
              <w:t>永州市生态环境</w:t>
            </w:r>
            <w:r>
              <w:rPr>
                <w:rFonts w:ascii="Times New Roman" w:hAnsi="Times New Roman" w:eastAsia="宋体" w:cs="Times New Roman"/>
                <w:color w:val="000000"/>
                <w:sz w:val="24"/>
                <w:szCs w:val="24"/>
              </w:rPr>
              <w:t>局监测科发布的《关于2020年12月份全市环境质量状况的通报》（永生环委办</w:t>
            </w:r>
            <w:r>
              <w:rPr>
                <w:rFonts w:hint="eastAsia" w:ascii="Times New Roman" w:hAnsi="Times New Roman" w:eastAsia="宋体" w:cs="Times New Roman"/>
                <w:color w:val="000000"/>
                <w:sz w:val="24"/>
                <w:szCs w:val="24"/>
                <w:lang w:eastAsia="zh-CN"/>
              </w:rPr>
              <w:t>【</w:t>
            </w:r>
            <w:r>
              <w:rPr>
                <w:rFonts w:ascii="Times New Roman" w:hAnsi="Times New Roman" w:eastAsia="宋体" w:cs="Times New Roman"/>
                <w:color w:val="000000"/>
                <w:sz w:val="24"/>
                <w:szCs w:val="24"/>
              </w:rPr>
              <w:t>2021</w:t>
            </w:r>
            <w:r>
              <w:rPr>
                <w:rFonts w:hint="eastAsia" w:ascii="Times New Roman" w:hAnsi="Times New Roman" w:eastAsia="宋体" w:cs="Times New Roman"/>
                <w:color w:val="000000"/>
                <w:sz w:val="24"/>
                <w:szCs w:val="24"/>
                <w:lang w:eastAsia="zh-CN"/>
              </w:rPr>
              <w:t>】</w:t>
            </w:r>
            <w:r>
              <w:rPr>
                <w:rFonts w:ascii="Times New Roman" w:hAnsi="Times New Roman" w:eastAsia="宋体" w:cs="Times New Roman"/>
                <w:color w:val="000000"/>
                <w:sz w:val="24"/>
                <w:szCs w:val="24"/>
              </w:rPr>
              <w:t>5号）统计的环</w:t>
            </w:r>
            <w:r>
              <w:rPr>
                <w:rFonts w:hint="eastAsia" w:ascii="Times New Roman" w:hAnsi="Times New Roman" w:eastAsia="宋体" w:cs="Times New Roman"/>
                <w:color w:val="000000"/>
                <w:sz w:val="24"/>
                <w:szCs w:val="24"/>
              </w:rPr>
              <w:t>境监测结果</w:t>
            </w:r>
            <w:r>
              <w:rPr>
                <w:rFonts w:ascii="Times New Roman" w:hAnsi="Times New Roman" w:eastAsia="宋体" w:cs="Times New Roman"/>
                <w:color w:val="000000"/>
                <w:sz w:val="24"/>
                <w:szCs w:val="24"/>
              </w:rPr>
              <w:t>，来判定县域大气环境质量达标情况，统计数据显示环境空气中各污染因子浓度值均能够达到</w:t>
            </w:r>
            <w:r>
              <w:rPr>
                <w:rFonts w:ascii="Times New Roman" w:hAnsi="Times New Roman" w:eastAsia="宋体" w:cs="Times New Roman"/>
                <w:snapToGrid w:val="0"/>
                <w:color w:val="000000"/>
                <w:kern w:val="0"/>
                <w:sz w:val="24"/>
                <w:szCs w:val="24"/>
              </w:rPr>
              <w:t>《环境空气质量标准》（GB3095-2012）中二级标准及修改单要求，</w:t>
            </w:r>
            <w:r>
              <w:rPr>
                <w:rFonts w:ascii="Times New Roman" w:hAnsi="Times New Roman" w:eastAsia="宋体" w:cs="Times New Roman"/>
                <w:color w:val="000000"/>
                <w:sz w:val="24"/>
                <w:szCs w:val="24"/>
              </w:rPr>
              <w:t>新田县属于20</w:t>
            </w:r>
            <w:r>
              <w:rPr>
                <w:rFonts w:hint="eastAsia" w:ascii="Times New Roman" w:hAnsi="Times New Roman" w:eastAsia="宋体" w:cs="Times New Roman"/>
                <w:color w:val="000000"/>
                <w:sz w:val="24"/>
                <w:szCs w:val="24"/>
              </w:rPr>
              <w:t>20</w:t>
            </w:r>
            <w:r>
              <w:rPr>
                <w:rFonts w:ascii="Times New Roman" w:hAnsi="Times New Roman" w:eastAsia="宋体" w:cs="Times New Roman"/>
                <w:color w:val="000000"/>
                <w:sz w:val="24"/>
                <w:szCs w:val="24"/>
              </w:rPr>
              <w:t>年度环境质量达标区。具体情况详见表</w:t>
            </w:r>
            <w:r>
              <w:rPr>
                <w:rFonts w:hint="eastAsia" w:ascii="Times New Roman" w:hAnsi="Times New Roman" w:eastAsia="宋体" w:cs="Times New Roman"/>
                <w:color w:val="000000"/>
                <w:sz w:val="24"/>
                <w:szCs w:val="24"/>
                <w:lang w:val="en-US" w:eastAsia="zh-CN"/>
              </w:rPr>
              <w:t>3-1</w:t>
            </w:r>
            <w:r>
              <w:rPr>
                <w:rFonts w:ascii="Times New Roman" w:hAnsi="Times New Roman" w:eastAsia="宋体" w:cs="Times New Roman"/>
                <w:color w:val="000000"/>
                <w:sz w:val="24"/>
                <w:szCs w:val="24"/>
              </w:rPr>
              <w:t>。</w:t>
            </w:r>
          </w:p>
          <w:p>
            <w:pPr>
              <w:pStyle w:val="59"/>
              <w:bidi w:val="0"/>
              <w:rPr>
                <w:b/>
                <w:bCs/>
              </w:rPr>
            </w:pPr>
            <w:r>
              <w:rPr>
                <w:b/>
                <w:bCs/>
              </w:rPr>
              <w:t>表</w:t>
            </w:r>
            <w:r>
              <w:rPr>
                <w:rFonts w:hint="eastAsia"/>
                <w:b/>
                <w:bCs/>
                <w:lang w:val="en-US" w:eastAsia="zh-CN"/>
              </w:rPr>
              <w:t>3-1</w:t>
            </w:r>
            <w:r>
              <w:rPr>
                <w:b/>
                <w:bCs/>
              </w:rPr>
              <w:t xml:space="preserve"> </w:t>
            </w:r>
            <w:r>
              <w:rPr>
                <w:rFonts w:hint="eastAsia"/>
                <w:b/>
                <w:bCs/>
                <w:lang w:val="en-US" w:eastAsia="zh-CN"/>
              </w:rPr>
              <w:t>新田</w:t>
            </w:r>
            <w:r>
              <w:rPr>
                <w:rFonts w:hint="default"/>
                <w:b/>
                <w:bCs/>
                <w:lang w:val="en-US" w:eastAsia="zh-CN"/>
              </w:rPr>
              <w:t>县</w:t>
            </w:r>
            <w:r>
              <w:rPr>
                <w:b/>
                <w:bCs/>
              </w:rPr>
              <w:t>空气质量现状评价表</w:t>
            </w:r>
          </w:p>
          <w:tbl>
            <w:tblPr>
              <w:tblStyle w:val="23"/>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7"/>
              <w:gridCol w:w="2517"/>
              <w:gridCol w:w="1873"/>
              <w:gridCol w:w="1725"/>
              <w:gridCol w:w="1034"/>
              <w:gridCol w:w="8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76" w:type="pct"/>
                  <w:noWrap w:val="0"/>
                  <w:vAlign w:val="center"/>
                </w:tcPr>
                <w:p>
                  <w:pPr>
                    <w:pStyle w:val="59"/>
                    <w:bidi w:val="0"/>
                  </w:pPr>
                  <w:r>
                    <w:t>污染物</w:t>
                  </w:r>
                </w:p>
              </w:tc>
              <w:tc>
                <w:tcPr>
                  <w:tcW w:w="1414" w:type="pct"/>
                  <w:noWrap w:val="0"/>
                  <w:vAlign w:val="center"/>
                </w:tcPr>
                <w:p>
                  <w:pPr>
                    <w:pStyle w:val="59"/>
                    <w:bidi w:val="0"/>
                  </w:pPr>
                  <w:r>
                    <w:t>年评价指标</w:t>
                  </w:r>
                </w:p>
              </w:tc>
              <w:tc>
                <w:tcPr>
                  <w:tcW w:w="1052" w:type="pct"/>
                  <w:noWrap w:val="0"/>
                  <w:vAlign w:val="center"/>
                </w:tcPr>
                <w:p>
                  <w:pPr>
                    <w:pStyle w:val="59"/>
                    <w:bidi w:val="0"/>
                  </w:pPr>
                  <w:r>
                    <w:t>现状浓度/（μg/m3）</w:t>
                  </w:r>
                </w:p>
              </w:tc>
              <w:tc>
                <w:tcPr>
                  <w:tcW w:w="969" w:type="pct"/>
                  <w:noWrap w:val="0"/>
                  <w:vAlign w:val="center"/>
                </w:tcPr>
                <w:p>
                  <w:pPr>
                    <w:pStyle w:val="59"/>
                    <w:bidi w:val="0"/>
                  </w:pPr>
                  <w:r>
                    <w:t>标准值/（μg/m3）</w:t>
                  </w:r>
                </w:p>
              </w:tc>
              <w:tc>
                <w:tcPr>
                  <w:tcW w:w="581" w:type="pct"/>
                  <w:noWrap w:val="0"/>
                  <w:vAlign w:val="center"/>
                </w:tcPr>
                <w:p>
                  <w:pPr>
                    <w:pStyle w:val="59"/>
                    <w:bidi w:val="0"/>
                  </w:pPr>
                  <w:r>
                    <w:t>占标率/%</w:t>
                  </w:r>
                </w:p>
              </w:tc>
              <w:tc>
                <w:tcPr>
                  <w:tcW w:w="505" w:type="pct"/>
                  <w:noWrap w:val="0"/>
                  <w:vAlign w:val="center"/>
                </w:tcPr>
                <w:p>
                  <w:pPr>
                    <w:pStyle w:val="59"/>
                    <w:bidi w:val="0"/>
                  </w:pPr>
                  <w: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76" w:type="pct"/>
                  <w:noWrap w:val="0"/>
                  <w:vAlign w:val="center"/>
                </w:tcPr>
                <w:p>
                  <w:pPr>
                    <w:pStyle w:val="59"/>
                    <w:bidi w:val="0"/>
                  </w:pPr>
                  <w:r>
                    <w:t>SO</w:t>
                  </w:r>
                  <w:r>
                    <w:rPr>
                      <w:vertAlign w:val="subscript"/>
                    </w:rPr>
                    <w:t>2</w:t>
                  </w:r>
                </w:p>
              </w:tc>
              <w:tc>
                <w:tcPr>
                  <w:tcW w:w="1414" w:type="pct"/>
                  <w:noWrap w:val="0"/>
                  <w:vAlign w:val="center"/>
                </w:tcPr>
                <w:p>
                  <w:pPr>
                    <w:pStyle w:val="59"/>
                    <w:bidi w:val="0"/>
                  </w:pPr>
                  <w:r>
                    <w:t>年平均质量浓度</w:t>
                  </w:r>
                </w:p>
              </w:tc>
              <w:tc>
                <w:tcPr>
                  <w:tcW w:w="1052" w:type="pct"/>
                  <w:noWrap w:val="0"/>
                  <w:vAlign w:val="center"/>
                </w:tcPr>
                <w:p>
                  <w:pPr>
                    <w:pStyle w:val="59"/>
                    <w:bidi w:val="0"/>
                    <w:rPr>
                      <w:rFonts w:hint="eastAsia"/>
                    </w:rPr>
                  </w:pPr>
                  <w:r>
                    <w:rPr>
                      <w:rFonts w:hint="eastAsia"/>
                    </w:rPr>
                    <w:t>7</w:t>
                  </w:r>
                </w:p>
              </w:tc>
              <w:tc>
                <w:tcPr>
                  <w:tcW w:w="969" w:type="pct"/>
                  <w:noWrap w:val="0"/>
                  <w:vAlign w:val="center"/>
                </w:tcPr>
                <w:p>
                  <w:pPr>
                    <w:pStyle w:val="59"/>
                    <w:bidi w:val="0"/>
                  </w:pPr>
                  <w:r>
                    <w:t>35</w:t>
                  </w:r>
                </w:p>
              </w:tc>
              <w:tc>
                <w:tcPr>
                  <w:tcW w:w="581" w:type="pct"/>
                  <w:noWrap w:val="0"/>
                  <w:vAlign w:val="center"/>
                </w:tcPr>
                <w:p>
                  <w:pPr>
                    <w:pStyle w:val="59"/>
                    <w:bidi w:val="0"/>
                  </w:pPr>
                  <w:r>
                    <w:rPr>
                      <w:rFonts w:hint="eastAsia"/>
                    </w:rPr>
                    <w:t>20</w:t>
                  </w:r>
                </w:p>
              </w:tc>
              <w:tc>
                <w:tcPr>
                  <w:tcW w:w="505" w:type="pct"/>
                  <w:noWrap w:val="0"/>
                  <w:vAlign w:val="center"/>
                </w:tcPr>
                <w:p>
                  <w:pPr>
                    <w:pStyle w:val="59"/>
                    <w:bidi w:val="0"/>
                  </w:pPr>
                  <w: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76" w:type="pct"/>
                  <w:noWrap w:val="0"/>
                  <w:vAlign w:val="center"/>
                </w:tcPr>
                <w:p>
                  <w:pPr>
                    <w:pStyle w:val="59"/>
                    <w:bidi w:val="0"/>
                  </w:pPr>
                  <w:r>
                    <w:t>NO</w:t>
                  </w:r>
                  <w:r>
                    <w:rPr>
                      <w:vertAlign w:val="subscript"/>
                    </w:rPr>
                    <w:t>2</w:t>
                  </w:r>
                </w:p>
              </w:tc>
              <w:tc>
                <w:tcPr>
                  <w:tcW w:w="1414" w:type="pct"/>
                  <w:noWrap w:val="0"/>
                  <w:vAlign w:val="center"/>
                </w:tcPr>
                <w:p>
                  <w:pPr>
                    <w:pStyle w:val="59"/>
                    <w:bidi w:val="0"/>
                  </w:pPr>
                  <w:r>
                    <w:t>年平均质量浓度</w:t>
                  </w:r>
                </w:p>
              </w:tc>
              <w:tc>
                <w:tcPr>
                  <w:tcW w:w="1052" w:type="pct"/>
                  <w:noWrap w:val="0"/>
                  <w:vAlign w:val="center"/>
                </w:tcPr>
                <w:p>
                  <w:pPr>
                    <w:pStyle w:val="59"/>
                    <w:bidi w:val="0"/>
                  </w:pPr>
                  <w:r>
                    <w:rPr>
                      <w:rFonts w:hint="eastAsia"/>
                    </w:rPr>
                    <w:t>12</w:t>
                  </w:r>
                </w:p>
              </w:tc>
              <w:tc>
                <w:tcPr>
                  <w:tcW w:w="969" w:type="pct"/>
                  <w:noWrap w:val="0"/>
                  <w:vAlign w:val="center"/>
                </w:tcPr>
                <w:p>
                  <w:pPr>
                    <w:pStyle w:val="59"/>
                    <w:bidi w:val="0"/>
                  </w:pPr>
                  <w:r>
                    <w:t>70</w:t>
                  </w:r>
                </w:p>
              </w:tc>
              <w:tc>
                <w:tcPr>
                  <w:tcW w:w="581" w:type="pct"/>
                  <w:noWrap w:val="0"/>
                  <w:vAlign w:val="center"/>
                </w:tcPr>
                <w:p>
                  <w:pPr>
                    <w:pStyle w:val="59"/>
                    <w:bidi w:val="0"/>
                  </w:pPr>
                  <w:r>
                    <w:rPr>
                      <w:rFonts w:hint="eastAsia"/>
                    </w:rPr>
                    <w:t>17.14</w:t>
                  </w:r>
                </w:p>
              </w:tc>
              <w:tc>
                <w:tcPr>
                  <w:tcW w:w="505" w:type="pct"/>
                  <w:noWrap w:val="0"/>
                  <w:vAlign w:val="center"/>
                </w:tcPr>
                <w:p>
                  <w:pPr>
                    <w:pStyle w:val="59"/>
                    <w:bidi w:val="0"/>
                  </w:pPr>
                  <w: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76" w:type="pct"/>
                  <w:noWrap w:val="0"/>
                  <w:vAlign w:val="center"/>
                </w:tcPr>
                <w:p>
                  <w:pPr>
                    <w:pStyle w:val="59"/>
                    <w:bidi w:val="0"/>
                  </w:pPr>
                  <w:r>
                    <w:t>PM</w:t>
                  </w:r>
                  <w:r>
                    <w:rPr>
                      <w:vertAlign w:val="subscript"/>
                    </w:rPr>
                    <w:t>10</w:t>
                  </w:r>
                </w:p>
              </w:tc>
              <w:tc>
                <w:tcPr>
                  <w:tcW w:w="1414" w:type="pct"/>
                  <w:noWrap w:val="0"/>
                  <w:vAlign w:val="center"/>
                </w:tcPr>
                <w:p>
                  <w:pPr>
                    <w:pStyle w:val="59"/>
                    <w:bidi w:val="0"/>
                  </w:pPr>
                  <w:r>
                    <w:t>年平均质量浓度</w:t>
                  </w:r>
                </w:p>
              </w:tc>
              <w:tc>
                <w:tcPr>
                  <w:tcW w:w="1052" w:type="pct"/>
                  <w:noWrap w:val="0"/>
                  <w:vAlign w:val="center"/>
                </w:tcPr>
                <w:p>
                  <w:pPr>
                    <w:pStyle w:val="59"/>
                    <w:bidi w:val="0"/>
                  </w:pPr>
                  <w:r>
                    <w:rPr>
                      <w:rFonts w:hint="eastAsia"/>
                    </w:rPr>
                    <w:t>46</w:t>
                  </w:r>
                </w:p>
              </w:tc>
              <w:tc>
                <w:tcPr>
                  <w:tcW w:w="969" w:type="pct"/>
                  <w:noWrap w:val="0"/>
                  <w:vAlign w:val="center"/>
                </w:tcPr>
                <w:p>
                  <w:pPr>
                    <w:pStyle w:val="59"/>
                    <w:bidi w:val="0"/>
                  </w:pPr>
                  <w:r>
                    <w:t>60</w:t>
                  </w:r>
                </w:p>
              </w:tc>
              <w:tc>
                <w:tcPr>
                  <w:tcW w:w="581" w:type="pct"/>
                  <w:noWrap w:val="0"/>
                  <w:vAlign w:val="center"/>
                </w:tcPr>
                <w:p>
                  <w:pPr>
                    <w:pStyle w:val="59"/>
                    <w:bidi w:val="0"/>
                  </w:pPr>
                  <w:r>
                    <w:rPr>
                      <w:rFonts w:hint="eastAsia"/>
                    </w:rPr>
                    <w:t>76.67</w:t>
                  </w:r>
                </w:p>
              </w:tc>
              <w:tc>
                <w:tcPr>
                  <w:tcW w:w="505" w:type="pct"/>
                  <w:noWrap w:val="0"/>
                  <w:vAlign w:val="center"/>
                </w:tcPr>
                <w:p>
                  <w:pPr>
                    <w:pStyle w:val="59"/>
                    <w:bidi w:val="0"/>
                  </w:pPr>
                  <w: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76" w:type="pct"/>
                  <w:noWrap w:val="0"/>
                  <w:vAlign w:val="center"/>
                </w:tcPr>
                <w:p>
                  <w:pPr>
                    <w:pStyle w:val="59"/>
                    <w:bidi w:val="0"/>
                  </w:pPr>
                  <w:r>
                    <w:t>PM</w:t>
                  </w:r>
                  <w:r>
                    <w:rPr>
                      <w:vertAlign w:val="subscript"/>
                    </w:rPr>
                    <w:t>2.5</w:t>
                  </w:r>
                </w:p>
              </w:tc>
              <w:tc>
                <w:tcPr>
                  <w:tcW w:w="1414" w:type="pct"/>
                  <w:noWrap w:val="0"/>
                  <w:vAlign w:val="center"/>
                </w:tcPr>
                <w:p>
                  <w:pPr>
                    <w:pStyle w:val="59"/>
                    <w:bidi w:val="0"/>
                  </w:pPr>
                  <w:r>
                    <w:t>年平均质量浓度</w:t>
                  </w:r>
                </w:p>
              </w:tc>
              <w:tc>
                <w:tcPr>
                  <w:tcW w:w="1052" w:type="pct"/>
                  <w:noWrap w:val="0"/>
                  <w:vAlign w:val="center"/>
                </w:tcPr>
                <w:p>
                  <w:pPr>
                    <w:pStyle w:val="59"/>
                    <w:bidi w:val="0"/>
                  </w:pPr>
                  <w:r>
                    <w:rPr>
                      <w:rFonts w:hint="eastAsia"/>
                    </w:rPr>
                    <w:t>29</w:t>
                  </w:r>
                </w:p>
              </w:tc>
              <w:tc>
                <w:tcPr>
                  <w:tcW w:w="969" w:type="pct"/>
                  <w:noWrap w:val="0"/>
                  <w:vAlign w:val="center"/>
                </w:tcPr>
                <w:p>
                  <w:pPr>
                    <w:pStyle w:val="59"/>
                    <w:bidi w:val="0"/>
                  </w:pPr>
                  <w:r>
                    <w:t>40</w:t>
                  </w:r>
                </w:p>
              </w:tc>
              <w:tc>
                <w:tcPr>
                  <w:tcW w:w="581" w:type="pct"/>
                  <w:noWrap w:val="0"/>
                  <w:vAlign w:val="center"/>
                </w:tcPr>
                <w:p>
                  <w:pPr>
                    <w:pStyle w:val="59"/>
                    <w:bidi w:val="0"/>
                  </w:pPr>
                  <w:r>
                    <w:rPr>
                      <w:rFonts w:hint="eastAsia"/>
                    </w:rPr>
                    <w:t>72.5</w:t>
                  </w:r>
                </w:p>
              </w:tc>
              <w:tc>
                <w:tcPr>
                  <w:tcW w:w="505" w:type="pct"/>
                  <w:noWrap w:val="0"/>
                  <w:vAlign w:val="center"/>
                </w:tcPr>
                <w:p>
                  <w:pPr>
                    <w:pStyle w:val="59"/>
                    <w:bidi w:val="0"/>
                  </w:pPr>
                  <w: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76" w:type="pct"/>
                  <w:noWrap w:val="0"/>
                  <w:vAlign w:val="center"/>
                </w:tcPr>
                <w:p>
                  <w:pPr>
                    <w:pStyle w:val="59"/>
                    <w:bidi w:val="0"/>
                  </w:pPr>
                  <w:r>
                    <w:t>CO</w:t>
                  </w:r>
                </w:p>
              </w:tc>
              <w:tc>
                <w:tcPr>
                  <w:tcW w:w="1414" w:type="pct"/>
                  <w:noWrap w:val="0"/>
                  <w:vAlign w:val="center"/>
                </w:tcPr>
                <w:p>
                  <w:pPr>
                    <w:pStyle w:val="59"/>
                    <w:bidi w:val="0"/>
                  </w:pPr>
                  <w:r>
                    <w:t>第95百分位数日平均浓度</w:t>
                  </w:r>
                </w:p>
              </w:tc>
              <w:tc>
                <w:tcPr>
                  <w:tcW w:w="1052" w:type="pct"/>
                  <w:noWrap w:val="0"/>
                  <w:vAlign w:val="center"/>
                </w:tcPr>
                <w:p>
                  <w:pPr>
                    <w:pStyle w:val="59"/>
                    <w:bidi w:val="0"/>
                  </w:pPr>
                  <w:r>
                    <w:rPr>
                      <w:rFonts w:hint="eastAsia"/>
                    </w:rPr>
                    <w:t>900</w:t>
                  </w:r>
                </w:p>
              </w:tc>
              <w:tc>
                <w:tcPr>
                  <w:tcW w:w="969" w:type="pct"/>
                  <w:noWrap w:val="0"/>
                  <w:vAlign w:val="center"/>
                </w:tcPr>
                <w:p>
                  <w:pPr>
                    <w:pStyle w:val="59"/>
                    <w:bidi w:val="0"/>
                  </w:pPr>
                  <w:r>
                    <w:t>4000</w:t>
                  </w:r>
                </w:p>
              </w:tc>
              <w:tc>
                <w:tcPr>
                  <w:tcW w:w="581" w:type="pct"/>
                  <w:noWrap w:val="0"/>
                  <w:vAlign w:val="center"/>
                </w:tcPr>
                <w:p>
                  <w:pPr>
                    <w:pStyle w:val="59"/>
                    <w:bidi w:val="0"/>
                  </w:pPr>
                  <w:r>
                    <w:rPr>
                      <w:rFonts w:hint="eastAsia"/>
                    </w:rPr>
                    <w:t>22.5</w:t>
                  </w:r>
                </w:p>
              </w:tc>
              <w:tc>
                <w:tcPr>
                  <w:tcW w:w="505" w:type="pct"/>
                  <w:noWrap w:val="0"/>
                  <w:vAlign w:val="center"/>
                </w:tcPr>
                <w:p>
                  <w:pPr>
                    <w:pStyle w:val="59"/>
                    <w:bidi w:val="0"/>
                  </w:pPr>
                  <w: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76" w:type="pct"/>
                  <w:noWrap w:val="0"/>
                  <w:vAlign w:val="center"/>
                </w:tcPr>
                <w:p>
                  <w:pPr>
                    <w:pStyle w:val="59"/>
                    <w:bidi w:val="0"/>
                  </w:pPr>
                  <w:r>
                    <w:t>O</w:t>
                  </w:r>
                  <w:r>
                    <w:rPr>
                      <w:vertAlign w:val="subscript"/>
                    </w:rPr>
                    <w:t>3</w:t>
                  </w:r>
                </w:p>
              </w:tc>
              <w:tc>
                <w:tcPr>
                  <w:tcW w:w="1414" w:type="pct"/>
                  <w:noWrap w:val="0"/>
                  <w:vAlign w:val="center"/>
                </w:tcPr>
                <w:p>
                  <w:pPr>
                    <w:pStyle w:val="59"/>
                    <w:bidi w:val="0"/>
                  </w:pPr>
                  <w:r>
                    <w:t>第90百分位数日最大8h平均浓度</w:t>
                  </w:r>
                </w:p>
              </w:tc>
              <w:tc>
                <w:tcPr>
                  <w:tcW w:w="1052" w:type="pct"/>
                  <w:noWrap w:val="0"/>
                  <w:vAlign w:val="center"/>
                </w:tcPr>
                <w:p>
                  <w:pPr>
                    <w:pStyle w:val="59"/>
                    <w:bidi w:val="0"/>
                  </w:pPr>
                  <w:r>
                    <w:rPr>
                      <w:rFonts w:hint="eastAsia"/>
                    </w:rPr>
                    <w:t>120</w:t>
                  </w:r>
                </w:p>
              </w:tc>
              <w:tc>
                <w:tcPr>
                  <w:tcW w:w="969" w:type="pct"/>
                  <w:noWrap w:val="0"/>
                  <w:vAlign w:val="center"/>
                </w:tcPr>
                <w:p>
                  <w:pPr>
                    <w:pStyle w:val="59"/>
                    <w:bidi w:val="0"/>
                  </w:pPr>
                  <w:r>
                    <w:t>160</w:t>
                  </w:r>
                </w:p>
              </w:tc>
              <w:tc>
                <w:tcPr>
                  <w:tcW w:w="581" w:type="pct"/>
                  <w:noWrap w:val="0"/>
                  <w:vAlign w:val="center"/>
                </w:tcPr>
                <w:p>
                  <w:pPr>
                    <w:pStyle w:val="59"/>
                    <w:bidi w:val="0"/>
                  </w:pPr>
                  <w:r>
                    <w:rPr>
                      <w:rFonts w:hint="eastAsia"/>
                    </w:rPr>
                    <w:t>75</w:t>
                  </w:r>
                </w:p>
              </w:tc>
              <w:tc>
                <w:tcPr>
                  <w:tcW w:w="505" w:type="pct"/>
                  <w:noWrap w:val="0"/>
                  <w:vAlign w:val="center"/>
                </w:tcPr>
                <w:p>
                  <w:pPr>
                    <w:pStyle w:val="59"/>
                    <w:bidi w:val="0"/>
                  </w:pPr>
                  <w:r>
                    <w:t>达标</w:t>
                  </w:r>
                </w:p>
              </w:tc>
            </w:tr>
          </w:tbl>
          <w:p>
            <w:pPr>
              <w:pageBreakBefore w:val="0"/>
              <w:widowControl w:val="0"/>
              <w:kinsoku/>
              <w:wordWrap/>
              <w:overflowPunct/>
              <w:topLinePunct w:val="0"/>
              <w:autoSpaceDE w:val="0"/>
              <w:autoSpaceDN w:val="0"/>
              <w:bidi w:val="0"/>
              <w:adjustRightInd w:val="0"/>
              <w:snapToGrid w:val="0"/>
              <w:spacing w:line="360" w:lineRule="auto"/>
              <w:ind w:firstLine="480" w:firstLineChars="200"/>
              <w:textAlignment w:val="baseline"/>
              <w:rPr>
                <w:rFonts w:hint="default" w:ascii="Times New Roman" w:hAnsi="Times New Roman" w:eastAsia="宋体" w:cs="Times New Roman"/>
                <w:color w:val="000000" w:themeColor="text1"/>
                <w:sz w:val="24"/>
                <w:szCs w:val="24"/>
                <w:lang w:val="en-US"/>
                <w14:textFill>
                  <w14:solidFill>
                    <w14:schemeClr w14:val="tx1"/>
                  </w14:solidFill>
                </w14:textFill>
              </w:rPr>
            </w:pPr>
            <w:r>
              <w:rPr>
                <w:rFonts w:hint="default" w:ascii="Times New Roman" w:hAnsi="Times New Roman" w:eastAsia="宋体" w:cs="Times New Roman"/>
                <w:color w:val="auto"/>
                <w:sz w:val="24"/>
                <w:szCs w:val="24"/>
                <w:lang w:val="en-US"/>
              </w:rPr>
              <w:t>上表可知，20</w:t>
            </w:r>
            <w:r>
              <w:rPr>
                <w:rFonts w:hint="eastAsia" w:ascii="Times New Roman" w:hAnsi="Times New Roman" w:cs="Times New Roman"/>
                <w:color w:val="auto"/>
                <w:sz w:val="24"/>
                <w:szCs w:val="24"/>
                <w:lang w:val="en-US" w:eastAsia="zh-CN"/>
              </w:rPr>
              <w:t>20</w:t>
            </w:r>
            <w:r>
              <w:rPr>
                <w:rFonts w:hint="default" w:ascii="Times New Roman" w:hAnsi="Times New Roman" w:eastAsia="宋体" w:cs="Times New Roman"/>
                <w:color w:val="auto"/>
                <w:sz w:val="24"/>
                <w:szCs w:val="24"/>
                <w:lang w:val="en-US"/>
              </w:rPr>
              <w:t>年</w:t>
            </w:r>
            <w:r>
              <w:rPr>
                <w:rFonts w:hint="eastAsia" w:ascii="Times New Roman" w:hAnsi="Times New Roman" w:cs="Times New Roman"/>
                <w:color w:val="auto"/>
                <w:sz w:val="24"/>
                <w:szCs w:val="24"/>
                <w:lang w:val="en-US" w:eastAsia="zh-CN"/>
              </w:rPr>
              <w:t>新田</w:t>
            </w:r>
            <w:r>
              <w:rPr>
                <w:rFonts w:hint="default" w:ascii="Times New Roman" w:hAnsi="Times New Roman" w:eastAsia="宋体" w:cs="Times New Roman"/>
                <w:color w:val="auto"/>
                <w:sz w:val="24"/>
                <w:szCs w:val="24"/>
                <w:lang w:val="en-US" w:eastAsia="zh-CN"/>
              </w:rPr>
              <w:t>县</w:t>
            </w:r>
            <w:r>
              <w:rPr>
                <w:rFonts w:hint="default" w:ascii="Times New Roman" w:hAnsi="Times New Roman" w:eastAsia="宋体" w:cs="Times New Roman"/>
                <w:color w:val="auto"/>
                <w:sz w:val="24"/>
                <w:szCs w:val="24"/>
                <w:lang w:val="en-US"/>
              </w:rPr>
              <w:t>SO</w:t>
            </w:r>
            <w:r>
              <w:rPr>
                <w:rFonts w:hint="default" w:ascii="Times New Roman" w:hAnsi="Times New Roman" w:eastAsia="宋体" w:cs="Times New Roman"/>
                <w:color w:val="auto"/>
                <w:sz w:val="24"/>
                <w:szCs w:val="24"/>
                <w:vertAlign w:val="subscript"/>
                <w:lang w:val="en-US"/>
              </w:rPr>
              <w:t>2</w:t>
            </w:r>
            <w:r>
              <w:rPr>
                <w:rFonts w:hint="default" w:ascii="Times New Roman" w:hAnsi="Times New Roman" w:eastAsia="宋体" w:cs="Times New Roman"/>
                <w:color w:val="auto"/>
                <w:sz w:val="24"/>
                <w:szCs w:val="24"/>
                <w:lang w:val="en-US"/>
              </w:rPr>
              <w:t>、NO</w:t>
            </w:r>
            <w:r>
              <w:rPr>
                <w:rFonts w:hint="default" w:ascii="Times New Roman" w:hAnsi="Times New Roman" w:eastAsia="宋体" w:cs="Times New Roman"/>
                <w:color w:val="auto"/>
                <w:sz w:val="24"/>
                <w:szCs w:val="24"/>
                <w:vertAlign w:val="subscript"/>
                <w:lang w:val="en-US"/>
              </w:rPr>
              <w:t>2</w:t>
            </w:r>
            <w:r>
              <w:rPr>
                <w:rFonts w:hint="default" w:ascii="Times New Roman" w:hAnsi="Times New Roman" w:eastAsia="宋体" w:cs="Times New Roman"/>
                <w:color w:val="auto"/>
                <w:sz w:val="24"/>
                <w:szCs w:val="24"/>
                <w:lang w:val="en-US"/>
              </w:rPr>
              <w:t>、CO、O</w:t>
            </w:r>
            <w:r>
              <w:rPr>
                <w:rFonts w:hint="default" w:ascii="Times New Roman" w:hAnsi="Times New Roman" w:eastAsia="宋体" w:cs="Times New Roman"/>
                <w:color w:val="auto"/>
                <w:sz w:val="24"/>
                <w:szCs w:val="24"/>
                <w:vertAlign w:val="subscript"/>
                <w:lang w:val="en-US"/>
              </w:rPr>
              <w:t>3</w:t>
            </w:r>
            <w:r>
              <w:rPr>
                <w:rFonts w:hint="default" w:ascii="Times New Roman" w:hAnsi="Times New Roman" w:eastAsia="宋体" w:cs="Times New Roman"/>
                <w:color w:val="auto"/>
                <w:sz w:val="24"/>
                <w:szCs w:val="24"/>
                <w:lang w:val="en-US"/>
              </w:rPr>
              <w:t>、PM</w:t>
            </w:r>
            <w:r>
              <w:rPr>
                <w:rFonts w:hint="default" w:ascii="Times New Roman" w:hAnsi="Times New Roman" w:eastAsia="宋体" w:cs="Times New Roman"/>
                <w:color w:val="auto"/>
                <w:sz w:val="24"/>
                <w:szCs w:val="24"/>
                <w:vertAlign w:val="subscript"/>
                <w:lang w:val="en-US"/>
              </w:rPr>
              <w:t>2.5</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rPr>
              <w:t>PM</w:t>
            </w:r>
            <w:r>
              <w:rPr>
                <w:rFonts w:hint="default" w:ascii="Times New Roman" w:hAnsi="Times New Roman" w:eastAsia="宋体" w:cs="Times New Roman"/>
                <w:color w:val="auto"/>
                <w:sz w:val="24"/>
                <w:szCs w:val="24"/>
                <w:vertAlign w:val="subscript"/>
                <w:lang w:val="en-US"/>
              </w:rPr>
              <w:t>10</w:t>
            </w:r>
            <w:r>
              <w:rPr>
                <w:rFonts w:hint="default" w:ascii="Times New Roman" w:hAnsi="Times New Roman" w:eastAsia="宋体" w:cs="Times New Roman"/>
                <w:color w:val="auto"/>
                <w:sz w:val="24"/>
                <w:szCs w:val="24"/>
                <w:lang w:val="en-US"/>
              </w:rPr>
              <w:t>质量浓度满足《环境空</w:t>
            </w:r>
            <w:r>
              <w:rPr>
                <w:rFonts w:hint="default" w:ascii="Times New Roman" w:hAnsi="Times New Roman" w:eastAsia="宋体" w:cs="Times New Roman"/>
                <w:color w:val="000000" w:themeColor="text1"/>
                <w:sz w:val="24"/>
                <w:szCs w:val="24"/>
                <w:lang w:val="en-US"/>
                <w14:textFill>
                  <w14:solidFill>
                    <w14:schemeClr w14:val="tx1"/>
                  </w14:solidFill>
                </w14:textFill>
              </w:rPr>
              <w:t>气质量标准》（GB3095-2012）及其</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2018年</w:t>
            </w:r>
            <w:r>
              <w:rPr>
                <w:rFonts w:hint="default" w:ascii="Times New Roman" w:hAnsi="Times New Roman" w:eastAsia="宋体" w:cs="Times New Roman"/>
                <w:color w:val="000000" w:themeColor="text1"/>
                <w:sz w:val="24"/>
                <w:szCs w:val="24"/>
                <w:lang w:val="en-US"/>
                <w14:textFill>
                  <w14:solidFill>
                    <w14:schemeClr w14:val="tx1"/>
                  </w14:solidFill>
                </w14:textFill>
              </w:rPr>
              <w:t>修改单二级标准要求，故环境空气为达标区。</w:t>
            </w:r>
          </w:p>
          <w:p>
            <w:pPr>
              <w:keepNext/>
              <w:keepLines/>
              <w:pageBreakBefore w:val="0"/>
              <w:widowControl w:val="0"/>
              <w:numPr>
                <w:ilvl w:val="0"/>
                <w:numId w:val="0"/>
              </w:numPr>
              <w:kinsoku/>
              <w:wordWrap/>
              <w:overflowPunct/>
              <w:topLinePunct w:val="0"/>
              <w:autoSpaceDE/>
              <w:autoSpaceDN/>
              <w:bidi w:val="0"/>
              <w:adjustRightInd w:val="0"/>
              <w:snapToGrid w:val="0"/>
              <w:spacing w:line="360" w:lineRule="auto"/>
              <w:ind w:firstLine="482" w:firstLineChars="200"/>
              <w:jc w:val="both"/>
              <w:outlineLvl w:val="2"/>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pPr>
            <w:bookmarkStart w:id="4" w:name="_Toc411767823"/>
            <w:bookmarkStart w:id="5" w:name="_Toc411767825"/>
            <w:r>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t>2、地表水环境质量现状</w:t>
            </w:r>
            <w:bookmarkEnd w:id="4"/>
          </w:p>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360" w:lineRule="auto"/>
              <w:ind w:left="0" w:right="0" w:firstLine="480" w:firstLineChars="200"/>
              <w:rPr>
                <w:rFonts w:hint="default" w:ascii="Times New Roman" w:hAnsi="Times New Roman" w:cs="Times New Roman" w:eastAsiaTheme="minorEastAsia"/>
                <w:b/>
                <w:color w:val="000000" w:themeColor="text1"/>
                <w:szCs w:val="21"/>
                <w:highlight w:val="none"/>
                <w:u w:val="none" w:color="auto"/>
                <w:lang w:val="en-US"/>
                <w14:textFill>
                  <w14:solidFill>
                    <w14:schemeClr w14:val="tx1"/>
                  </w14:solidFill>
                </w14:textFill>
              </w:rPr>
            </w:pPr>
            <w:bookmarkStart w:id="6" w:name="_Toc411767824"/>
            <w:bookmarkStart w:id="7" w:name="OLE_LINK6"/>
            <w:r>
              <w:rPr>
                <w:rFonts w:hint="default" w:ascii="Times New Roman" w:hAnsi="Times New Roman" w:cs="Times New Roman" w:eastAsiaTheme="minorEastAsia"/>
                <w:color w:val="000000" w:themeColor="text1"/>
                <w:kern w:val="0"/>
                <w:sz w:val="24"/>
                <w:szCs w:val="24"/>
                <w:highlight w:val="none"/>
                <w:u w:val="none" w:color="auto"/>
                <w14:textFill>
                  <w14:solidFill>
                    <w14:schemeClr w14:val="tx1"/>
                  </w14:solidFill>
                </w14:textFill>
              </w:rPr>
              <w:t>为了解项目附近地表水水质现状，</w:t>
            </w:r>
            <w:r>
              <w:rPr>
                <w:rFonts w:hint="default"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本次评价地表水环境质量监测数据引用于永州</w:t>
            </w:r>
            <w:r>
              <w:rPr>
                <w:rFonts w:hint="default" w:ascii="Times New Roman" w:hAnsi="Times New Roman" w:cs="Times New Roman" w:eastAsiaTheme="minorEastAsia"/>
                <w:color w:val="000000" w:themeColor="text1"/>
                <w:kern w:val="0"/>
                <w:sz w:val="24"/>
                <w:szCs w:val="24"/>
                <w:highlight w:val="none"/>
                <w:u w:val="none" w:color="auto"/>
                <w:lang w:eastAsia="zh-CN"/>
                <w14:textFill>
                  <w14:solidFill>
                    <w14:schemeClr w14:val="tx1"/>
                  </w14:solidFill>
                </w14:textFill>
              </w:rPr>
              <w:t>市生态环境局发布的关于永州市环境质量简报（2021年</w:t>
            </w:r>
            <w:r>
              <w:rPr>
                <w:rFonts w:hint="eastAsia" w:cs="Times New Roman" w:eastAsiaTheme="minorEastAsia"/>
                <w:color w:val="000000" w:themeColor="text1"/>
                <w:kern w:val="0"/>
                <w:sz w:val="24"/>
                <w:szCs w:val="24"/>
                <w:highlight w:val="none"/>
                <w:u w:val="none" w:color="auto"/>
                <w:lang w:val="en-US" w:eastAsia="zh-CN"/>
                <w14:textFill>
                  <w14:solidFill>
                    <w14:schemeClr w14:val="tx1"/>
                  </w14:solidFill>
                </w14:textFill>
              </w:rPr>
              <w:t>9</w:t>
            </w:r>
            <w:r>
              <w:rPr>
                <w:rFonts w:hint="default" w:ascii="Times New Roman" w:hAnsi="Times New Roman" w:cs="Times New Roman" w:eastAsiaTheme="minorEastAsia"/>
                <w:color w:val="000000" w:themeColor="text1"/>
                <w:kern w:val="0"/>
                <w:sz w:val="24"/>
                <w:szCs w:val="24"/>
                <w:highlight w:val="none"/>
                <w:u w:val="none" w:color="auto"/>
                <w:lang w:eastAsia="zh-CN"/>
                <w14:textFill>
                  <w14:solidFill>
                    <w14:schemeClr w14:val="tx1"/>
                  </w14:solidFill>
                </w14:textFill>
              </w:rPr>
              <w:t>月）</w:t>
            </w:r>
            <w:r>
              <w:rPr>
                <w:rFonts w:hint="eastAsia" w:cs="Times New Roman" w:eastAsiaTheme="minorEastAsia"/>
                <w:color w:val="000000" w:themeColor="text1"/>
                <w:kern w:val="0"/>
                <w:sz w:val="24"/>
                <w:szCs w:val="24"/>
                <w:highlight w:val="none"/>
                <w:u w:val="none" w:color="auto"/>
                <w:lang w:eastAsia="zh-CN"/>
                <w14:textFill>
                  <w14:solidFill>
                    <w14:schemeClr w14:val="tx1"/>
                  </w14:solidFill>
                </w14:textFill>
              </w:rPr>
              <w:t>，</w:t>
            </w:r>
            <w:r>
              <w:rPr>
                <w:rFonts w:hint="eastAsia" w:cs="Times New Roman" w:eastAsiaTheme="minorEastAsia"/>
                <w:color w:val="000000" w:themeColor="text1"/>
                <w:kern w:val="0"/>
                <w:sz w:val="24"/>
                <w:szCs w:val="24"/>
                <w:highlight w:val="none"/>
                <w:u w:val="none" w:color="auto"/>
                <w:lang w:val="en-US" w:eastAsia="zh-CN"/>
                <w14:textFill>
                  <w14:solidFill>
                    <w14:schemeClr w14:val="tx1"/>
                  </w14:solidFill>
                </w14:textFill>
              </w:rPr>
              <w:t>新田河大历县村监测断面与本项目的距离约3.15km，且该监测点位于本项目下游，能有效代表本项目周边水环境质量现状</w:t>
            </w:r>
            <w:r>
              <w:rPr>
                <w:rFonts w:hint="default" w:ascii="Times New Roman" w:hAnsi="Times New Roman" w:cs="Times New Roman" w:eastAsiaTheme="minorEastAsia"/>
                <w:color w:val="000000" w:themeColor="text1"/>
                <w:kern w:val="0"/>
                <w:sz w:val="24"/>
                <w:szCs w:val="24"/>
                <w:highlight w:val="none"/>
                <w:u w:val="none" w:color="auto"/>
                <w:lang w:eastAsia="zh-CN"/>
                <w14:textFill>
                  <w14:solidFill>
                    <w14:schemeClr w14:val="tx1"/>
                  </w14:solidFill>
                </w14:textFill>
              </w:rPr>
              <w:t>。</w:t>
            </w:r>
            <w:r>
              <w:rPr>
                <w:rFonts w:hint="default"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具体</w:t>
            </w:r>
            <w:r>
              <w:rPr>
                <w:rFonts w:hint="default" w:ascii="Times New Roman" w:hAnsi="Times New Roman" w:cs="Times New Roman" w:eastAsiaTheme="minorEastAsia"/>
                <w:color w:val="000000" w:themeColor="text1"/>
                <w:kern w:val="0"/>
                <w:sz w:val="24"/>
                <w:szCs w:val="24"/>
                <w:highlight w:val="none"/>
                <w:u w:val="none" w:color="auto"/>
                <w:lang w:eastAsia="zh-CN"/>
                <w14:textFill>
                  <w14:solidFill>
                    <w14:schemeClr w14:val="tx1"/>
                  </w14:solidFill>
                </w14:textFill>
              </w:rPr>
              <w:t>水质情况</w:t>
            </w:r>
            <w:r>
              <w:rPr>
                <w:rFonts w:hint="default"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详见下图</w:t>
            </w:r>
            <w:r>
              <w:rPr>
                <w:rFonts w:hint="default" w:ascii="Times New Roman" w:hAnsi="Times New Roman" w:cs="Times New Roman" w:eastAsiaTheme="minorEastAsia"/>
                <w:color w:val="000000" w:themeColor="text1"/>
                <w:kern w:val="0"/>
                <w:sz w:val="24"/>
                <w:szCs w:val="24"/>
                <w:highlight w:val="none"/>
                <w:u w:val="none" w:color="auto"/>
                <w:lang w:eastAsia="zh-CN"/>
                <w14:textFill>
                  <w14:solidFill>
                    <w14:schemeClr w14:val="tx1"/>
                  </w14:solidFill>
                </w14:textFill>
              </w:rPr>
              <w:t>。</w:t>
            </w:r>
            <w:r>
              <w:rPr>
                <w:rFonts w:hint="eastAsia" w:cs="Times New Roman" w:eastAsiaTheme="minorEastAsia"/>
                <w:color w:val="000000" w:themeColor="text1"/>
                <w:kern w:val="0"/>
                <w:sz w:val="24"/>
                <w:szCs w:val="24"/>
                <w:highlight w:val="none"/>
                <w:u w:val="none" w:color="auto"/>
                <w:lang w:val="en-US" w:eastAsia="zh-CN"/>
                <w14:textFill>
                  <w14:solidFill>
                    <w14:schemeClr w14:val="tx1"/>
                  </w14:solidFill>
                </w14:textFill>
              </w:rPr>
              <w:t xml:space="preserve"> </w:t>
            </w:r>
          </w:p>
          <w:p>
            <w:pPr>
              <w:kinsoku/>
              <w:wordWrap/>
              <w:overflowPunct/>
              <w:topLinePunct w:val="0"/>
              <w:autoSpaceDE/>
              <w:autoSpaceDN/>
              <w:bidi w:val="0"/>
              <w:adjustRightInd/>
              <w:snapToGrid w:val="0"/>
              <w:spacing w:before="0" w:after="0" w:line="240" w:lineRule="auto"/>
              <w:ind w:left="0" w:right="0" w:firstLine="0" w:firstLineChars="0"/>
              <w:jc w:val="center"/>
              <w:rPr>
                <w:rFonts w:hint="default" w:ascii="Times New Roman" w:hAnsi="Times New Roman" w:eastAsia="宋体" w:cs="Times New Roman"/>
                <w:b/>
                <w:bCs/>
                <w:color w:val="auto"/>
                <w:kern w:val="2"/>
                <w:sz w:val="24"/>
                <w:szCs w:val="24"/>
                <w:highlight w:val="none"/>
                <w:u w:val="none" w:color="auto"/>
                <w:lang w:val="en-US" w:bidi="ar-SA"/>
              </w:rPr>
            </w:pPr>
            <w:r>
              <w:rPr>
                <w:sz w:val="24"/>
                <w:highlight w:val="none"/>
                <w:u w:val="none" w:color="auto"/>
              </w:rPr>
              <mc:AlternateContent>
                <mc:Choice Requires="wps">
                  <w:drawing>
                    <wp:anchor distT="0" distB="0" distL="114300" distR="114300" simplePos="0" relativeHeight="251660288" behindDoc="0" locked="0" layoutInCell="1" allowOverlap="1">
                      <wp:simplePos x="0" y="0"/>
                      <wp:positionH relativeFrom="column">
                        <wp:posOffset>86360</wp:posOffset>
                      </wp:positionH>
                      <wp:positionV relativeFrom="paragraph">
                        <wp:posOffset>1183005</wp:posOffset>
                      </wp:positionV>
                      <wp:extent cx="5486400" cy="123825"/>
                      <wp:effectExtent l="13970" t="13970" r="24130" b="14605"/>
                      <wp:wrapNone/>
                      <wp:docPr id="11" name="矩形 11"/>
                      <wp:cNvGraphicFramePr/>
                      <a:graphic xmlns:a="http://schemas.openxmlformats.org/drawingml/2006/main">
                        <a:graphicData uri="http://schemas.microsoft.com/office/word/2010/wordprocessingShape">
                          <wps:wsp>
                            <wps:cNvSpPr/>
                            <wps:spPr>
                              <a:xfrm>
                                <a:off x="1280160" y="8328025"/>
                                <a:ext cx="5486400" cy="12382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6.8pt;margin-top:93.15pt;height:9.75pt;width:432pt;z-index:251660288;v-text-anchor:middle;mso-width-relative:page;mso-height-relative:page;" filled="f" stroked="t" coordsize="21600,21600" o:gfxdata="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eVN1e9gAAAAKAQAADwAAAAAAAAABACAAAAAiAAAAZHJz&#10;L2Rvd25yZXYueG1sUEsBAhQAFAAAAAgAh07iQKMNZxJ2AgAA2QQAAA4AAAAAAAAAAQAgAAAAJwEA&#10;AGRycy9lMm9Eb2MueG1sUEsFBgAAAAAGAAYAWQEAAA8GAAAAAA==&#10;">
                      <v:fill on="f" focussize="0,0"/>
                      <v:stroke weight="2.25pt" color="#FF0000 [3204]" miterlimit="8" joinstyle="miter"/>
                      <v:imagedata o:title=""/>
                      <o:lock v:ext="edit" aspectratio="f"/>
                    </v:rect>
                  </w:pict>
                </mc:Fallback>
              </mc:AlternateContent>
            </w:r>
            <w:r>
              <w:rPr>
                <w:sz w:val="24"/>
                <w:highlight w:val="none"/>
                <w:u w:val="none" w:color="auto"/>
              </w:rPr>
              <w:drawing>
                <wp:inline distT="0" distB="0" distL="114300" distR="114300">
                  <wp:extent cx="5531485" cy="1674495"/>
                  <wp:effectExtent l="0" t="0" r="12065" b="1905"/>
                  <wp:docPr id="1" name="图片 1" descr="4a9edc3bb1e90c6b6ac905674670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4a9edc3bb1e90c6b6ac905674670650"/>
                          <pic:cNvPicPr>
                            <a:picLocks noChangeAspect="1"/>
                          </pic:cNvPicPr>
                        </pic:nvPicPr>
                        <pic:blipFill>
                          <a:blip r:embed="rId11"/>
                          <a:srcRect l="4346" t="12317" r="4157" b="3519"/>
                          <a:stretch>
                            <a:fillRect/>
                          </a:stretch>
                        </pic:blipFill>
                        <pic:spPr>
                          <a:xfrm>
                            <a:off x="0" y="0"/>
                            <a:ext cx="5531485" cy="167449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before="0" w:after="0" w:line="360" w:lineRule="auto"/>
              <w:ind w:left="0" w:right="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14:textFill>
                  <w14:solidFill>
                    <w14:schemeClr w14:val="tx1"/>
                  </w14:solidFill>
                </w14:textFill>
              </w:rPr>
            </w:pPr>
            <w:r>
              <w:rPr>
                <w:rFonts w:hint="default"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由上</w:t>
            </w:r>
            <w:r>
              <w:rPr>
                <w:rFonts w:hint="eastAsia"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图</w:t>
            </w:r>
            <w:r>
              <w:rPr>
                <w:rFonts w:hint="default"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可知，</w:t>
            </w:r>
            <w:r>
              <w:rPr>
                <w:rFonts w:hint="eastAsia"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新田河大历县村断面</w:t>
            </w:r>
            <w:r>
              <w:rPr>
                <w:rFonts w:hint="default"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水质</w:t>
            </w:r>
            <w:r>
              <w:rPr>
                <w:rFonts w:hint="eastAsia"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均可达到</w:t>
            </w:r>
            <w:r>
              <w:rPr>
                <w:rFonts w:hint="default"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《地表水环境质量标准》(GB3838-2002)II类标准，由此，可判断</w:t>
            </w:r>
            <w:r>
              <w:rPr>
                <w:rFonts w:hint="eastAsia"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新田河</w:t>
            </w:r>
            <w:r>
              <w:rPr>
                <w:rFonts w:hint="default"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水质</w:t>
            </w:r>
            <w:r>
              <w:rPr>
                <w:rFonts w:hint="default" w:ascii="Times New Roman" w:hAnsi="Times New Roman" w:cs="Times New Roman" w:eastAsiaTheme="minorEastAsia"/>
                <w:color w:val="000000" w:themeColor="text1"/>
                <w:kern w:val="0"/>
                <w:sz w:val="24"/>
                <w:szCs w:val="24"/>
                <w:highlight w:val="none"/>
                <w:u w:val="none" w:color="auto"/>
                <w:lang w:eastAsia="zh-CN"/>
                <w14:textFill>
                  <w14:solidFill>
                    <w14:schemeClr w14:val="tx1"/>
                  </w14:solidFill>
                </w14:textFill>
              </w:rPr>
              <w:t>环境质量</w:t>
            </w:r>
            <w:r>
              <w:rPr>
                <w:rFonts w:hint="default" w:ascii="Times New Roman" w:hAnsi="Times New Roman" w:cs="Times New Roman" w:eastAsiaTheme="minorEastAsia"/>
                <w:color w:val="000000" w:themeColor="text1"/>
                <w:kern w:val="0"/>
                <w:sz w:val="24"/>
                <w:szCs w:val="24"/>
                <w:highlight w:val="none"/>
                <w:u w:val="none" w:color="auto"/>
                <w:lang w:val="en-US" w:eastAsia="zh-CN"/>
                <w14:textFill>
                  <w14:solidFill>
                    <w14:schemeClr w14:val="tx1"/>
                  </w14:solidFill>
                </w14:textFill>
              </w:rPr>
              <w:t>良好</w:t>
            </w:r>
            <w:r>
              <w:rPr>
                <w:rFonts w:hint="default" w:ascii="Times New Roman" w:hAnsi="Times New Roman" w:eastAsia="宋体" w:cs="Times New Roman"/>
                <w:color w:val="000000"/>
                <w:sz w:val="24"/>
                <w:szCs w:val="24"/>
                <w:highlight w:val="none"/>
                <w:u w:val="none" w:color="auto"/>
              </w:rPr>
              <w:t>。</w:t>
            </w:r>
          </w:p>
          <w:p>
            <w:pPr>
              <w:keepNext/>
              <w:keepLines/>
              <w:pageBreakBefore w:val="0"/>
              <w:widowControl w:val="0"/>
              <w:numPr>
                <w:ilvl w:val="0"/>
                <w:numId w:val="0"/>
              </w:numPr>
              <w:kinsoku/>
              <w:wordWrap/>
              <w:overflowPunct/>
              <w:topLinePunct w:val="0"/>
              <w:autoSpaceDE/>
              <w:autoSpaceDN/>
              <w:bidi w:val="0"/>
              <w:adjustRightInd w:val="0"/>
              <w:snapToGrid w:val="0"/>
              <w:spacing w:line="360" w:lineRule="auto"/>
              <w:ind w:firstLine="482" w:firstLineChars="200"/>
              <w:jc w:val="both"/>
              <w:textAlignment w:val="auto"/>
              <w:outlineLvl w:val="2"/>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pPr>
            <w:r>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t>3、声环境质量现状</w:t>
            </w:r>
            <w:bookmarkEnd w:id="6"/>
          </w:p>
          <w:p>
            <w:pPr>
              <w:pageBreakBefore w:val="0"/>
              <w:widowControl w:val="0"/>
              <w:kinsoku/>
              <w:wordWrap/>
              <w:overflowPunct/>
              <w:topLinePunct w:val="0"/>
              <w:autoSpaceDE/>
              <w:autoSpaceDN/>
              <w:bidi w:val="0"/>
              <w:adjustRightInd w:val="0"/>
              <w:snapToGrid w:val="0"/>
              <w:spacing w:line="360" w:lineRule="auto"/>
              <w:ind w:firstLine="480" w:firstLineChars="200"/>
              <w:textAlignment w:val="baseline"/>
              <w:rPr>
                <w:rFonts w:hint="default" w:ascii="Times New Roman" w:hAnsi="Times New Roman" w:cs="Times New Roman" w:eastAsiaTheme="minorEastAsia"/>
                <w:b/>
                <w:bCs/>
                <w:color w:val="000000" w:themeColor="text1"/>
                <w:kern w:val="0"/>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根据《建设项目环境影响报告表（污染影响类）编制指南》中规定，50m范围内无居民点的项目无需进行声环境现状监测，本项目周边最近的居民点为</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北</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侧</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53</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m的</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异地扶贫安置小区</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，因此，无需进行声环境现状监测。</w:t>
            </w:r>
          </w:p>
          <w:p>
            <w:pPr>
              <w:numPr>
                <w:ilvl w:val="0"/>
                <w:numId w:val="4"/>
              </w:numPr>
              <w:ind w:firstLine="482"/>
              <w:rPr>
                <w:rFonts w:ascii="Times New Roman" w:hAnsi="Times New Roman" w:eastAsia="宋体" w:cs="Times New Roman"/>
                <w:b/>
                <w:bCs/>
                <w:szCs w:val="24"/>
                <w:highlight w:val="none"/>
              </w:rPr>
            </w:pPr>
            <w:r>
              <w:rPr>
                <w:rFonts w:ascii="Times New Roman" w:hAnsi="Times New Roman" w:eastAsia="宋体" w:cs="Times New Roman"/>
                <w:b/>
                <w:bCs/>
                <w:szCs w:val="24"/>
                <w:highlight w:val="none"/>
              </w:rPr>
              <w:t>地下水</w:t>
            </w:r>
            <w:r>
              <w:rPr>
                <w:rFonts w:hint="eastAsia" w:ascii="Times New Roman" w:hAnsi="Times New Roman" w:eastAsia="宋体" w:cs="Times New Roman"/>
                <w:b/>
                <w:bCs/>
                <w:szCs w:val="24"/>
                <w:highlight w:val="none"/>
              </w:rPr>
              <w:t>、土壤</w:t>
            </w:r>
            <w:r>
              <w:rPr>
                <w:rFonts w:ascii="Times New Roman" w:hAnsi="Times New Roman" w:eastAsia="宋体" w:cs="Times New Roman"/>
                <w:b/>
                <w:bCs/>
                <w:szCs w:val="24"/>
                <w:highlight w:val="none"/>
              </w:rPr>
              <w:t>质量现状</w:t>
            </w:r>
          </w:p>
          <w:p>
            <w:pPr>
              <w:pageBreakBefore w:val="0"/>
              <w:widowControl w:val="0"/>
              <w:kinsoku/>
              <w:wordWrap/>
              <w:overflowPunct/>
              <w:topLinePunct w:val="0"/>
              <w:autoSpaceDE/>
              <w:autoSpaceDN/>
              <w:bidi w:val="0"/>
              <w:adjustRightInd w:val="0"/>
              <w:snapToGrid w:val="0"/>
              <w:spacing w:line="360" w:lineRule="auto"/>
              <w:ind w:firstLine="480" w:firstLineChars="200"/>
              <w:rPr>
                <w:rFonts w:hint="default" w:ascii="Times New Roman" w:hAnsi="Times New Roman" w:cs="Times New Roman" w:eastAsiaTheme="minorEastAsia"/>
                <w:color w:val="000000" w:themeColor="text1"/>
                <w:sz w:val="24"/>
                <w:szCs w:val="22"/>
                <w:highlight w:val="none"/>
                <w:u w:val="none" w:color="auto"/>
                <w14:textFill>
                  <w14:solidFill>
                    <w14:schemeClr w14:val="tx1"/>
                  </w14:solidFill>
                </w14:textFill>
              </w:rPr>
            </w:pPr>
            <w:r>
              <w:rPr>
                <w:rFonts w:hint="eastAsia" w:ascii="Times New Roman" w:hAnsi="Times New Roman" w:eastAsia="宋体" w:cs="Times New Roman"/>
                <w:szCs w:val="24"/>
                <w:highlight w:val="none"/>
              </w:rPr>
              <w:t>因项目厂区</w:t>
            </w:r>
            <w:r>
              <w:rPr>
                <w:rFonts w:hint="eastAsia" w:cs="Times New Roman"/>
                <w:szCs w:val="24"/>
                <w:highlight w:val="none"/>
                <w:lang w:val="en-US" w:eastAsia="zh-CN"/>
              </w:rPr>
              <w:t>地面</w:t>
            </w:r>
            <w:r>
              <w:rPr>
                <w:rFonts w:hint="eastAsia" w:ascii="Times New Roman" w:hAnsi="Times New Roman" w:eastAsia="宋体" w:cs="Times New Roman"/>
                <w:szCs w:val="24"/>
                <w:highlight w:val="none"/>
              </w:rPr>
              <w:t>已</w:t>
            </w:r>
            <w:r>
              <w:rPr>
                <w:rFonts w:hint="eastAsia" w:cs="Times New Roman"/>
                <w:szCs w:val="24"/>
                <w:highlight w:val="none"/>
                <w:lang w:val="en-US" w:eastAsia="zh-CN"/>
              </w:rPr>
              <w:t>做硬化处理</w:t>
            </w:r>
            <w:r>
              <w:rPr>
                <w:rFonts w:hint="eastAsia" w:ascii="Times New Roman" w:hAnsi="Times New Roman" w:eastAsia="宋体" w:cs="Times New Roman"/>
                <w:szCs w:val="24"/>
                <w:highlight w:val="none"/>
              </w:rPr>
              <w:t>，且项目不存在土壤和地下水的污染途径，根据《建设项目环境影响报告表编制技术指南（污染影响类）</w:t>
            </w:r>
            <w:r>
              <w:rPr>
                <w:rFonts w:hint="eastAsia" w:cs="Times New Roman"/>
                <w:szCs w:val="24"/>
                <w:highlight w:val="none"/>
                <w:lang w:eastAsia="zh-CN"/>
              </w:rPr>
              <w:t>（试行）》</w:t>
            </w:r>
            <w:r>
              <w:rPr>
                <w:rFonts w:hint="eastAsia" w:ascii="Times New Roman" w:hAnsi="Times New Roman" w:eastAsia="宋体" w:cs="Times New Roman"/>
                <w:szCs w:val="24"/>
                <w:highlight w:val="none"/>
              </w:rPr>
              <w:t>要求，可不开展地下水和土壤环境质量现状调查。</w:t>
            </w:r>
          </w:p>
          <w:p>
            <w:pPr>
              <w:pageBreakBefore w:val="0"/>
              <w:widowControl w:val="0"/>
              <w:kinsoku/>
              <w:wordWrap/>
              <w:overflowPunct/>
              <w:topLinePunct w:val="0"/>
              <w:autoSpaceDE/>
              <w:autoSpaceDN/>
              <w:bidi w:val="0"/>
              <w:adjustRightInd w:val="0"/>
              <w:snapToGrid w:val="0"/>
              <w:spacing w:after="0" w:afterLines="0" w:line="360" w:lineRule="auto"/>
              <w:ind w:left="0" w:leftChars="0" w:firstLine="482" w:firstLineChars="200"/>
              <w:jc w:val="both"/>
              <w:textAlignment w:val="auto"/>
              <w:rPr>
                <w:rFonts w:hint="default" w:ascii="Times New Roman" w:hAnsi="Times New Roman" w:cs="Times New Roman" w:eastAsiaTheme="minorEastAsia"/>
                <w:b/>
                <w:bCs/>
                <w:color w:val="000000" w:themeColor="text1"/>
                <w:sz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t>5、</w:t>
            </w:r>
            <w:r>
              <w:rPr>
                <w:rFonts w:hint="default" w:ascii="Times New Roman" w:hAnsi="Times New Roman" w:cs="Times New Roman" w:eastAsiaTheme="minorEastAsia"/>
                <w:b/>
                <w:bCs/>
                <w:color w:val="000000" w:themeColor="text1"/>
                <w:sz w:val="24"/>
                <w:highlight w:val="none"/>
                <w:u w:val="none" w:color="auto"/>
                <w:lang w:val="en-US" w:eastAsia="zh-CN"/>
                <w14:textFill>
                  <w14:solidFill>
                    <w14:schemeClr w14:val="tx1"/>
                  </w14:solidFill>
                </w14:textFill>
              </w:rPr>
              <w:t>电磁辐射</w:t>
            </w:r>
          </w:p>
          <w:p>
            <w:pPr>
              <w:pageBreakBefore w:val="0"/>
              <w:widowControl w:val="0"/>
              <w:kinsoku/>
              <w:wordWrap/>
              <w:overflowPunct/>
              <w:topLinePunct w:val="0"/>
              <w:autoSpaceDE/>
              <w:autoSpaceDN/>
              <w:bidi w:val="0"/>
              <w:adjustRightInd w:val="0"/>
              <w:snapToGrid w:val="0"/>
              <w:spacing w:after="0" w:afterLines="0" w:line="360" w:lineRule="auto"/>
              <w:ind w:firstLine="480" w:firstLineChars="200"/>
              <w:jc w:val="both"/>
              <w:textAlignment w:val="auto"/>
              <w:rPr>
                <w:rFonts w:hint="default" w:ascii="Times New Roman" w:hAnsi="Times New Roman"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本项目不涉及电磁辐射设备，不进行电磁辐射影响评价，因此无需进行电磁辐射环境现状调查。</w:t>
            </w:r>
          </w:p>
          <w:p>
            <w:pPr>
              <w:keepNext/>
              <w:keepLines/>
              <w:pageBreakBefore w:val="0"/>
              <w:widowControl w:val="0"/>
              <w:numPr>
                <w:ilvl w:val="0"/>
                <w:numId w:val="0"/>
              </w:numPr>
              <w:kinsoku/>
              <w:wordWrap/>
              <w:overflowPunct/>
              <w:topLinePunct w:val="0"/>
              <w:autoSpaceDE/>
              <w:autoSpaceDN/>
              <w:bidi w:val="0"/>
              <w:adjustRightInd w:val="0"/>
              <w:snapToGrid w:val="0"/>
              <w:spacing w:after="0" w:afterLines="0" w:line="360" w:lineRule="auto"/>
              <w:ind w:firstLine="482" w:firstLineChars="200"/>
              <w:jc w:val="both"/>
              <w:textAlignment w:val="auto"/>
              <w:outlineLvl w:val="2"/>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pPr>
            <w:r>
              <w:rPr>
                <w:rFonts w:hint="eastAsia"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t>6</w:t>
            </w:r>
            <w:r>
              <w:rPr>
                <w:rFonts w:hint="default" w:ascii="Times New Roman" w:hAnsi="Times New Roman" w:cs="Times New Roman" w:eastAsiaTheme="minorEastAsia"/>
                <w:b/>
                <w:bCs/>
                <w:color w:val="000000" w:themeColor="text1"/>
                <w:kern w:val="2"/>
                <w:sz w:val="24"/>
                <w:szCs w:val="22"/>
                <w:highlight w:val="none"/>
                <w:u w:val="none" w:color="auto"/>
                <w:lang w:val="en-US" w:eastAsia="zh-CN" w:bidi="ar-SA"/>
                <w14:textFill>
                  <w14:solidFill>
                    <w14:schemeClr w14:val="tx1"/>
                  </w14:solidFill>
                </w14:textFill>
              </w:rPr>
              <w:t>、生态环境质量现状</w:t>
            </w:r>
            <w:bookmarkEnd w:id="5"/>
          </w:p>
          <w:bookmarkEnd w:id="7"/>
          <w:p>
            <w:pPr>
              <w:pageBreakBefore w:val="0"/>
              <w:widowControl w:val="0"/>
              <w:kinsoku/>
              <w:wordWrap/>
              <w:overflowPunct/>
              <w:topLinePunct w:val="0"/>
              <w:autoSpaceDE/>
              <w:autoSpaceDN/>
              <w:bidi w:val="0"/>
              <w:adjustRightInd w:val="0"/>
              <w:snapToGrid w:val="0"/>
              <w:spacing w:line="360" w:lineRule="auto"/>
              <w:ind w:firstLine="480" w:firstLineChars="200"/>
              <w:jc w:val="both"/>
              <w:rPr>
                <w:rFonts w:hint="eastAsia" w:ascii="Times New Roman" w:hAnsi="Times New Roman"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pPr>
            <w:r>
              <w:rPr>
                <w:rFonts w:hint="default" w:ascii="Times New Roman" w:hAnsi="Times New Roman"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t>项目所在区域及附近区域无自然保护区、世界文化和自然遗产及等需要特殊保护的生态敏感区，无风景名胜区、森林公园、地质公园、重要湿地等重要生态敏感区；植被类型主要为灌木、杂草，植被覆盖率较高；由于人类活动的影响较大，该区动物种类及数量较少，并未发现珍稀动物、植物，区域内也没有发现大型野生动物，仅有如蛇类、鸟类，鼠类等小型动物出没</w:t>
            </w:r>
            <w:r>
              <w:rPr>
                <w:rFonts w:hint="eastAsia" w:ascii="Times New Roman" w:hAnsi="Times New Roman"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t>。</w:t>
            </w:r>
          </w:p>
          <w:p>
            <w:pPr>
              <w:pageBreakBefore w:val="0"/>
              <w:widowControl w:val="0"/>
              <w:kinsoku/>
              <w:wordWrap/>
              <w:overflowPunct/>
              <w:topLinePunct w:val="0"/>
              <w:autoSpaceDE/>
              <w:autoSpaceDN/>
              <w:bidi w:val="0"/>
              <w:adjustRightInd w:val="0"/>
              <w:snapToGrid w:val="0"/>
              <w:spacing w:line="360" w:lineRule="auto"/>
              <w:ind w:firstLine="480" w:firstLineChars="200"/>
              <w:jc w:val="both"/>
              <w:rPr>
                <w:rFonts w:hint="eastAsia" w:ascii="Times New Roman" w:hAnsi="Times New Roman"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pPr>
            <w:r>
              <w:rPr>
                <w:rFonts w:hint="eastAsia" w:ascii="Times New Roman" w:hAnsi="Times New Roman"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t>（1）植物资源</w:t>
            </w:r>
          </w:p>
          <w:p>
            <w:pPr>
              <w:pageBreakBefore w:val="0"/>
              <w:widowControl w:val="0"/>
              <w:kinsoku/>
              <w:wordWrap/>
              <w:overflowPunct/>
              <w:topLinePunct w:val="0"/>
              <w:autoSpaceDE/>
              <w:autoSpaceDN/>
              <w:bidi w:val="0"/>
              <w:adjustRightInd w:val="0"/>
              <w:snapToGrid w:val="0"/>
              <w:spacing w:line="360" w:lineRule="auto"/>
              <w:ind w:firstLine="480" w:firstLineChars="200"/>
              <w:jc w:val="both"/>
              <w:rPr>
                <w:rFonts w:hint="eastAsia" w:ascii="Times New Roman" w:hAnsi="Times New Roman"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pPr>
            <w:r>
              <w:rPr>
                <w:rFonts w:hint="eastAsia" w:ascii="Times New Roman" w:hAnsi="Times New Roman"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t>项目周边现状植被是以农业植被和灌木林等次生植被为主。根据现场踏勘调查情况来看，区域植被较为单一，是以农业植被和灌木林等次生植被为主，群落外貌季相变化不大。评价范围内无自然保护区、风景名胜区和森林公园等生态敏感区，同时通过现场踏勘及向当地居民进行调查了解，项目影响区无野生濒危保护植物物种分布</w:t>
            </w:r>
          </w:p>
          <w:p>
            <w:pPr>
              <w:pageBreakBefore w:val="0"/>
              <w:widowControl w:val="0"/>
              <w:kinsoku/>
              <w:wordWrap/>
              <w:overflowPunct/>
              <w:topLinePunct w:val="0"/>
              <w:autoSpaceDE/>
              <w:autoSpaceDN/>
              <w:bidi w:val="0"/>
              <w:adjustRightInd w:val="0"/>
              <w:snapToGrid w:val="0"/>
              <w:spacing w:line="360" w:lineRule="auto"/>
              <w:ind w:firstLine="480" w:firstLineChars="200"/>
              <w:jc w:val="both"/>
              <w:rPr>
                <w:rFonts w:hint="eastAsia" w:ascii="Times New Roman" w:hAnsi="Times New Roman"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pPr>
            <w:r>
              <w:rPr>
                <w:rFonts w:hint="eastAsia" w:ascii="Times New Roman" w:hAnsi="Times New Roman"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t>（2）动物资源</w:t>
            </w:r>
          </w:p>
          <w:p>
            <w:pPr>
              <w:pageBreakBefore w:val="0"/>
              <w:widowControl w:val="0"/>
              <w:kinsoku/>
              <w:wordWrap/>
              <w:overflowPunct/>
              <w:topLinePunct w:val="0"/>
              <w:autoSpaceDE/>
              <w:autoSpaceDN/>
              <w:bidi w:val="0"/>
              <w:adjustRightInd w:val="0"/>
              <w:snapToGrid w:val="0"/>
              <w:spacing w:line="360" w:lineRule="auto"/>
              <w:ind w:firstLine="480" w:firstLineChars="200"/>
              <w:jc w:val="both"/>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t>项目所在区域在动物地理区划属东洋界华中区，生态地理区划属亚热带林灌、草地--农田动物群。野生动物多为适应耕地和居民点的种类，林栖鸟类已少见，而盗食谷物的鼠类和鸟类有所增加，生活于稻田区捕食昆虫、鼠类的两栖类、爬行类动物较多，主要动物物种有斑鸠、杜鹃、麻雀、刺猬、蝙蝠、华南兔、黄鼬、松鼠，家畜、家禽主要有猪、牛、羊、兔、鸡、鸭、鹅等。通过现场踏勘及向当地居民进行调查了解，项目影响区无野生珍稀保护动物。评价区域内无历史文物遗址和风景名胜区等需要特别保护的文化遗产、自然遗产、自然景观。</w:t>
            </w:r>
            <w:r>
              <w:rPr>
                <w:rFonts w:hint="eastAsia" w:cs="Times New Roman" w:eastAsiaTheme="minorEastAsia"/>
                <w:color w:val="000000" w:themeColor="text1"/>
                <w:kern w:val="2"/>
                <w:sz w:val="24"/>
                <w:szCs w:val="22"/>
                <w:highlight w:val="none"/>
                <w:u w:val="none" w:color="auto"/>
                <w:lang w:val="en-US" w:eastAsia="zh-CN" w:bidi="ar-SA"/>
                <w14:textFill>
                  <w14:solidFill>
                    <w14:schemeClr w14:val="tx1"/>
                  </w14:solidFill>
                </w14:textFill>
              </w:rPr>
              <w:t xml:space="preserve">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1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环境保护目标</w:t>
            </w:r>
          </w:p>
        </w:tc>
        <w:tc>
          <w:tcPr>
            <w:tcW w:w="4580" w:type="pct"/>
            <w:tcBorders>
              <w:tl2br w:val="nil"/>
              <w:tr2bl w:val="nil"/>
            </w:tcBorders>
            <w:vAlign w:val="top"/>
          </w:tcPr>
          <w:p>
            <w:pPr>
              <w:widowControl w:val="0"/>
              <w:adjustRightInd w:val="0"/>
              <w:snapToGrid w:val="0"/>
              <w:spacing w:line="360" w:lineRule="auto"/>
              <w:ind w:left="0" w:leftChars="0" w:right="318" w:firstLine="0" w:firstLineChars="0"/>
              <w:jc w:val="both"/>
              <w:rPr>
                <w:rFonts w:hint="default" w:ascii="Times New Roman" w:hAnsi="Times New Roman" w:cs="Times New Roman" w:eastAsiaTheme="minorEastAsia"/>
                <w:b/>
                <w:color w:val="000000" w:themeColor="text1"/>
                <w:spacing w:val="0"/>
                <w:kern w:val="21"/>
                <w:sz w:val="24"/>
                <w:szCs w:val="21"/>
                <w:highlight w:val="none"/>
                <w:u w:val="none" w:color="auto"/>
                <w:lang w:val="en-US" w:eastAsia="zh-CN" w:bidi="ar-SA"/>
                <w14:textFill>
                  <w14:solidFill>
                    <w14:schemeClr w14:val="tx1"/>
                  </w14:solidFill>
                </w14:textFill>
              </w:rPr>
            </w:pPr>
            <w:bookmarkStart w:id="8" w:name="_Toc411767826"/>
            <w:r>
              <w:rPr>
                <w:rFonts w:hint="default" w:ascii="Times New Roman" w:hAnsi="Times New Roman" w:cs="Times New Roman" w:eastAsiaTheme="minorEastAsia"/>
                <w:b/>
                <w:color w:val="000000" w:themeColor="text1"/>
                <w:spacing w:val="0"/>
                <w:kern w:val="21"/>
                <w:sz w:val="24"/>
                <w:szCs w:val="21"/>
                <w:highlight w:val="none"/>
                <w:u w:val="none" w:color="auto"/>
                <w:lang w:val="en-US" w:eastAsia="zh-CN" w:bidi="ar-SA"/>
                <w14:textFill>
                  <w14:solidFill>
                    <w14:schemeClr w14:val="tx1"/>
                  </w14:solidFill>
                </w14:textFill>
              </w:rPr>
              <w:t>主要环境保护目标（列出名单及保护级别）</w:t>
            </w:r>
            <w:bookmarkEnd w:id="8"/>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根据现场调查，区域内无自然保护区、饮用水水源保护区、珍稀动植物保护物种、无历史文物古迹等需要特殊保护的环境敏感点。本项目主要环保目标见表3-</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所示</w:t>
            </w:r>
            <w:r>
              <w:rPr>
                <w:rFonts w:hint="default" w:ascii="Times New Roman" w:hAnsi="Times New Roman" w:cs="Times New Roman" w:eastAsiaTheme="minorEastAsia"/>
                <w:color w:val="000000" w:themeColor="text1"/>
                <w:sz w:val="24"/>
                <w:szCs w:val="24"/>
                <w:highlight w:val="none"/>
                <w:u w:val="none" w:color="auto"/>
                <w:lang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cs="Times New Roman" w:eastAsiaTheme="minorEastAsia"/>
                <w:b/>
                <w:bCs/>
                <w:color w:val="000000" w:themeColor="text1"/>
                <w:sz w:val="21"/>
                <w:szCs w:val="21"/>
                <w:highlight w:val="none"/>
                <w:u w:val="none" w:color="auto"/>
                <w14:textFill>
                  <w14:solidFill>
                    <w14:schemeClr w14:val="tx1"/>
                  </w14:solidFill>
                </w14:textFill>
              </w:rPr>
            </w:pPr>
            <w:r>
              <w:rPr>
                <w:rFonts w:hint="default" w:ascii="Times New Roman" w:hAnsi="Times New Roman" w:cs="Times New Roman" w:eastAsiaTheme="minorEastAsia"/>
                <w:b/>
                <w:bCs/>
                <w:color w:val="000000" w:themeColor="text1"/>
                <w:sz w:val="21"/>
                <w:szCs w:val="21"/>
                <w:highlight w:val="none"/>
                <w:u w:val="none" w:color="auto"/>
                <w14:textFill>
                  <w14:solidFill>
                    <w14:schemeClr w14:val="tx1"/>
                  </w14:solidFill>
                </w14:textFill>
              </w:rPr>
              <w:t>表</w:t>
            </w:r>
            <w:r>
              <w:rPr>
                <w:rFonts w:hint="default" w:ascii="Times New Roman" w:hAnsi="Times New Roman" w:cs="Times New Roman" w:eastAsiaTheme="minorEastAsia"/>
                <w:b/>
                <w:bCs/>
                <w:color w:val="000000" w:themeColor="text1"/>
                <w:sz w:val="21"/>
                <w:szCs w:val="21"/>
                <w:highlight w:val="none"/>
                <w:u w:val="none" w:color="auto"/>
                <w:lang w:val="en-US" w:eastAsia="zh-CN"/>
                <w14:textFill>
                  <w14:solidFill>
                    <w14:schemeClr w14:val="tx1"/>
                  </w14:solidFill>
                </w14:textFill>
              </w:rPr>
              <w:t>3-</w:t>
            </w:r>
            <w:r>
              <w:rPr>
                <w:rFonts w:hint="eastAsia" w:cs="Times New Roman" w:eastAsiaTheme="minorEastAsia"/>
                <w:b/>
                <w:bCs/>
                <w:color w:val="000000" w:themeColor="text1"/>
                <w:sz w:val="21"/>
                <w:szCs w:val="21"/>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b/>
                <w:bCs/>
                <w:color w:val="000000" w:themeColor="text1"/>
                <w:sz w:val="21"/>
                <w:szCs w:val="21"/>
                <w:highlight w:val="none"/>
                <w:u w:val="none" w:color="auto"/>
                <w14:textFill>
                  <w14:solidFill>
                    <w14:schemeClr w14:val="tx1"/>
                  </w14:solidFill>
                </w14:textFill>
              </w:rPr>
              <w:t xml:space="preserve"> 主要环境保护目标</w:t>
            </w:r>
          </w:p>
          <w:tbl>
            <w:tblPr>
              <w:tblStyle w:val="23"/>
              <w:tblW w:w="4932" w:type="pct"/>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691"/>
              <w:gridCol w:w="1209"/>
              <w:gridCol w:w="1452"/>
              <w:gridCol w:w="2295"/>
              <w:gridCol w:w="1149"/>
              <w:gridCol w:w="1987"/>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trHeight w:val="283" w:hRule="atLeast"/>
                <w:jc w:val="center"/>
              </w:trPr>
              <w:tc>
                <w:tcPr>
                  <w:tcW w:w="393"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环境要素</w:t>
                  </w:r>
                </w:p>
              </w:tc>
              <w:tc>
                <w:tcPr>
                  <w:tcW w:w="68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敏感点名称</w:t>
                  </w:r>
                </w:p>
              </w:tc>
              <w:tc>
                <w:tcPr>
                  <w:tcW w:w="82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相对项目</w:t>
                  </w:r>
                  <w:r>
                    <w:rPr>
                      <w:rFonts w:hint="eastAsia"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生产车间</w:t>
                  </w: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的最近距离</w:t>
                  </w:r>
                </w:p>
              </w:tc>
              <w:tc>
                <w:tcPr>
                  <w:tcW w:w="130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坐标</w:t>
                  </w:r>
                </w:p>
              </w:tc>
              <w:tc>
                <w:tcPr>
                  <w:tcW w:w="654"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功能及规模</w:t>
                  </w:r>
                </w:p>
              </w:tc>
              <w:tc>
                <w:tcPr>
                  <w:tcW w:w="1130"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环境功</w:t>
                  </w: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cr/>
                  </w: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区</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3" w:hRule="atLeast"/>
                <w:jc w:val="center"/>
              </w:trPr>
              <w:tc>
                <w:tcPr>
                  <w:tcW w:w="393" w:type="pct"/>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环境空气</w:t>
                  </w:r>
                </w:p>
              </w:tc>
              <w:tc>
                <w:tcPr>
                  <w:tcW w:w="68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异地扶贫安置小区</w:t>
                  </w:r>
                </w:p>
              </w:tc>
              <w:tc>
                <w:tcPr>
                  <w:tcW w:w="82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北侧</w:t>
                  </w: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53</w:t>
                  </w: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m-</w:t>
                  </w: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328</w:t>
                  </w: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m</w:t>
                  </w:r>
                </w:p>
              </w:tc>
              <w:tc>
                <w:tcPr>
                  <w:tcW w:w="130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经度：112.196927446</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纬度：25.893795898</w:t>
                  </w:r>
                </w:p>
              </w:tc>
              <w:tc>
                <w:tcPr>
                  <w:tcW w:w="654"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约</w:t>
                  </w: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648</w:t>
                  </w: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户，</w:t>
                  </w: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2592</w:t>
                  </w: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人</w:t>
                  </w:r>
                </w:p>
              </w:tc>
              <w:tc>
                <w:tcPr>
                  <w:tcW w:w="1130" w:type="pct"/>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yellow"/>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环境空气质量标准》（GB3095-2012）二级标准</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trHeight w:val="283" w:hRule="atLeast"/>
                <w:jc w:val="center"/>
              </w:trPr>
              <w:tc>
                <w:tcPr>
                  <w:tcW w:w="393"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p>
              </w:tc>
              <w:tc>
                <w:tcPr>
                  <w:tcW w:w="688" w:type="pct"/>
                  <w:tcBorders>
                    <w:top w:val="single" w:color="auto" w:sz="4" w:space="0"/>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木塘村居民</w:t>
                  </w:r>
                </w:p>
              </w:tc>
              <w:tc>
                <w:tcPr>
                  <w:tcW w:w="82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东北侧276m-500m</w:t>
                  </w:r>
                </w:p>
              </w:tc>
              <w:tc>
                <w:tcPr>
                  <w:tcW w:w="130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经度：112.199714800</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纬度：25.895327439</w:t>
                  </w:r>
                </w:p>
              </w:tc>
              <w:tc>
                <w:tcPr>
                  <w:tcW w:w="654" w:type="pct"/>
                  <w:tcBorders>
                    <w:top w:val="single" w:color="auto" w:sz="4" w:space="0"/>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约</w:t>
                  </w: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80</w:t>
                  </w: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户，</w:t>
                  </w: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240</w:t>
                  </w: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人</w:t>
                  </w:r>
                </w:p>
              </w:tc>
              <w:tc>
                <w:tcPr>
                  <w:tcW w:w="1130"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yellow"/>
                      <w:u w:val="none" w:color="auto"/>
                      <w:lang w:eastAsia="zh-CN"/>
                      <w14:textFill>
                        <w14:solidFill>
                          <w14:schemeClr w14:val="tx1"/>
                        </w14:solidFill>
                      </w14:textFill>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trHeight w:val="499" w:hRule="atLeast"/>
                <w:jc w:val="center"/>
              </w:trPr>
              <w:tc>
                <w:tcPr>
                  <w:tcW w:w="393"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p>
              </w:tc>
              <w:tc>
                <w:tcPr>
                  <w:tcW w:w="688" w:type="pct"/>
                  <w:tcBorders>
                    <w:top w:val="single" w:color="auto" w:sz="4" w:space="0"/>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神庇洞居民1</w:t>
                  </w:r>
                </w:p>
              </w:tc>
              <w:tc>
                <w:tcPr>
                  <w:tcW w:w="82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西侧234m-500m</w:t>
                  </w:r>
                </w:p>
              </w:tc>
              <w:tc>
                <w:tcPr>
                  <w:tcW w:w="130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经度：112.192977091</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纬度：25.891379228</w:t>
                  </w:r>
                </w:p>
              </w:tc>
              <w:tc>
                <w:tcPr>
                  <w:tcW w:w="654" w:type="pct"/>
                  <w:tcBorders>
                    <w:top w:val="single" w:color="auto" w:sz="4" w:space="0"/>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约</w:t>
                  </w: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26</w:t>
                  </w: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户，</w:t>
                  </w: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78</w:t>
                  </w: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人</w:t>
                  </w:r>
                </w:p>
              </w:tc>
              <w:tc>
                <w:tcPr>
                  <w:tcW w:w="1130"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yellow"/>
                      <w:u w:val="none" w:color="auto"/>
                      <w:lang w:eastAsia="zh-CN"/>
                      <w14:textFill>
                        <w14:solidFill>
                          <w14:schemeClr w14:val="tx1"/>
                        </w14:solidFill>
                      </w14:textFill>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trHeight w:val="499" w:hRule="atLeast"/>
                <w:jc w:val="center"/>
              </w:trPr>
              <w:tc>
                <w:tcPr>
                  <w:tcW w:w="393" w:type="pct"/>
                  <w:vMerge w:val="continue"/>
                  <w:tcBorders>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p>
              </w:tc>
              <w:tc>
                <w:tcPr>
                  <w:tcW w:w="688" w:type="pct"/>
                  <w:tcBorders>
                    <w:top w:val="single" w:color="auto" w:sz="4" w:space="0"/>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神庇洞居民2</w:t>
                  </w:r>
                </w:p>
              </w:tc>
              <w:tc>
                <w:tcPr>
                  <w:tcW w:w="82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西南侧110m-298m</w:t>
                  </w:r>
                </w:p>
              </w:tc>
              <w:tc>
                <w:tcPr>
                  <w:tcW w:w="130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经度：112.195208689</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纬度：25.890832057</w:t>
                  </w:r>
                </w:p>
              </w:tc>
              <w:tc>
                <w:tcPr>
                  <w:tcW w:w="654" w:type="pct"/>
                  <w:tcBorders>
                    <w:top w:val="single" w:color="auto" w:sz="4" w:space="0"/>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约</w:t>
                  </w: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7</w:t>
                  </w: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户，</w:t>
                  </w: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81</w:t>
                  </w:r>
                  <w:r>
                    <w:rPr>
                      <w:rFonts w:hint="default" w:ascii="Times New Roman" w:hAnsi="Times New Roman" w:cs="Times New Roman" w:eastAsiaTheme="minorEastAsia"/>
                      <w:color w:val="000000" w:themeColor="text1"/>
                      <w:sz w:val="21"/>
                      <w:szCs w:val="21"/>
                      <w:highlight w:val="none"/>
                      <w:u w:val="none" w:color="auto"/>
                      <w:lang w:eastAsia="zh-CN"/>
                      <w14:textFill>
                        <w14:solidFill>
                          <w14:schemeClr w14:val="tx1"/>
                        </w14:solidFill>
                      </w14:textFill>
                    </w:rPr>
                    <w:t>人</w:t>
                  </w:r>
                </w:p>
              </w:tc>
              <w:tc>
                <w:tcPr>
                  <w:tcW w:w="1130" w:type="pct"/>
                  <w:vMerge w:val="continue"/>
                  <w:tcBorders>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yellow"/>
                      <w:u w:val="none" w:color="auto"/>
                      <w:lang w:eastAsia="zh-CN"/>
                      <w14:textFill>
                        <w14:solidFill>
                          <w14:schemeClr w14:val="tx1"/>
                        </w14:solidFill>
                      </w14:textFill>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trHeight w:val="283" w:hRule="atLeast"/>
                <w:jc w:val="center"/>
              </w:trPr>
              <w:tc>
                <w:tcPr>
                  <w:tcW w:w="393" w:type="pct"/>
                  <w:tcBorders>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地表水环境</w:t>
                  </w:r>
                </w:p>
              </w:tc>
              <w:tc>
                <w:tcPr>
                  <w:tcW w:w="688" w:type="pct"/>
                  <w:tcBorders>
                    <w:top w:val="single" w:color="auto" w:sz="4" w:space="0"/>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新田河</w:t>
                  </w:r>
                </w:p>
              </w:tc>
              <w:tc>
                <w:tcPr>
                  <w:tcW w:w="82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东侧1072m</w:t>
                  </w:r>
                </w:p>
              </w:tc>
              <w:tc>
                <w:tcPr>
                  <w:tcW w:w="130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经度：112.208152437</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纬度：25.892291394</w:t>
                  </w:r>
                </w:p>
              </w:tc>
              <w:tc>
                <w:tcPr>
                  <w:tcW w:w="654" w:type="pct"/>
                  <w:tcBorders>
                    <w:top w:val="single" w:color="auto" w:sz="4" w:space="0"/>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yellow"/>
                      <w:u w:val="none" w:color="auto"/>
                      <w:lang w:val="en-US" w:eastAsia="zh-CN"/>
                      <w14:textFill>
                        <w14:solidFill>
                          <w14:schemeClr w14:val="tx1"/>
                        </w14:solidFill>
                      </w14:textFill>
                    </w:rPr>
                  </w:pP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w:t>
                  </w:r>
                </w:p>
              </w:tc>
              <w:tc>
                <w:tcPr>
                  <w:tcW w:w="1130" w:type="pct"/>
                  <w:tcBorders>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yellow"/>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《地表水环境质量标准》(GB3838-2002)Ⅲ类</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trHeight w:val="283" w:hRule="atLeast"/>
                <w:jc w:val="center"/>
              </w:trPr>
              <w:tc>
                <w:tcPr>
                  <w:tcW w:w="393" w:type="pct"/>
                  <w:tcBorders>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cs="Times New Roman" w:eastAsiaTheme="minorEastAsia"/>
                      <w:color w:val="000000" w:themeColor="text1"/>
                      <w:sz w:val="21"/>
                      <w:szCs w:val="21"/>
                      <w:highlight w:val="none"/>
                      <w:u w:val="none" w:color="auto"/>
                      <w:lang w:val="en-US" w:eastAsia="zh-CN"/>
                      <w14:textFill>
                        <w14:solidFill>
                          <w14:schemeClr w14:val="tx1"/>
                        </w14:solidFill>
                      </w14:textFill>
                    </w:rPr>
                    <w:t>地下水</w:t>
                  </w:r>
                </w:p>
              </w:tc>
              <w:tc>
                <w:tcPr>
                  <w:tcW w:w="688" w:type="pct"/>
                  <w:tcBorders>
                    <w:top w:val="single" w:color="auto" w:sz="4" w:space="0"/>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eastAsia"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周边地下水</w:t>
                  </w:r>
                </w:p>
              </w:tc>
              <w:tc>
                <w:tcPr>
                  <w:tcW w:w="82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eastAsia"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项目</w:t>
                  </w:r>
                  <w:r>
                    <w:rPr>
                      <w:rFonts w:hint="eastAsia" w:ascii="Times New Roman" w:hAnsi="Times New Roman" w:cs="Times New Roman" w:eastAsiaTheme="minorEastAsia"/>
                      <w:color w:val="000000" w:themeColor="text1"/>
                      <w:sz w:val="21"/>
                      <w:szCs w:val="21"/>
                      <w:highlight w:val="none"/>
                      <w:u w:val="none" w:color="auto"/>
                      <w:lang w:val="zh-CN" w:eastAsia="zh-CN"/>
                      <w14:textFill>
                        <w14:solidFill>
                          <w14:schemeClr w14:val="tx1"/>
                        </w14:solidFill>
                      </w14:textFill>
                    </w:rPr>
                    <w:t>周围</w:t>
                  </w:r>
                </w:p>
              </w:tc>
              <w:tc>
                <w:tcPr>
                  <w:tcW w:w="130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w:t>
                  </w:r>
                </w:p>
              </w:tc>
              <w:tc>
                <w:tcPr>
                  <w:tcW w:w="654" w:type="pct"/>
                  <w:tcBorders>
                    <w:top w:val="single" w:color="auto" w:sz="4" w:space="0"/>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w:t>
                  </w:r>
                </w:p>
              </w:tc>
              <w:tc>
                <w:tcPr>
                  <w:tcW w:w="1130" w:type="pct"/>
                  <w:tcBorders>
                    <w:bottom w:val="single" w:color="auto" w:sz="4" w:space="0"/>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baseline"/>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highlight w:val="none"/>
                      <w:u w:val="none" w:color="auto"/>
                      <w:lang w:val="en-US" w:eastAsia="zh-CN"/>
                      <w14:textFill>
                        <w14:solidFill>
                          <w14:schemeClr w14:val="tx1"/>
                        </w14:solidFill>
                      </w14:textFill>
                    </w:rPr>
                    <w:t>《地下水质量标准》(GB/T 14848-2017)中Ⅲ类标准</w:t>
                  </w:r>
                </w:p>
              </w:tc>
            </w:tr>
          </w:tbl>
          <w:p>
            <w:pPr>
              <w:pStyle w:val="18"/>
              <w:ind w:left="0" w:leftChars="0" w:firstLine="0" w:firstLineChars="0"/>
              <w:jc w:val="both"/>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1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ascii="Times New Roman" w:hAnsi="Times New Roman" w:cs="Times New Roman" w:eastAsiaTheme="minorEastAsia"/>
                <w:color w:val="000000" w:themeColor="text1"/>
                <w:sz w:val="24"/>
                <w:szCs w:val="24"/>
                <w:highlight w:val="yellow"/>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污染物排放控制标准</w:t>
            </w:r>
          </w:p>
        </w:tc>
        <w:tc>
          <w:tcPr>
            <w:tcW w:w="4580" w:type="pct"/>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482" w:firstLineChars="200"/>
              <w:textAlignment w:val="auto"/>
              <w:rPr>
                <w:rFonts w:hint="eastAsia" w:ascii="Times New Roman" w:hAnsi="Times New Roman" w:cs="Times New Roman" w:eastAsiaTheme="minorEastAsia"/>
                <w:b/>
                <w:bCs w:val="0"/>
                <w:color w:val="000000" w:themeColor="text1"/>
                <w:sz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b/>
                <w:bCs w:val="0"/>
                <w:color w:val="000000" w:themeColor="text1"/>
                <w:sz w:val="24"/>
                <w:highlight w:val="none"/>
                <w:u w:val="none" w:color="auto"/>
                <w14:textFill>
                  <w14:solidFill>
                    <w14:schemeClr w14:val="tx1"/>
                  </w14:solidFill>
                </w14:textFill>
              </w:rPr>
              <w:t>1、</w:t>
            </w:r>
            <w:r>
              <w:rPr>
                <w:rFonts w:hint="eastAsia" w:cs="Times New Roman" w:eastAsiaTheme="minorEastAsia"/>
                <w:b/>
                <w:bCs w:val="0"/>
                <w:color w:val="000000" w:themeColor="text1"/>
                <w:sz w:val="24"/>
                <w:highlight w:val="none"/>
                <w:u w:val="none" w:color="auto"/>
                <w:lang w:val="en-US" w:eastAsia="zh-CN"/>
                <w14:textFill>
                  <w14:solidFill>
                    <w14:schemeClr w14:val="tx1"/>
                  </w14:solidFill>
                </w14:textFill>
              </w:rPr>
              <w:t>废水</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480" w:firstLineChars="200"/>
              <w:textAlignment w:val="auto"/>
              <w:rPr>
                <w:rFonts w:hint="eastAsia" w:cs="Times New Roman" w:eastAsiaTheme="minorEastAsia"/>
                <w:color w:val="000000" w:themeColor="text1"/>
                <w:sz w:val="24"/>
                <w:szCs w:val="24"/>
                <w:highlight w:val="yellow"/>
                <w:u w:val="none" w:color="auto"/>
                <w:lang w:val="en-US" w:eastAsia="zh-CN" w:bidi="ar"/>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bidi="ar"/>
                <w14:textFill>
                  <w14:solidFill>
                    <w14:schemeClr w14:val="tx1"/>
                  </w14:solidFill>
                </w14:textFill>
              </w:rPr>
              <w:t>运营期</w:t>
            </w:r>
            <w:r>
              <w:rPr>
                <w:rFonts w:hint="default" w:ascii="Times New Roman" w:hAnsi="Times New Roman" w:cs="Times New Roman" w:eastAsiaTheme="minorEastAsia"/>
                <w:color w:val="000000" w:themeColor="text1"/>
                <w:sz w:val="24"/>
                <w:szCs w:val="24"/>
                <w:highlight w:val="none"/>
                <w:u w:val="none" w:color="auto"/>
                <w:lang w:bidi="ar"/>
                <w14:textFill>
                  <w14:solidFill>
                    <w14:schemeClr w14:val="tx1"/>
                  </w14:solidFill>
                </w14:textFill>
              </w:rPr>
              <w:t>生活污水经化粪池处理达</w:t>
            </w:r>
            <w:r>
              <w:rPr>
                <w:rFonts w:hint="eastAsia" w:cs="Times New Roman" w:eastAsiaTheme="minorEastAsia"/>
                <w:color w:val="000000" w:themeColor="text1"/>
                <w:sz w:val="24"/>
                <w:szCs w:val="24"/>
                <w:highlight w:val="none"/>
                <w:u w:val="none" w:color="auto"/>
                <w:lang w:val="en-US" w:eastAsia="zh-CN" w:bidi="ar"/>
                <w14:textFill>
                  <w14:solidFill>
                    <w14:schemeClr w14:val="tx1"/>
                  </w14:solidFill>
                </w14:textFill>
              </w:rPr>
              <w:t>到</w:t>
            </w:r>
            <w:r>
              <w:rPr>
                <w:rFonts w:hint="default" w:ascii="Times New Roman" w:hAnsi="Times New Roman" w:cs="Times New Roman" w:eastAsiaTheme="minorEastAsia"/>
                <w:color w:val="000000" w:themeColor="text1"/>
                <w:sz w:val="24"/>
                <w:szCs w:val="24"/>
                <w:highlight w:val="none"/>
                <w:u w:val="none" w:color="auto"/>
                <w:lang w:bidi="ar"/>
                <w14:textFill>
                  <w14:solidFill>
                    <w14:schemeClr w14:val="tx1"/>
                  </w14:solidFill>
                </w14:textFill>
              </w:rPr>
              <w:t>《污水综合排放标准》（GB8978-1996）表4中的三级排放标准排入</w:t>
            </w:r>
            <w:r>
              <w:rPr>
                <w:rFonts w:hint="eastAsia" w:cs="Times New Roman" w:eastAsiaTheme="minorEastAsia"/>
                <w:color w:val="000000" w:themeColor="text1"/>
                <w:sz w:val="24"/>
                <w:szCs w:val="24"/>
                <w:highlight w:val="none"/>
                <w:u w:val="none" w:color="auto"/>
                <w:lang w:val="en-US" w:eastAsia="zh-CN" w:bidi="ar"/>
                <w14:textFill>
                  <w14:solidFill>
                    <w14:schemeClr w14:val="tx1"/>
                  </w14:solidFill>
                </w14:textFill>
              </w:rPr>
              <w:t>开发区</w:t>
            </w:r>
            <w:r>
              <w:rPr>
                <w:rFonts w:hint="default" w:ascii="Times New Roman" w:hAnsi="Times New Roman" w:cs="Times New Roman" w:eastAsiaTheme="minorEastAsia"/>
                <w:color w:val="000000" w:themeColor="text1"/>
                <w:sz w:val="24"/>
                <w:szCs w:val="24"/>
                <w:highlight w:val="none"/>
                <w:u w:val="none" w:color="auto"/>
                <w:lang w:bidi="ar"/>
                <w14:textFill>
                  <w14:solidFill>
                    <w14:schemeClr w14:val="tx1"/>
                  </w14:solidFill>
                </w14:textFill>
              </w:rPr>
              <w:t>污水管网，然后通过</w:t>
            </w:r>
            <w:r>
              <w:rPr>
                <w:rFonts w:hint="default" w:ascii="Times New Roman" w:hAnsi="Times New Roman" w:cs="Times New Roman" w:eastAsiaTheme="minorEastAsia"/>
                <w:color w:val="000000" w:themeColor="text1"/>
                <w:sz w:val="24"/>
                <w:szCs w:val="24"/>
                <w:highlight w:val="none"/>
                <w:u w:val="none" w:color="auto"/>
                <w:lang w:val="en-US" w:eastAsia="zh-CN" w:bidi="ar"/>
                <w14:textFill>
                  <w14:solidFill>
                    <w14:schemeClr w14:val="tx1"/>
                  </w14:solidFill>
                </w14:textFill>
              </w:rPr>
              <w:t>新田县</w:t>
            </w:r>
            <w:r>
              <w:rPr>
                <w:rFonts w:hint="default" w:ascii="Times New Roman" w:hAnsi="Times New Roman" w:cs="Times New Roman" w:eastAsiaTheme="minorEastAsia"/>
                <w:color w:val="000000" w:themeColor="text1"/>
                <w:sz w:val="24"/>
                <w:szCs w:val="24"/>
                <w:highlight w:val="none"/>
                <w:u w:val="none" w:color="auto"/>
                <w:lang w:bidi="ar"/>
                <w14:textFill>
                  <w14:solidFill>
                    <w14:schemeClr w14:val="tx1"/>
                  </w14:solidFill>
                </w14:textFill>
              </w:rPr>
              <w:t>污水处理厂处理达到《城镇污水处理厂污染物排放标准》（GB18918-2002）的一级A标准后排入</w:t>
            </w:r>
            <w:r>
              <w:rPr>
                <w:rFonts w:hint="default" w:ascii="Times New Roman" w:hAnsi="Times New Roman" w:cs="Times New Roman" w:eastAsiaTheme="minorEastAsia"/>
                <w:color w:val="000000" w:themeColor="text1"/>
                <w:sz w:val="24"/>
                <w:szCs w:val="24"/>
                <w:highlight w:val="none"/>
                <w:u w:val="none" w:color="auto"/>
                <w:lang w:val="en-US" w:eastAsia="zh-CN" w:bidi="ar"/>
                <w14:textFill>
                  <w14:solidFill>
                    <w14:schemeClr w14:val="tx1"/>
                  </w14:solidFill>
                </w14:textFill>
              </w:rPr>
              <w:t>新田河</w:t>
            </w:r>
            <w:r>
              <w:rPr>
                <w:rFonts w:hint="eastAsia" w:cs="Times New Roman" w:eastAsiaTheme="minorEastAsia"/>
                <w:color w:val="000000" w:themeColor="text1"/>
                <w:sz w:val="24"/>
                <w:szCs w:val="24"/>
                <w:highlight w:val="none"/>
                <w:u w:val="none" w:color="auto"/>
                <w:lang w:val="en-US" w:eastAsia="zh-CN" w:bidi="ar"/>
                <w14:textFill>
                  <w14:solidFill>
                    <w14:schemeClr w14:val="tx1"/>
                  </w14:solidFill>
                </w14:textFill>
              </w:rPr>
              <w:t>；清洗废水执行《电池工业污染物排放标准》（GB30484-2013）表2中的间接排放限值和新田县污水处理厂进水水质标准中较严标准，经新田县污水处理厂处理达《城镇污水处理厂污染物排放标准》（GB18918-2002）一级A排放标准后排入新田河。详见下表：</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b/>
                <w:sz w:val="21"/>
                <w:szCs w:val="21"/>
                <w:highlight w:val="none"/>
              </w:rPr>
            </w:pPr>
            <w:r>
              <w:rPr>
                <w:rFonts w:ascii="Times New Roman" w:hAnsi="Times New Roman" w:eastAsia="宋体" w:cs="Times New Roman"/>
                <w:b/>
                <w:sz w:val="21"/>
                <w:szCs w:val="21"/>
                <w:highlight w:val="none"/>
              </w:rPr>
              <w:t>表</w:t>
            </w:r>
            <w:r>
              <w:rPr>
                <w:rFonts w:hint="eastAsia" w:ascii="Times New Roman" w:hAnsi="Times New Roman" w:eastAsia="宋体" w:cs="Times New Roman"/>
                <w:b/>
                <w:sz w:val="21"/>
                <w:szCs w:val="21"/>
                <w:highlight w:val="none"/>
              </w:rPr>
              <w:t>3</w:t>
            </w:r>
            <w:r>
              <w:rPr>
                <w:rFonts w:ascii="Times New Roman" w:hAnsi="Times New Roman" w:eastAsia="宋体" w:cs="Times New Roman"/>
                <w:b/>
                <w:sz w:val="21"/>
                <w:szCs w:val="21"/>
                <w:highlight w:val="none"/>
              </w:rPr>
              <w:t>-</w:t>
            </w:r>
            <w:r>
              <w:rPr>
                <w:rFonts w:hint="eastAsia" w:cs="Times New Roman"/>
                <w:b/>
                <w:sz w:val="21"/>
                <w:szCs w:val="21"/>
                <w:highlight w:val="none"/>
                <w:lang w:val="en-US" w:eastAsia="zh-CN"/>
              </w:rPr>
              <w:t>3</w:t>
            </w:r>
            <w:r>
              <w:rPr>
                <w:rFonts w:ascii="Times New Roman" w:hAnsi="Times New Roman" w:eastAsia="宋体" w:cs="Times New Roman"/>
                <w:b/>
                <w:sz w:val="21"/>
                <w:szCs w:val="21"/>
                <w:highlight w:val="none"/>
              </w:rPr>
              <w:t xml:space="preserve"> </w:t>
            </w:r>
            <w:r>
              <w:rPr>
                <w:rFonts w:hint="eastAsia" w:cs="Times New Roman"/>
                <w:b/>
                <w:sz w:val="21"/>
                <w:szCs w:val="21"/>
                <w:highlight w:val="none"/>
                <w:lang w:val="en-US" w:eastAsia="zh-CN"/>
              </w:rPr>
              <w:t>污水排放标准一览表</w:t>
            </w:r>
            <w:r>
              <w:rPr>
                <w:rFonts w:ascii="Times New Roman" w:hAnsi="Times New Roman" w:eastAsia="宋体" w:cs="Times New Roman"/>
                <w:b/>
                <w:sz w:val="21"/>
                <w:szCs w:val="21"/>
                <w:highlight w:val="none"/>
              </w:rPr>
              <w:t xml:space="preserve">  单位：mg/L（pH无量纲）</w:t>
            </w:r>
          </w:p>
          <w:tbl>
            <w:tblPr>
              <w:tblStyle w:val="24"/>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014"/>
              <w:gridCol w:w="917"/>
              <w:gridCol w:w="1200"/>
              <w:gridCol w:w="1107"/>
              <w:gridCol w:w="822"/>
              <w:gridCol w:w="917"/>
              <w:gridCol w:w="9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694"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ascii="Times New Roman" w:hAnsi="Times New Roman" w:cs="Times New Roman"/>
                      <w:bCs/>
                      <w:color w:val="000000"/>
                      <w:sz w:val="21"/>
                      <w:szCs w:val="21"/>
                      <w:highlight w:val="none"/>
                      <w:lang w:val="en-US" w:eastAsia="zh-CN"/>
                    </w:rPr>
                    <w:t>类型</w:t>
                  </w:r>
                </w:p>
              </w:tc>
              <w:tc>
                <w:tcPr>
                  <w:tcW w:w="515"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ascii="Times New Roman" w:hAnsi="Times New Roman" w:cs="Times New Roman"/>
                      <w:bCs/>
                      <w:color w:val="000000"/>
                      <w:sz w:val="21"/>
                      <w:szCs w:val="21"/>
                      <w:highlight w:val="none"/>
                      <w:lang w:val="en-US" w:eastAsia="zh-CN"/>
                    </w:rPr>
                    <w:t>pH</w:t>
                  </w:r>
                </w:p>
              </w:tc>
              <w:tc>
                <w:tcPr>
                  <w:tcW w:w="674"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default" w:ascii="Times New Roman" w:hAnsi="Times New Roman" w:cs="Times New Roman"/>
                      <w:bCs/>
                      <w:color w:val="000000"/>
                      <w:sz w:val="21"/>
                      <w:szCs w:val="21"/>
                      <w:highlight w:val="none"/>
                      <w:lang w:val="en-US" w:eastAsia="zh-CN"/>
                    </w:rPr>
                    <w:t>CODCr</w:t>
                  </w:r>
                </w:p>
              </w:tc>
              <w:tc>
                <w:tcPr>
                  <w:tcW w:w="62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default" w:ascii="Times New Roman" w:hAnsi="Times New Roman" w:cs="Times New Roman"/>
                      <w:bCs/>
                      <w:color w:val="000000"/>
                      <w:sz w:val="21"/>
                      <w:szCs w:val="21"/>
                      <w:highlight w:val="none"/>
                      <w:lang w:val="en-US" w:eastAsia="zh-CN"/>
                    </w:rPr>
                    <w:t>BOD</w:t>
                  </w:r>
                  <w:r>
                    <w:rPr>
                      <w:rFonts w:hint="default" w:ascii="Times New Roman" w:hAnsi="Times New Roman" w:cs="Times New Roman"/>
                      <w:bCs/>
                      <w:color w:val="000000"/>
                      <w:sz w:val="21"/>
                      <w:szCs w:val="21"/>
                      <w:highlight w:val="none"/>
                      <w:vertAlign w:val="subscript"/>
                      <w:lang w:val="en-US" w:eastAsia="zh-CN"/>
                    </w:rPr>
                    <w:t>5</w:t>
                  </w:r>
                </w:p>
              </w:tc>
              <w:tc>
                <w:tcPr>
                  <w:tcW w:w="46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default" w:ascii="Times New Roman" w:hAnsi="Times New Roman" w:cs="Times New Roman"/>
                      <w:bCs/>
                      <w:color w:val="000000"/>
                      <w:sz w:val="21"/>
                      <w:szCs w:val="21"/>
                      <w:highlight w:val="none"/>
                      <w:lang w:val="en-US" w:eastAsia="zh-CN"/>
                    </w:rPr>
                    <w:t>氨氮</w:t>
                  </w:r>
                </w:p>
              </w:tc>
              <w:tc>
                <w:tcPr>
                  <w:tcW w:w="515"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default" w:ascii="Times New Roman" w:hAnsi="Times New Roman" w:cs="Times New Roman"/>
                      <w:bCs/>
                      <w:color w:val="000000"/>
                      <w:sz w:val="21"/>
                      <w:szCs w:val="21"/>
                      <w:highlight w:val="none"/>
                      <w:lang w:val="en-US" w:eastAsia="zh-CN"/>
                    </w:rPr>
                    <w:t>SS</w:t>
                  </w:r>
                </w:p>
              </w:tc>
              <w:tc>
                <w:tcPr>
                  <w:tcW w:w="515"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default" w:ascii="Times New Roman" w:hAnsi="Times New Roman" w:cs="Times New Roman"/>
                      <w:bCs/>
                      <w:color w:val="000000"/>
                      <w:sz w:val="21"/>
                      <w:szCs w:val="21"/>
                      <w:highlight w:val="none"/>
                      <w:lang w:val="en-US" w:eastAsia="zh-CN"/>
                    </w:rPr>
                    <w:t>动植物油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694"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bCs/>
                      <w:color w:val="000000"/>
                      <w:sz w:val="21"/>
                      <w:szCs w:val="21"/>
                      <w:highlight w:val="none"/>
                      <w:lang w:val="en-US" w:eastAsia="zh-CN"/>
                    </w:rPr>
                  </w:pPr>
                  <w:r>
                    <w:rPr>
                      <w:rFonts w:hint="default" w:ascii="Times New Roman" w:hAnsi="Times New Roman" w:cs="Times New Roman"/>
                      <w:bCs/>
                      <w:color w:val="000000"/>
                      <w:sz w:val="21"/>
                      <w:szCs w:val="21"/>
                      <w:highlight w:val="none"/>
                      <w:lang w:val="en-US" w:eastAsia="zh-CN"/>
                    </w:rPr>
                    <w:t>《污水综合排放标准》（GB8978-1996）表4中的三级标准</w:t>
                  </w:r>
                </w:p>
              </w:tc>
              <w:tc>
                <w:tcPr>
                  <w:tcW w:w="515"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bCs/>
                      <w:color w:val="000000"/>
                      <w:sz w:val="21"/>
                      <w:szCs w:val="21"/>
                      <w:highlight w:val="none"/>
                      <w:lang w:val="en-US" w:eastAsia="zh-CN"/>
                    </w:rPr>
                  </w:pPr>
                  <w:r>
                    <w:rPr>
                      <w:rFonts w:hint="default" w:ascii="Times New Roman" w:hAnsi="Times New Roman" w:cs="Times New Roman"/>
                      <w:bCs/>
                      <w:color w:val="000000"/>
                      <w:sz w:val="21"/>
                      <w:szCs w:val="21"/>
                      <w:highlight w:val="none"/>
                      <w:lang w:val="en-US" w:eastAsia="zh-CN"/>
                    </w:rPr>
                    <w:t>6～9</w:t>
                  </w:r>
                </w:p>
              </w:tc>
              <w:tc>
                <w:tcPr>
                  <w:tcW w:w="674"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ascii="Times New Roman" w:hAnsi="Times New Roman" w:cs="Times New Roman"/>
                      <w:bCs/>
                      <w:color w:val="000000"/>
                      <w:sz w:val="21"/>
                      <w:szCs w:val="21"/>
                      <w:highlight w:val="none"/>
                      <w:lang w:val="en-US" w:eastAsia="zh-CN"/>
                    </w:rPr>
                    <w:t>500</w:t>
                  </w:r>
                </w:p>
              </w:tc>
              <w:tc>
                <w:tcPr>
                  <w:tcW w:w="62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ascii="Times New Roman" w:hAnsi="Times New Roman" w:cs="Times New Roman"/>
                      <w:bCs/>
                      <w:color w:val="000000"/>
                      <w:sz w:val="21"/>
                      <w:szCs w:val="21"/>
                      <w:highlight w:val="none"/>
                      <w:lang w:val="en-US" w:eastAsia="zh-CN"/>
                    </w:rPr>
                    <w:t>300</w:t>
                  </w:r>
                </w:p>
              </w:tc>
              <w:tc>
                <w:tcPr>
                  <w:tcW w:w="46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ascii="Times New Roman" w:hAnsi="Times New Roman" w:cs="Times New Roman"/>
                      <w:bCs/>
                      <w:color w:val="000000"/>
                      <w:sz w:val="21"/>
                      <w:szCs w:val="21"/>
                      <w:highlight w:val="none"/>
                      <w:lang w:val="en-US" w:eastAsia="zh-CN"/>
                    </w:rPr>
                    <w:t>/</w:t>
                  </w:r>
                </w:p>
              </w:tc>
              <w:tc>
                <w:tcPr>
                  <w:tcW w:w="515"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ascii="Times New Roman" w:hAnsi="Times New Roman" w:cs="Times New Roman"/>
                      <w:bCs/>
                      <w:color w:val="000000"/>
                      <w:sz w:val="21"/>
                      <w:szCs w:val="21"/>
                      <w:highlight w:val="none"/>
                      <w:lang w:val="en-US" w:eastAsia="zh-CN"/>
                    </w:rPr>
                    <w:t>400</w:t>
                  </w:r>
                </w:p>
              </w:tc>
              <w:tc>
                <w:tcPr>
                  <w:tcW w:w="515"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ascii="Times New Roman" w:hAnsi="Times New Roman" w:cs="Times New Roman"/>
                      <w:bCs/>
                      <w:color w:val="000000"/>
                      <w:sz w:val="21"/>
                      <w:szCs w:val="21"/>
                      <w:highlight w:val="none"/>
                      <w:lang w:val="en-US" w:eastAsia="zh-CN"/>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694"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default" w:ascii="Times New Roman" w:hAnsi="Times New Roman" w:cs="Times New Roman"/>
                      <w:bCs/>
                      <w:color w:val="000000"/>
                      <w:sz w:val="21"/>
                      <w:szCs w:val="21"/>
                      <w:highlight w:val="none"/>
                      <w:lang w:val="en-US" w:eastAsia="zh-CN"/>
                    </w:rPr>
                    <w:t>《电池工业污染物排放标准》（GB30484-2013）表2中的间接排放限值</w:t>
                  </w:r>
                </w:p>
              </w:tc>
              <w:tc>
                <w:tcPr>
                  <w:tcW w:w="515"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default" w:ascii="Times New Roman" w:hAnsi="Times New Roman" w:cs="Times New Roman"/>
                      <w:bCs/>
                      <w:color w:val="000000"/>
                      <w:sz w:val="21"/>
                      <w:szCs w:val="21"/>
                      <w:highlight w:val="none"/>
                      <w:lang w:val="en-US" w:eastAsia="zh-CN"/>
                    </w:rPr>
                    <w:t>6～9</w:t>
                  </w:r>
                </w:p>
              </w:tc>
              <w:tc>
                <w:tcPr>
                  <w:tcW w:w="674"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cs="Times New Roman"/>
                      <w:bCs/>
                      <w:color w:val="000000"/>
                      <w:sz w:val="21"/>
                      <w:szCs w:val="21"/>
                      <w:highlight w:val="none"/>
                      <w:lang w:val="en-US" w:eastAsia="zh-CN"/>
                    </w:rPr>
                    <w:t>150</w:t>
                  </w:r>
                </w:p>
              </w:tc>
              <w:tc>
                <w:tcPr>
                  <w:tcW w:w="62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cs="Times New Roman"/>
                      <w:bCs/>
                      <w:color w:val="000000"/>
                      <w:sz w:val="21"/>
                      <w:szCs w:val="21"/>
                      <w:highlight w:val="none"/>
                      <w:lang w:val="en-US" w:eastAsia="zh-CN"/>
                    </w:rPr>
                    <w:t>/</w:t>
                  </w:r>
                </w:p>
              </w:tc>
              <w:tc>
                <w:tcPr>
                  <w:tcW w:w="46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cs="Times New Roman"/>
                      <w:bCs/>
                      <w:color w:val="000000"/>
                      <w:sz w:val="21"/>
                      <w:szCs w:val="21"/>
                      <w:highlight w:val="none"/>
                      <w:lang w:val="en-US" w:eastAsia="zh-CN"/>
                    </w:rPr>
                    <w:t>30</w:t>
                  </w:r>
                </w:p>
              </w:tc>
              <w:tc>
                <w:tcPr>
                  <w:tcW w:w="515"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cs="Times New Roman"/>
                      <w:bCs/>
                      <w:color w:val="000000"/>
                      <w:sz w:val="21"/>
                      <w:szCs w:val="21"/>
                      <w:highlight w:val="none"/>
                      <w:lang w:val="en-US" w:eastAsia="zh-CN"/>
                    </w:rPr>
                    <w:t>140</w:t>
                  </w:r>
                </w:p>
              </w:tc>
              <w:tc>
                <w:tcPr>
                  <w:tcW w:w="515"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cs="Times New Roman"/>
                      <w:bCs/>
                      <w:color w:val="000000"/>
                      <w:sz w:val="21"/>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694"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bCs/>
                      <w:color w:val="000000"/>
                      <w:sz w:val="21"/>
                      <w:szCs w:val="21"/>
                      <w:highlight w:val="none"/>
                      <w:lang w:val="en-US" w:eastAsia="zh-CN"/>
                    </w:rPr>
                  </w:pPr>
                  <w:r>
                    <w:rPr>
                      <w:rFonts w:hint="eastAsia" w:ascii="Times New Roman" w:hAnsi="Times New Roman" w:cs="Times New Roman"/>
                      <w:bCs/>
                      <w:color w:val="000000"/>
                      <w:sz w:val="21"/>
                      <w:szCs w:val="21"/>
                      <w:highlight w:val="none"/>
                      <w:lang w:val="en-US" w:eastAsia="zh-CN"/>
                    </w:rPr>
                    <w:t>新田县污水处理厂</w:t>
                  </w:r>
                  <w:r>
                    <w:rPr>
                      <w:rFonts w:hint="default" w:ascii="Times New Roman" w:hAnsi="Times New Roman" w:cs="Times New Roman"/>
                      <w:bCs/>
                      <w:color w:val="000000"/>
                      <w:sz w:val="21"/>
                      <w:szCs w:val="21"/>
                      <w:highlight w:val="none"/>
                      <w:lang w:val="en-US" w:eastAsia="zh-CN"/>
                    </w:rPr>
                    <w:t>进水水质</w:t>
                  </w:r>
                  <w:r>
                    <w:rPr>
                      <w:rFonts w:hint="eastAsia" w:ascii="Times New Roman" w:hAnsi="Times New Roman" w:cs="Times New Roman"/>
                      <w:bCs/>
                      <w:color w:val="000000"/>
                      <w:sz w:val="21"/>
                      <w:szCs w:val="21"/>
                      <w:highlight w:val="none"/>
                      <w:lang w:val="en-US" w:eastAsia="zh-CN"/>
                    </w:rPr>
                    <w:t>限值</w:t>
                  </w:r>
                </w:p>
              </w:tc>
              <w:tc>
                <w:tcPr>
                  <w:tcW w:w="515"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default" w:ascii="Times New Roman" w:hAnsi="Times New Roman" w:cs="Times New Roman"/>
                      <w:bCs/>
                      <w:color w:val="000000"/>
                      <w:sz w:val="21"/>
                      <w:szCs w:val="21"/>
                      <w:highlight w:val="none"/>
                      <w:lang w:val="en-US" w:eastAsia="zh-CN"/>
                    </w:rPr>
                    <w:t>6～9</w:t>
                  </w:r>
                </w:p>
              </w:tc>
              <w:tc>
                <w:tcPr>
                  <w:tcW w:w="674"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ascii="Times New Roman" w:hAnsi="Times New Roman" w:cs="Times New Roman"/>
                      <w:bCs/>
                      <w:color w:val="000000"/>
                      <w:sz w:val="21"/>
                      <w:szCs w:val="21"/>
                      <w:highlight w:val="none"/>
                      <w:lang w:val="en-US" w:eastAsia="zh-CN"/>
                    </w:rPr>
                    <w:t>350</w:t>
                  </w:r>
                </w:p>
              </w:tc>
              <w:tc>
                <w:tcPr>
                  <w:tcW w:w="62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Cs/>
                      <w:color w:val="000000"/>
                      <w:sz w:val="21"/>
                      <w:szCs w:val="21"/>
                      <w:highlight w:val="none"/>
                      <w:lang w:val="en-US" w:eastAsia="zh-CN"/>
                    </w:rPr>
                  </w:pPr>
                  <w:r>
                    <w:rPr>
                      <w:rFonts w:hint="eastAsia" w:ascii="Times New Roman" w:hAnsi="Times New Roman" w:cs="Times New Roman"/>
                      <w:bCs/>
                      <w:color w:val="000000"/>
                      <w:sz w:val="21"/>
                      <w:szCs w:val="21"/>
                      <w:highlight w:val="none"/>
                      <w:lang w:val="en-US" w:eastAsia="zh-CN"/>
                    </w:rPr>
                    <w:t>150</w:t>
                  </w:r>
                </w:p>
              </w:tc>
              <w:tc>
                <w:tcPr>
                  <w:tcW w:w="46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Cs/>
                      <w:color w:val="000000"/>
                      <w:sz w:val="21"/>
                      <w:szCs w:val="21"/>
                      <w:highlight w:val="none"/>
                      <w:lang w:val="en-US" w:eastAsia="zh-CN"/>
                    </w:rPr>
                  </w:pPr>
                  <w:r>
                    <w:rPr>
                      <w:rFonts w:hint="eastAsia" w:ascii="Times New Roman" w:hAnsi="Times New Roman" w:eastAsia="宋体" w:cs="Times New Roman"/>
                      <w:bCs/>
                      <w:color w:val="000000"/>
                      <w:sz w:val="21"/>
                      <w:szCs w:val="21"/>
                      <w:highlight w:val="none"/>
                      <w:lang w:val="en-US" w:eastAsia="zh-CN"/>
                    </w:rPr>
                    <w:t>3</w:t>
                  </w:r>
                  <w:r>
                    <w:rPr>
                      <w:rFonts w:hint="default" w:ascii="Times New Roman" w:hAnsi="Times New Roman" w:eastAsia="宋体" w:cs="Times New Roman"/>
                      <w:bCs/>
                      <w:color w:val="000000"/>
                      <w:sz w:val="21"/>
                      <w:szCs w:val="21"/>
                      <w:highlight w:val="none"/>
                      <w:lang w:val="en-US" w:eastAsia="zh-CN"/>
                    </w:rPr>
                    <w:t>5</w:t>
                  </w:r>
                </w:p>
              </w:tc>
              <w:tc>
                <w:tcPr>
                  <w:tcW w:w="515"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Cs/>
                      <w:color w:val="000000"/>
                      <w:sz w:val="21"/>
                      <w:szCs w:val="21"/>
                      <w:highlight w:val="none"/>
                      <w:lang w:val="en-US" w:eastAsia="zh-CN"/>
                    </w:rPr>
                  </w:pPr>
                  <w:r>
                    <w:rPr>
                      <w:rFonts w:hint="default" w:ascii="Times New Roman" w:hAnsi="Times New Roman" w:eastAsia="宋体" w:cs="Times New Roman"/>
                      <w:bCs/>
                      <w:color w:val="000000"/>
                      <w:sz w:val="21"/>
                      <w:szCs w:val="21"/>
                      <w:highlight w:val="none"/>
                      <w:lang w:val="en-US" w:eastAsia="zh-CN"/>
                    </w:rPr>
                    <w:t>200</w:t>
                  </w:r>
                </w:p>
              </w:tc>
              <w:tc>
                <w:tcPr>
                  <w:tcW w:w="515"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Cs/>
                      <w:color w:val="000000"/>
                      <w:sz w:val="21"/>
                      <w:szCs w:val="21"/>
                      <w:highlight w:val="none"/>
                      <w:lang w:val="en-US" w:eastAsia="zh-CN"/>
                    </w:rPr>
                  </w:pPr>
                  <w:r>
                    <w:rPr>
                      <w:rFonts w:hint="eastAsia" w:ascii="Times New Roman" w:hAnsi="Times New Roman" w:eastAsia="宋体" w:cs="Times New Roman"/>
                      <w:bCs/>
                      <w:color w:val="000000"/>
                      <w:sz w:val="21"/>
                      <w:szCs w:val="21"/>
                      <w:highlight w:val="none"/>
                      <w:lang w:val="en-US" w:eastAsia="zh-CN"/>
                    </w:rPr>
                    <w:t>/</w:t>
                  </w:r>
                </w:p>
              </w:tc>
            </w:tr>
          </w:tbl>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482" w:firstLineChars="200"/>
              <w:textAlignment w:val="auto"/>
              <w:rPr>
                <w:rFonts w:hint="eastAsia" w:ascii="Times New Roman" w:hAnsi="Times New Roman" w:cs="Times New Roman" w:eastAsiaTheme="minorEastAsia"/>
                <w:b/>
                <w:bCs/>
                <w:color w:val="000000" w:themeColor="text1"/>
                <w:sz w:val="24"/>
                <w:szCs w:val="24"/>
                <w:highlight w:val="none"/>
                <w:u w:val="none" w:color="auto"/>
                <w:lang w:eastAsia="zh-CN"/>
                <w14:textFill>
                  <w14:solidFill>
                    <w14:schemeClr w14:val="tx1"/>
                  </w14:solidFill>
                </w14:textFill>
              </w:rPr>
            </w:pPr>
            <w:r>
              <w:rPr>
                <w:rFonts w:hint="default" w:ascii="Times New Roman" w:hAnsi="Times New Roman" w:cs="Times New Roman" w:eastAsiaTheme="minorEastAsia"/>
                <w:b/>
                <w:bCs/>
                <w:color w:val="000000" w:themeColor="text1"/>
                <w:sz w:val="24"/>
                <w:szCs w:val="24"/>
                <w:highlight w:val="none"/>
                <w:u w:val="none" w:color="auto"/>
                <w:lang w:val="en-US" w:eastAsia="zh-CN"/>
                <w14:textFill>
                  <w14:solidFill>
                    <w14:schemeClr w14:val="tx1"/>
                  </w14:solidFill>
                </w14:textFill>
              </w:rPr>
              <w:t>2、</w:t>
            </w:r>
            <w:r>
              <w:rPr>
                <w:rFonts w:hint="eastAsia" w:cs="Times New Roman" w:eastAsiaTheme="minorEastAsia"/>
                <w:b/>
                <w:bCs/>
                <w:color w:val="000000" w:themeColor="text1"/>
                <w:sz w:val="24"/>
                <w:szCs w:val="24"/>
                <w:highlight w:val="none"/>
                <w:u w:val="none" w:color="auto"/>
                <w:lang w:val="en-US" w:eastAsia="zh-CN"/>
                <w14:textFill>
                  <w14:solidFill>
                    <w14:schemeClr w14:val="tx1"/>
                  </w14:solidFill>
                </w14:textFill>
              </w:rPr>
              <w:t>废气</w:t>
            </w:r>
          </w:p>
          <w:p>
            <w:pPr>
              <w:keepNext w:val="0"/>
              <w:keepLines w:val="0"/>
              <w:pageBreakBefore w:val="0"/>
              <w:widowControl w:val="0"/>
              <w:numPr>
                <w:ilvl w:val="0"/>
                <w:numId w:val="0"/>
              </w:numPr>
              <w:suppressLineNumbers w:val="0"/>
              <w:kinsoku/>
              <w:wordWrap/>
              <w:overflowPunct/>
              <w:topLinePunct w:val="0"/>
              <w:autoSpaceDE/>
              <w:autoSpaceDN/>
              <w:bidi w:val="0"/>
              <w:adjustRightInd w:val="0"/>
              <w:snapToGrid w:val="0"/>
              <w:spacing w:before="0" w:beforeAutospacing="0" w:after="0" w:afterAutospacing="0" w:line="360" w:lineRule="auto"/>
              <w:ind w:right="0" w:rightChars="0" w:firstLine="480" w:firstLineChars="200"/>
              <w:textAlignment w:val="auto"/>
              <w:rPr>
                <w:rFonts w:hint="default" w:ascii="Times New Roman" w:hAnsi="Times New Roman" w:eastAsia="宋体" w:cs="Times New Roman"/>
                <w:sz w:val="24"/>
                <w:szCs w:val="24"/>
                <w:highlight w:val="none"/>
                <w:u w:val="none" w:color="auto"/>
                <w:lang w:val="en-US" w:eastAsia="zh-CN"/>
              </w:rPr>
            </w:pPr>
            <w:r>
              <w:rPr>
                <w:rFonts w:hint="eastAsia" w:ascii="Times New Roman" w:hAnsi="Times New Roman" w:eastAsia="宋体" w:cs="Times New Roman"/>
                <w:sz w:val="24"/>
                <w:szCs w:val="24"/>
                <w:highlight w:val="none"/>
                <w:u w:val="none" w:color="auto"/>
                <w:lang w:val="en-US" w:eastAsia="zh-CN"/>
              </w:rPr>
              <w:t>项目营运过程中产生的废气主要为涂布、烘干工序产生的NMP废气、物料装卸产生的粉尘。</w:t>
            </w:r>
            <w:r>
              <w:rPr>
                <w:rFonts w:hint="default" w:ascii="Times New Roman" w:hAnsi="Times New Roman" w:eastAsia="宋体" w:cs="Times New Roman"/>
                <w:sz w:val="24"/>
                <w:szCs w:val="24"/>
                <w:highlight w:val="none"/>
                <w:u w:val="none" w:color="auto"/>
                <w:lang w:eastAsia="zh-CN"/>
              </w:rPr>
              <w:t>由于NMP无相关环境质量标准和污染物排放标准，因此本环评根据《电池工业污染物排放标准》（GB30484-2013）将其列为非甲烷总烃进行分析</w:t>
            </w:r>
            <w:r>
              <w:rPr>
                <w:rFonts w:hint="eastAsia" w:ascii="Times New Roman" w:hAnsi="Times New Roman" w:eastAsia="宋体" w:cs="Times New Roman"/>
                <w:sz w:val="24"/>
                <w:szCs w:val="24"/>
                <w:highlight w:val="none"/>
                <w:u w:val="none" w:color="auto"/>
                <w:lang w:eastAsia="zh-CN"/>
              </w:rPr>
              <w:t>。</w:t>
            </w:r>
            <w:r>
              <w:rPr>
                <w:rFonts w:hint="eastAsia" w:ascii="Times New Roman" w:hAnsi="Times New Roman" w:eastAsia="宋体" w:cs="Times New Roman"/>
                <w:sz w:val="24"/>
                <w:szCs w:val="24"/>
                <w:highlight w:val="none"/>
                <w:u w:val="none" w:color="auto"/>
                <w:lang w:val="en-US" w:eastAsia="zh-CN"/>
              </w:rPr>
              <w:t>项目NMP废气、粉尘颗粒物参照执行</w:t>
            </w:r>
            <w:r>
              <w:rPr>
                <w:rFonts w:hint="default" w:ascii="Times New Roman" w:hAnsi="Times New Roman" w:eastAsia="宋体" w:cs="Times New Roman"/>
                <w:sz w:val="24"/>
                <w:szCs w:val="24"/>
                <w:highlight w:val="none"/>
                <w:u w:val="none" w:color="auto"/>
                <w:lang w:eastAsia="zh-CN"/>
              </w:rPr>
              <w:t>《电池工业污染物排放标准》（GB30484-2013）</w:t>
            </w:r>
            <w:r>
              <w:rPr>
                <w:rFonts w:hint="eastAsia" w:ascii="Times New Roman" w:hAnsi="Times New Roman" w:eastAsia="宋体" w:cs="Times New Roman"/>
                <w:sz w:val="24"/>
                <w:szCs w:val="24"/>
                <w:highlight w:val="none"/>
                <w:u w:val="none" w:color="auto"/>
                <w:lang w:val="en-US" w:eastAsia="zh-CN"/>
              </w:rPr>
              <w:t>中</w:t>
            </w:r>
            <w:r>
              <w:rPr>
                <w:rFonts w:hint="default" w:ascii="Times New Roman" w:hAnsi="Times New Roman" w:eastAsia="宋体" w:cs="Times New Roman"/>
                <w:sz w:val="24"/>
                <w:szCs w:val="24"/>
                <w:highlight w:val="none"/>
                <w:u w:val="none" w:color="auto"/>
                <w:lang w:eastAsia="zh-CN"/>
              </w:rPr>
              <w:t>新建企业大气污染物排放限值和新建企业边界大气污染物浓度限值</w:t>
            </w:r>
            <w:r>
              <w:rPr>
                <w:rFonts w:hint="eastAsia" w:ascii="Times New Roman" w:hAnsi="Times New Roman" w:eastAsia="宋体" w:cs="Times New Roman"/>
                <w:sz w:val="24"/>
                <w:szCs w:val="24"/>
                <w:highlight w:val="none"/>
                <w:u w:val="none" w:color="auto"/>
                <w:lang w:val="en-US" w:eastAsia="zh-CN"/>
              </w:rPr>
              <w:t>，</w:t>
            </w:r>
            <w:r>
              <w:rPr>
                <w:rFonts w:hint="default" w:ascii="Times New Roman" w:hAnsi="Times New Roman" w:eastAsia="宋体" w:cs="Times New Roman"/>
                <w:sz w:val="24"/>
                <w:szCs w:val="24"/>
                <w:highlight w:val="none"/>
                <w:u w:val="none" w:color="auto"/>
                <w:lang w:eastAsia="zh-CN"/>
              </w:rPr>
              <w:t>具体排</w:t>
            </w:r>
            <w:r>
              <w:rPr>
                <w:rFonts w:hint="eastAsia" w:ascii="Times New Roman" w:hAnsi="Times New Roman" w:cs="Times New Roman"/>
                <w:sz w:val="24"/>
                <w:szCs w:val="24"/>
                <w:highlight w:val="none"/>
                <w:u w:val="none" w:color="auto"/>
                <w:lang w:val="en-US" w:eastAsia="zh-CN"/>
              </w:rPr>
              <w:t>放</w:t>
            </w:r>
            <w:r>
              <w:rPr>
                <w:rFonts w:hint="default" w:ascii="Times New Roman" w:hAnsi="Times New Roman" w:eastAsia="宋体" w:cs="Times New Roman"/>
                <w:sz w:val="24"/>
                <w:szCs w:val="24"/>
                <w:highlight w:val="none"/>
                <w:u w:val="none" w:color="auto"/>
                <w:lang w:eastAsia="zh-CN"/>
              </w:rPr>
              <w:t>限值</w:t>
            </w:r>
            <w:r>
              <w:rPr>
                <w:rFonts w:hint="eastAsia" w:ascii="Times New Roman" w:hAnsi="Times New Roman" w:cs="Times New Roman"/>
                <w:sz w:val="24"/>
                <w:szCs w:val="24"/>
                <w:highlight w:val="none"/>
                <w:u w:val="none" w:color="auto"/>
                <w:lang w:val="en-US" w:eastAsia="zh-CN"/>
              </w:rPr>
              <w:t>详见下表</w:t>
            </w:r>
            <w:r>
              <w:rPr>
                <w:rFonts w:hint="eastAsia" w:ascii="Times New Roman" w:hAnsi="Times New Roman" w:eastAsia="宋体" w:cs="Times New Roman"/>
                <w:sz w:val="24"/>
                <w:szCs w:val="24"/>
                <w:highlight w:val="none"/>
                <w:u w:val="none" w:color="auto"/>
                <w:lang w:val="en-US" w:eastAsia="zh-CN"/>
              </w:rPr>
              <w:t>：</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sz w:val="21"/>
                <w:szCs w:val="21"/>
                <w:highlight w:val="none"/>
                <w:lang w:val="en-US" w:eastAsia="zh-CN"/>
              </w:rPr>
            </w:pPr>
            <w:r>
              <w:rPr>
                <w:rFonts w:hint="default" w:ascii="Times New Roman" w:hAnsi="Times New Roman" w:eastAsia="宋体" w:cs="Times New Roman"/>
                <w:b/>
                <w:sz w:val="21"/>
                <w:szCs w:val="21"/>
                <w:highlight w:val="none"/>
                <w:lang w:val="en-US" w:eastAsia="zh-CN"/>
              </w:rPr>
              <w:t>表</w:t>
            </w:r>
            <w:r>
              <w:rPr>
                <w:rFonts w:hint="eastAsia" w:ascii="Times New Roman" w:hAnsi="Times New Roman" w:cs="Times New Roman"/>
                <w:b/>
                <w:sz w:val="21"/>
                <w:szCs w:val="21"/>
                <w:highlight w:val="none"/>
                <w:lang w:val="en-US" w:eastAsia="zh-CN"/>
              </w:rPr>
              <w:t>3-4</w:t>
            </w:r>
            <w:r>
              <w:rPr>
                <w:rFonts w:hint="default" w:ascii="Times New Roman" w:hAnsi="Times New Roman" w:eastAsia="宋体" w:cs="Times New Roman"/>
                <w:b/>
                <w:sz w:val="21"/>
                <w:szCs w:val="21"/>
                <w:highlight w:val="none"/>
                <w:lang w:val="en-US" w:eastAsia="zh-CN"/>
              </w:rPr>
              <w:t xml:space="preserve"> </w:t>
            </w:r>
            <w:r>
              <w:rPr>
                <w:rFonts w:hint="eastAsia" w:cs="Times New Roman"/>
                <w:b/>
                <w:sz w:val="21"/>
                <w:szCs w:val="21"/>
                <w:highlight w:val="none"/>
                <w:lang w:val="en-US" w:eastAsia="zh-CN"/>
              </w:rPr>
              <w:t>废气</w:t>
            </w:r>
            <w:r>
              <w:rPr>
                <w:rFonts w:hint="default" w:ascii="Times New Roman" w:hAnsi="Times New Roman" w:eastAsia="宋体" w:cs="Times New Roman"/>
                <w:b/>
                <w:sz w:val="21"/>
                <w:szCs w:val="21"/>
                <w:highlight w:val="none"/>
                <w:lang w:val="en-US" w:eastAsia="zh-CN"/>
              </w:rPr>
              <w:t>污染物排放限值（摘录）</w:t>
            </w:r>
          </w:p>
          <w:tbl>
            <w:tblPr>
              <w:tblStyle w:val="23"/>
              <w:tblW w:w="4998" w:type="pct"/>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1176"/>
              <w:gridCol w:w="1432"/>
              <w:gridCol w:w="1731"/>
              <w:gridCol w:w="1359"/>
              <w:gridCol w:w="3197"/>
            </w:tblGrid>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61"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r>
                    <w:rPr>
                      <w:rFonts w:hint="default" w:ascii="Times New Roman" w:hAnsi="Times New Roman" w:eastAsia="宋体" w:cs="Times New Roman"/>
                      <w:b w:val="0"/>
                      <w:bCs/>
                      <w:sz w:val="21"/>
                      <w:szCs w:val="21"/>
                      <w:highlight w:val="none"/>
                    </w:rPr>
                    <w:t>污染物</w:t>
                  </w:r>
                </w:p>
              </w:tc>
              <w:tc>
                <w:tcPr>
                  <w:tcW w:w="805"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r>
                    <w:rPr>
                      <w:rFonts w:hint="default" w:ascii="Times New Roman" w:hAnsi="Times New Roman" w:eastAsia="宋体" w:cs="Times New Roman"/>
                      <w:b w:val="0"/>
                      <w:bCs/>
                      <w:sz w:val="21"/>
                      <w:szCs w:val="21"/>
                      <w:highlight w:val="none"/>
                    </w:rPr>
                    <w:t>最高允许排放浓度</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r>
                    <w:rPr>
                      <w:rFonts w:hint="default" w:ascii="Times New Roman" w:hAnsi="Times New Roman" w:eastAsia="宋体" w:cs="Times New Roman"/>
                      <w:b w:val="0"/>
                      <w:bCs/>
                      <w:sz w:val="21"/>
                      <w:szCs w:val="21"/>
                      <w:highlight w:val="none"/>
                    </w:rPr>
                    <w:t>(mg/m</w:t>
                  </w:r>
                  <w:r>
                    <w:rPr>
                      <w:rFonts w:hint="default" w:ascii="Times New Roman" w:hAnsi="Times New Roman" w:eastAsia="宋体" w:cs="Times New Roman"/>
                      <w:b w:val="0"/>
                      <w:bCs/>
                      <w:sz w:val="21"/>
                      <w:szCs w:val="21"/>
                      <w:highlight w:val="none"/>
                      <w:vertAlign w:val="superscript"/>
                    </w:rPr>
                    <w:t>3</w:t>
                  </w:r>
                  <w:r>
                    <w:rPr>
                      <w:rFonts w:hint="default" w:ascii="Times New Roman" w:hAnsi="Times New Roman" w:eastAsia="宋体" w:cs="Times New Roman"/>
                      <w:b w:val="0"/>
                      <w:bCs/>
                      <w:sz w:val="21"/>
                      <w:szCs w:val="21"/>
                      <w:highlight w:val="none"/>
                    </w:rPr>
                    <w:t>)</w:t>
                  </w:r>
                </w:p>
              </w:tc>
              <w:tc>
                <w:tcPr>
                  <w:tcW w:w="1737"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r>
                    <w:rPr>
                      <w:rFonts w:hint="default" w:ascii="Times New Roman" w:hAnsi="Times New Roman" w:eastAsia="宋体" w:cs="Times New Roman"/>
                      <w:b w:val="0"/>
                      <w:bCs/>
                      <w:sz w:val="21"/>
                      <w:szCs w:val="21"/>
                      <w:highlight w:val="none"/>
                    </w:rPr>
                    <w:t>无组织排放</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r>
                    <w:rPr>
                      <w:rFonts w:hint="default" w:ascii="Times New Roman" w:hAnsi="Times New Roman" w:eastAsia="宋体" w:cs="Times New Roman"/>
                      <w:b w:val="0"/>
                      <w:bCs/>
                      <w:sz w:val="21"/>
                      <w:szCs w:val="21"/>
                      <w:highlight w:val="none"/>
                    </w:rPr>
                    <w:t>监控浓度限值</w:t>
                  </w:r>
                </w:p>
              </w:tc>
              <w:tc>
                <w:tcPr>
                  <w:tcW w:w="1796"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r>
                    <w:rPr>
                      <w:rFonts w:hint="default" w:ascii="Times New Roman" w:hAnsi="Times New Roman" w:eastAsia="宋体" w:cs="Times New Roman"/>
                      <w:b w:val="0"/>
                      <w:bCs/>
                      <w:sz w:val="21"/>
                      <w:szCs w:val="21"/>
                      <w:highlight w:val="none"/>
                    </w:rPr>
                    <w:t>标准来源</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61"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p>
              </w:tc>
              <w:tc>
                <w:tcPr>
                  <w:tcW w:w="805"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p>
              </w:tc>
              <w:tc>
                <w:tcPr>
                  <w:tcW w:w="97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r>
                    <w:rPr>
                      <w:rFonts w:hint="default" w:ascii="Times New Roman" w:hAnsi="Times New Roman" w:eastAsia="宋体" w:cs="Times New Roman"/>
                      <w:b w:val="0"/>
                      <w:bCs/>
                      <w:sz w:val="21"/>
                      <w:szCs w:val="21"/>
                      <w:highlight w:val="none"/>
                    </w:rPr>
                    <w:t>监控点</w:t>
                  </w:r>
                </w:p>
              </w:tc>
              <w:tc>
                <w:tcPr>
                  <w:tcW w:w="76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r>
                    <w:rPr>
                      <w:rFonts w:hint="default" w:ascii="Times New Roman" w:hAnsi="Times New Roman" w:eastAsia="宋体" w:cs="Times New Roman"/>
                      <w:b w:val="0"/>
                      <w:bCs/>
                      <w:sz w:val="21"/>
                      <w:szCs w:val="21"/>
                      <w:highlight w:val="none"/>
                    </w:rPr>
                    <w:t>浓度</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r>
                    <w:rPr>
                      <w:rFonts w:hint="default" w:ascii="Times New Roman" w:hAnsi="Times New Roman" w:eastAsia="宋体" w:cs="Times New Roman"/>
                      <w:b w:val="0"/>
                      <w:bCs/>
                      <w:sz w:val="21"/>
                      <w:szCs w:val="21"/>
                      <w:highlight w:val="none"/>
                    </w:rPr>
                    <w:t>(mg/m</w:t>
                  </w:r>
                  <w:r>
                    <w:rPr>
                      <w:rFonts w:hint="default" w:ascii="Times New Roman" w:hAnsi="Times New Roman" w:eastAsia="宋体" w:cs="Times New Roman"/>
                      <w:b w:val="0"/>
                      <w:bCs/>
                      <w:sz w:val="21"/>
                      <w:szCs w:val="21"/>
                      <w:highlight w:val="none"/>
                      <w:vertAlign w:val="superscript"/>
                    </w:rPr>
                    <w:t>3</w:t>
                  </w:r>
                  <w:r>
                    <w:rPr>
                      <w:rFonts w:hint="default" w:ascii="Times New Roman" w:hAnsi="Times New Roman" w:eastAsia="宋体" w:cs="Times New Roman"/>
                      <w:b w:val="0"/>
                      <w:bCs/>
                      <w:sz w:val="21"/>
                      <w:szCs w:val="21"/>
                      <w:highlight w:val="none"/>
                    </w:rPr>
                    <w:t>)</w:t>
                  </w:r>
                </w:p>
              </w:tc>
              <w:tc>
                <w:tcPr>
                  <w:tcW w:w="1796"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61"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lang w:val="en-US" w:eastAsia="zh-CN"/>
                    </w:rPr>
                  </w:pPr>
                  <w:r>
                    <w:rPr>
                      <w:rFonts w:hint="eastAsia" w:ascii="Times New Roman" w:hAnsi="Times New Roman" w:eastAsia="宋体" w:cs="Times New Roman"/>
                      <w:b w:val="0"/>
                      <w:bCs/>
                      <w:sz w:val="21"/>
                      <w:szCs w:val="21"/>
                      <w:highlight w:val="none"/>
                      <w:lang w:val="en-US" w:eastAsia="zh-CN"/>
                    </w:rPr>
                    <w:t>非甲烷总烃</w:t>
                  </w:r>
                </w:p>
              </w:tc>
              <w:tc>
                <w:tcPr>
                  <w:tcW w:w="80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lang w:val="en-US" w:eastAsia="zh-CN"/>
                    </w:rPr>
                  </w:pPr>
                  <w:r>
                    <w:rPr>
                      <w:rFonts w:hint="eastAsia" w:ascii="Times New Roman" w:hAnsi="Times New Roman" w:eastAsia="宋体" w:cs="Times New Roman"/>
                      <w:b w:val="0"/>
                      <w:bCs/>
                      <w:sz w:val="21"/>
                      <w:szCs w:val="21"/>
                      <w:highlight w:val="none"/>
                      <w:lang w:val="en-US" w:eastAsia="zh-CN"/>
                    </w:rPr>
                    <w:t>50</w:t>
                  </w:r>
                </w:p>
              </w:tc>
              <w:tc>
                <w:tcPr>
                  <w:tcW w:w="97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lang w:val="en-US" w:eastAsia="zh-CN"/>
                    </w:rPr>
                  </w:pPr>
                  <w:r>
                    <w:rPr>
                      <w:rFonts w:hint="eastAsia" w:ascii="Times New Roman" w:hAnsi="Times New Roman" w:eastAsia="宋体" w:cs="Times New Roman"/>
                      <w:b w:val="0"/>
                      <w:bCs/>
                      <w:sz w:val="21"/>
                      <w:szCs w:val="21"/>
                      <w:highlight w:val="none"/>
                      <w:lang w:val="en-US" w:eastAsia="zh-CN"/>
                    </w:rPr>
                    <w:t>企业边界最高浓度限值</w:t>
                  </w:r>
                </w:p>
              </w:tc>
              <w:tc>
                <w:tcPr>
                  <w:tcW w:w="76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lang w:val="en-US" w:eastAsia="zh-CN"/>
                    </w:rPr>
                  </w:pPr>
                  <w:r>
                    <w:rPr>
                      <w:rFonts w:hint="default" w:ascii="Times New Roman" w:hAnsi="Times New Roman" w:eastAsia="宋体" w:cs="Times New Roman"/>
                      <w:b w:val="0"/>
                      <w:bCs/>
                      <w:sz w:val="21"/>
                      <w:szCs w:val="21"/>
                      <w:highlight w:val="none"/>
                      <w:lang w:val="en-US" w:eastAsia="zh-CN"/>
                    </w:rPr>
                    <w:t>2.0</w:t>
                  </w:r>
                </w:p>
              </w:tc>
              <w:tc>
                <w:tcPr>
                  <w:tcW w:w="1796"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rPr>
                  </w:pPr>
                  <w:r>
                    <w:rPr>
                      <w:rFonts w:hint="default" w:ascii="Times New Roman" w:hAnsi="Times New Roman" w:eastAsia="宋体" w:cs="Times New Roman"/>
                      <w:b w:val="0"/>
                      <w:bCs/>
                      <w:sz w:val="21"/>
                      <w:szCs w:val="21"/>
                      <w:highlight w:val="none"/>
                      <w:lang w:eastAsia="zh-CN"/>
                    </w:rPr>
                    <w:t>《电池工业污染物排放标准》（GB30484-2013）</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61"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lang w:val="en-US" w:eastAsia="zh-CN"/>
                    </w:rPr>
                  </w:pPr>
                  <w:r>
                    <w:rPr>
                      <w:rFonts w:hint="eastAsia" w:ascii="Times New Roman" w:hAnsi="Times New Roman" w:eastAsia="宋体" w:cs="Times New Roman"/>
                      <w:b w:val="0"/>
                      <w:bCs/>
                      <w:sz w:val="21"/>
                      <w:szCs w:val="21"/>
                      <w:highlight w:val="none"/>
                      <w:lang w:val="en-US" w:eastAsia="zh-CN"/>
                    </w:rPr>
                    <w:t>颗粒物</w:t>
                  </w:r>
                </w:p>
              </w:tc>
              <w:tc>
                <w:tcPr>
                  <w:tcW w:w="80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lang w:val="en-US" w:eastAsia="zh-CN"/>
                    </w:rPr>
                  </w:pPr>
                  <w:r>
                    <w:rPr>
                      <w:rFonts w:hint="eastAsia" w:ascii="Times New Roman" w:hAnsi="Times New Roman" w:eastAsia="宋体" w:cs="Times New Roman"/>
                      <w:b w:val="0"/>
                      <w:bCs/>
                      <w:sz w:val="21"/>
                      <w:szCs w:val="21"/>
                      <w:highlight w:val="none"/>
                      <w:lang w:val="en-US" w:eastAsia="zh-CN"/>
                    </w:rPr>
                    <w:t>30</w:t>
                  </w:r>
                </w:p>
              </w:tc>
              <w:tc>
                <w:tcPr>
                  <w:tcW w:w="97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b w:val="0"/>
                      <w:bCs/>
                      <w:sz w:val="21"/>
                      <w:szCs w:val="21"/>
                      <w:highlight w:val="none"/>
                      <w:lang w:val="en-US" w:eastAsia="zh-CN"/>
                    </w:rPr>
                  </w:pPr>
                  <w:r>
                    <w:rPr>
                      <w:rFonts w:hint="eastAsia" w:ascii="Times New Roman" w:hAnsi="Times New Roman" w:eastAsia="宋体" w:cs="Times New Roman"/>
                      <w:b w:val="0"/>
                      <w:bCs/>
                      <w:sz w:val="21"/>
                      <w:szCs w:val="21"/>
                      <w:highlight w:val="none"/>
                      <w:lang w:val="en-US" w:eastAsia="zh-CN"/>
                    </w:rPr>
                    <w:t>企业边界最高浓度限值</w:t>
                  </w:r>
                </w:p>
              </w:tc>
              <w:tc>
                <w:tcPr>
                  <w:tcW w:w="76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lang w:val="en-US" w:eastAsia="zh-CN"/>
                    </w:rPr>
                  </w:pPr>
                  <w:r>
                    <w:rPr>
                      <w:rFonts w:hint="eastAsia" w:ascii="Times New Roman" w:hAnsi="Times New Roman" w:eastAsia="宋体" w:cs="Times New Roman"/>
                      <w:b w:val="0"/>
                      <w:bCs/>
                      <w:sz w:val="21"/>
                      <w:szCs w:val="21"/>
                      <w:highlight w:val="none"/>
                      <w:lang w:val="en-US" w:eastAsia="zh-CN"/>
                    </w:rPr>
                    <w:t>0.3</w:t>
                  </w:r>
                </w:p>
              </w:tc>
              <w:tc>
                <w:tcPr>
                  <w:tcW w:w="1796"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sz w:val="21"/>
                      <w:szCs w:val="21"/>
                      <w:highlight w:val="none"/>
                      <w:lang w:eastAsia="zh-CN"/>
                    </w:rPr>
                  </w:pPr>
                </w:p>
              </w:tc>
            </w:tr>
          </w:tbl>
          <w:p>
            <w:pPr>
              <w:keepNext w:val="0"/>
              <w:keepLines w:val="0"/>
              <w:numPr>
                <w:ilvl w:val="0"/>
                <w:numId w:val="5"/>
              </w:numPr>
              <w:suppressLineNumbers w:val="0"/>
              <w:spacing w:before="0" w:beforeAutospacing="0" w:after="0" w:afterAutospacing="0" w:line="360" w:lineRule="auto"/>
              <w:ind w:left="0" w:right="0" w:firstLine="482" w:firstLineChars="200"/>
              <w:rPr>
                <w:rFonts w:hint="default" w:ascii="Times New Roman" w:hAnsi="Times New Roman" w:cs="Times New Roman" w:eastAsiaTheme="minorEastAsia"/>
                <w:b/>
                <w:bCs/>
                <w:color w:val="000000" w:themeColor="text1"/>
                <w:sz w:val="24"/>
                <w:szCs w:val="24"/>
                <w:highlight w:val="none"/>
                <w:u w:val="none" w:color="auto"/>
                <w:lang w:bidi="ar"/>
                <w14:textFill>
                  <w14:solidFill>
                    <w14:schemeClr w14:val="tx1"/>
                  </w14:solidFill>
                </w14:textFill>
              </w:rPr>
            </w:pPr>
            <w:r>
              <w:rPr>
                <w:rFonts w:hint="default" w:ascii="Times New Roman" w:hAnsi="Times New Roman" w:cs="Times New Roman" w:eastAsiaTheme="minorEastAsia"/>
                <w:b/>
                <w:bCs/>
                <w:color w:val="000000" w:themeColor="text1"/>
                <w:sz w:val="24"/>
                <w:szCs w:val="24"/>
                <w:highlight w:val="none"/>
                <w:u w:val="none" w:color="auto"/>
                <w:lang w:bidi="ar"/>
                <w14:textFill>
                  <w14:solidFill>
                    <w14:schemeClr w14:val="tx1"/>
                  </w14:solidFill>
                </w14:textFill>
              </w:rPr>
              <w:t>噪声</w:t>
            </w:r>
          </w:p>
          <w:p>
            <w:pPr>
              <w:keepNext w:val="0"/>
              <w:keepLines w:val="0"/>
              <w:numPr>
                <w:ilvl w:val="0"/>
                <w:numId w:val="0"/>
              </w:numPr>
              <w:suppressLineNumbers w:val="0"/>
              <w:spacing w:before="0" w:beforeAutospacing="0" w:after="0" w:afterAutospacing="0" w:line="360" w:lineRule="auto"/>
              <w:ind w:right="0" w:rightChars="0" w:firstLine="480" w:firstLineChars="200"/>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bidi="ar"/>
                <w14:textFill>
                  <w14:solidFill>
                    <w14:schemeClr w14:val="tx1"/>
                  </w14:solidFill>
                </w14:textFill>
              </w:rPr>
              <w:t>运营期项目厂界区域噪声执行《工业企业厂界环境噪声排放标准》（GB12348-2008）</w:t>
            </w:r>
            <w:r>
              <w:rPr>
                <w:rFonts w:hint="eastAsia" w:cs="Times New Roman" w:eastAsiaTheme="minorEastAsia"/>
                <w:color w:val="000000" w:themeColor="text1"/>
                <w:sz w:val="24"/>
                <w:szCs w:val="24"/>
                <w:highlight w:val="none"/>
                <w:u w:val="none" w:color="auto"/>
                <w:lang w:val="en-US" w:eastAsia="zh-CN" w:bidi="ar"/>
                <w14:textFill>
                  <w14:solidFill>
                    <w14:schemeClr w14:val="tx1"/>
                  </w14:solidFill>
                </w14:textFill>
              </w:rPr>
              <w:t>3</w:t>
            </w:r>
            <w:r>
              <w:rPr>
                <w:rFonts w:hint="default" w:ascii="Times New Roman" w:hAnsi="Times New Roman" w:cs="Times New Roman" w:eastAsiaTheme="minorEastAsia"/>
                <w:color w:val="000000" w:themeColor="text1"/>
                <w:sz w:val="24"/>
                <w:szCs w:val="24"/>
                <w:highlight w:val="none"/>
                <w:u w:val="none" w:color="auto"/>
                <w:lang w:bidi="ar"/>
                <w14:textFill>
                  <w14:solidFill>
                    <w14:schemeClr w14:val="tx1"/>
                  </w14:solidFill>
                </w14:textFill>
              </w:rPr>
              <w:t>类标准。</w:t>
            </w:r>
          </w:p>
          <w:p>
            <w:pPr>
              <w:pStyle w:val="59"/>
              <w:bidi w:val="0"/>
              <w:rPr>
                <w:rFonts w:hint="default"/>
                <w:highlight w:val="none"/>
              </w:rPr>
            </w:pPr>
            <w:r>
              <w:rPr>
                <w:rFonts w:hint="default"/>
                <w:b/>
                <w:bCs/>
                <w:highlight w:val="none"/>
              </w:rPr>
              <w:t>表</w:t>
            </w:r>
            <w:r>
              <w:rPr>
                <w:rFonts w:hint="default"/>
                <w:b/>
                <w:bCs/>
                <w:highlight w:val="none"/>
                <w:lang w:val="en-US" w:eastAsia="zh-CN"/>
              </w:rPr>
              <w:t>3</w:t>
            </w:r>
            <w:r>
              <w:rPr>
                <w:rFonts w:hint="default"/>
                <w:b/>
                <w:bCs/>
                <w:highlight w:val="none"/>
              </w:rPr>
              <w:t>-</w:t>
            </w:r>
            <w:r>
              <w:rPr>
                <w:rFonts w:hint="eastAsia"/>
                <w:b/>
                <w:bCs/>
                <w:highlight w:val="none"/>
                <w:lang w:val="en-US" w:eastAsia="zh-CN"/>
              </w:rPr>
              <w:t>5</w:t>
            </w:r>
            <w:r>
              <w:rPr>
                <w:rFonts w:hint="default"/>
                <w:b/>
                <w:bCs/>
                <w:highlight w:val="none"/>
                <w:lang w:val="en-US" w:eastAsia="zh-CN"/>
              </w:rPr>
              <w:t xml:space="preserve"> </w:t>
            </w:r>
            <w:r>
              <w:rPr>
                <w:rFonts w:hint="default"/>
                <w:b/>
                <w:bCs/>
                <w:highlight w:val="none"/>
              </w:rPr>
              <w:t>工业企业厂界环境噪声排放标准限值单位：dB（A）</w:t>
            </w:r>
          </w:p>
          <w:tbl>
            <w:tblPr>
              <w:tblStyle w:val="23"/>
              <w:tblW w:w="4995" w:type="pct"/>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autofit"/>
              <w:tblCellMar>
                <w:top w:w="0" w:type="dxa"/>
                <w:left w:w="108" w:type="dxa"/>
                <w:bottom w:w="0" w:type="dxa"/>
                <w:right w:w="108" w:type="dxa"/>
              </w:tblCellMar>
            </w:tblPr>
            <w:tblGrid>
              <w:gridCol w:w="2908"/>
              <w:gridCol w:w="2992"/>
              <w:gridCol w:w="298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636" w:type="pct"/>
                  <w:tcBorders>
                    <w:top w:val="single" w:color="auto" w:sz="6" w:space="0"/>
                    <w:left w:val="single" w:color="auto" w:sz="6" w:space="0"/>
                    <w:bottom w:val="single" w:color="auto" w:sz="6" w:space="0"/>
                    <w:right w:val="single" w:color="auto" w:sz="6" w:space="0"/>
                  </w:tcBorders>
                  <w:noWrap w:val="0"/>
                  <w:vAlign w:val="center"/>
                </w:tcPr>
                <w:p>
                  <w:pPr>
                    <w:pStyle w:val="59"/>
                    <w:bidi w:val="0"/>
                    <w:rPr>
                      <w:rFonts w:hint="default"/>
                      <w:highlight w:val="none"/>
                    </w:rPr>
                  </w:pPr>
                  <w:r>
                    <w:rPr>
                      <w:rFonts w:hint="default"/>
                      <w:highlight w:val="none"/>
                    </w:rPr>
                    <w:t>类别</w:t>
                  </w:r>
                </w:p>
              </w:tc>
              <w:tc>
                <w:tcPr>
                  <w:tcW w:w="1683" w:type="pct"/>
                  <w:tcBorders>
                    <w:top w:val="single" w:color="auto" w:sz="6" w:space="0"/>
                    <w:left w:val="single" w:color="auto" w:sz="6" w:space="0"/>
                    <w:bottom w:val="single" w:color="auto" w:sz="6" w:space="0"/>
                    <w:right w:val="single" w:color="auto" w:sz="6" w:space="0"/>
                  </w:tcBorders>
                  <w:noWrap w:val="0"/>
                  <w:vAlign w:val="center"/>
                </w:tcPr>
                <w:p>
                  <w:pPr>
                    <w:pStyle w:val="59"/>
                    <w:bidi w:val="0"/>
                    <w:rPr>
                      <w:rFonts w:hint="default"/>
                      <w:highlight w:val="none"/>
                    </w:rPr>
                  </w:pPr>
                  <w:r>
                    <w:rPr>
                      <w:rFonts w:hint="default"/>
                      <w:highlight w:val="none"/>
                    </w:rPr>
                    <w:t>昼间</w:t>
                  </w:r>
                </w:p>
              </w:tc>
              <w:tc>
                <w:tcPr>
                  <w:tcW w:w="1679" w:type="pct"/>
                  <w:tcBorders>
                    <w:top w:val="single" w:color="auto" w:sz="6" w:space="0"/>
                    <w:left w:val="single" w:color="auto" w:sz="6" w:space="0"/>
                    <w:bottom w:val="single" w:color="auto" w:sz="6" w:space="0"/>
                    <w:right w:val="single" w:color="auto" w:sz="6" w:space="0"/>
                  </w:tcBorders>
                  <w:noWrap w:val="0"/>
                  <w:vAlign w:val="center"/>
                </w:tcPr>
                <w:p>
                  <w:pPr>
                    <w:pStyle w:val="59"/>
                    <w:bidi w:val="0"/>
                    <w:rPr>
                      <w:rFonts w:hint="default"/>
                      <w:highlight w:val="none"/>
                    </w:rPr>
                  </w:pPr>
                  <w:r>
                    <w:rPr>
                      <w:rFonts w:hint="default"/>
                      <w:highlight w:val="none"/>
                    </w:rPr>
                    <w:t>夜间</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636" w:type="pct"/>
                  <w:tcBorders>
                    <w:top w:val="single" w:color="auto" w:sz="6" w:space="0"/>
                    <w:left w:val="single" w:color="auto" w:sz="6" w:space="0"/>
                    <w:bottom w:val="single" w:color="auto" w:sz="6" w:space="0"/>
                    <w:right w:val="single" w:color="auto" w:sz="6" w:space="0"/>
                  </w:tcBorders>
                  <w:noWrap w:val="0"/>
                  <w:vAlign w:val="center"/>
                </w:tcPr>
                <w:p>
                  <w:pPr>
                    <w:pStyle w:val="59"/>
                    <w:bidi w:val="0"/>
                    <w:rPr>
                      <w:rFonts w:hint="default"/>
                      <w:highlight w:val="none"/>
                    </w:rPr>
                  </w:pPr>
                  <w:r>
                    <w:rPr>
                      <w:rFonts w:hint="eastAsia"/>
                      <w:highlight w:val="none"/>
                      <w:lang w:val="en-US" w:eastAsia="zh-CN"/>
                    </w:rPr>
                    <w:t>3</w:t>
                  </w:r>
                  <w:r>
                    <w:rPr>
                      <w:rFonts w:hint="default"/>
                      <w:highlight w:val="none"/>
                    </w:rPr>
                    <w:t>类</w:t>
                  </w:r>
                </w:p>
              </w:tc>
              <w:tc>
                <w:tcPr>
                  <w:tcW w:w="1683" w:type="pct"/>
                  <w:tcBorders>
                    <w:top w:val="single" w:color="auto" w:sz="6" w:space="0"/>
                    <w:left w:val="single" w:color="auto" w:sz="6" w:space="0"/>
                    <w:bottom w:val="single" w:color="auto" w:sz="6" w:space="0"/>
                    <w:right w:val="single" w:color="auto" w:sz="6" w:space="0"/>
                  </w:tcBorders>
                  <w:noWrap w:val="0"/>
                  <w:vAlign w:val="center"/>
                </w:tcPr>
                <w:p>
                  <w:pPr>
                    <w:pStyle w:val="59"/>
                    <w:bidi w:val="0"/>
                    <w:rPr>
                      <w:rFonts w:hint="default" w:eastAsia="宋体"/>
                      <w:highlight w:val="none"/>
                      <w:lang w:val="en-US" w:eastAsia="zh-CN"/>
                    </w:rPr>
                  </w:pPr>
                  <w:r>
                    <w:rPr>
                      <w:rFonts w:hint="eastAsia"/>
                      <w:highlight w:val="none"/>
                      <w:lang w:val="en-US" w:eastAsia="zh-CN"/>
                    </w:rPr>
                    <w:t>65</w:t>
                  </w:r>
                </w:p>
              </w:tc>
              <w:tc>
                <w:tcPr>
                  <w:tcW w:w="1679" w:type="pct"/>
                  <w:tcBorders>
                    <w:top w:val="single" w:color="auto" w:sz="6" w:space="0"/>
                    <w:left w:val="single" w:color="auto" w:sz="6" w:space="0"/>
                    <w:bottom w:val="single" w:color="auto" w:sz="6" w:space="0"/>
                    <w:right w:val="single" w:color="auto" w:sz="6" w:space="0"/>
                  </w:tcBorders>
                  <w:noWrap w:val="0"/>
                  <w:vAlign w:val="center"/>
                </w:tcPr>
                <w:p>
                  <w:pPr>
                    <w:pStyle w:val="59"/>
                    <w:bidi w:val="0"/>
                    <w:rPr>
                      <w:rFonts w:hint="default" w:eastAsia="宋体"/>
                      <w:highlight w:val="none"/>
                      <w:lang w:val="en-US" w:eastAsia="zh-CN"/>
                    </w:rPr>
                  </w:pPr>
                  <w:r>
                    <w:rPr>
                      <w:rFonts w:hint="eastAsia"/>
                      <w:highlight w:val="none"/>
                      <w:lang w:val="en-US" w:eastAsia="zh-CN"/>
                    </w:rPr>
                    <w:t>55</w:t>
                  </w:r>
                </w:p>
              </w:tc>
            </w:tr>
          </w:tbl>
          <w:p>
            <w:pPr>
              <w:keepNext w:val="0"/>
              <w:keepLines w:val="0"/>
              <w:pageBreakBefore w:val="0"/>
              <w:widowControl w:val="0"/>
              <w:numPr>
                <w:ilvl w:val="0"/>
                <w:numId w:val="5"/>
              </w:numPr>
              <w:kinsoku/>
              <w:wordWrap/>
              <w:overflowPunct/>
              <w:topLinePunct w:val="0"/>
              <w:autoSpaceDE/>
              <w:autoSpaceDN/>
              <w:bidi w:val="0"/>
              <w:adjustRightInd w:val="0"/>
              <w:snapToGrid w:val="0"/>
              <w:spacing w:line="360" w:lineRule="auto"/>
              <w:ind w:left="0" w:leftChars="0" w:firstLine="482" w:firstLineChars="200"/>
              <w:textAlignment w:val="auto"/>
              <w:rPr>
                <w:rFonts w:hint="default" w:ascii="Times New Roman" w:hAnsi="Times New Roman" w:cs="Times New Roman" w:eastAsiaTheme="minorEastAsia"/>
                <w:b/>
                <w:bCs/>
                <w:color w:val="000000" w:themeColor="text1"/>
                <w:sz w:val="24"/>
                <w:szCs w:val="24"/>
                <w:highlight w:val="none"/>
                <w:u w:val="none" w:color="auto"/>
                <w:lang w:bidi="ar"/>
                <w14:textFill>
                  <w14:solidFill>
                    <w14:schemeClr w14:val="tx1"/>
                  </w14:solidFill>
                </w14:textFill>
              </w:rPr>
            </w:pPr>
            <w:r>
              <w:rPr>
                <w:rFonts w:hint="default" w:ascii="Times New Roman" w:hAnsi="Times New Roman" w:cs="Times New Roman" w:eastAsiaTheme="minorEastAsia"/>
                <w:b/>
                <w:bCs/>
                <w:color w:val="000000" w:themeColor="text1"/>
                <w:sz w:val="24"/>
                <w:szCs w:val="24"/>
                <w:highlight w:val="none"/>
                <w:u w:val="none" w:color="auto"/>
                <w:lang w:bidi="ar"/>
                <w14:textFill>
                  <w14:solidFill>
                    <w14:schemeClr w14:val="tx1"/>
                  </w14:solidFill>
                </w14:textFill>
              </w:rPr>
              <w:t>固体废物</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color w:val="000000" w:themeColor="text1"/>
                <w:sz w:val="24"/>
                <w:szCs w:val="24"/>
                <w:highlight w:val="yellow"/>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bidi="ar"/>
                <w14:textFill>
                  <w14:solidFill>
                    <w14:schemeClr w14:val="tx1"/>
                  </w14:solidFill>
                </w14:textFill>
              </w:rPr>
              <w:t>一般固体废物执行《一般工业废物储存、处置场污染控制标准》（GB18599-20</w:t>
            </w:r>
            <w:r>
              <w:rPr>
                <w:rFonts w:hint="eastAsia" w:ascii="Times New Roman" w:hAnsi="Times New Roman" w:cs="Times New Roman" w:eastAsiaTheme="minorEastAsia"/>
                <w:color w:val="000000" w:themeColor="text1"/>
                <w:sz w:val="24"/>
                <w:szCs w:val="24"/>
                <w:highlight w:val="none"/>
                <w:u w:val="none" w:color="auto"/>
                <w:lang w:val="en-US" w:eastAsia="zh-CN" w:bidi="ar"/>
                <w14:textFill>
                  <w14:solidFill>
                    <w14:schemeClr w14:val="tx1"/>
                  </w14:solidFill>
                </w14:textFill>
              </w:rPr>
              <w:t>20</w:t>
            </w:r>
            <w:r>
              <w:rPr>
                <w:rFonts w:hint="default" w:ascii="Times New Roman" w:hAnsi="Times New Roman" w:cs="Times New Roman" w:eastAsiaTheme="minorEastAsia"/>
                <w:color w:val="000000" w:themeColor="text1"/>
                <w:sz w:val="24"/>
                <w:szCs w:val="24"/>
                <w:highlight w:val="none"/>
                <w:u w:val="none" w:color="auto"/>
                <w:lang w:bidi="ar"/>
                <w14:textFill>
                  <w14:solidFill>
                    <w14:schemeClr w14:val="tx1"/>
                  </w14:solidFill>
                </w14:textFill>
              </w:rPr>
              <w:t>）</w:t>
            </w:r>
            <w:r>
              <w:rPr>
                <w:rFonts w:hint="eastAsia" w:ascii="Times New Roman" w:hAnsi="Times New Roman" w:cs="Times New Roman" w:eastAsiaTheme="minorEastAsia"/>
                <w:color w:val="000000" w:themeColor="text1"/>
                <w:sz w:val="24"/>
                <w:szCs w:val="24"/>
                <w:highlight w:val="none"/>
                <w:u w:val="none" w:color="auto"/>
                <w:lang w:val="en-US" w:eastAsia="zh-CN" w:bidi="ar"/>
                <w14:textFill>
                  <w14:solidFill>
                    <w14:schemeClr w14:val="tx1"/>
                  </w14:solidFill>
                </w14:textFill>
              </w:rPr>
              <w:t>；</w:t>
            </w:r>
            <w:r>
              <w:rPr>
                <w:rFonts w:hint="default" w:ascii="Times New Roman" w:hAnsi="Times New Roman" w:cs="Times New Roman" w:eastAsiaTheme="minorEastAsia"/>
                <w:color w:val="000000" w:themeColor="text1"/>
                <w:sz w:val="24"/>
                <w:szCs w:val="24"/>
                <w:highlight w:val="none"/>
                <w:u w:val="none" w:color="auto"/>
                <w:lang w:bidi="ar"/>
                <w14:textFill>
                  <w14:solidFill>
                    <w14:schemeClr w14:val="tx1"/>
                  </w14:solidFill>
                </w14:textFill>
              </w:rPr>
              <w:t>生活垃圾执行《生活垃圾填埋场污染控制标准》（GB16889-2008）</w:t>
            </w:r>
            <w:r>
              <w:rPr>
                <w:rFonts w:hint="eastAsia" w:cs="Times New Roman" w:eastAsiaTheme="minorEastAsia"/>
                <w:color w:val="000000" w:themeColor="text1"/>
                <w:sz w:val="24"/>
                <w:szCs w:val="24"/>
                <w:highlight w:val="none"/>
                <w:u w:val="none" w:color="auto"/>
                <w:lang w:eastAsia="zh-CN" w:bidi="ar"/>
                <w14:textFill>
                  <w14:solidFill>
                    <w14:schemeClr w14:val="tx1"/>
                  </w14:solidFill>
                </w14:textFill>
              </w:rPr>
              <w:t>；危险固废执行《危险废物贮存污染控制标准》(GB18597-2001)及2013年修改单中的相关标准</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1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440" w:lineRule="exact"/>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总量控制指标</w:t>
            </w:r>
          </w:p>
        </w:tc>
        <w:tc>
          <w:tcPr>
            <w:tcW w:w="4580" w:type="pct"/>
            <w:tcBorders>
              <w:tl2br w:val="nil"/>
              <w:tr2bl w:val="nil"/>
            </w:tcBorders>
            <w:vAlign w:val="center"/>
          </w:tcPr>
          <w:p>
            <w:pPr>
              <w:keepNext w:val="0"/>
              <w:keepLines w:val="0"/>
              <w:pageBreakBefore w:val="0"/>
              <w:widowControl w:val="0"/>
              <w:suppressLineNumbers w:val="0"/>
              <w:tabs>
                <w:tab w:val="left" w:pos="2508"/>
              </w:tabs>
              <w:kinsoku/>
              <w:wordWrap/>
              <w:overflowPunct/>
              <w:topLinePunct w:val="0"/>
              <w:autoSpaceDE/>
              <w:autoSpaceDN/>
              <w:bidi w:val="0"/>
              <w:adjustRightInd w:val="0"/>
              <w:snapToGrid w:val="0"/>
              <w:spacing w:before="0" w:beforeAutospacing="0" w:after="0" w:afterAutospacing="0" w:line="440" w:lineRule="exact"/>
              <w:ind w:left="0" w:right="0" w:firstLine="480"/>
              <w:textAlignment w:val="auto"/>
              <w:rPr>
                <w:rFonts w:hint="default" w:ascii="Times New Roman" w:hAnsi="Times New Roman" w:cs="Times New Roman" w:eastAsiaTheme="minorEastAsia"/>
                <w:color w:val="000000" w:themeColor="text1"/>
                <w:sz w:val="24"/>
                <w:szCs w:val="24"/>
                <w:highlight w:val="none"/>
                <w:u w:val="none" w:color="auto"/>
                <w:lang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根据项目工程分析，本项目纳入总量控制要求的主要污染物是COD、NH</w:t>
            </w:r>
            <w:r>
              <w:rPr>
                <w:rFonts w:hint="eastAsia" w:cs="Times New Roman" w:eastAsiaTheme="minorEastAsia"/>
                <w:color w:val="000000" w:themeColor="text1"/>
                <w:sz w:val="24"/>
                <w:szCs w:val="24"/>
                <w:highlight w:val="none"/>
                <w:u w:val="none" w:color="auto"/>
                <w:vertAlign w:val="subscript"/>
                <w:lang w:val="en-US" w:eastAsia="zh-CN"/>
                <w14:textFill>
                  <w14:solidFill>
                    <w14:schemeClr w14:val="tx1"/>
                  </w14:solidFill>
                </w14:textFill>
              </w:rPr>
              <w:t>3</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-N及 非甲烷总烃。废水</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产生量约</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8767.2</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m</w:t>
            </w:r>
            <w:r>
              <w:rPr>
                <w:rFonts w:hint="default" w:ascii="Times New Roman" w:hAnsi="Times New Roman" w:cs="Times New Roman" w:eastAsiaTheme="minorEastAsia"/>
                <w:color w:val="000000" w:themeColor="text1"/>
                <w:sz w:val="24"/>
                <w:szCs w:val="24"/>
                <w:highlight w:val="none"/>
                <w:u w:val="none" w:color="auto"/>
                <w:vertAlign w:val="superscript"/>
                <w14:textFill>
                  <w14:solidFill>
                    <w14:schemeClr w14:val="tx1"/>
                  </w14:solidFill>
                </w14:textFill>
              </w:rPr>
              <w:t>3</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/a，</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生活污水经化粪池处理后进入市政管网，排入新田县污水处理厂进行深度处理；搅拌桶清洗废水、电池清洗废水经三级沉淀池+水处理试剂预处理后排入开发区污水管网进入新田县污水处理厂进行深度处理。NMP废气：拟设计一套NMP回收系统（三级降温冷凝+水喷淋）+尾气处理系统（活性炭+回风循环），经处理后的废气由管道引至楼顶排放</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。废水</w:t>
            </w:r>
            <w:r>
              <w:rPr>
                <w:rFonts w:hint="eastAsia" w:cs="Times New Roman" w:eastAsiaTheme="minorEastAsia"/>
                <w:color w:val="000000" w:themeColor="text1"/>
                <w:sz w:val="24"/>
                <w:szCs w:val="24"/>
                <w:highlight w:val="none"/>
                <w:u w:val="none" w:color="auto"/>
                <w:lang w:eastAsia="zh-CN"/>
                <w14:textFill>
                  <w14:solidFill>
                    <w14:schemeClr w14:val="tx1"/>
                  </w14:solidFill>
                </w14:textFill>
              </w:rPr>
              <w:t>、</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废气</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总量控制建议指标</w:t>
            </w:r>
            <w:r>
              <w:rPr>
                <w:rFonts w:hint="default" w:ascii="Times New Roman" w:hAnsi="Times New Roman" w:cs="Times New Roman" w:eastAsiaTheme="minorEastAsia"/>
                <w:color w:val="000000" w:themeColor="text1"/>
                <w:sz w:val="24"/>
                <w:szCs w:val="24"/>
                <w:highlight w:val="none"/>
                <w:u w:val="none" w:color="auto"/>
                <w:lang w:eastAsia="zh-CN"/>
                <w14:textFill>
                  <w14:solidFill>
                    <w14:schemeClr w14:val="tx1"/>
                  </w14:solidFill>
                </w14:textFill>
              </w:rPr>
              <w:t>如下：</w:t>
            </w:r>
          </w:p>
          <w:p>
            <w:pPr>
              <w:keepNext w:val="0"/>
              <w:keepLines w:val="0"/>
              <w:pageBreakBefore w:val="0"/>
              <w:widowControl w:val="0"/>
              <w:suppressLineNumbers w:val="0"/>
              <w:tabs>
                <w:tab w:val="left" w:pos="2508"/>
              </w:tabs>
              <w:kinsoku/>
              <w:wordWrap/>
              <w:overflowPunct/>
              <w:topLinePunct w:val="0"/>
              <w:autoSpaceDE/>
              <w:autoSpaceDN/>
              <w:bidi w:val="0"/>
              <w:adjustRightInd w:val="0"/>
              <w:snapToGrid w:val="0"/>
              <w:spacing w:before="0" w:beforeAutospacing="0" w:after="0" w:afterAutospacing="0" w:line="440" w:lineRule="exact"/>
              <w:ind w:left="0" w:right="0" w:firstLine="480"/>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废水排放量</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8640</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m</w:t>
            </w:r>
            <w:r>
              <w:rPr>
                <w:rFonts w:hint="default" w:ascii="Times New Roman" w:hAnsi="Times New Roman" w:cs="Times New Roman" w:eastAsiaTheme="minorEastAsia"/>
                <w:color w:val="000000" w:themeColor="text1"/>
                <w:sz w:val="24"/>
                <w:szCs w:val="24"/>
                <w:highlight w:val="none"/>
                <w:u w:val="none" w:color="auto"/>
                <w:vertAlign w:val="superscript"/>
                <w14:textFill>
                  <w14:solidFill>
                    <w14:schemeClr w14:val="tx1"/>
                  </w14:solidFill>
                </w14:textFill>
              </w:rPr>
              <w:t>3</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/a</w:t>
            </w:r>
            <w:r>
              <w:rPr>
                <w:rFonts w:hint="default" w:ascii="Times New Roman" w:hAnsi="Times New Roman" w:cs="Times New Roman" w:eastAsiaTheme="minorEastAsia"/>
                <w:color w:val="000000" w:themeColor="text1"/>
                <w:sz w:val="24"/>
                <w:szCs w:val="24"/>
                <w:highlight w:val="none"/>
                <w:u w:val="none" w:color="auto"/>
                <w:lang w:eastAsia="zh-CN"/>
                <w14:textFill>
                  <w14:solidFill>
                    <w14:schemeClr w14:val="tx1"/>
                  </w14:solidFill>
                </w14:textFill>
              </w:rPr>
              <w:t>，</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COD排放量为3.08232t/a，氨氮排放量为0.3456t/a。</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废气非甲烷总烃排放量为0.3493t/at/a。</w:t>
            </w:r>
          </w:p>
        </w:tc>
      </w:tr>
    </w:tbl>
    <w:p>
      <w:pPr>
        <w:pStyle w:val="18"/>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3"/>
        <w:keepNext/>
        <w:keepLines/>
        <w:pageBreakBefore w:val="0"/>
        <w:widowControl w:val="0"/>
        <w:numPr>
          <w:ilvl w:val="0"/>
          <w:numId w:val="0"/>
        </w:numPr>
        <w:kinsoku/>
        <w:wordWrap/>
        <w:overflowPunct/>
        <w:topLinePunct w:val="0"/>
        <w:autoSpaceDE/>
        <w:autoSpaceDN/>
        <w:bidi w:val="0"/>
        <w:adjustRightInd w:val="0"/>
        <w:snapToGrid w:val="0"/>
        <w:spacing w:before="0" w:beforeLines="0" w:after="0" w:afterLines="0" w:line="240" w:lineRule="auto"/>
        <w:ind w:leftChars="0"/>
        <w:jc w:val="center"/>
        <w:textAlignment w:val="auto"/>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pPr>
      <w:bookmarkStart w:id="9" w:name="_Toc2643"/>
      <w:r>
        <w:rPr>
          <w:rFonts w:hint="default" w:ascii="Times New Roman" w:hAnsi="Times New Roman" w:cs="Times New Roman" w:eastAsiaTheme="minorEastAsia"/>
          <w:b/>
          <w:color w:val="000000" w:themeColor="text1"/>
          <w:sz w:val="36"/>
          <w:szCs w:val="36"/>
          <w:highlight w:val="none"/>
          <w:u w:val="none" w:color="auto"/>
          <w:lang w:val="en-US" w:eastAsia="zh-CN"/>
          <w14:textFill>
            <w14:solidFill>
              <w14:schemeClr w14:val="tx1"/>
            </w14:solidFill>
          </w14:textFill>
        </w:rPr>
        <w:t>四、主要环境影响和保护措施</w:t>
      </w:r>
      <w:bookmarkEnd w:id="9"/>
    </w:p>
    <w:tbl>
      <w:tblPr>
        <w:tblStyle w:val="24"/>
        <w:tblW w:w="4999"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89"/>
        <w:gridCol w:w="917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9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施工期环境保护措施</w:t>
            </w:r>
          </w:p>
        </w:tc>
        <w:tc>
          <w:tcPr>
            <w:tcW w:w="4603" w:type="pct"/>
            <w:tcBorders>
              <w:tl2br w:val="nil"/>
              <w:tr2bl w:val="nil"/>
            </w:tcBorders>
            <w:vAlign w:val="center"/>
          </w:tcPr>
          <w:p>
            <w:pPr>
              <w:spacing w:beforeLines="50"/>
              <w:ind w:firstLine="0" w:firstLineChars="0"/>
              <w:rPr>
                <w:rFonts w:ascii="Times New Roman" w:hAnsi="Times New Roman" w:eastAsia="宋体" w:cs="Times New Roman"/>
                <w:szCs w:val="24"/>
                <w:highlight w:val="none"/>
              </w:rPr>
            </w:pPr>
            <w:r>
              <w:rPr>
                <w:rFonts w:ascii="Times New Roman" w:hAnsi="Times New Roman" w:eastAsia="宋体" w:cs="Times New Roman"/>
                <w:b/>
                <w:bCs/>
                <w:sz w:val="28"/>
                <w:szCs w:val="28"/>
                <w:highlight w:val="none"/>
              </w:rPr>
              <w:t>施工期环境影响分析</w:t>
            </w:r>
          </w:p>
          <w:p>
            <w:pPr>
              <w:keepNext w:val="0"/>
              <w:keepLines w:val="0"/>
              <w:pageBreakBefore w:val="0"/>
              <w:widowControl w:val="0"/>
              <w:kinsoku/>
              <w:wordWrap/>
              <w:overflowPunct/>
              <w:topLinePunct w:val="0"/>
              <w:autoSpaceDE/>
              <w:autoSpaceDN/>
              <w:bidi w:val="0"/>
              <w:adjustRightInd w:val="0"/>
              <w:snapToGrid w:val="0"/>
              <w:spacing w:line="360" w:lineRule="auto"/>
              <w:ind w:left="0" w:firstLine="480" w:firstLineChars="200"/>
              <w:textAlignment w:val="auto"/>
              <w:rPr>
                <w:rFonts w:hint="eastAsia" w:ascii="Times New Roman" w:hAnsi="Times New Roman" w:eastAsia="宋体" w:cs="Times New Roman"/>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highlight w:val="none"/>
                <w:u w:val="none" w:color="auto"/>
                <w:lang w:val="en-US" w:eastAsia="zh-CN"/>
                <w14:textFill>
                  <w14:solidFill>
                    <w14:schemeClr w14:val="tx1"/>
                  </w14:solidFill>
                </w14:textFill>
              </w:rPr>
              <w:t>本项目施工期环境影响主要为设备安装以及对厂房的装修时产生的噪声影响，随着设备安装的结束，影响也随之结束，施工期的环境影响是暂时的，项目营运后，施工期的影响也会逐渐消失，故本项目不对施工期环境影响进行分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39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运营期环境影响和保护措施</w:t>
            </w:r>
          </w:p>
        </w:tc>
        <w:tc>
          <w:tcPr>
            <w:tcW w:w="460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beforeLines="50"/>
              <w:ind w:firstLine="0" w:firstLineChars="0"/>
              <w:textAlignment w:val="auto"/>
              <w:rPr>
                <w:rFonts w:ascii="Times New Roman" w:hAnsi="Times New Roman" w:eastAsia="宋体" w:cs="Times New Roman"/>
                <w:b/>
                <w:sz w:val="28"/>
                <w:szCs w:val="28"/>
              </w:rPr>
            </w:pPr>
            <w:r>
              <w:rPr>
                <w:rFonts w:ascii="Times New Roman" w:hAnsi="Times New Roman" w:eastAsia="宋体" w:cs="Times New Roman"/>
                <w:b/>
                <w:sz w:val="28"/>
                <w:szCs w:val="28"/>
              </w:rPr>
              <w:t>营运期环境影响分析</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right="0" w:firstLine="482" w:firstLineChars="200"/>
              <w:textAlignment w:val="auto"/>
              <w:rPr>
                <w:rFonts w:hint="eastAsia" w:ascii="Times New Roman" w:hAnsi="Times New Roman" w:cs="Times New Roman"/>
                <w:b/>
                <w:bCs/>
                <w:color w:val="000000"/>
                <w:sz w:val="24"/>
                <w:szCs w:val="24"/>
                <w:highlight w:val="none"/>
                <w:u w:val="none" w:color="auto"/>
                <w:lang w:val="en-US" w:eastAsia="zh-CN"/>
              </w:rPr>
            </w:pPr>
            <w:r>
              <w:rPr>
                <w:rFonts w:hint="eastAsia" w:cs="Times New Roman"/>
                <w:b/>
                <w:bCs/>
                <w:color w:val="000000"/>
                <w:sz w:val="24"/>
                <w:szCs w:val="24"/>
                <w:highlight w:val="none"/>
                <w:u w:val="none" w:color="auto"/>
                <w:lang w:val="en-US" w:eastAsia="zh-CN"/>
              </w:rPr>
              <w:t>1</w:t>
            </w:r>
            <w:r>
              <w:rPr>
                <w:rFonts w:hint="eastAsia" w:ascii="Times New Roman" w:hAnsi="Times New Roman" w:cs="Times New Roman"/>
                <w:b/>
                <w:bCs/>
                <w:color w:val="000000"/>
                <w:sz w:val="24"/>
                <w:szCs w:val="24"/>
                <w:highlight w:val="none"/>
                <w:u w:val="none" w:color="auto"/>
                <w:lang w:val="en-US" w:eastAsia="zh-CN"/>
              </w:rPr>
              <w:t>、大气环境影响分析</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right="0" w:firstLine="480" w:firstLineChars="200"/>
              <w:textAlignment w:val="auto"/>
              <w:rPr>
                <w:rFonts w:hint="eastAsia" w:cs="Times New Roman" w:eastAsiaTheme="minorEastAsia"/>
                <w:color w:val="000000" w:themeColor="text1"/>
                <w:sz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highlight w:val="none"/>
                <w:u w:val="none" w:color="auto"/>
                <w:lang w:val="en-US" w:eastAsia="zh-CN"/>
                <w14:textFill>
                  <w14:solidFill>
                    <w14:schemeClr w14:val="tx1"/>
                  </w14:solidFill>
                </w14:textFill>
              </w:rPr>
              <w:t>本项目营运期间产生的废气主要未涂布烘干工序产生的NMP废气（以非甲烷总烃计）、物料装卸粉尘以及食堂油烟。</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right="0" w:firstLine="480" w:firstLineChars="200"/>
              <w:textAlignment w:val="auto"/>
              <w:rPr>
                <w:rFonts w:hint="eastAsia"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（1）NMP废气</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right="0" w:firstLine="480" w:firstLineChars="200"/>
              <w:textAlignment w:val="auto"/>
              <w:rPr>
                <w:rFonts w:hint="eastAsia"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项目正极生产采用NMP作为溶剂，正极涂布烘干过程会产生NMP废气（以非甲烷总烃评价）。项目负极生产使用水作为溶剂，烘干过程会产生水蒸气，可不考虑其产生量及其产生的环境污染。</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eastAsia"/>
                <w:szCs w:val="24"/>
                <w:lang w:val="en-US" w:eastAsia="zh-CN"/>
              </w:rPr>
            </w:pPr>
            <w:r>
              <w:rPr>
                <w:rFonts w:hint="eastAsia" w:ascii="Times New Roman" w:eastAsia="宋体"/>
                <w:szCs w:val="24"/>
                <w:lang w:val="en-US" w:eastAsia="zh-CN"/>
              </w:rPr>
              <w:fldChar w:fldCharType="begin"/>
            </w:r>
            <w:r>
              <w:rPr>
                <w:rFonts w:hint="eastAsia" w:ascii="Times New Roman" w:eastAsia="宋体"/>
                <w:szCs w:val="24"/>
                <w:lang w:val="en-US" w:eastAsia="zh-CN"/>
              </w:rPr>
              <w:instrText xml:space="preserve"> = 1 \* GB3 \* MERGEFORMAT </w:instrText>
            </w:r>
            <w:r>
              <w:rPr>
                <w:rFonts w:hint="eastAsia" w:ascii="Times New Roman" w:eastAsia="宋体"/>
                <w:szCs w:val="24"/>
                <w:lang w:val="en-US" w:eastAsia="zh-CN"/>
              </w:rPr>
              <w:fldChar w:fldCharType="separate"/>
            </w:r>
            <w:r>
              <w:rPr>
                <w:szCs w:val="24"/>
              </w:rPr>
              <w:t>①</w:t>
            </w:r>
            <w:r>
              <w:rPr>
                <w:rFonts w:hint="eastAsia" w:ascii="Times New Roman" w:eastAsia="宋体"/>
                <w:szCs w:val="24"/>
                <w:lang w:val="en-US" w:eastAsia="zh-CN"/>
              </w:rPr>
              <w:fldChar w:fldCharType="end"/>
            </w:r>
            <w:r>
              <w:rPr>
                <w:rFonts w:hint="eastAsia" w:ascii="Times New Roman" w:eastAsia="宋体"/>
                <w:szCs w:val="24"/>
                <w:lang w:val="en-US" w:eastAsia="zh-CN"/>
              </w:rPr>
              <w:t>NMP有组织废气：项目拟设计一套NMP回收系统（三级降温冷凝+水喷淋）+尾气处理系统（活性炭+回风循环），</w:t>
            </w:r>
            <w:r>
              <w:rPr>
                <w:rFonts w:hint="eastAsia"/>
                <w:szCs w:val="24"/>
              </w:rPr>
              <w:t>利用NMP溶剂在涂布过程中加热后挥发，设备通过对挥发气体分</w:t>
            </w:r>
            <w:r>
              <w:rPr>
                <w:rFonts w:hint="eastAsia"/>
                <w:szCs w:val="24"/>
                <w:highlight w:val="none"/>
              </w:rPr>
              <w:t>段逐步冷凝</w:t>
            </w:r>
            <w:r>
              <w:rPr>
                <w:rFonts w:hint="eastAsia"/>
                <w:color w:val="auto"/>
                <w:szCs w:val="24"/>
                <w:highlight w:val="none"/>
              </w:rPr>
              <w:t>析出NMP废液</w:t>
            </w:r>
            <w:r>
              <w:rPr>
                <w:rFonts w:hint="eastAsia"/>
                <w:szCs w:val="24"/>
                <w:highlight w:val="none"/>
              </w:rPr>
              <w:t>，降低</w:t>
            </w:r>
            <w:r>
              <w:rPr>
                <w:rFonts w:hint="eastAsia"/>
                <w:szCs w:val="24"/>
              </w:rPr>
              <w:t>气体浓度；处理后的气体加热后一部分补充涂布机热能，另外一部分气体进入二次处理净化，通过排风管道导入进行气雾化降解二级净化处理</w:t>
            </w:r>
            <w:r>
              <w:rPr>
                <w:rFonts w:hint="eastAsia" w:ascii="Times New Roman" w:eastAsia="宋体"/>
                <w:szCs w:val="24"/>
                <w:lang w:val="en-US" w:eastAsia="zh-CN"/>
              </w:rPr>
              <w:t>，未被收集的废气经活性炭吸附后由顶楼排气筒有组织排放。</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ascii="Times New Roman" w:hAnsi="Times New Roman" w:eastAsia="宋体" w:cs="Times New Roman"/>
                <w:szCs w:val="24"/>
                <w:highlight w:val="none"/>
                <w:vertAlign w:val="baseline"/>
                <w:lang w:val="en-US" w:eastAsia="zh-CN"/>
              </w:rPr>
            </w:pPr>
            <w:r>
              <w:rPr>
                <w:rFonts w:hint="eastAsia" w:ascii="Times New Roman" w:hAnsi="Times New Roman" w:eastAsia="宋体" w:cs="Times New Roman"/>
                <w:szCs w:val="24"/>
                <w:highlight w:val="none"/>
                <w:lang w:val="en-US" w:eastAsia="zh-CN"/>
              </w:rPr>
              <w:t>项目年购买350吨NMP，根据产品设计需求，正极烘干过程需将</w:t>
            </w:r>
            <w:r>
              <w:rPr>
                <w:rFonts w:hint="default" w:ascii="Times New Roman" w:hAnsi="Times New Roman" w:eastAsia="宋体" w:cs="Times New Roman"/>
                <w:szCs w:val="24"/>
                <w:highlight w:val="none"/>
                <w:lang w:val="en-US" w:eastAsia="zh-CN"/>
              </w:rPr>
              <w:t>NMP</w:t>
            </w:r>
            <w:r>
              <w:rPr>
                <w:rFonts w:hint="eastAsia" w:ascii="Times New Roman" w:hAnsi="Times New Roman" w:eastAsia="宋体" w:cs="Times New Roman"/>
                <w:szCs w:val="24"/>
                <w:highlight w:val="none"/>
                <w:lang w:val="en-US" w:eastAsia="zh-CN"/>
              </w:rPr>
              <w:t>基本蒸发（极片中</w:t>
            </w:r>
            <w:r>
              <w:rPr>
                <w:rFonts w:hint="default" w:ascii="Times New Roman" w:hAnsi="Times New Roman" w:eastAsia="宋体" w:cs="Times New Roman"/>
                <w:szCs w:val="24"/>
                <w:highlight w:val="none"/>
                <w:lang w:val="en-US" w:eastAsia="zh-CN"/>
              </w:rPr>
              <w:t>NMP</w:t>
            </w:r>
            <w:r>
              <w:rPr>
                <w:rFonts w:hint="eastAsia" w:ascii="Times New Roman" w:hAnsi="Times New Roman" w:eastAsia="宋体" w:cs="Times New Roman"/>
                <w:szCs w:val="24"/>
                <w:highlight w:val="none"/>
                <w:lang w:val="en-US" w:eastAsia="zh-CN"/>
              </w:rPr>
              <w:t>含量控制在</w:t>
            </w:r>
            <w:r>
              <w:rPr>
                <w:rFonts w:hint="default" w:ascii="Times New Roman" w:hAnsi="Times New Roman" w:eastAsia="宋体" w:cs="Times New Roman"/>
                <w:szCs w:val="24"/>
                <w:highlight w:val="none"/>
                <w:lang w:val="en-US" w:eastAsia="zh-CN"/>
              </w:rPr>
              <w:t>2</w:t>
            </w:r>
            <w:r>
              <w:rPr>
                <w:rFonts w:hint="eastAsia" w:ascii="Times New Roman" w:hAnsi="Times New Roman" w:eastAsia="宋体" w:cs="Times New Roman"/>
                <w:szCs w:val="24"/>
                <w:highlight w:val="none"/>
                <w:lang w:val="en-US" w:eastAsia="zh-CN"/>
              </w:rPr>
              <w:t>‰以下），则极片中NMP残存量约0.7‬t/a，烘干挥发的</w:t>
            </w:r>
            <w:r>
              <w:rPr>
                <w:rFonts w:hint="default" w:ascii="Times New Roman" w:hAnsi="Times New Roman" w:eastAsia="宋体" w:cs="Times New Roman"/>
                <w:szCs w:val="24"/>
                <w:highlight w:val="none"/>
                <w:lang w:val="en-US" w:eastAsia="zh-CN"/>
              </w:rPr>
              <w:t>NMP</w:t>
            </w:r>
            <w:r>
              <w:rPr>
                <w:rFonts w:hint="eastAsia" w:ascii="Times New Roman" w:hAnsi="Times New Roman" w:eastAsia="宋体" w:cs="Times New Roman"/>
                <w:szCs w:val="24"/>
                <w:highlight w:val="none"/>
                <w:lang w:val="en-US" w:eastAsia="zh-CN"/>
              </w:rPr>
              <w:t>量为349.3‬t</w:t>
            </w:r>
            <w:r>
              <w:rPr>
                <w:rFonts w:hint="default" w:ascii="Times New Roman" w:hAnsi="Times New Roman" w:eastAsia="宋体" w:cs="Times New Roman"/>
                <w:szCs w:val="24"/>
                <w:highlight w:val="none"/>
                <w:lang w:val="en-US" w:eastAsia="zh-CN"/>
              </w:rPr>
              <w:t>/a</w:t>
            </w:r>
            <w:r>
              <w:rPr>
                <w:rFonts w:hint="eastAsia" w:ascii="Times New Roman" w:hAnsi="Times New Roman" w:eastAsia="宋体" w:cs="Times New Roman"/>
                <w:szCs w:val="24"/>
                <w:highlight w:val="none"/>
                <w:lang w:val="en-US" w:eastAsia="zh-CN"/>
              </w:rPr>
              <w:t>。涂布烘干均在全密闭条件下进行，NMP废气的收集率以99.99%计，其余废气在出料口呈无组织挥发，则有组织产生量为349.26507t/a。回收系统设计风量15000m</w:t>
            </w:r>
            <w:r>
              <w:rPr>
                <w:rFonts w:hint="eastAsia" w:ascii="Times New Roman" w:hAnsi="Times New Roman" w:eastAsia="宋体" w:cs="Times New Roman"/>
                <w:szCs w:val="24"/>
                <w:highlight w:val="none"/>
                <w:vertAlign w:val="superscript"/>
                <w:lang w:val="en-US" w:eastAsia="zh-CN"/>
              </w:rPr>
              <w:t>3</w:t>
            </w:r>
            <w:r>
              <w:rPr>
                <w:rFonts w:hint="eastAsia" w:ascii="Times New Roman" w:hAnsi="Times New Roman" w:eastAsia="宋体" w:cs="Times New Roman"/>
                <w:szCs w:val="24"/>
                <w:highlight w:val="none"/>
                <w:lang w:val="en-US" w:eastAsia="zh-CN"/>
              </w:rPr>
              <w:t>/h，年运行时间3600h，则NMP废气有组织产生速率为97.02kg/h，产生浓度6467.87mg/m</w:t>
            </w:r>
            <w:r>
              <w:rPr>
                <w:rFonts w:hint="eastAsia" w:ascii="Times New Roman" w:hAnsi="Times New Roman" w:eastAsia="宋体" w:cs="Times New Roman"/>
                <w:szCs w:val="24"/>
                <w:highlight w:val="none"/>
                <w:vertAlign w:val="superscript"/>
                <w:lang w:val="en-US" w:eastAsia="zh-CN"/>
              </w:rPr>
              <w:t>3</w:t>
            </w:r>
            <w:r>
              <w:rPr>
                <w:rFonts w:hint="eastAsia" w:ascii="Times New Roman" w:hAnsi="Times New Roman" w:eastAsia="宋体" w:cs="Times New Roman"/>
                <w:szCs w:val="24"/>
                <w:highlight w:val="none"/>
                <w:vertAlign w:val="baseline"/>
                <w:lang w:val="en-US" w:eastAsia="zh-CN"/>
              </w:rPr>
              <w:t>。NMP冷凝回收率以95%计，则NMP冷凝回收量331.8t/a，未冷凝NMP废气17.465t/a。未冷凝废气经水喷淋（去除率以80%计）+活性炭吸附（吸附率以90%计）处理，则水喷淋去除量13.972t/a，余3.49307‬t/a经活性炭吸附后由15m排气筒排放，活性炭吸附量</w:t>
            </w:r>
            <w:r>
              <w:rPr>
                <w:rFonts w:hint="eastAsia" w:cs="Times New Roman"/>
                <w:szCs w:val="24"/>
                <w:highlight w:val="none"/>
                <w:vertAlign w:val="baseline"/>
                <w:lang w:val="en-US" w:eastAsia="zh-CN"/>
              </w:rPr>
              <w:t>3.1437</w:t>
            </w:r>
            <w:r>
              <w:rPr>
                <w:rFonts w:hint="eastAsia" w:ascii="Times New Roman" w:hAnsi="Times New Roman" w:eastAsia="宋体" w:cs="Times New Roman"/>
                <w:szCs w:val="24"/>
                <w:highlight w:val="none"/>
                <w:vertAlign w:val="baseline"/>
                <w:lang w:val="en-US" w:eastAsia="zh-CN"/>
              </w:rPr>
              <w:t>‬t/a，因此有组织排放量为0.349</w:t>
            </w:r>
            <w:r>
              <w:rPr>
                <w:rFonts w:hint="eastAsia" w:cs="Times New Roman"/>
                <w:szCs w:val="24"/>
                <w:highlight w:val="none"/>
                <w:vertAlign w:val="baseline"/>
                <w:lang w:val="en-US" w:eastAsia="zh-CN"/>
              </w:rPr>
              <w:t>3</w:t>
            </w:r>
            <w:r>
              <w:rPr>
                <w:rFonts w:hint="eastAsia" w:ascii="Times New Roman" w:hAnsi="Times New Roman" w:eastAsia="宋体" w:cs="Times New Roman"/>
                <w:szCs w:val="24"/>
                <w:highlight w:val="none"/>
                <w:vertAlign w:val="baseline"/>
                <w:lang w:val="en-US" w:eastAsia="zh-CN"/>
              </w:rPr>
              <w:t>‬t/a，排放速率0.097kg/h，排放浓度6.46mg/m</w:t>
            </w:r>
            <w:r>
              <w:rPr>
                <w:rFonts w:hint="eastAsia" w:ascii="Times New Roman" w:hAnsi="Times New Roman" w:eastAsia="宋体" w:cs="Times New Roman"/>
                <w:szCs w:val="24"/>
                <w:highlight w:val="none"/>
                <w:vertAlign w:val="superscript"/>
                <w:lang w:val="en-US" w:eastAsia="zh-CN"/>
              </w:rPr>
              <w:t>3</w:t>
            </w:r>
            <w:r>
              <w:rPr>
                <w:rFonts w:hint="eastAsia" w:ascii="Times New Roman" w:hAnsi="Times New Roman" w:eastAsia="宋体" w:cs="Times New Roman"/>
                <w:szCs w:val="24"/>
                <w:highlight w:val="none"/>
                <w:vertAlign w:val="baseline"/>
                <w:lang w:val="en-US" w:eastAsia="zh-CN"/>
              </w:rPr>
              <w:t>，可以满足</w:t>
            </w:r>
            <w:r>
              <w:rPr>
                <w:rFonts w:hint="default" w:ascii="Times New Roman" w:hAnsi="Times New Roman" w:eastAsia="宋体" w:cs="Times New Roman"/>
                <w:color w:val="auto"/>
                <w:szCs w:val="24"/>
                <w:highlight w:val="none"/>
                <w:lang w:eastAsia="zh-CN"/>
              </w:rPr>
              <w:t>《电池工业污染物排放标准》（GB30484-2013）</w:t>
            </w:r>
            <w:r>
              <w:rPr>
                <w:rFonts w:hint="eastAsia" w:ascii="Times New Roman" w:hAnsi="Times New Roman" w:eastAsia="宋体" w:cs="Times New Roman"/>
                <w:color w:val="auto"/>
                <w:szCs w:val="24"/>
                <w:highlight w:val="none"/>
                <w:lang w:val="en-US" w:eastAsia="zh-CN"/>
              </w:rPr>
              <w:t>中的相关标准。</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eastAsia" w:ascii="Times New Roman" w:eastAsia="宋体"/>
                <w:szCs w:val="24"/>
                <w:highlight w:val="none"/>
                <w:lang w:val="en-US" w:eastAsia="zh-CN"/>
              </w:rPr>
            </w:pPr>
            <w:r>
              <w:rPr>
                <w:rFonts w:hint="eastAsia" w:ascii="Times New Roman" w:hAnsi="Times New Roman" w:eastAsia="宋体" w:cs="Times New Roman"/>
                <w:szCs w:val="24"/>
                <w:highlight w:val="none"/>
                <w:lang w:val="en-US" w:eastAsia="zh-CN"/>
              </w:rPr>
              <w:fldChar w:fldCharType="begin"/>
            </w:r>
            <w:r>
              <w:rPr>
                <w:rFonts w:hint="eastAsia" w:ascii="Times New Roman" w:hAnsi="Times New Roman" w:eastAsia="宋体" w:cs="Times New Roman"/>
                <w:szCs w:val="24"/>
                <w:highlight w:val="none"/>
                <w:lang w:val="en-US" w:eastAsia="zh-CN"/>
              </w:rPr>
              <w:instrText xml:space="preserve"> = 2 \* GB3 \* MERGEFORMAT </w:instrText>
            </w:r>
            <w:r>
              <w:rPr>
                <w:rFonts w:hint="eastAsia" w:ascii="Times New Roman" w:hAnsi="Times New Roman" w:eastAsia="宋体" w:cs="Times New Roman"/>
                <w:szCs w:val="24"/>
                <w:highlight w:val="none"/>
                <w:lang w:val="en-US" w:eastAsia="zh-CN"/>
              </w:rPr>
              <w:fldChar w:fldCharType="separate"/>
            </w:r>
            <w:r>
              <w:rPr>
                <w:rFonts w:ascii="Times New Roman" w:hAnsi="Times New Roman" w:eastAsia="宋体" w:cs="Times New Roman"/>
                <w:szCs w:val="24"/>
                <w:highlight w:val="none"/>
              </w:rPr>
              <w:t>②</w:t>
            </w:r>
            <w:r>
              <w:rPr>
                <w:rFonts w:hint="eastAsia" w:ascii="Times New Roman" w:hAnsi="Times New Roman" w:eastAsia="宋体" w:cs="Times New Roman"/>
                <w:szCs w:val="24"/>
                <w:highlight w:val="none"/>
                <w:lang w:val="en-US" w:eastAsia="zh-CN"/>
              </w:rPr>
              <w:fldChar w:fldCharType="end"/>
            </w:r>
            <w:r>
              <w:rPr>
                <w:rFonts w:hint="eastAsia" w:ascii="Times New Roman" w:hAnsi="Times New Roman" w:eastAsia="宋体" w:cs="Times New Roman"/>
                <w:szCs w:val="24"/>
                <w:highlight w:val="none"/>
                <w:lang w:val="en-US" w:eastAsia="zh-CN"/>
              </w:rPr>
              <w:t>无组织NMP废气：涂布烘干工序中，约有0.01%的NMP废气会在出料口无组织挥发，无组织废气的产生量为0.03493‬t/a，排放速率0.0097kg/h，通过车间通风系统排放。</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eastAsia" w:ascii="Times New Roman" w:eastAsia="宋体"/>
                <w:szCs w:val="24"/>
                <w:highlight w:val="none"/>
                <w:lang w:val="en-US" w:eastAsia="zh-CN"/>
              </w:rPr>
            </w:pPr>
            <w:r>
              <w:rPr>
                <w:rFonts w:hint="eastAsia" w:ascii="Times New Roman" w:eastAsia="宋体"/>
                <w:szCs w:val="24"/>
                <w:highlight w:val="none"/>
                <w:lang w:val="en-US" w:eastAsia="zh-CN"/>
              </w:rPr>
              <w:t>企业NMP物料平衡见图4-1</w:t>
            </w:r>
            <w:r>
              <w:rPr>
                <w:rFonts w:hint="eastAsia"/>
                <w:szCs w:val="24"/>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eastAsia" w:ascii="Times New Roman" w:eastAsia="宋体"/>
                <w:szCs w:val="24"/>
                <w:highlight w:val="none"/>
                <w:lang w:val="en-US" w:eastAsia="zh-CN"/>
              </w:rPr>
            </w:pPr>
            <w:r>
              <w:rPr>
                <w:rFonts w:hint="eastAsia" w:ascii="Times New Roman" w:eastAsia="宋体"/>
                <w:szCs w:val="24"/>
                <w:highlight w:val="none"/>
                <w:lang w:val="en-US" w:eastAsia="zh-CN"/>
              </w:rPr>
              <w:drawing>
                <wp:inline distT="0" distB="0" distL="114300" distR="114300">
                  <wp:extent cx="5419090" cy="2842895"/>
                  <wp:effectExtent l="0" t="0" r="10160" b="14605"/>
                  <wp:docPr id="5" name="ECB019B1-382A-4266-B25C-5B523AA43C14-1" descr="C:/Users/hp/AppData/Local/Temp/wps.IjErDa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CB019B1-382A-4266-B25C-5B523AA43C14-1" descr="C:/Users/hp/AppData/Local/Temp/wps.IjErDawps"/>
                          <pic:cNvPicPr>
                            <a:picLocks noChangeAspect="1"/>
                          </pic:cNvPicPr>
                        </pic:nvPicPr>
                        <pic:blipFill>
                          <a:blip r:embed="rId12"/>
                          <a:srcRect l="5803" t="9972" r="2616" b="6266"/>
                          <a:stretch>
                            <a:fillRect/>
                          </a:stretch>
                        </pic:blipFill>
                        <pic:spPr>
                          <a:xfrm>
                            <a:off x="0" y="0"/>
                            <a:ext cx="5419090" cy="284289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ascii="Times New Roman" w:eastAsia="宋体"/>
                <w:b/>
                <w:bCs/>
                <w:sz w:val="21"/>
                <w:szCs w:val="21"/>
                <w:highlight w:val="none"/>
                <w:lang w:val="en-US" w:eastAsia="zh-CN"/>
              </w:rPr>
            </w:pPr>
            <w:r>
              <w:rPr>
                <w:rFonts w:hint="eastAsia" w:ascii="Times New Roman" w:eastAsia="宋体"/>
                <w:b/>
                <w:bCs/>
                <w:sz w:val="21"/>
                <w:szCs w:val="21"/>
                <w:highlight w:val="none"/>
                <w:lang w:val="en-US" w:eastAsia="zh-CN"/>
              </w:rPr>
              <w:t>图</w:t>
            </w:r>
            <w:r>
              <w:rPr>
                <w:rFonts w:hint="eastAsia"/>
                <w:b/>
                <w:bCs/>
                <w:sz w:val="21"/>
                <w:szCs w:val="21"/>
                <w:highlight w:val="none"/>
                <w:lang w:val="en-US" w:eastAsia="zh-CN"/>
              </w:rPr>
              <w:t xml:space="preserve">4-1  </w:t>
            </w:r>
            <w:r>
              <w:rPr>
                <w:rFonts w:hint="eastAsia" w:ascii="Times New Roman" w:eastAsia="宋体"/>
                <w:b/>
                <w:bCs/>
                <w:sz w:val="21"/>
                <w:szCs w:val="21"/>
                <w:highlight w:val="none"/>
                <w:lang w:val="en-US" w:eastAsia="zh-CN"/>
              </w:rPr>
              <w:t>NMP物料平衡图</w:t>
            </w:r>
            <w:r>
              <w:rPr>
                <w:rFonts w:hint="eastAsia"/>
                <w:b/>
                <w:bCs/>
                <w:sz w:val="21"/>
                <w:szCs w:val="21"/>
                <w:highlight w:val="none"/>
                <w:lang w:val="en-US" w:eastAsia="zh-CN"/>
              </w:rPr>
              <w:t>（单位：t/a）</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right="0" w:firstLine="482" w:firstLineChars="200"/>
              <w:textAlignment w:val="auto"/>
              <w:rPr>
                <w:rFonts w:hint="eastAsia" w:ascii="Times New Roman" w:hAnsi="Times New Roman" w:cs="Times New Roman" w:eastAsiaTheme="minorEastAsia"/>
                <w:b/>
                <w:bCs/>
                <w:color w:val="000000" w:themeColor="text1"/>
                <w:sz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b/>
                <w:bCs/>
                <w:color w:val="000000" w:themeColor="text1"/>
                <w:sz w:val="24"/>
                <w:highlight w:val="none"/>
                <w:u w:val="none" w:color="auto"/>
                <w:lang w:val="en-US" w:eastAsia="zh-CN"/>
                <w14:textFill>
                  <w14:solidFill>
                    <w14:schemeClr w14:val="tx1"/>
                  </w14:solidFill>
                </w14:textFill>
              </w:rPr>
              <w:t>排气口高度合理性分析</w:t>
            </w:r>
            <w:r>
              <w:rPr>
                <w:rFonts w:hint="eastAsia" w:cs="Times New Roman" w:eastAsiaTheme="minorEastAsia"/>
                <w:b/>
                <w:bCs/>
                <w:color w:val="000000" w:themeColor="text1"/>
                <w:sz w:val="24"/>
                <w:highlight w:val="none"/>
                <w:u w:val="none" w:color="auto"/>
                <w:lang w:val="en-US" w:eastAsia="zh-CN"/>
                <w14:textFill>
                  <w14:solidFill>
                    <w14:schemeClr w14:val="tx1"/>
                  </w14:solidFill>
                </w14:textFill>
              </w:rPr>
              <w:t>：</w:t>
            </w:r>
          </w:p>
          <w:p>
            <w:pPr>
              <w:ind w:firstLine="720"/>
              <w:rPr>
                <w:rFonts w:hint="default" w:ascii="Times New Roman" w:hAnsi="Times New Roman" w:eastAsia="宋体" w:cs="Times New Roman"/>
                <w:color w:val="000000"/>
                <w:kern w:val="0"/>
                <w:sz w:val="24"/>
                <w:szCs w:val="24"/>
                <w:lang w:val="en-US" w:eastAsia="zh-CN" w:bidi="ar"/>
              </w:rPr>
            </w:pPr>
            <w:r>
              <w:rPr>
                <w:rFonts w:hint="default" w:ascii="Times New Roman" w:hAnsi="Times New Roman" w:eastAsia="宋体" w:cs="Times New Roman"/>
                <w:color w:val="000000"/>
                <w:kern w:val="0"/>
                <w:sz w:val="24"/>
                <w:szCs w:val="24"/>
                <w:lang w:val="en-US" w:eastAsia="zh-CN" w:bidi="ar"/>
              </w:rPr>
              <w:t>根据《电池工业污染物排放标准》（GB30484-2013）对排气筒高度的规定</w:t>
            </w:r>
            <w:r>
              <w:rPr>
                <w:rFonts w:hint="eastAsia" w:ascii="Times New Roman" w:hAnsi="Times New Roman" w:eastAsia="宋体" w:cs="Times New Roman"/>
                <w:color w:val="000000"/>
                <w:kern w:val="0"/>
                <w:sz w:val="24"/>
                <w:szCs w:val="24"/>
                <w:lang w:val="en-US" w:eastAsia="zh-CN" w:bidi="ar"/>
              </w:rPr>
              <w:t>：产生大气污染物的生产工艺和装置必须设立局部或整体气体收集系统及集中净化处理装置，净化后的气体由排气筒排放，所有排气筒高度应不低于15m（排放氯气的排气筒高度不得低于25m）。排气筒周围半径200m范围内有建筑物时，排气筒高度还应高出最高建筑物3m以上。本项目排放的废气为NMP废气，项目周边200m范围内最高建筑物的高度约为11.5m，项目本体建筑物高度约为18m，项目NMP废气经NMP回收系统（三级降温冷凝+水喷淋）+尾气处理系统（活性炭+回风循环）处理后由管道引至楼顶排放，因此排放口距地面约有18m，符合标准中排气筒高度应高出最高建筑物3m以上要求，因此，从环境的角度来说，项目排气筒高度是合理的。</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right="0" w:firstLine="480" w:firstLineChars="200"/>
              <w:textAlignment w:val="auto"/>
              <w:rPr>
                <w:rFonts w:hint="eastAsia"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（2）粉尘</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right="0" w:firstLine="480" w:firstLineChars="200"/>
              <w:textAlignment w:val="auto"/>
              <w:rPr>
                <w:rFonts w:hint="eastAsia" w:ascii="Times New Roman" w:hAnsi="Times New Roman" w:cs="Times New Roman" w:eastAsiaTheme="minorEastAsia"/>
                <w:b w:val="0"/>
                <w:bCs w:val="0"/>
                <w:color w:val="000000" w:themeColor="text1"/>
                <w:sz w:val="24"/>
                <w:highlight w:val="yellow"/>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正负极配料搅拌过程均为密闭，搅拌时不会有粉尘散发出来，但正负极粉末状物料在装卸转移过程，会有少量粉尘产生。类比《江西德昱新能源有限公司年产8000万支18650锂电池项目（一期）》（该项目已于2021年投入生产，且与本项目生产工艺类似，具有一定的可类比性），粉尘产生量约为粉状物料使用量的0.05‰，本项目粉状物料年用量为8876.25t/a，则配料粉尘产生量为4.44t/a，年生产3600h，产生速率为1.23kg/h，配料过程粉尘通过车间排气扇排放，为无组织</w:t>
            </w:r>
            <w:r>
              <w:rPr>
                <w:rFonts w:hint="eastAsia" w:ascii="Times New Roman" w:hAnsi="Times New Roman" w:cs="Times New Roman" w:eastAsiaTheme="minorEastAsia"/>
                <w:b w:val="0"/>
                <w:bCs w:val="0"/>
                <w:color w:val="000000" w:themeColor="text1"/>
                <w:sz w:val="24"/>
                <w:highlight w:val="none"/>
                <w:u w:val="none" w:color="auto"/>
                <w:lang w:val="en-US" w:eastAsia="zh-CN"/>
                <w14:textFill>
                  <w14:solidFill>
                    <w14:schemeClr w14:val="tx1"/>
                  </w14:solidFill>
                </w14:textFill>
              </w:rPr>
              <w:t>排放。</w:t>
            </w:r>
          </w:p>
          <w:p>
            <w:pPr>
              <w:keepNext w:val="0"/>
              <w:keepLines w:val="0"/>
              <w:pageBreakBefore w:val="0"/>
              <w:widowControl/>
              <w:kinsoku/>
              <w:wordWrap/>
              <w:topLinePunct w:val="0"/>
              <w:bidi w:val="0"/>
              <w:adjustRightInd w:val="0"/>
              <w:snapToGrid w:val="0"/>
              <w:spacing w:line="360" w:lineRule="auto"/>
              <w:ind w:firstLine="480" w:firstLineChars="200"/>
              <w:jc w:val="left"/>
              <w:textAlignment w:val="auto"/>
              <w:rPr>
                <w:rFonts w:hint="default" w:ascii="Times New Roman" w:hAnsi="Times New Roman" w:eastAsia="宋体" w:cs="Times New Roman"/>
                <w:b w:val="0"/>
                <w:bCs w:val="0"/>
                <w:color w:val="000000"/>
                <w:sz w:val="24"/>
                <w:highlight w:val="none"/>
              </w:rPr>
            </w:pPr>
            <w:r>
              <w:rPr>
                <w:rFonts w:hint="default" w:ascii="Times New Roman" w:hAnsi="Times New Roman" w:eastAsia="宋体" w:cs="Times New Roman"/>
                <w:b w:val="0"/>
                <w:bCs w:val="0"/>
                <w:color w:val="000000"/>
                <w:sz w:val="24"/>
                <w:highlight w:val="none"/>
              </w:rPr>
              <w:t>（3）食堂油烟</w:t>
            </w:r>
          </w:p>
          <w:p>
            <w:pPr>
              <w:keepNext w:val="0"/>
              <w:keepLines w:val="0"/>
              <w:pageBreakBefore w:val="0"/>
              <w:widowControl/>
              <w:kinsoku/>
              <w:wordWrap/>
              <w:overflowPunct w:val="0"/>
              <w:topLinePunct w:val="0"/>
              <w:autoSpaceDE w:val="0"/>
              <w:autoSpaceDN w:val="0"/>
              <w:bidi w:val="0"/>
              <w:adjustRightInd w:val="0"/>
              <w:snapToGrid w:val="0"/>
              <w:spacing w:line="360" w:lineRule="auto"/>
              <w:ind w:firstLine="480" w:firstLineChars="200"/>
              <w:jc w:val="both"/>
              <w:textAlignment w:val="auto"/>
              <w:rPr>
                <w:rFonts w:hint="eastAsia" w:ascii="Times New Roman" w:hAnsi="Times New Roman" w:eastAsia="宋体" w:cs="Times New Roman"/>
                <w:kern w:val="2"/>
                <w:sz w:val="24"/>
                <w:szCs w:val="24"/>
                <w:highlight w:val="none"/>
                <w:lang w:val="en-US" w:eastAsia="zh-CN" w:bidi="ar-SA"/>
              </w:rPr>
            </w:pPr>
            <w:r>
              <w:rPr>
                <w:rFonts w:hint="default" w:ascii="Times New Roman" w:hAnsi="Times New Roman" w:eastAsia="宋体" w:cs="Times New Roman"/>
                <w:color w:val="000000"/>
                <w:kern w:val="2"/>
                <w:sz w:val="24"/>
                <w:szCs w:val="20"/>
                <w:highlight w:val="none"/>
                <w:lang w:val="en-US" w:eastAsia="zh-CN" w:bidi="ar-SA"/>
              </w:rPr>
              <w:t>本项目预计设置劳动定员</w:t>
            </w:r>
            <w:r>
              <w:rPr>
                <w:rFonts w:hint="eastAsia" w:ascii="Times New Roman" w:hAnsi="Times New Roman" w:eastAsia="宋体" w:cs="Times New Roman"/>
                <w:color w:val="000000"/>
                <w:kern w:val="2"/>
                <w:sz w:val="24"/>
                <w:szCs w:val="20"/>
                <w:highlight w:val="none"/>
                <w:lang w:val="en-US" w:eastAsia="zh-CN" w:bidi="ar-SA"/>
              </w:rPr>
              <w:t>40</w:t>
            </w:r>
            <w:r>
              <w:rPr>
                <w:rFonts w:hint="default" w:ascii="Times New Roman" w:hAnsi="Times New Roman" w:eastAsia="宋体" w:cs="Times New Roman"/>
                <w:color w:val="000000"/>
                <w:kern w:val="2"/>
                <w:sz w:val="24"/>
                <w:szCs w:val="20"/>
                <w:highlight w:val="none"/>
                <w:lang w:val="en-US" w:eastAsia="zh-CN" w:bidi="ar-SA"/>
              </w:rPr>
              <w:t>0人，厂区设食堂，食堂在煮食过程中主要污染源为饮食油烟。油烟是食物烹饪过程中挥发的油脂、有机质及其加热分解或裂解的产物。按照食用油消耗量为25g/人·d，每天提供两餐，耗用烹调油约</w:t>
            </w:r>
            <w:r>
              <w:rPr>
                <w:rFonts w:hint="eastAsia" w:ascii="Times New Roman" w:hAnsi="Times New Roman" w:eastAsia="宋体" w:cs="Times New Roman"/>
                <w:color w:val="000000"/>
                <w:kern w:val="2"/>
                <w:sz w:val="24"/>
                <w:szCs w:val="20"/>
                <w:highlight w:val="none"/>
                <w:lang w:val="en-US" w:eastAsia="zh-CN" w:bidi="ar-SA"/>
              </w:rPr>
              <w:t>10</w:t>
            </w:r>
            <w:r>
              <w:rPr>
                <w:rFonts w:hint="default" w:ascii="Times New Roman" w:hAnsi="Times New Roman" w:eastAsia="宋体" w:cs="Times New Roman"/>
                <w:color w:val="000000"/>
                <w:kern w:val="2"/>
                <w:sz w:val="24"/>
                <w:szCs w:val="20"/>
                <w:highlight w:val="none"/>
                <w:lang w:val="en-US" w:eastAsia="zh-CN" w:bidi="ar-SA"/>
              </w:rPr>
              <w:t>kg/d（3</w:t>
            </w:r>
            <w:r>
              <w:rPr>
                <w:rFonts w:hint="eastAsia" w:ascii="Times New Roman" w:hAnsi="Times New Roman" w:eastAsia="宋体" w:cs="Times New Roman"/>
                <w:color w:val="000000"/>
                <w:kern w:val="2"/>
                <w:sz w:val="24"/>
                <w:szCs w:val="20"/>
                <w:highlight w:val="none"/>
                <w:lang w:val="en-US" w:eastAsia="zh-CN" w:bidi="ar-SA"/>
              </w:rPr>
              <w:t>000</w:t>
            </w:r>
            <w:r>
              <w:rPr>
                <w:rFonts w:hint="default" w:ascii="Times New Roman" w:hAnsi="Times New Roman" w:eastAsia="宋体" w:cs="Times New Roman"/>
                <w:color w:val="000000"/>
                <w:kern w:val="2"/>
                <w:sz w:val="24"/>
                <w:szCs w:val="20"/>
                <w:highlight w:val="none"/>
                <w:lang w:val="en-US" w:eastAsia="zh-CN" w:bidi="ar-SA"/>
              </w:rPr>
              <w:t>kg/a），油烟产生率按2.0%计，则产生油烟量为0.2kg/d（6</w:t>
            </w:r>
            <w:r>
              <w:rPr>
                <w:rFonts w:hint="eastAsia" w:ascii="Times New Roman" w:hAnsi="Times New Roman" w:eastAsia="宋体" w:cs="Times New Roman"/>
                <w:color w:val="000000"/>
                <w:kern w:val="2"/>
                <w:sz w:val="24"/>
                <w:szCs w:val="20"/>
                <w:highlight w:val="none"/>
                <w:lang w:val="en-US" w:eastAsia="zh-CN" w:bidi="ar-SA"/>
              </w:rPr>
              <w:t>0</w:t>
            </w:r>
            <w:r>
              <w:rPr>
                <w:rFonts w:hint="default" w:ascii="Times New Roman" w:hAnsi="Times New Roman" w:eastAsia="宋体" w:cs="Times New Roman"/>
                <w:color w:val="000000"/>
                <w:kern w:val="2"/>
                <w:sz w:val="24"/>
                <w:szCs w:val="20"/>
                <w:highlight w:val="none"/>
                <w:lang w:val="en-US" w:eastAsia="zh-CN" w:bidi="ar-SA"/>
              </w:rPr>
              <w:t>kg/a）。项目食堂拟安装油烟净化装置，排风量为</w:t>
            </w:r>
            <w:r>
              <w:rPr>
                <w:rFonts w:hint="eastAsia" w:ascii="Times New Roman" w:hAnsi="Times New Roman" w:eastAsia="宋体" w:cs="Times New Roman"/>
                <w:color w:val="000000"/>
                <w:kern w:val="2"/>
                <w:sz w:val="24"/>
                <w:szCs w:val="20"/>
                <w:highlight w:val="none"/>
                <w:lang w:val="en-US" w:eastAsia="zh-CN" w:bidi="ar-SA"/>
              </w:rPr>
              <w:t>30</w:t>
            </w:r>
            <w:r>
              <w:rPr>
                <w:rFonts w:hint="default" w:ascii="Times New Roman" w:hAnsi="Times New Roman" w:eastAsia="宋体" w:cs="Times New Roman"/>
                <w:color w:val="000000"/>
                <w:kern w:val="2"/>
                <w:sz w:val="24"/>
                <w:szCs w:val="20"/>
                <w:highlight w:val="none"/>
                <w:lang w:val="en-US" w:eastAsia="zh-CN" w:bidi="ar-SA"/>
              </w:rPr>
              <w:t>00m</w:t>
            </w:r>
            <w:r>
              <w:rPr>
                <w:rFonts w:hint="default" w:ascii="Times New Roman" w:hAnsi="Times New Roman" w:eastAsia="宋体" w:cs="Times New Roman"/>
                <w:color w:val="000000"/>
                <w:kern w:val="2"/>
                <w:sz w:val="24"/>
                <w:szCs w:val="20"/>
                <w:highlight w:val="none"/>
                <w:vertAlign w:val="superscript"/>
                <w:lang w:val="en-US" w:eastAsia="zh-CN" w:bidi="ar-SA"/>
              </w:rPr>
              <w:t>3</w:t>
            </w:r>
            <w:r>
              <w:rPr>
                <w:rFonts w:hint="default" w:ascii="Times New Roman" w:hAnsi="Times New Roman" w:eastAsia="宋体" w:cs="Times New Roman"/>
                <w:color w:val="000000"/>
                <w:kern w:val="2"/>
                <w:sz w:val="24"/>
                <w:szCs w:val="20"/>
                <w:highlight w:val="none"/>
                <w:lang w:val="en-US" w:eastAsia="zh-CN" w:bidi="ar-SA"/>
              </w:rPr>
              <w:t>/h，按日均使用4小时计算，则油烟产生速率为</w:t>
            </w:r>
            <w:r>
              <w:rPr>
                <w:rFonts w:hint="eastAsia" w:ascii="Times New Roman" w:hAnsi="Times New Roman" w:eastAsia="宋体" w:cs="Times New Roman"/>
                <w:color w:val="000000"/>
                <w:kern w:val="2"/>
                <w:sz w:val="24"/>
                <w:szCs w:val="20"/>
                <w:highlight w:val="none"/>
                <w:lang w:val="en-US" w:eastAsia="zh-CN" w:bidi="ar-SA"/>
              </w:rPr>
              <w:t>2.5</w:t>
            </w:r>
            <w:r>
              <w:rPr>
                <w:rFonts w:hint="default" w:ascii="Times New Roman" w:hAnsi="Times New Roman" w:eastAsia="宋体" w:cs="Times New Roman"/>
                <w:color w:val="000000"/>
                <w:kern w:val="2"/>
                <w:sz w:val="24"/>
                <w:szCs w:val="20"/>
                <w:highlight w:val="none"/>
                <w:lang w:val="en-US" w:eastAsia="zh-CN" w:bidi="ar-SA"/>
              </w:rPr>
              <w:t>kg/h，产生浓度为</w:t>
            </w:r>
            <w:r>
              <w:rPr>
                <w:rFonts w:hint="eastAsia" w:ascii="Times New Roman" w:hAnsi="Times New Roman" w:eastAsia="宋体" w:cs="Times New Roman"/>
                <w:color w:val="000000"/>
                <w:kern w:val="2"/>
                <w:sz w:val="24"/>
                <w:szCs w:val="20"/>
                <w:highlight w:val="none"/>
                <w:lang w:val="en-US" w:eastAsia="zh-CN" w:bidi="ar-SA"/>
              </w:rPr>
              <w:t>555.56</w:t>
            </w:r>
            <w:r>
              <w:rPr>
                <w:rFonts w:hint="default" w:ascii="Times New Roman" w:hAnsi="Times New Roman" w:eastAsia="宋体" w:cs="Times New Roman"/>
                <w:color w:val="000000"/>
                <w:kern w:val="2"/>
                <w:sz w:val="24"/>
                <w:szCs w:val="20"/>
                <w:highlight w:val="none"/>
                <w:lang w:val="en-US" w:eastAsia="zh-CN" w:bidi="ar-SA"/>
              </w:rPr>
              <w:t>mg/m</w:t>
            </w:r>
            <w:r>
              <w:rPr>
                <w:rFonts w:hint="default" w:ascii="Times New Roman" w:hAnsi="Times New Roman" w:eastAsia="宋体" w:cs="Times New Roman"/>
                <w:color w:val="000000"/>
                <w:kern w:val="2"/>
                <w:sz w:val="24"/>
                <w:szCs w:val="20"/>
                <w:highlight w:val="none"/>
                <w:vertAlign w:val="superscript"/>
                <w:lang w:val="en-US" w:eastAsia="zh-CN" w:bidi="ar-SA"/>
              </w:rPr>
              <w:t>3</w:t>
            </w:r>
            <w:r>
              <w:rPr>
                <w:rFonts w:hint="default" w:ascii="Times New Roman" w:hAnsi="Times New Roman" w:eastAsia="宋体" w:cs="Times New Roman"/>
                <w:color w:val="000000"/>
                <w:kern w:val="2"/>
                <w:sz w:val="24"/>
                <w:szCs w:val="20"/>
                <w:highlight w:val="none"/>
                <w:lang w:val="en-US" w:eastAsia="zh-CN" w:bidi="ar-SA"/>
              </w:rPr>
              <w:t>，油烟净化器去除率约为85%，则食堂油烟排放浓度为</w:t>
            </w:r>
            <w:r>
              <w:rPr>
                <w:rFonts w:hint="eastAsia" w:ascii="Times New Roman" w:hAnsi="Times New Roman" w:eastAsia="宋体" w:cs="Times New Roman"/>
                <w:color w:val="000000"/>
                <w:kern w:val="2"/>
                <w:sz w:val="24"/>
                <w:szCs w:val="20"/>
                <w:highlight w:val="none"/>
                <w:lang w:val="en-US" w:eastAsia="zh-CN" w:bidi="ar-SA"/>
              </w:rPr>
              <w:t>2.5</w:t>
            </w:r>
            <w:r>
              <w:rPr>
                <w:rFonts w:hint="default" w:ascii="Times New Roman" w:hAnsi="Times New Roman" w:eastAsia="宋体" w:cs="Times New Roman"/>
                <w:color w:val="000000"/>
                <w:kern w:val="2"/>
                <w:sz w:val="24"/>
                <w:szCs w:val="20"/>
                <w:highlight w:val="none"/>
                <w:lang w:val="en-US" w:eastAsia="zh-CN" w:bidi="ar-SA"/>
              </w:rPr>
              <w:t>mg/m</w:t>
            </w:r>
            <w:r>
              <w:rPr>
                <w:rFonts w:hint="default" w:ascii="Times New Roman" w:hAnsi="Times New Roman" w:eastAsia="宋体" w:cs="Times New Roman"/>
                <w:color w:val="000000"/>
                <w:kern w:val="2"/>
                <w:sz w:val="24"/>
                <w:szCs w:val="20"/>
                <w:highlight w:val="none"/>
                <w:vertAlign w:val="superscript"/>
                <w:lang w:val="en-US" w:eastAsia="zh-CN" w:bidi="ar-SA"/>
              </w:rPr>
              <w:t>3</w:t>
            </w:r>
            <w:r>
              <w:rPr>
                <w:rFonts w:hint="default" w:ascii="Times New Roman" w:hAnsi="Times New Roman" w:eastAsia="宋体" w:cs="Times New Roman"/>
                <w:color w:val="000000"/>
                <w:kern w:val="2"/>
                <w:sz w:val="24"/>
                <w:szCs w:val="20"/>
                <w:highlight w:val="none"/>
                <w:lang w:val="en-US" w:eastAsia="zh-CN" w:bidi="ar-SA"/>
              </w:rPr>
              <w:t>，通过排烟管道排放，排放速率为0.0075kg/h。</w:t>
            </w:r>
          </w:p>
          <w:p>
            <w:pPr>
              <w:keepNext w:val="0"/>
              <w:keepLines w:val="0"/>
              <w:pageBreakBefore w:val="0"/>
              <w:widowControl w:val="0"/>
              <w:suppressLineNumbers w:val="0"/>
              <w:tabs>
                <w:tab w:val="left" w:pos="0"/>
                <w:tab w:val="left" w:pos="870"/>
                <w:tab w:val="left" w:pos="3150"/>
              </w:tabs>
              <w:kinsoku/>
              <w:wordWrap/>
              <w:overflowPunct/>
              <w:topLinePunct w:val="0"/>
              <w:autoSpaceDE w:val="0"/>
              <w:autoSpaceDN w:val="0"/>
              <w:bidi w:val="0"/>
              <w:adjustRightInd w:val="0"/>
              <w:snapToGrid w:val="0"/>
              <w:spacing w:before="0" w:beforeAutospacing="0" w:after="0" w:afterAutospacing="0" w:line="360" w:lineRule="auto"/>
              <w:ind w:left="0" w:right="0" w:firstLine="480" w:firstLineChars="200"/>
              <w:jc w:val="both"/>
              <w:textAlignment w:val="auto"/>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pPr>
            <w:r>
              <w:rPr>
                <w:rFonts w:hint="eastAsia"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w:t>
            </w:r>
            <w:r>
              <w:rPr>
                <w:rFonts w:hint="eastAsia"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4</w:t>
            </w:r>
            <w:r>
              <w:rPr>
                <w:rFonts w:hint="eastAsia"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）环境监测计划</w:t>
            </w:r>
          </w:p>
          <w:p>
            <w:pPr>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2"/>
                <w:highlight w:val="none"/>
                <w:u w:val="none" w:color="auto"/>
                <w14:textFill>
                  <w14:solidFill>
                    <w14:schemeClr w14:val="tx1"/>
                  </w14:solidFill>
                </w14:textFill>
              </w:rPr>
              <w:t>为及时了解污染源情况，项目要经常开展污染源和环境质量的监测工作，及时发现环境污染问题，并加以控制和解决。可委托有资质的环境监测单位进行</w:t>
            </w:r>
            <w:r>
              <w:rPr>
                <w:rFonts w:hint="eastAsia" w:ascii="Times New Roman" w:hAnsi="Times New Roman" w:cs="Times New Roman" w:eastAsiaTheme="minorEastAsia"/>
                <w:color w:val="000000" w:themeColor="text1"/>
                <w:sz w:val="24"/>
                <w:szCs w:val="22"/>
                <w:highlight w:val="none"/>
                <w:u w:val="none" w:color="auto"/>
                <w:lang w:eastAsia="zh-CN"/>
                <w14:textFill>
                  <w14:solidFill>
                    <w14:schemeClr w14:val="tx1"/>
                  </w14:solidFill>
                </w14:textFill>
              </w:rPr>
              <w:t>。</w:t>
            </w:r>
            <w:r>
              <w:rPr>
                <w:rFonts w:hint="eastAsia" w:ascii="Times New Roman" w:hAnsi="Times New Roman" w:eastAsia="宋体" w:cs="Times New Roman"/>
                <w:sz w:val="24"/>
                <w:szCs w:val="24"/>
                <w:highlight w:val="none"/>
                <w:u w:val="none" w:color="auto"/>
                <w:lang w:val="en-US" w:eastAsia="zh-CN"/>
              </w:rPr>
              <w:t>参照《</w:t>
            </w:r>
            <w:r>
              <w:rPr>
                <w:rFonts w:ascii="宋体" w:hAnsi="宋体" w:eastAsia="宋体" w:cs="宋体"/>
                <w:sz w:val="24"/>
                <w:szCs w:val="24"/>
                <w:highlight w:val="none"/>
                <w:u w:val="none" w:color="auto"/>
              </w:rPr>
              <w:t>排污单位自行监测技术指</w:t>
            </w:r>
            <w:r>
              <w:rPr>
                <w:rFonts w:hint="default" w:ascii="Times New Roman" w:hAnsi="Times New Roman" w:eastAsia="宋体" w:cs="Times New Roman"/>
                <w:sz w:val="24"/>
                <w:szCs w:val="24"/>
                <w:highlight w:val="none"/>
                <w:u w:val="none" w:color="auto"/>
              </w:rPr>
              <w:t>南总则</w:t>
            </w:r>
            <w:r>
              <w:rPr>
                <w:rFonts w:hint="default" w:ascii="Times New Roman" w:hAnsi="Times New Roman" w:eastAsia="宋体" w:cs="Times New Roman"/>
                <w:sz w:val="24"/>
                <w:szCs w:val="24"/>
                <w:highlight w:val="none"/>
                <w:u w:val="none" w:color="auto"/>
                <w:lang w:val="en-US" w:eastAsia="zh-CN"/>
              </w:rPr>
              <w:t>》（</w:t>
            </w:r>
            <w:r>
              <w:rPr>
                <w:rFonts w:hint="default" w:ascii="Times New Roman" w:hAnsi="Times New Roman" w:eastAsia="宋体" w:cs="Times New Roman"/>
                <w:sz w:val="24"/>
                <w:szCs w:val="24"/>
                <w:highlight w:val="none"/>
                <w:u w:val="none" w:color="auto"/>
              </w:rPr>
              <w:t>HJ819-2017</w:t>
            </w:r>
            <w:r>
              <w:rPr>
                <w:rFonts w:hint="default" w:ascii="Times New Roman" w:hAnsi="Times New Roman" w:eastAsia="宋体" w:cs="Times New Roman"/>
                <w:sz w:val="24"/>
                <w:szCs w:val="24"/>
                <w:highlight w:val="none"/>
                <w:u w:val="none" w:color="auto"/>
                <w:lang w:val="en-US" w:eastAsia="zh-CN"/>
              </w:rPr>
              <w:t>）</w:t>
            </w:r>
            <w:r>
              <w:rPr>
                <w:rFonts w:hint="eastAsia" w:ascii="Times New Roman" w:hAnsi="Times New Roman" w:eastAsia="宋体" w:cs="Times New Roman"/>
                <w:sz w:val="24"/>
                <w:szCs w:val="24"/>
                <w:highlight w:val="none"/>
                <w:u w:val="none" w:color="auto"/>
                <w:lang w:val="en-US" w:eastAsia="zh-CN"/>
              </w:rPr>
              <w:t>，</w:t>
            </w:r>
            <w:r>
              <w:rPr>
                <w:rFonts w:hint="default" w:ascii="Times New Roman" w:hAnsi="Times New Roman" w:cs="Times New Roman" w:eastAsiaTheme="minorEastAsia"/>
                <w:color w:val="000000" w:themeColor="text1"/>
                <w:sz w:val="24"/>
                <w:szCs w:val="22"/>
                <w:highlight w:val="none"/>
                <w:u w:val="none" w:color="auto"/>
                <w14:textFill>
                  <w14:solidFill>
                    <w14:schemeClr w14:val="tx1"/>
                  </w14:solidFill>
                </w14:textFill>
              </w:rPr>
              <w:t>根据本项目污染物排放实际情况，项目常规监测工作计划见表</w:t>
            </w:r>
            <w:r>
              <w:rPr>
                <w:rFonts w:hint="default" w:ascii="Times New Roman" w:hAnsi="Times New Roman" w:cs="Times New Roman" w:eastAsiaTheme="minorEastAsia"/>
                <w:color w:val="000000" w:themeColor="text1"/>
                <w:sz w:val="24"/>
                <w:szCs w:val="22"/>
                <w:highlight w:val="none"/>
                <w:u w:val="none" w:color="auto"/>
                <w:lang w:val="en-US" w:eastAsia="zh-CN"/>
                <w14:textFill>
                  <w14:solidFill>
                    <w14:schemeClr w14:val="tx1"/>
                  </w14:solidFill>
                </w14:textFill>
              </w:rPr>
              <w:t>4-</w:t>
            </w:r>
            <w:r>
              <w:rPr>
                <w:rFonts w:hint="eastAsia" w:ascii="Times New Roman" w:hAnsi="Times New Roman" w:cs="Times New Roman" w:eastAsiaTheme="minorEastAsia"/>
                <w:color w:val="000000" w:themeColor="text1"/>
                <w:sz w:val="24"/>
                <w:szCs w:val="22"/>
                <w:highlight w:val="none"/>
                <w:u w:val="none" w:color="auto"/>
                <w:lang w:val="en-US" w:eastAsia="zh-CN"/>
                <w14:textFill>
                  <w14:solidFill>
                    <w14:schemeClr w14:val="tx1"/>
                  </w14:solidFill>
                </w14:textFill>
              </w:rPr>
              <w:t>1</w:t>
            </w:r>
            <w:r>
              <w:rPr>
                <w:rFonts w:hint="default" w:ascii="Times New Roman" w:hAnsi="Times New Roman" w:cs="Times New Roman" w:eastAsiaTheme="minorEastAsia"/>
                <w:color w:val="000000" w:themeColor="text1"/>
                <w:sz w:val="24"/>
                <w:szCs w:val="22"/>
                <w:highlight w:val="none"/>
                <w:u w:val="none" w:color="auto"/>
                <w14:textFill>
                  <w14:solidFill>
                    <w14:schemeClr w14:val="tx1"/>
                  </w14:solidFill>
                </w14:textFill>
              </w:rPr>
              <w:t>。</w:t>
            </w:r>
          </w:p>
          <w:p>
            <w:pPr>
              <w:spacing w:line="240" w:lineRule="auto"/>
              <w:ind w:left="0" w:leftChars="0" w:firstLine="0" w:firstLineChars="0"/>
              <w:jc w:val="cente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pP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表</w:t>
            </w:r>
            <w:r>
              <w:rPr>
                <w:rFonts w:hint="default"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t>4-</w:t>
            </w:r>
            <w:r>
              <w:rPr>
                <w:rFonts w:hint="eastAsia"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t>1</w:t>
            </w: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 xml:space="preserve"> </w:t>
            </w:r>
            <w:r>
              <w:rPr>
                <w:rFonts w:hint="default"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t>项目建成后</w:t>
            </w:r>
            <w:r>
              <w:rPr>
                <w:rFonts w:hint="eastAsia" w:cs="Times New Roman" w:eastAsiaTheme="minorEastAsia"/>
                <w:b/>
                <w:color w:val="000000" w:themeColor="text1"/>
                <w:sz w:val="21"/>
                <w:szCs w:val="21"/>
                <w:highlight w:val="none"/>
                <w:u w:val="none" w:color="auto"/>
                <w:lang w:val="en-US" w:eastAsia="zh-CN"/>
                <w14:textFill>
                  <w14:solidFill>
                    <w14:schemeClr w14:val="tx1"/>
                  </w14:solidFill>
                </w14:textFill>
              </w:rPr>
              <w:t>废气</w:t>
            </w: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污染源监测计划</w:t>
            </w:r>
          </w:p>
          <w:tbl>
            <w:tblPr>
              <w:tblStyle w:val="24"/>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46"/>
              <w:gridCol w:w="2073"/>
              <w:gridCol w:w="1418"/>
              <w:gridCol w:w="35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8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vertAlign w:val="baseline"/>
                      <w:lang w:val="en-US" w:eastAsia="zh-CN"/>
                    </w:rPr>
                  </w:pPr>
                  <w:r>
                    <w:rPr>
                      <w:rFonts w:hint="eastAsia" w:ascii="Times New Roman" w:hAnsi="Times New Roman" w:cs="Times New Roman"/>
                      <w:b w:val="0"/>
                      <w:bCs w:val="0"/>
                      <w:sz w:val="21"/>
                      <w:szCs w:val="21"/>
                      <w:vertAlign w:val="baseline"/>
                      <w:lang w:val="en-US" w:eastAsia="zh-CN"/>
                    </w:rPr>
                    <w:t>监测位置</w:t>
                  </w:r>
                </w:p>
              </w:tc>
              <w:tc>
                <w:tcPr>
                  <w:tcW w:w="115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vertAlign w:val="baseline"/>
                      <w:lang w:val="en-US" w:eastAsia="zh-CN"/>
                    </w:rPr>
                  </w:pPr>
                  <w:r>
                    <w:rPr>
                      <w:rFonts w:hint="eastAsia" w:ascii="Times New Roman" w:hAnsi="Times New Roman" w:cs="Times New Roman"/>
                      <w:b w:val="0"/>
                      <w:bCs w:val="0"/>
                      <w:sz w:val="21"/>
                      <w:szCs w:val="21"/>
                      <w:vertAlign w:val="baseline"/>
                      <w:lang w:val="en-US" w:eastAsia="zh-CN"/>
                    </w:rPr>
                    <w:t>监测指标</w:t>
                  </w:r>
                </w:p>
              </w:tc>
              <w:tc>
                <w:tcPr>
                  <w:tcW w:w="793"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vertAlign w:val="baseline"/>
                      <w:lang w:val="en-US" w:eastAsia="zh-CN"/>
                    </w:rPr>
                  </w:pPr>
                  <w:r>
                    <w:rPr>
                      <w:rFonts w:hint="eastAsia" w:ascii="Times New Roman" w:hAnsi="Times New Roman" w:cs="Times New Roman"/>
                      <w:b w:val="0"/>
                      <w:bCs w:val="0"/>
                      <w:sz w:val="21"/>
                      <w:szCs w:val="21"/>
                      <w:vertAlign w:val="baseline"/>
                      <w:lang w:val="en-US" w:eastAsia="zh-CN"/>
                    </w:rPr>
                    <w:t>监测频次</w:t>
                  </w:r>
                </w:p>
              </w:tc>
              <w:tc>
                <w:tcPr>
                  <w:tcW w:w="195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vertAlign w:val="baseline"/>
                      <w:lang w:val="en-US" w:eastAsia="zh-CN"/>
                    </w:rPr>
                  </w:pPr>
                  <w:r>
                    <w:rPr>
                      <w:rFonts w:hint="eastAsia" w:ascii="Times New Roman" w:hAnsi="Times New Roman" w:cs="Times New Roman"/>
                      <w:b w:val="0"/>
                      <w:bCs w:val="0"/>
                      <w:sz w:val="21"/>
                      <w:szCs w:val="21"/>
                      <w:vertAlign w:val="baseline"/>
                      <w:lang w:val="en-US" w:eastAsia="zh-CN"/>
                    </w:rPr>
                    <w:t>执行标准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49" w:hRule="atLeast"/>
                <w:jc w:val="center"/>
              </w:trPr>
              <w:tc>
                <w:tcPr>
                  <w:tcW w:w="108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b w:val="0"/>
                      <w:bCs w:val="0"/>
                      <w:sz w:val="21"/>
                      <w:szCs w:val="21"/>
                      <w:vertAlign w:val="baseline"/>
                      <w:lang w:val="en-US" w:eastAsia="zh-CN"/>
                    </w:rPr>
                  </w:pPr>
                  <w:r>
                    <w:rPr>
                      <w:rFonts w:hint="eastAsia" w:ascii="Times New Roman" w:hAnsi="Times New Roman" w:cs="Times New Roman"/>
                      <w:b w:val="0"/>
                      <w:bCs w:val="0"/>
                      <w:sz w:val="21"/>
                      <w:szCs w:val="21"/>
                      <w:vertAlign w:val="baseline"/>
                      <w:lang w:val="en-US" w:eastAsia="zh-CN"/>
                    </w:rPr>
                    <w:t>涂布烘干废气</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vertAlign w:val="baseline"/>
                      <w:lang w:val="en-US" w:eastAsia="zh-CN"/>
                    </w:rPr>
                  </w:pPr>
                  <w:r>
                    <w:rPr>
                      <w:rFonts w:hint="eastAsia" w:ascii="Times New Roman" w:hAnsi="Times New Roman" w:cs="Times New Roman"/>
                      <w:b w:val="0"/>
                      <w:bCs w:val="0"/>
                      <w:sz w:val="21"/>
                      <w:szCs w:val="21"/>
                      <w:vertAlign w:val="baseline"/>
                      <w:lang w:val="en-US" w:eastAsia="zh-CN"/>
                    </w:rPr>
                    <w:t>排放筒</w:t>
                  </w:r>
                </w:p>
              </w:tc>
              <w:tc>
                <w:tcPr>
                  <w:tcW w:w="115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vertAlign w:val="baseline"/>
                      <w:lang w:val="en-US" w:eastAsia="zh-CN"/>
                    </w:rPr>
                  </w:pPr>
                  <w:r>
                    <w:rPr>
                      <w:rFonts w:hint="eastAsia" w:ascii="Times New Roman" w:hAnsi="Times New Roman" w:cs="Times New Roman"/>
                      <w:b w:val="0"/>
                      <w:bCs w:val="0"/>
                      <w:sz w:val="21"/>
                      <w:szCs w:val="21"/>
                      <w:vertAlign w:val="baseline"/>
                      <w:lang w:val="en-US" w:eastAsia="zh-CN"/>
                    </w:rPr>
                    <w:t>非甲烷总烃</w:t>
                  </w:r>
                </w:p>
              </w:tc>
              <w:tc>
                <w:tcPr>
                  <w:tcW w:w="793"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vertAlign w:val="baseline"/>
                      <w:lang w:val="en-US" w:eastAsia="zh-CN"/>
                    </w:rPr>
                  </w:pPr>
                  <w:r>
                    <w:rPr>
                      <w:rFonts w:hint="eastAsia" w:ascii="Times New Roman" w:hAnsi="Times New Roman" w:cs="Times New Roman"/>
                      <w:b w:val="0"/>
                      <w:bCs w:val="0"/>
                      <w:sz w:val="21"/>
                      <w:szCs w:val="21"/>
                      <w:vertAlign w:val="baseline"/>
                      <w:lang w:val="en-US" w:eastAsia="zh-CN"/>
                    </w:rPr>
                    <w:t>半年/次</w:t>
                  </w:r>
                </w:p>
              </w:tc>
              <w:tc>
                <w:tcPr>
                  <w:tcW w:w="195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vertAlign w:val="baseline"/>
                      <w:lang w:val="en-US" w:eastAsia="zh-CN"/>
                    </w:rPr>
                  </w:pPr>
                  <w:r>
                    <w:rPr>
                      <w:rFonts w:hint="eastAsia" w:ascii="Times New Roman" w:hAnsi="Times New Roman" w:cs="Times New Roman"/>
                      <w:b w:val="0"/>
                      <w:bCs w:val="0"/>
                      <w:sz w:val="21"/>
                      <w:szCs w:val="21"/>
                      <w:lang w:val="en-US" w:eastAsia="zh-CN"/>
                    </w:rPr>
                    <w:t>《电池工业污染物排放标准》（GB30484-2013）中新建企业大气污染物排放限值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42" w:hRule="atLeast"/>
                <w:jc w:val="center"/>
              </w:trPr>
              <w:tc>
                <w:tcPr>
                  <w:tcW w:w="1088" w:type="pct"/>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vertAlign w:val="baseline"/>
                      <w:lang w:val="en-US" w:eastAsia="zh-CN"/>
                    </w:rPr>
                  </w:pPr>
                  <w:r>
                    <w:rPr>
                      <w:rFonts w:hint="eastAsia" w:ascii="Times New Roman" w:hAnsi="Times New Roman" w:cs="Times New Roman"/>
                      <w:b w:val="0"/>
                      <w:bCs w:val="0"/>
                      <w:sz w:val="21"/>
                      <w:szCs w:val="21"/>
                      <w:vertAlign w:val="baseline"/>
                      <w:lang w:val="en-US" w:eastAsia="zh-CN"/>
                    </w:rPr>
                    <w:t>厂界四周</w:t>
                  </w:r>
                </w:p>
              </w:tc>
              <w:tc>
                <w:tcPr>
                  <w:tcW w:w="115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vertAlign w:val="baseline"/>
                      <w:lang w:val="en-US" w:eastAsia="zh-CN"/>
                    </w:rPr>
                  </w:pPr>
                  <w:r>
                    <w:rPr>
                      <w:rFonts w:hint="eastAsia" w:ascii="Times New Roman" w:hAnsi="Times New Roman" w:cs="Times New Roman"/>
                      <w:b w:val="0"/>
                      <w:bCs w:val="0"/>
                      <w:sz w:val="21"/>
                      <w:szCs w:val="21"/>
                      <w:vertAlign w:val="baseline"/>
                      <w:lang w:val="en-US" w:eastAsia="zh-CN"/>
                    </w:rPr>
                    <w:t>颗粒物</w:t>
                  </w:r>
                </w:p>
              </w:tc>
              <w:tc>
                <w:tcPr>
                  <w:tcW w:w="793" w:type="pct"/>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b w:val="0"/>
                      <w:bCs w:val="0"/>
                      <w:sz w:val="21"/>
                      <w:szCs w:val="21"/>
                      <w:vertAlign w:val="baseline"/>
                      <w:lang w:val="en-US" w:eastAsia="zh-CN"/>
                    </w:rPr>
                  </w:pPr>
                  <w:r>
                    <w:rPr>
                      <w:rFonts w:hint="eastAsia" w:ascii="Times New Roman" w:hAnsi="Times New Roman" w:cs="Times New Roman"/>
                      <w:b w:val="0"/>
                      <w:bCs w:val="0"/>
                      <w:sz w:val="21"/>
                      <w:szCs w:val="21"/>
                      <w:vertAlign w:val="baseline"/>
                      <w:lang w:val="en-US" w:eastAsia="zh-CN"/>
                    </w:rPr>
                    <w:t>半年/次</w:t>
                  </w:r>
                </w:p>
              </w:tc>
              <w:tc>
                <w:tcPr>
                  <w:tcW w:w="1959" w:type="pct"/>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vertAlign w:val="baseline"/>
                      <w:lang w:val="en-US" w:eastAsia="zh-CN"/>
                    </w:rPr>
                  </w:pPr>
                  <w:r>
                    <w:rPr>
                      <w:rFonts w:hint="eastAsia" w:ascii="Times New Roman" w:hAnsi="Times New Roman" w:cs="Times New Roman"/>
                      <w:b w:val="0"/>
                      <w:bCs w:val="0"/>
                      <w:sz w:val="21"/>
                      <w:szCs w:val="21"/>
                      <w:lang w:val="en-US" w:eastAsia="zh-CN"/>
                    </w:rPr>
                    <w:t>《电池工业污染物排放标准》（GB30484-2013）中新建企业边界大气污染物浓度限值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88"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b w:val="0"/>
                      <w:bCs w:val="0"/>
                      <w:sz w:val="21"/>
                      <w:szCs w:val="21"/>
                      <w:vertAlign w:val="baseline"/>
                      <w:lang w:val="en-US" w:eastAsia="zh-CN"/>
                    </w:rPr>
                  </w:pPr>
                </w:p>
              </w:tc>
              <w:tc>
                <w:tcPr>
                  <w:tcW w:w="115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vertAlign w:val="baseline"/>
                      <w:lang w:val="en-US" w:eastAsia="zh-CN"/>
                    </w:rPr>
                  </w:pPr>
                  <w:r>
                    <w:rPr>
                      <w:rFonts w:hint="eastAsia" w:ascii="Times New Roman" w:hAnsi="Times New Roman" w:cs="Times New Roman"/>
                      <w:b w:val="0"/>
                      <w:bCs w:val="0"/>
                      <w:sz w:val="21"/>
                      <w:szCs w:val="21"/>
                      <w:vertAlign w:val="baseline"/>
                      <w:lang w:val="en-US" w:eastAsia="zh-CN"/>
                    </w:rPr>
                    <w:t>非甲烷总烃</w:t>
                  </w:r>
                </w:p>
              </w:tc>
              <w:tc>
                <w:tcPr>
                  <w:tcW w:w="793"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b w:val="0"/>
                      <w:bCs w:val="0"/>
                      <w:sz w:val="21"/>
                      <w:szCs w:val="21"/>
                      <w:vertAlign w:val="baseline"/>
                      <w:lang w:val="en-US" w:eastAsia="zh-CN"/>
                    </w:rPr>
                  </w:pPr>
                </w:p>
              </w:tc>
              <w:tc>
                <w:tcPr>
                  <w:tcW w:w="1959"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sz w:val="21"/>
                      <w:szCs w:val="21"/>
                      <w:vertAlign w:val="baseline"/>
                      <w:lang w:val="en-US" w:eastAsia="zh-CN"/>
                    </w:rPr>
                  </w:pPr>
                </w:p>
              </w:tc>
            </w:tr>
          </w:tbl>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leftChars="0" w:right="0" w:firstLine="482" w:firstLineChars="200"/>
              <w:textAlignment w:val="auto"/>
              <w:rPr>
                <w:rFonts w:hint="eastAsia" w:cs="Times New Roman"/>
                <w:b/>
                <w:bCs/>
                <w:color w:val="000000"/>
                <w:sz w:val="24"/>
                <w:szCs w:val="24"/>
                <w:highlight w:val="none"/>
                <w:u w:val="none" w:color="auto"/>
                <w:lang w:val="en-US" w:eastAsia="zh-CN"/>
              </w:rPr>
            </w:pPr>
            <w:r>
              <w:rPr>
                <w:rFonts w:hint="eastAsia" w:cs="Times New Roman"/>
                <w:b/>
                <w:bCs/>
                <w:color w:val="000000"/>
                <w:sz w:val="24"/>
                <w:szCs w:val="24"/>
                <w:highlight w:val="none"/>
                <w:u w:val="none" w:color="auto"/>
                <w:lang w:val="en-US" w:eastAsia="zh-CN"/>
              </w:rPr>
              <w:t>2、水环境影响分析</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leftChars="0" w:right="0" w:firstLine="480" w:firstLineChars="200"/>
              <w:textAlignment w:val="auto"/>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项目产生的废水主要为员工生活污水，搅拌桶清洗废水、循环冷却水、电池清洗废水</w:t>
            </w:r>
            <w:r>
              <w:rPr>
                <w:rFonts w:hint="eastAsia" w:cs="Times New Roman" w:eastAsiaTheme="minorEastAsia"/>
                <w:color w:val="000000" w:themeColor="text1"/>
                <w:sz w:val="24"/>
                <w:highlight w:val="none"/>
                <w:u w:val="none" w:color="auto"/>
                <w:lang w:val="en-US" w:eastAsia="zh-CN"/>
                <w14:textFill>
                  <w14:solidFill>
                    <w14:schemeClr w14:val="tx1"/>
                  </w14:solidFill>
                </w14:textFill>
              </w:rPr>
              <w:t>、喷淋废水。</w:t>
            </w:r>
            <w:r>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本项目运营期水平衡见图4-1。</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b/>
                <w:bCs/>
                <w:snapToGrid w:val="0"/>
                <w:sz w:val="21"/>
                <w:szCs w:val="21"/>
                <w:highlight w:val="none"/>
                <w:lang w:eastAsia="zh-CN"/>
              </w:rPr>
            </w:pPr>
            <w:r>
              <w:rPr>
                <w:rFonts w:hint="eastAsia" w:ascii="Times New Roman" w:hAnsi="Times New Roman" w:eastAsia="宋体" w:cs="Times New Roman"/>
                <w:b/>
                <w:bCs/>
                <w:snapToGrid w:val="0"/>
                <w:sz w:val="21"/>
                <w:szCs w:val="21"/>
                <w:highlight w:val="none"/>
                <w:lang w:eastAsia="zh-CN"/>
              </w:rPr>
              <w:drawing>
                <wp:inline distT="0" distB="0" distL="114300" distR="114300">
                  <wp:extent cx="3440430" cy="3216910"/>
                  <wp:effectExtent l="0" t="0" r="7620" b="2540"/>
                  <wp:docPr id="7" name="ECB019B1-382A-4266-B25C-5B523AA43C14-2" descr="C:/Users/hp/AppData/Local/Temp/wps.qlLguX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ECB019B1-382A-4266-B25C-5B523AA43C14-2" descr="C:/Users/hp/AppData/Local/Temp/wps.qlLguXwps"/>
                          <pic:cNvPicPr>
                            <a:picLocks noChangeAspect="1"/>
                          </pic:cNvPicPr>
                        </pic:nvPicPr>
                        <pic:blipFill>
                          <a:blip r:embed="rId13"/>
                          <a:srcRect l="7599" t="6480" r="2828" b="3323"/>
                          <a:stretch>
                            <a:fillRect/>
                          </a:stretch>
                        </pic:blipFill>
                        <pic:spPr>
                          <a:xfrm>
                            <a:off x="0" y="0"/>
                            <a:ext cx="3440430" cy="321691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szCs w:val="24"/>
                <w:highlight w:val="none"/>
              </w:rPr>
            </w:pPr>
            <w:r>
              <w:rPr>
                <w:rFonts w:hint="eastAsia" w:ascii="Times New Roman" w:hAnsi="Times New Roman" w:eastAsia="宋体" w:cs="Times New Roman"/>
                <w:b/>
                <w:bCs/>
                <w:snapToGrid w:val="0"/>
                <w:sz w:val="21"/>
                <w:szCs w:val="21"/>
                <w:highlight w:val="none"/>
              </w:rPr>
              <w:t>图4-1  水平衡图（</w:t>
            </w:r>
            <w:r>
              <w:rPr>
                <w:rFonts w:hint="eastAsia" w:ascii="Times New Roman" w:hAnsi="Times New Roman" w:eastAsia="宋体" w:cs="Times New Roman"/>
                <w:b/>
                <w:bCs/>
                <w:snapToGrid w:val="0"/>
                <w:sz w:val="21"/>
                <w:szCs w:val="21"/>
                <w:highlight w:val="none"/>
                <w:lang w:val="en-US" w:eastAsia="zh-CN"/>
              </w:rPr>
              <w:t>m³</w:t>
            </w:r>
            <w:r>
              <w:rPr>
                <w:rFonts w:hint="eastAsia" w:ascii="Times New Roman" w:hAnsi="Times New Roman" w:eastAsia="宋体" w:cs="Times New Roman"/>
                <w:b/>
                <w:bCs/>
                <w:snapToGrid w:val="0"/>
                <w:sz w:val="21"/>
                <w:szCs w:val="21"/>
                <w:highlight w:val="none"/>
              </w:rPr>
              <w:t>/a）</w:t>
            </w:r>
          </w:p>
          <w:p>
            <w:pPr>
              <w:ind w:firstLine="480"/>
              <w:rPr>
                <w:rFonts w:ascii="Times New Roman" w:hAnsi="Times New Roman" w:eastAsia="宋体" w:cs="Times New Roman"/>
                <w:szCs w:val="24"/>
              </w:rPr>
            </w:pPr>
            <w:r>
              <w:rPr>
                <w:rFonts w:ascii="Times New Roman" w:hAnsi="Times New Roman" w:eastAsia="宋体" w:cs="Times New Roman"/>
                <w:szCs w:val="24"/>
              </w:rPr>
              <w:t>（1）生活污水</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bCs/>
                <w:szCs w:val="24"/>
                <w:u w:val="none"/>
                <w:lang w:val="en-US" w:eastAsia="zh-CN"/>
              </w:rPr>
            </w:pPr>
            <w:r>
              <w:rPr>
                <w:rFonts w:ascii="Times New Roman" w:hAnsi="Times New Roman" w:eastAsia="宋体" w:cs="Times New Roman"/>
                <w:bCs/>
                <w:szCs w:val="24"/>
                <w:u w:val="none"/>
              </w:rPr>
              <w:t>项目生活污水主要来自工作人员的生活污水</w:t>
            </w:r>
            <w:r>
              <w:rPr>
                <w:rFonts w:hint="eastAsia" w:ascii="Times New Roman" w:hAnsi="Times New Roman" w:eastAsia="宋体" w:cs="Times New Roman"/>
                <w:bCs/>
                <w:szCs w:val="24"/>
                <w:u w:val="none"/>
                <w:lang w:eastAsia="zh-CN"/>
              </w:rPr>
              <w:t>，</w:t>
            </w:r>
            <w:r>
              <w:rPr>
                <w:rFonts w:hint="eastAsia" w:ascii="Times New Roman" w:hAnsi="Times New Roman" w:eastAsia="宋体" w:cs="Times New Roman"/>
                <w:bCs/>
                <w:szCs w:val="24"/>
                <w:u w:val="none"/>
                <w:lang w:val="en-US" w:eastAsia="zh-CN"/>
              </w:rPr>
              <w:t>厂内员工共</w:t>
            </w:r>
            <w:r>
              <w:rPr>
                <w:rFonts w:hint="eastAsia" w:cs="Times New Roman"/>
                <w:bCs/>
                <w:szCs w:val="24"/>
                <w:u w:val="none"/>
                <w:lang w:val="en-US" w:eastAsia="zh-CN"/>
              </w:rPr>
              <w:t>400</w:t>
            </w:r>
            <w:r>
              <w:rPr>
                <w:rFonts w:hint="eastAsia" w:ascii="Times New Roman" w:hAnsi="Times New Roman" w:eastAsia="宋体" w:cs="Times New Roman"/>
                <w:bCs/>
                <w:szCs w:val="24"/>
                <w:u w:val="none"/>
                <w:lang w:val="en-US" w:eastAsia="zh-CN"/>
              </w:rPr>
              <w:t>人，</w:t>
            </w:r>
            <w:r>
              <w:rPr>
                <w:bCs/>
                <w:u w:val="none" w:color="auto"/>
              </w:rPr>
              <w:t>根据</w:t>
            </w:r>
            <w:r>
              <w:rPr>
                <w:rFonts w:hint="eastAsia"/>
                <w:bCs/>
                <w:u w:val="none" w:color="auto"/>
              </w:rPr>
              <w:t>《湖南省用水定额》（DB43/T 388-2020）</w:t>
            </w:r>
            <w:r>
              <w:rPr>
                <w:bCs/>
                <w:u w:val="none" w:color="auto"/>
              </w:rPr>
              <w:t>，员工生活用水量按</w:t>
            </w:r>
            <w:r>
              <w:rPr>
                <w:rFonts w:hint="eastAsia"/>
                <w:bCs/>
                <w:u w:val="none" w:color="auto"/>
              </w:rPr>
              <w:t>9</w:t>
            </w:r>
            <w:r>
              <w:rPr>
                <w:bCs/>
                <w:u w:val="none" w:color="auto"/>
              </w:rPr>
              <w:t>0L/人·d计算，则生活用水量为</w:t>
            </w:r>
            <w:r>
              <w:rPr>
                <w:rFonts w:hint="eastAsia"/>
                <w:bCs/>
                <w:u w:val="none" w:color="auto"/>
                <w:lang w:val="en-US" w:eastAsia="zh-CN"/>
              </w:rPr>
              <w:t>36</w:t>
            </w:r>
            <w:r>
              <w:rPr>
                <w:bCs/>
                <w:u w:val="none" w:color="auto"/>
              </w:rPr>
              <w:t>m</w:t>
            </w:r>
            <w:r>
              <w:rPr>
                <w:bCs/>
                <w:u w:val="none" w:color="auto"/>
                <w:vertAlign w:val="superscript"/>
              </w:rPr>
              <w:t>3</w:t>
            </w:r>
            <w:r>
              <w:rPr>
                <w:bCs/>
                <w:u w:val="none" w:color="auto"/>
              </w:rPr>
              <w:t>/d（</w:t>
            </w:r>
            <w:r>
              <w:rPr>
                <w:rFonts w:hint="eastAsia"/>
                <w:bCs/>
                <w:u w:val="none" w:color="auto"/>
                <w:lang w:val="en-US" w:eastAsia="zh-CN"/>
              </w:rPr>
              <w:t>10800</w:t>
            </w:r>
            <w:r>
              <w:rPr>
                <w:u w:val="none" w:color="auto"/>
              </w:rPr>
              <w:t>m</w:t>
            </w:r>
            <w:r>
              <w:rPr>
                <w:u w:val="none" w:color="auto"/>
                <w:vertAlign w:val="superscript"/>
              </w:rPr>
              <w:t>3</w:t>
            </w:r>
            <w:r>
              <w:rPr>
                <w:kern w:val="0"/>
                <w:u w:val="none" w:color="auto"/>
                <w:lang w:bidi="ar"/>
              </w:rPr>
              <w:t>/a</w:t>
            </w:r>
            <w:r>
              <w:rPr>
                <w:bCs/>
                <w:u w:val="none" w:color="auto"/>
              </w:rPr>
              <w:t>），废水产生量按用水量的80%计算，则员工</w:t>
            </w:r>
            <w:r>
              <w:rPr>
                <w:kern w:val="0"/>
                <w:u w:val="none" w:color="auto"/>
              </w:rPr>
              <w:t>生活污水产生量为</w:t>
            </w:r>
            <w:r>
              <w:rPr>
                <w:rFonts w:hint="eastAsia" w:ascii="Times New Roman" w:eastAsia="宋体"/>
                <w:kern w:val="0"/>
                <w:u w:val="none" w:color="auto"/>
                <w:lang w:val="en-US" w:eastAsia="zh-CN"/>
              </w:rPr>
              <w:t>28.8‬</w:t>
            </w:r>
            <w:r>
              <w:rPr>
                <w:u w:val="none" w:color="auto"/>
              </w:rPr>
              <w:t>m</w:t>
            </w:r>
            <w:r>
              <w:rPr>
                <w:u w:val="none" w:color="auto"/>
                <w:vertAlign w:val="superscript"/>
              </w:rPr>
              <w:t>3</w:t>
            </w:r>
            <w:r>
              <w:rPr>
                <w:kern w:val="0"/>
                <w:u w:val="none" w:color="auto"/>
                <w:lang w:bidi="ar"/>
              </w:rPr>
              <w:t>/</w:t>
            </w:r>
            <w:r>
              <w:rPr>
                <w:u w:val="none" w:color="auto"/>
              </w:rPr>
              <w:t>d（</w:t>
            </w:r>
            <w:r>
              <w:rPr>
                <w:rFonts w:hint="eastAsia"/>
                <w:u w:val="none" w:color="auto"/>
                <w:lang w:val="en-US" w:eastAsia="zh-CN"/>
              </w:rPr>
              <w:t>8640</w:t>
            </w:r>
            <w:r>
              <w:rPr>
                <w:u w:val="none" w:color="auto"/>
              </w:rPr>
              <w:t>m</w:t>
            </w:r>
            <w:r>
              <w:rPr>
                <w:u w:val="none" w:color="auto"/>
                <w:vertAlign w:val="superscript"/>
              </w:rPr>
              <w:t>3</w:t>
            </w:r>
            <w:r>
              <w:rPr>
                <w:kern w:val="0"/>
                <w:u w:val="none" w:color="auto"/>
                <w:lang w:bidi="ar"/>
              </w:rPr>
              <w:t>/a</w:t>
            </w:r>
            <w:r>
              <w:rPr>
                <w:u w:val="none" w:color="auto"/>
              </w:rPr>
              <w:t>）</w:t>
            </w:r>
            <w:r>
              <w:rPr>
                <w:bCs/>
                <w:u w:val="none" w:color="auto"/>
              </w:rPr>
              <w:t>。废水中主要的污染因子有COD、BOD</w:t>
            </w:r>
            <w:r>
              <w:rPr>
                <w:rFonts w:hint="eastAsia"/>
                <w:bCs/>
                <w:u w:val="none" w:color="auto"/>
                <w:vertAlign w:val="subscript"/>
              </w:rPr>
              <w:t>5</w:t>
            </w:r>
            <w:r>
              <w:rPr>
                <w:bCs/>
                <w:u w:val="none" w:color="auto"/>
              </w:rPr>
              <w:t>、SS、NH</w:t>
            </w:r>
            <w:r>
              <w:rPr>
                <w:bCs/>
                <w:u w:val="none" w:color="auto"/>
                <w:vertAlign w:val="subscript"/>
              </w:rPr>
              <w:t>3</w:t>
            </w:r>
            <w:r>
              <w:rPr>
                <w:bCs/>
                <w:u w:val="none" w:color="auto"/>
              </w:rPr>
              <w:t>-N等</w:t>
            </w:r>
            <w:r>
              <w:rPr>
                <w:rFonts w:ascii="Times New Roman" w:hAnsi="Times New Roman" w:eastAsia="宋体" w:cs="Times New Roman"/>
                <w:bCs/>
                <w:szCs w:val="24"/>
                <w:u w:val="none"/>
              </w:rPr>
              <w:t>。根据现场踏勘，本项目生活污水</w:t>
            </w:r>
            <w:r>
              <w:rPr>
                <w:rFonts w:hint="eastAsia" w:ascii="Times New Roman" w:hAnsi="Times New Roman" w:eastAsia="宋体" w:cs="Times New Roman"/>
                <w:bCs/>
                <w:szCs w:val="24"/>
                <w:u w:val="none"/>
                <w:lang w:val="en-US" w:eastAsia="zh-CN"/>
              </w:rPr>
              <w:t>经化粪池处理后排入开发区污水管网，然后通过新田县污水处理厂处理达到《城镇污水处理厂污染物排放标准》（GB18918-2002）的一级A标准后排入新田河。项目废水可得到有效处置，对周围环境影响很小。</w:t>
            </w:r>
          </w:p>
          <w:p>
            <w:pPr>
              <w:keepNext w:val="0"/>
              <w:keepLines w:val="0"/>
              <w:pageBreakBefore w:val="0"/>
              <w:widowControl w:val="0"/>
              <w:numPr>
                <w:ilvl w:val="0"/>
                <w:numId w:val="3"/>
              </w:numPr>
              <w:suppressLineNumbers w:val="0"/>
              <w:kinsoku/>
              <w:wordWrap/>
              <w:overflowPunct/>
              <w:topLinePunct w:val="0"/>
              <w:autoSpaceDE/>
              <w:autoSpaceDN/>
              <w:bidi w:val="0"/>
              <w:adjustRightInd w:val="0"/>
              <w:snapToGrid w:val="0"/>
              <w:spacing w:beforeAutospacing="0" w:afterAutospacing="0" w:line="360" w:lineRule="auto"/>
              <w:ind w:left="0" w:leftChars="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喷淋废水</w:t>
            </w:r>
          </w:p>
          <w:p>
            <w:pPr>
              <w:keepNext w:val="0"/>
              <w:keepLines w:val="0"/>
              <w:pageBreakBefore w:val="0"/>
              <w:widowControl w:val="0"/>
              <w:numPr>
                <w:ilvl w:val="0"/>
                <w:numId w:val="0"/>
              </w:numPr>
              <w:suppressLineNumbers w:val="0"/>
              <w:kinsoku/>
              <w:wordWrap/>
              <w:overflowPunct/>
              <w:topLinePunct w:val="0"/>
              <w:autoSpaceDE/>
              <w:autoSpaceDN/>
              <w:bidi w:val="0"/>
              <w:adjustRightInd w:val="0"/>
              <w:snapToGrid w:val="0"/>
              <w:spacing w:beforeAutospacing="0" w:afterAutospacing="0" w:line="360" w:lineRule="auto"/>
              <w:ind w:right="0" w:rightChars="0" w:firstLine="480" w:firstLineChars="20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项目NMP废气采用冷凝回收以及喷淋工艺对NMP进行回收，NMP废气经风机送入喷淋吸收塔底部，在喷淋吸收塔内自上而下与水逆流接触后，脱除废气中的NMP，经类比同类型项目，</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1m³水吸收1.29吨NMP废气后达到饱和状态，本项目水喷淋去除NMP废气的量为13.972t/a，因此本项目水喷淋用水量为18.02m³/a，当废水达到饱和后，将喷淋废水收集至NMP包装桶内交由供应商回收替换。</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b w:val="0"/>
                <w:bCs w:val="0"/>
                <w:color w:val="auto"/>
                <w:szCs w:val="22"/>
                <w:u w:val="none" w:color="auto"/>
                <w:lang w:val="en-US" w:eastAsia="zh-CN"/>
              </w:rPr>
            </w:pPr>
            <w:r>
              <w:rPr>
                <w:rFonts w:hint="eastAsia" w:ascii="Times New Roman" w:hAnsi="Times New Roman" w:eastAsia="宋体" w:cs="Times New Roman"/>
                <w:b w:val="0"/>
                <w:bCs w:val="0"/>
                <w:color w:val="auto"/>
                <w:szCs w:val="22"/>
                <w:u w:val="none" w:color="auto"/>
                <w:lang w:val="en-US" w:eastAsia="zh-CN"/>
              </w:rPr>
              <w:t>（</w:t>
            </w:r>
            <w:r>
              <w:rPr>
                <w:rFonts w:hint="eastAsia" w:cs="Times New Roman"/>
                <w:b w:val="0"/>
                <w:bCs w:val="0"/>
                <w:color w:val="auto"/>
                <w:szCs w:val="22"/>
                <w:u w:val="none" w:color="auto"/>
                <w:lang w:val="en-US" w:eastAsia="zh-CN"/>
              </w:rPr>
              <w:t>3</w:t>
            </w:r>
            <w:r>
              <w:rPr>
                <w:rFonts w:hint="eastAsia" w:ascii="Times New Roman" w:hAnsi="Times New Roman" w:eastAsia="宋体" w:cs="Times New Roman"/>
                <w:b w:val="0"/>
                <w:bCs w:val="0"/>
                <w:color w:val="auto"/>
                <w:szCs w:val="22"/>
                <w:u w:val="none" w:color="auto"/>
                <w:lang w:val="en-US" w:eastAsia="zh-CN"/>
              </w:rPr>
              <w:t>）搅拌桶清洗废水</w:t>
            </w:r>
          </w:p>
          <w:p>
            <w:pPr>
              <w:keepNext w:val="0"/>
              <w:keepLines w:val="0"/>
              <w:pageBreakBefore w:val="0"/>
              <w:kinsoku/>
              <w:wordWrap/>
              <w:overflowPunct w:val="0"/>
              <w:topLinePunct w:val="0"/>
              <w:autoSpaceDE w:val="0"/>
              <w:autoSpaceDN w:val="0"/>
              <w:bidi w:val="0"/>
              <w:adjustRightInd w:val="0"/>
              <w:snapToGrid w:val="0"/>
              <w:spacing w:line="360" w:lineRule="auto"/>
              <w:ind w:firstLine="480" w:firstLineChars="200"/>
              <w:textAlignment w:val="auto"/>
              <w:rPr>
                <w:rFonts w:hint="default" w:ascii="Times New Roman" w:hAnsi="Times New Roman" w:eastAsia="宋体" w:cs="Times New Roman"/>
                <w:color w:val="auto"/>
                <w:kern w:val="2"/>
                <w:sz w:val="24"/>
                <w:szCs w:val="24"/>
                <w:highlight w:val="none"/>
                <w:lang w:val="en-US" w:eastAsia="zh-CN" w:bidi="ar-SA"/>
              </w:rPr>
            </w:pPr>
            <w:r>
              <w:rPr>
                <w:rFonts w:hint="eastAsia" w:ascii="Times New Roman" w:hAnsi="Times New Roman" w:eastAsia="宋体" w:cs="Times New Roman"/>
                <w:color w:val="auto"/>
                <w:kern w:val="2"/>
                <w:sz w:val="24"/>
                <w:szCs w:val="24"/>
                <w:lang w:val="en-US" w:eastAsia="zh-CN" w:bidi="ar-SA"/>
              </w:rPr>
              <w:t>项目正负极配料桶需要定期清洗，以去除附着浆料，该部分废水含有一定量的正负极原料。</w:t>
            </w:r>
            <w:r>
              <w:rPr>
                <w:rFonts w:hint="eastAsia" w:cs="Times New Roman"/>
                <w:color w:val="auto"/>
                <w:kern w:val="2"/>
                <w:sz w:val="24"/>
                <w:szCs w:val="24"/>
                <w:lang w:val="en-US" w:eastAsia="zh-CN" w:bidi="ar-SA"/>
              </w:rPr>
              <w:t>厂内拟建三级沉淀池，清洗废水经三级沉淀池+水处理试剂预处理后达到《电池工业污染物排放标准》（GB30484-2013）表2中的间接排放限值和新田县污水处理厂进水水质标准中较严标准后，排入开发区污水管网，然后通过新田县污水处理厂处理达到《城镇污</w:t>
            </w:r>
            <w:r>
              <w:rPr>
                <w:rFonts w:hint="eastAsia" w:cs="Times New Roman"/>
                <w:color w:val="auto"/>
                <w:kern w:val="2"/>
                <w:sz w:val="24"/>
                <w:szCs w:val="24"/>
                <w:highlight w:val="none"/>
                <w:lang w:val="en-US" w:eastAsia="zh-CN" w:bidi="ar-SA"/>
              </w:rPr>
              <w:t>水处理厂污染物排放标准》（GB18918-2002）的一级A标准后排入新田河。</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b w:val="0"/>
                <w:bCs w:val="0"/>
                <w:color w:val="auto"/>
                <w:szCs w:val="22"/>
                <w:highlight w:val="none"/>
                <w:u w:val="none" w:color="auto"/>
                <w:lang w:val="en-US" w:eastAsia="zh-CN"/>
              </w:rPr>
            </w:pPr>
            <w:r>
              <w:rPr>
                <w:rFonts w:hint="eastAsia" w:ascii="Times New Roman" w:hAnsi="Times New Roman" w:eastAsia="宋体" w:cs="Times New Roman"/>
                <w:color w:val="auto"/>
                <w:kern w:val="2"/>
                <w:sz w:val="24"/>
                <w:szCs w:val="24"/>
                <w:highlight w:val="none"/>
                <w:lang w:val="en-US" w:eastAsia="zh-CN" w:bidi="ar-SA"/>
              </w:rPr>
              <w:t>类比湖南兴旭能新能源科技有限公司</w:t>
            </w:r>
            <w:r>
              <w:rPr>
                <w:rFonts w:ascii="Times New Roman" w:hAnsi="Times New Roman" w:eastAsia="宋体" w:cs="Times New Roman"/>
                <w:color w:val="auto"/>
                <w:kern w:val="2"/>
                <w:sz w:val="24"/>
                <w:szCs w:val="20"/>
                <w:highlight w:val="none"/>
                <w:lang w:val="en-US" w:eastAsia="zh-CN" w:bidi="ar-SA"/>
              </w:rPr>
              <w:t>《</w:t>
            </w:r>
            <w:r>
              <w:rPr>
                <w:rFonts w:hint="eastAsia" w:ascii="Times New Roman" w:hAnsi="Times New Roman" w:eastAsia="宋体" w:cs="Times New Roman"/>
                <w:color w:val="auto"/>
                <w:kern w:val="2"/>
                <w:sz w:val="24"/>
                <w:szCs w:val="20"/>
                <w:highlight w:val="none"/>
                <w:lang w:val="en-US" w:eastAsia="zh-CN" w:bidi="ar-SA"/>
              </w:rPr>
              <w:t>年产1500万只锂电池建设项目</w:t>
            </w:r>
            <w:r>
              <w:rPr>
                <w:rFonts w:ascii="Times New Roman" w:hAnsi="Times New Roman" w:eastAsia="宋体" w:cs="Times New Roman"/>
                <w:color w:val="auto"/>
                <w:kern w:val="2"/>
                <w:sz w:val="24"/>
                <w:szCs w:val="20"/>
                <w:highlight w:val="none"/>
                <w:lang w:val="en-US" w:eastAsia="zh-CN" w:bidi="ar-SA"/>
              </w:rPr>
              <w:t>》</w:t>
            </w:r>
            <w:r>
              <w:rPr>
                <w:rFonts w:hint="eastAsia" w:ascii="Times New Roman" w:hAnsi="Times New Roman" w:eastAsia="宋体" w:cs="Times New Roman"/>
                <w:color w:val="auto"/>
                <w:kern w:val="2"/>
                <w:sz w:val="24"/>
                <w:szCs w:val="24"/>
                <w:highlight w:val="none"/>
                <w:lang w:val="en-US" w:eastAsia="zh-CN" w:bidi="ar-SA"/>
              </w:rPr>
              <w:t>情况，本项目平均20-30天需对搅拌桶</w:t>
            </w:r>
            <w:r>
              <w:rPr>
                <w:rFonts w:hint="eastAsia" w:cs="Times New Roman"/>
                <w:color w:val="auto"/>
                <w:kern w:val="2"/>
                <w:sz w:val="24"/>
                <w:szCs w:val="24"/>
                <w:highlight w:val="none"/>
                <w:lang w:val="en-US" w:eastAsia="zh-CN" w:bidi="ar-SA"/>
              </w:rPr>
              <w:t>进行</w:t>
            </w:r>
            <w:r>
              <w:rPr>
                <w:rFonts w:hint="eastAsia" w:ascii="Times New Roman" w:hAnsi="Times New Roman" w:eastAsia="宋体" w:cs="Times New Roman"/>
                <w:color w:val="auto"/>
                <w:kern w:val="2"/>
                <w:sz w:val="24"/>
                <w:szCs w:val="24"/>
                <w:highlight w:val="none"/>
                <w:lang w:val="en-US" w:eastAsia="zh-CN" w:bidi="ar-SA"/>
              </w:rPr>
              <w:t>清洗，搅拌工具清洗水量按0.05t/次，用水量为0.05t/桶，本项目共有</w:t>
            </w:r>
            <w:r>
              <w:rPr>
                <w:rFonts w:hint="eastAsia" w:cs="Times New Roman"/>
                <w:color w:val="auto"/>
                <w:kern w:val="2"/>
                <w:sz w:val="24"/>
                <w:szCs w:val="24"/>
                <w:highlight w:val="none"/>
                <w:lang w:val="en-US" w:eastAsia="zh-CN" w:bidi="ar-SA"/>
              </w:rPr>
              <w:t>12</w:t>
            </w:r>
            <w:r>
              <w:rPr>
                <w:rFonts w:hint="eastAsia" w:ascii="Times New Roman" w:hAnsi="Times New Roman" w:eastAsia="宋体" w:cs="Times New Roman"/>
                <w:color w:val="auto"/>
                <w:kern w:val="2"/>
                <w:sz w:val="24"/>
                <w:szCs w:val="24"/>
                <w:highlight w:val="none"/>
                <w:lang w:val="en-US" w:eastAsia="zh-CN" w:bidi="ar-SA"/>
              </w:rPr>
              <w:t>个搅拌桶，按年清洗15次计，则每年搅拌桶（共</w:t>
            </w:r>
            <w:r>
              <w:rPr>
                <w:rFonts w:hint="eastAsia" w:cs="Times New Roman"/>
                <w:color w:val="auto"/>
                <w:kern w:val="2"/>
                <w:sz w:val="24"/>
                <w:szCs w:val="24"/>
                <w:highlight w:val="none"/>
                <w:lang w:val="en-US" w:eastAsia="zh-CN" w:bidi="ar-SA"/>
              </w:rPr>
              <w:t>12</w:t>
            </w:r>
            <w:r>
              <w:rPr>
                <w:rFonts w:hint="eastAsia" w:ascii="Times New Roman" w:hAnsi="Times New Roman" w:eastAsia="宋体" w:cs="Times New Roman"/>
                <w:color w:val="auto"/>
                <w:kern w:val="2"/>
                <w:sz w:val="24"/>
                <w:szCs w:val="24"/>
                <w:highlight w:val="none"/>
                <w:lang w:val="en-US" w:eastAsia="zh-CN" w:bidi="ar-SA"/>
              </w:rPr>
              <w:t>个）的清洗用水量为</w:t>
            </w:r>
            <w:r>
              <w:rPr>
                <w:rFonts w:hint="eastAsia" w:cs="Times New Roman"/>
                <w:color w:val="auto"/>
                <w:kern w:val="2"/>
                <w:sz w:val="24"/>
                <w:szCs w:val="24"/>
                <w:highlight w:val="none"/>
                <w:lang w:val="en-US" w:eastAsia="zh-CN" w:bidi="ar-SA"/>
              </w:rPr>
              <w:t>9</w:t>
            </w:r>
            <w:r>
              <w:rPr>
                <w:rFonts w:hint="eastAsia" w:ascii="Times New Roman" w:hAnsi="Times New Roman" w:eastAsia="宋体" w:cs="Times New Roman"/>
                <w:color w:val="auto"/>
                <w:kern w:val="2"/>
                <w:sz w:val="24"/>
                <w:szCs w:val="24"/>
                <w:highlight w:val="none"/>
                <w:lang w:val="en-US" w:eastAsia="zh-CN" w:bidi="ar-SA"/>
              </w:rPr>
              <w:t>t/a</w:t>
            </w:r>
            <w:r>
              <w:rPr>
                <w:rFonts w:hint="eastAsia" w:cs="Times New Roman"/>
                <w:color w:val="auto"/>
                <w:kern w:val="2"/>
                <w:sz w:val="24"/>
                <w:szCs w:val="24"/>
                <w:highlight w:val="none"/>
                <w:lang w:val="en-US" w:eastAsia="zh-CN" w:bidi="ar-SA"/>
              </w:rPr>
              <w:t>，</w:t>
            </w:r>
            <w:r>
              <w:rPr>
                <w:rFonts w:hint="eastAsia" w:ascii="Times New Roman" w:hAnsi="Times New Roman" w:eastAsia="宋体" w:cs="Times New Roman"/>
                <w:color w:val="auto"/>
                <w:kern w:val="2"/>
                <w:sz w:val="24"/>
                <w:szCs w:val="24"/>
                <w:highlight w:val="none"/>
                <w:lang w:val="en-US" w:eastAsia="zh-CN" w:bidi="ar-SA"/>
              </w:rPr>
              <w:t>排污系数按0.8计，则搅拌桶清洗废水产生量为</w:t>
            </w:r>
            <w:r>
              <w:rPr>
                <w:rFonts w:hint="eastAsia" w:cs="Times New Roman"/>
                <w:color w:val="auto"/>
                <w:kern w:val="2"/>
                <w:sz w:val="24"/>
                <w:szCs w:val="24"/>
                <w:highlight w:val="none"/>
                <w:lang w:val="en-US" w:eastAsia="zh-CN" w:bidi="ar-SA"/>
              </w:rPr>
              <w:t>7.2</w:t>
            </w:r>
            <w:r>
              <w:rPr>
                <w:rFonts w:hint="eastAsia" w:ascii="Times New Roman" w:hAnsi="Times New Roman" w:eastAsia="宋体" w:cs="Times New Roman"/>
                <w:color w:val="auto"/>
                <w:kern w:val="2"/>
                <w:sz w:val="24"/>
                <w:szCs w:val="24"/>
                <w:highlight w:val="none"/>
                <w:lang w:val="en-US" w:eastAsia="zh-CN" w:bidi="ar-SA"/>
              </w:rPr>
              <w:t>m</w:t>
            </w:r>
            <w:r>
              <w:rPr>
                <w:rFonts w:hint="eastAsia" w:ascii="Times New Roman" w:hAnsi="Times New Roman" w:eastAsia="宋体" w:cs="Times New Roman"/>
                <w:color w:val="auto"/>
                <w:kern w:val="2"/>
                <w:sz w:val="24"/>
                <w:szCs w:val="24"/>
                <w:highlight w:val="none"/>
                <w:vertAlign w:val="superscript"/>
                <w:lang w:val="en-US" w:eastAsia="zh-CN" w:bidi="ar-SA"/>
              </w:rPr>
              <w:t>3</w:t>
            </w:r>
            <w:r>
              <w:rPr>
                <w:rFonts w:hint="eastAsia" w:ascii="Times New Roman" w:hAnsi="Times New Roman" w:eastAsia="宋体" w:cs="Times New Roman"/>
                <w:color w:val="auto"/>
                <w:kern w:val="2"/>
                <w:sz w:val="24"/>
                <w:szCs w:val="24"/>
                <w:highlight w:val="none"/>
                <w:lang w:val="en-US" w:eastAsia="zh-CN" w:bidi="ar-SA"/>
              </w:rPr>
              <w:t>/a。清洗废水中主要含有COD和SS</w:t>
            </w:r>
            <w:r>
              <w:rPr>
                <w:rFonts w:hint="eastAsia" w:cs="Times New Roman"/>
                <w:color w:val="auto"/>
                <w:kern w:val="2"/>
                <w:sz w:val="24"/>
                <w:szCs w:val="24"/>
                <w:highlight w:val="none"/>
                <w:lang w:val="en-US" w:eastAsia="zh-CN" w:bidi="ar-SA"/>
              </w:rPr>
              <w:t>。</w:t>
            </w:r>
          </w:p>
          <w:p>
            <w:pPr>
              <w:keepNext w:val="0"/>
              <w:keepLines w:val="0"/>
              <w:pageBreakBefore w:val="0"/>
              <w:widowControl w:val="0"/>
              <w:kinsoku/>
              <w:wordWrap/>
              <w:overflowPunct/>
              <w:topLinePunct w:val="0"/>
              <w:autoSpaceDE/>
              <w:autoSpaceDN/>
              <w:bidi w:val="0"/>
              <w:adjustRightInd w:val="0"/>
              <w:snapToGrid w:val="0"/>
              <w:ind w:firstLine="480"/>
              <w:textAlignment w:val="auto"/>
              <w:rPr>
                <w:rFonts w:hint="default" w:ascii="Times New Roman" w:hAnsi="Times New Roman" w:eastAsia="宋体" w:cs="Times New Roman"/>
                <w:b w:val="0"/>
                <w:bCs w:val="0"/>
                <w:color w:val="000000"/>
                <w:szCs w:val="22"/>
                <w:u w:val="none" w:color="auto"/>
                <w:lang w:val="en-US" w:eastAsia="zh-CN"/>
              </w:rPr>
            </w:pPr>
            <w:r>
              <w:rPr>
                <w:rFonts w:hint="eastAsia" w:ascii="Times New Roman" w:hAnsi="Times New Roman" w:eastAsia="宋体" w:cs="Times New Roman"/>
                <w:b w:val="0"/>
                <w:bCs w:val="0"/>
                <w:color w:val="000000"/>
                <w:szCs w:val="22"/>
                <w:u w:val="none" w:color="auto"/>
                <w:lang w:val="en-US" w:eastAsia="zh-CN"/>
              </w:rPr>
              <w:t>（</w:t>
            </w:r>
            <w:r>
              <w:rPr>
                <w:rFonts w:hint="eastAsia" w:cs="Times New Roman"/>
                <w:b w:val="0"/>
                <w:bCs w:val="0"/>
                <w:color w:val="000000"/>
                <w:szCs w:val="22"/>
                <w:u w:val="none" w:color="auto"/>
                <w:lang w:val="en-US" w:eastAsia="zh-CN"/>
              </w:rPr>
              <w:t>4</w:t>
            </w:r>
            <w:r>
              <w:rPr>
                <w:rFonts w:hint="eastAsia" w:ascii="Times New Roman" w:hAnsi="Times New Roman" w:eastAsia="宋体" w:cs="Times New Roman"/>
                <w:b w:val="0"/>
                <w:bCs w:val="0"/>
                <w:color w:val="000000"/>
                <w:szCs w:val="22"/>
                <w:u w:val="none" w:color="auto"/>
                <w:lang w:val="en-US" w:eastAsia="zh-CN"/>
              </w:rPr>
              <w:t>）循环冷却水</w:t>
            </w:r>
          </w:p>
          <w:p>
            <w:pPr>
              <w:keepNext w:val="0"/>
              <w:keepLines w:val="0"/>
              <w:pageBreakBefore w:val="0"/>
              <w:widowControl w:val="0"/>
              <w:kinsoku/>
              <w:wordWrap/>
              <w:overflowPunct/>
              <w:topLinePunct w:val="0"/>
              <w:autoSpaceDE/>
              <w:autoSpaceDN/>
              <w:bidi w:val="0"/>
              <w:adjustRightInd w:val="0"/>
              <w:snapToGrid w:val="0"/>
              <w:ind w:firstLine="480"/>
              <w:textAlignment w:val="auto"/>
              <w:rPr>
                <w:rFonts w:hint="eastAsia" w:ascii="Times New Roman" w:hAnsi="Times New Roman" w:eastAsia="宋体" w:cs="Times New Roman"/>
                <w:b w:val="0"/>
                <w:bCs w:val="0"/>
                <w:color w:val="000000"/>
                <w:szCs w:val="22"/>
                <w:u w:val="none" w:color="auto"/>
                <w:lang w:val="en-US" w:eastAsia="zh-CN"/>
              </w:rPr>
            </w:pPr>
            <w:r>
              <w:rPr>
                <w:rFonts w:hint="eastAsia" w:ascii="Times New Roman" w:hAnsi="Times New Roman" w:cs="Times New Roman"/>
                <w:sz w:val="24"/>
                <w:szCs w:val="24"/>
              </w:rPr>
              <w:t>项目NMP回收系统使用的是二级冷凝处置装置，需要使用冷却水进行间接冷却，冷却用水为普通的自来水，采用密闭循环系统，经冷却塔冷却后循环使用，本项目最大循环水量为1m</w:t>
            </w:r>
            <w:r>
              <w:rPr>
                <w:rFonts w:hint="eastAsia" w:ascii="Times New Roman" w:hAnsi="Times New Roman" w:cs="Times New Roman"/>
                <w:sz w:val="24"/>
                <w:szCs w:val="24"/>
                <w:vertAlign w:val="superscript"/>
              </w:rPr>
              <w:t>3</w:t>
            </w:r>
            <w:r>
              <w:rPr>
                <w:rFonts w:hint="eastAsia" w:ascii="Times New Roman" w:hAnsi="Times New Roman" w:cs="Times New Roman"/>
                <w:sz w:val="24"/>
                <w:szCs w:val="24"/>
              </w:rPr>
              <w:t>/h，循环水量</w:t>
            </w:r>
            <w:r>
              <w:rPr>
                <w:rFonts w:hint="eastAsia" w:cs="Times New Roman"/>
                <w:sz w:val="24"/>
                <w:szCs w:val="24"/>
                <w:lang w:val="en-US" w:eastAsia="zh-CN"/>
              </w:rPr>
              <w:t>36</w:t>
            </w:r>
            <w:r>
              <w:rPr>
                <w:rFonts w:hint="eastAsia" w:ascii="Times New Roman" w:hAnsi="Times New Roman" w:cs="Times New Roman"/>
                <w:sz w:val="24"/>
                <w:szCs w:val="24"/>
                <w:lang w:val="en-US" w:eastAsia="zh-CN"/>
              </w:rPr>
              <w:t>0</w:t>
            </w:r>
            <w:r>
              <w:rPr>
                <w:rFonts w:hint="eastAsia" w:ascii="Times New Roman" w:hAnsi="Times New Roman" w:cs="Times New Roman"/>
                <w:sz w:val="24"/>
                <w:szCs w:val="24"/>
              </w:rPr>
              <w:t>0m</w:t>
            </w:r>
            <w:r>
              <w:rPr>
                <w:rFonts w:hint="eastAsia" w:ascii="Times New Roman" w:hAnsi="Times New Roman" w:cs="Times New Roman"/>
                <w:sz w:val="24"/>
                <w:szCs w:val="24"/>
                <w:vertAlign w:val="superscript"/>
              </w:rPr>
              <w:t>3</w:t>
            </w:r>
            <w:r>
              <w:rPr>
                <w:rFonts w:hint="eastAsia" w:ascii="Times New Roman" w:hAnsi="Times New Roman" w:cs="Times New Roman"/>
                <w:sz w:val="24"/>
                <w:szCs w:val="24"/>
              </w:rPr>
              <w:t>/a，冷却水在使用过程中会蒸发损耗，需定期补充，蒸发损耗量约为循环水量的6%，补充的新鲜水为</w:t>
            </w:r>
            <w:r>
              <w:rPr>
                <w:rFonts w:hint="eastAsia" w:cs="Times New Roman"/>
                <w:sz w:val="24"/>
                <w:szCs w:val="24"/>
                <w:lang w:val="en-US" w:eastAsia="zh-CN"/>
              </w:rPr>
              <w:t>216</w:t>
            </w:r>
            <w:r>
              <w:rPr>
                <w:rFonts w:hint="eastAsia" w:ascii="Times New Roman" w:hAnsi="Times New Roman" w:cs="Times New Roman"/>
                <w:sz w:val="24"/>
                <w:szCs w:val="24"/>
              </w:rPr>
              <w:t>m</w:t>
            </w:r>
            <w:r>
              <w:rPr>
                <w:rFonts w:hint="eastAsia" w:ascii="Times New Roman" w:hAnsi="Times New Roman" w:cs="Times New Roman"/>
                <w:sz w:val="24"/>
                <w:szCs w:val="24"/>
                <w:vertAlign w:val="superscript"/>
              </w:rPr>
              <w:t>3</w:t>
            </w:r>
            <w:r>
              <w:rPr>
                <w:rFonts w:hint="eastAsia" w:ascii="Times New Roman" w:hAnsi="Times New Roman" w:cs="Times New Roman"/>
                <w:sz w:val="24"/>
                <w:szCs w:val="24"/>
              </w:rPr>
              <w:t>/a。</w:t>
            </w:r>
          </w:p>
          <w:p>
            <w:pPr>
              <w:keepNext w:val="0"/>
              <w:keepLines w:val="0"/>
              <w:pageBreakBefore w:val="0"/>
              <w:widowControl w:val="0"/>
              <w:kinsoku/>
              <w:wordWrap/>
              <w:overflowPunct/>
              <w:topLinePunct w:val="0"/>
              <w:autoSpaceDE/>
              <w:autoSpaceDN/>
              <w:bidi w:val="0"/>
              <w:adjustRightInd w:val="0"/>
              <w:snapToGrid w:val="0"/>
              <w:ind w:firstLine="480"/>
              <w:textAlignment w:val="auto"/>
              <w:rPr>
                <w:rFonts w:hint="default" w:ascii="Times New Roman" w:hAnsi="Times New Roman" w:eastAsia="宋体" w:cs="Times New Roman"/>
                <w:b w:val="0"/>
                <w:bCs w:val="0"/>
                <w:color w:val="auto"/>
                <w:szCs w:val="22"/>
                <w:u w:val="none" w:color="auto"/>
                <w:lang w:val="en-US" w:eastAsia="zh-CN"/>
              </w:rPr>
            </w:pPr>
            <w:r>
              <w:rPr>
                <w:rFonts w:hint="eastAsia" w:ascii="Times New Roman" w:hAnsi="Times New Roman" w:eastAsia="宋体" w:cs="Times New Roman"/>
                <w:b w:val="0"/>
                <w:bCs w:val="0"/>
                <w:color w:val="auto"/>
                <w:szCs w:val="22"/>
                <w:u w:val="none" w:color="auto"/>
                <w:lang w:val="en-US" w:eastAsia="zh-CN"/>
              </w:rPr>
              <w:t>（</w:t>
            </w:r>
            <w:r>
              <w:rPr>
                <w:rFonts w:hint="eastAsia" w:cs="Times New Roman"/>
                <w:b w:val="0"/>
                <w:bCs w:val="0"/>
                <w:color w:val="auto"/>
                <w:szCs w:val="22"/>
                <w:u w:val="none" w:color="auto"/>
                <w:lang w:val="en-US" w:eastAsia="zh-CN"/>
              </w:rPr>
              <w:t>5</w:t>
            </w:r>
            <w:r>
              <w:rPr>
                <w:rFonts w:hint="eastAsia" w:ascii="Times New Roman" w:hAnsi="Times New Roman" w:eastAsia="宋体" w:cs="Times New Roman"/>
                <w:b w:val="0"/>
                <w:bCs w:val="0"/>
                <w:color w:val="auto"/>
                <w:szCs w:val="22"/>
                <w:u w:val="none" w:color="auto"/>
                <w:lang w:val="en-US" w:eastAsia="zh-CN"/>
              </w:rPr>
              <w:t>）电池清洗废水</w:t>
            </w:r>
          </w:p>
          <w:p>
            <w:pPr>
              <w:ind w:firstLine="480"/>
              <w:rPr>
                <w:rFonts w:ascii="Times New Roman" w:hAnsi="Times New Roman" w:eastAsia="宋体" w:cs="Times New Roman"/>
                <w:bCs/>
                <w:szCs w:val="24"/>
                <w:u w:val="none"/>
              </w:rPr>
            </w:pPr>
            <w:r>
              <w:rPr>
                <w:rFonts w:hint="eastAsia" w:ascii="Times New Roman" w:hAnsi="Times New Roman" w:cs="Times New Roman"/>
                <w:color w:val="auto"/>
                <w:sz w:val="24"/>
                <w:lang w:val="en-US" w:eastAsia="zh-CN"/>
              </w:rPr>
              <w:t>电池封口后需对其进行冲洗，</w:t>
            </w:r>
            <w:r>
              <w:rPr>
                <w:rFonts w:hint="eastAsia" w:cs="Times New Roman"/>
                <w:color w:val="auto"/>
                <w:sz w:val="24"/>
                <w:lang w:val="en-US" w:eastAsia="zh-CN"/>
              </w:rPr>
              <w:t>以去除表面污渍、脏污等，保持电芯表面干净光亮。电池清洗用水量约0.5m</w:t>
            </w:r>
            <w:r>
              <w:rPr>
                <w:rFonts w:hint="eastAsia" w:cs="Times New Roman"/>
                <w:color w:val="auto"/>
                <w:sz w:val="24"/>
                <w:vertAlign w:val="superscript"/>
                <w:lang w:val="en-US" w:eastAsia="zh-CN"/>
              </w:rPr>
              <w:t>3</w:t>
            </w:r>
            <w:r>
              <w:rPr>
                <w:rFonts w:hint="eastAsia" w:cs="Times New Roman"/>
                <w:color w:val="auto"/>
                <w:sz w:val="24"/>
                <w:lang w:val="en-US" w:eastAsia="zh-CN"/>
              </w:rPr>
              <w:t>/d（150m</w:t>
            </w:r>
            <w:r>
              <w:rPr>
                <w:rFonts w:hint="eastAsia" w:cs="Times New Roman"/>
                <w:color w:val="auto"/>
                <w:sz w:val="24"/>
                <w:vertAlign w:val="superscript"/>
                <w:lang w:val="en-US" w:eastAsia="zh-CN"/>
              </w:rPr>
              <w:t>3</w:t>
            </w:r>
            <w:r>
              <w:rPr>
                <w:rFonts w:hint="eastAsia" w:cs="Times New Roman"/>
                <w:color w:val="auto"/>
                <w:sz w:val="24"/>
                <w:lang w:val="en-US" w:eastAsia="zh-CN"/>
              </w:rPr>
              <w:t>/a），排污系数按0.8计，</w:t>
            </w:r>
            <w:r>
              <w:rPr>
                <w:rFonts w:hint="default" w:ascii="Times New Roman" w:hAnsi="Times New Roman" w:eastAsia="宋体" w:cs="Times New Roman"/>
                <w:bCs/>
                <w:color w:val="auto"/>
                <w:u w:val="none"/>
                <w:lang w:val="en-US" w:eastAsia="zh-CN"/>
              </w:rPr>
              <w:t>则电池清洗废水产生量为</w:t>
            </w:r>
            <w:r>
              <w:rPr>
                <w:rFonts w:hint="eastAsia" w:ascii="Times New Roman" w:hAnsi="Times New Roman" w:eastAsia="宋体" w:cs="Times New Roman"/>
                <w:bCs/>
                <w:color w:val="auto"/>
                <w:u w:val="none"/>
                <w:lang w:val="en-US" w:eastAsia="zh-CN"/>
              </w:rPr>
              <w:t>0.4</w:t>
            </w:r>
            <w:r>
              <w:rPr>
                <w:rFonts w:hint="default" w:ascii="Times New Roman" w:hAnsi="Times New Roman" w:eastAsia="宋体" w:cs="Times New Roman"/>
                <w:bCs/>
                <w:color w:val="auto"/>
                <w:u w:val="none"/>
                <w:lang w:val="en-US" w:eastAsia="zh-CN"/>
              </w:rPr>
              <w:t>m</w:t>
            </w:r>
            <w:r>
              <w:rPr>
                <w:rFonts w:hint="eastAsia" w:ascii="Times New Roman" w:hAnsi="Times New Roman" w:eastAsia="宋体" w:cs="Times New Roman"/>
                <w:bCs/>
                <w:color w:val="auto"/>
                <w:u w:val="none"/>
                <w:vertAlign w:val="superscript"/>
                <w:lang w:val="en-US" w:eastAsia="zh-CN"/>
              </w:rPr>
              <w:t>3</w:t>
            </w:r>
            <w:r>
              <w:rPr>
                <w:rFonts w:hint="default" w:ascii="Times New Roman" w:hAnsi="Times New Roman" w:eastAsia="宋体" w:cs="Times New Roman"/>
                <w:bCs/>
                <w:color w:val="auto"/>
                <w:u w:val="none"/>
                <w:lang w:val="en-US" w:eastAsia="zh-CN"/>
              </w:rPr>
              <w:t>/</w:t>
            </w:r>
            <w:r>
              <w:rPr>
                <w:rFonts w:hint="eastAsia" w:ascii="Times New Roman" w:hAnsi="Times New Roman" w:eastAsia="宋体" w:cs="Times New Roman"/>
                <w:bCs/>
                <w:color w:val="auto"/>
                <w:u w:val="none"/>
                <w:lang w:val="en-US" w:eastAsia="zh-CN"/>
              </w:rPr>
              <w:t>d</w:t>
            </w:r>
            <w:r>
              <w:rPr>
                <w:rFonts w:hint="eastAsia" w:ascii="宋体" w:hAnsi="宋体" w:eastAsia="宋体" w:cs="宋体"/>
                <w:bCs/>
                <w:color w:val="auto"/>
                <w:u w:val="none"/>
                <w:lang w:val="en-US" w:eastAsia="zh-CN"/>
              </w:rPr>
              <w:t>(</w:t>
            </w:r>
            <w:r>
              <w:rPr>
                <w:rFonts w:hint="eastAsia" w:ascii="Times New Roman" w:hAnsi="Times New Roman" w:eastAsia="宋体" w:cs="Times New Roman"/>
                <w:bCs/>
                <w:color w:val="auto"/>
                <w:u w:val="none"/>
                <w:lang w:val="en-US" w:eastAsia="zh-CN"/>
              </w:rPr>
              <w:t>120m</w:t>
            </w:r>
            <w:r>
              <w:rPr>
                <w:rFonts w:hint="eastAsia" w:ascii="Times New Roman" w:hAnsi="Times New Roman" w:eastAsia="宋体" w:cs="Times New Roman"/>
                <w:bCs/>
                <w:color w:val="auto"/>
                <w:u w:val="none"/>
                <w:vertAlign w:val="superscript"/>
                <w:lang w:val="en-US" w:eastAsia="zh-CN"/>
              </w:rPr>
              <w:t>3</w:t>
            </w:r>
            <w:r>
              <w:rPr>
                <w:rFonts w:hint="eastAsia" w:ascii="Times New Roman" w:hAnsi="Times New Roman" w:eastAsia="宋体" w:cs="Times New Roman"/>
                <w:bCs/>
                <w:color w:val="auto"/>
                <w:u w:val="none"/>
                <w:lang w:val="en-US" w:eastAsia="zh-CN"/>
              </w:rPr>
              <w:t>/a</w:t>
            </w:r>
            <w:r>
              <w:rPr>
                <w:rFonts w:hint="eastAsia" w:ascii="宋体" w:hAnsi="宋体" w:eastAsia="宋体" w:cs="宋体"/>
                <w:bCs/>
                <w:color w:val="auto"/>
                <w:u w:val="none"/>
                <w:lang w:val="en-US" w:eastAsia="zh-CN"/>
              </w:rPr>
              <w:t>)</w:t>
            </w:r>
            <w:r>
              <w:rPr>
                <w:rFonts w:hint="eastAsia" w:ascii="Times New Roman" w:hAnsi="Times New Roman" w:eastAsia="宋体" w:cs="Times New Roman"/>
                <w:bCs/>
                <w:color w:val="auto"/>
                <w:u w:val="none"/>
                <w:lang w:val="en-US" w:eastAsia="zh-CN"/>
              </w:rPr>
              <w:t>，</w:t>
            </w:r>
            <w:r>
              <w:rPr>
                <w:rFonts w:hint="eastAsia" w:cs="Times New Roman"/>
                <w:color w:val="auto"/>
                <w:sz w:val="24"/>
                <w:lang w:val="en-US" w:eastAsia="zh-CN"/>
              </w:rPr>
              <w:t>该部分水质较为清洁，废水中主要的污染因子有COD和SS。废水排入厂内三级沉淀池同搅拌桶清洗废水一并进行预处理达到《电池工业污染物排放标准》（GB30484-2013）表2中的间接排放限值和新田县污水处理厂进水水质标准中较严标准后，排入开发区污水管网，然后通过新田县污水处理厂处理达到《城镇污水处理厂污染物排放标准》（GB18918-2002）的一级A标准后排入新田河。</w:t>
            </w:r>
            <w:r>
              <w:rPr>
                <w:rFonts w:hint="eastAsia" w:ascii="Times New Roman" w:hAnsi="Times New Roman" w:eastAsia="宋体" w:cs="Times New Roman"/>
                <w:bCs/>
                <w:szCs w:val="24"/>
                <w:u w:val="none"/>
                <w:lang w:val="en-US" w:eastAsia="zh-CN"/>
              </w:rPr>
              <w:t>项目生活污水产生及排放见下表</w:t>
            </w:r>
            <w:r>
              <w:rPr>
                <w:rFonts w:ascii="Times New Roman" w:hAnsi="Times New Roman" w:eastAsia="宋体" w:cs="Times New Roman"/>
                <w:bCs/>
                <w:szCs w:val="24"/>
                <w:u w:val="none"/>
              </w:rPr>
              <w:t>。</w:t>
            </w:r>
          </w:p>
          <w:p>
            <w:pPr>
              <w:spacing w:line="240" w:lineRule="auto"/>
              <w:ind w:firstLine="0" w:firstLineChars="0"/>
              <w:jc w:val="center"/>
              <w:rPr>
                <w:rFonts w:hint="eastAsia" w:ascii="Times New Roman" w:hAnsi="Times New Roman" w:eastAsia="宋体" w:cs="Times New Roman"/>
                <w:b/>
                <w:bCs/>
                <w:kern w:val="0"/>
                <w:sz w:val="21"/>
                <w:szCs w:val="21"/>
                <w:highlight w:val="none"/>
                <w:u w:val="none"/>
                <w:lang w:val="en-US" w:eastAsia="zh-CN"/>
              </w:rPr>
            </w:pPr>
            <w:r>
              <w:rPr>
                <w:rFonts w:ascii="Times New Roman" w:hAnsi="Times New Roman" w:eastAsia="宋体" w:cs="Times New Roman"/>
                <w:b/>
                <w:bCs/>
                <w:kern w:val="0"/>
                <w:sz w:val="21"/>
                <w:szCs w:val="21"/>
                <w:highlight w:val="none"/>
                <w:u w:val="none"/>
              </w:rPr>
              <w:t>表</w:t>
            </w:r>
            <w:r>
              <w:rPr>
                <w:rFonts w:hint="eastAsia" w:ascii="Times New Roman" w:hAnsi="Times New Roman" w:eastAsia="宋体" w:cs="Times New Roman"/>
                <w:b/>
                <w:bCs/>
                <w:kern w:val="0"/>
                <w:sz w:val="21"/>
                <w:szCs w:val="21"/>
                <w:highlight w:val="none"/>
                <w:u w:val="none"/>
              </w:rPr>
              <w:t>4-</w:t>
            </w:r>
            <w:r>
              <w:rPr>
                <w:rFonts w:hint="eastAsia" w:cs="Times New Roman"/>
                <w:b/>
                <w:bCs/>
                <w:kern w:val="0"/>
                <w:sz w:val="21"/>
                <w:szCs w:val="21"/>
                <w:highlight w:val="none"/>
                <w:u w:val="none"/>
                <w:lang w:val="en-US" w:eastAsia="zh-CN"/>
              </w:rPr>
              <w:t>2</w:t>
            </w:r>
            <w:r>
              <w:rPr>
                <w:rFonts w:ascii="Times New Roman" w:hAnsi="Times New Roman" w:eastAsia="宋体" w:cs="Times New Roman"/>
                <w:b/>
                <w:bCs/>
                <w:kern w:val="0"/>
                <w:sz w:val="21"/>
                <w:szCs w:val="21"/>
                <w:highlight w:val="none"/>
                <w:u w:val="none"/>
              </w:rPr>
              <w:t xml:space="preserve"> 项目</w:t>
            </w:r>
            <w:r>
              <w:rPr>
                <w:rFonts w:hint="eastAsia" w:cs="Times New Roman"/>
                <w:b/>
                <w:bCs/>
                <w:kern w:val="0"/>
                <w:sz w:val="21"/>
                <w:szCs w:val="21"/>
                <w:highlight w:val="none"/>
                <w:u w:val="none"/>
                <w:lang w:val="en-US" w:eastAsia="zh-CN"/>
              </w:rPr>
              <w:t>废水</w:t>
            </w:r>
            <w:r>
              <w:rPr>
                <w:rFonts w:hint="eastAsia" w:ascii="Times New Roman" w:hAnsi="Times New Roman" w:eastAsia="宋体" w:cs="Times New Roman"/>
                <w:b/>
                <w:bCs/>
                <w:kern w:val="0"/>
                <w:sz w:val="21"/>
                <w:szCs w:val="21"/>
                <w:highlight w:val="none"/>
                <w:u w:val="none"/>
                <w:lang w:val="en-US" w:eastAsia="zh-CN"/>
              </w:rPr>
              <w:t>污染物排放情况一览表</w:t>
            </w:r>
          </w:p>
          <w:tbl>
            <w:tblPr>
              <w:tblStyle w:val="23"/>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8"/>
              <w:gridCol w:w="1292"/>
              <w:gridCol w:w="1929"/>
              <w:gridCol w:w="1440"/>
              <w:gridCol w:w="1335"/>
              <w:gridCol w:w="1006"/>
              <w:gridCol w:w="10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17" w:hRule="atLeast"/>
                <w:jc w:val="center"/>
              </w:trPr>
              <w:tc>
                <w:tcPr>
                  <w:tcW w:w="474"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color w:val="auto"/>
                      <w:kern w:val="0"/>
                      <w:sz w:val="21"/>
                      <w:szCs w:val="21"/>
                      <w:u w:val="none"/>
                    </w:rPr>
                  </w:pPr>
                  <w:r>
                    <w:rPr>
                      <w:rFonts w:hint="default" w:ascii="Times New Roman" w:hAnsi="Times New Roman" w:eastAsia="宋体" w:cs="Times New Roman"/>
                      <w:b w:val="0"/>
                      <w:bCs w:val="0"/>
                      <w:color w:val="auto"/>
                      <w:kern w:val="0"/>
                      <w:sz w:val="21"/>
                      <w:szCs w:val="21"/>
                      <w:u w:val="none"/>
                    </w:rPr>
                    <w:t>废水</w:t>
                  </w:r>
                </w:p>
              </w:tc>
              <w:tc>
                <w:tcPr>
                  <w:tcW w:w="722"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color w:val="auto"/>
                      <w:kern w:val="0"/>
                      <w:sz w:val="21"/>
                      <w:szCs w:val="21"/>
                      <w:u w:val="none"/>
                    </w:rPr>
                  </w:pPr>
                  <w:r>
                    <w:rPr>
                      <w:rFonts w:hint="default" w:ascii="Times New Roman" w:hAnsi="Times New Roman" w:eastAsia="宋体" w:cs="Times New Roman"/>
                      <w:b w:val="0"/>
                      <w:bCs w:val="0"/>
                      <w:color w:val="auto"/>
                      <w:kern w:val="0"/>
                      <w:sz w:val="21"/>
                      <w:szCs w:val="21"/>
                      <w:u w:val="none"/>
                    </w:rPr>
                    <w:t>污水量</w:t>
                  </w:r>
                </w:p>
              </w:tc>
              <w:tc>
                <w:tcPr>
                  <w:tcW w:w="1078"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color w:val="auto"/>
                      <w:kern w:val="0"/>
                      <w:sz w:val="21"/>
                      <w:szCs w:val="21"/>
                      <w:u w:val="none"/>
                    </w:rPr>
                  </w:pPr>
                  <w:r>
                    <w:rPr>
                      <w:rFonts w:hint="default" w:ascii="Times New Roman" w:hAnsi="Times New Roman" w:eastAsia="宋体" w:cs="Times New Roman"/>
                      <w:b w:val="0"/>
                      <w:bCs w:val="0"/>
                      <w:color w:val="auto"/>
                      <w:kern w:val="0"/>
                      <w:sz w:val="21"/>
                      <w:szCs w:val="21"/>
                      <w:u w:val="none"/>
                    </w:rPr>
                    <w:t>污染因子</w:t>
                  </w:r>
                </w:p>
              </w:tc>
              <w:tc>
                <w:tcPr>
                  <w:tcW w:w="805"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color w:val="auto"/>
                      <w:kern w:val="0"/>
                      <w:sz w:val="21"/>
                      <w:szCs w:val="21"/>
                      <w:u w:val="none"/>
                    </w:rPr>
                  </w:pPr>
                  <w:r>
                    <w:rPr>
                      <w:rFonts w:hint="default" w:ascii="Times New Roman" w:hAnsi="Times New Roman" w:eastAsia="宋体" w:cs="Times New Roman"/>
                      <w:b w:val="0"/>
                      <w:bCs w:val="0"/>
                      <w:color w:val="auto"/>
                      <w:kern w:val="0"/>
                      <w:sz w:val="21"/>
                      <w:szCs w:val="21"/>
                      <w:u w:val="none"/>
                    </w:rPr>
                    <w:t>COD</w:t>
                  </w:r>
                </w:p>
              </w:tc>
              <w:tc>
                <w:tcPr>
                  <w:tcW w:w="746"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color w:val="auto"/>
                      <w:kern w:val="0"/>
                      <w:sz w:val="21"/>
                      <w:szCs w:val="21"/>
                      <w:u w:val="none"/>
                    </w:rPr>
                  </w:pPr>
                  <w:r>
                    <w:rPr>
                      <w:rFonts w:hint="default" w:ascii="Times New Roman" w:hAnsi="Times New Roman" w:eastAsia="宋体" w:cs="Times New Roman"/>
                      <w:b w:val="0"/>
                      <w:bCs w:val="0"/>
                      <w:color w:val="auto"/>
                      <w:kern w:val="0"/>
                      <w:sz w:val="21"/>
                      <w:szCs w:val="21"/>
                      <w:u w:val="none"/>
                    </w:rPr>
                    <w:t>BOD</w:t>
                  </w:r>
                  <w:r>
                    <w:rPr>
                      <w:rFonts w:hint="default" w:ascii="Times New Roman" w:hAnsi="Times New Roman" w:eastAsia="宋体" w:cs="Times New Roman"/>
                      <w:b w:val="0"/>
                      <w:bCs w:val="0"/>
                      <w:color w:val="auto"/>
                      <w:kern w:val="0"/>
                      <w:sz w:val="21"/>
                      <w:szCs w:val="21"/>
                      <w:u w:val="none"/>
                      <w:vertAlign w:val="subscript"/>
                    </w:rPr>
                    <w:t>5</w:t>
                  </w:r>
                </w:p>
              </w:tc>
              <w:tc>
                <w:tcPr>
                  <w:tcW w:w="562"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color w:val="auto"/>
                      <w:kern w:val="0"/>
                      <w:sz w:val="21"/>
                      <w:szCs w:val="21"/>
                      <w:u w:val="none"/>
                    </w:rPr>
                  </w:pPr>
                  <w:r>
                    <w:rPr>
                      <w:rFonts w:hint="default" w:ascii="Times New Roman" w:hAnsi="Times New Roman" w:eastAsia="宋体" w:cs="Times New Roman"/>
                      <w:b w:val="0"/>
                      <w:bCs w:val="0"/>
                      <w:color w:val="auto"/>
                      <w:kern w:val="0"/>
                      <w:sz w:val="21"/>
                      <w:szCs w:val="21"/>
                      <w:u w:val="none"/>
                    </w:rPr>
                    <w:t>SS</w:t>
                  </w:r>
                </w:p>
              </w:tc>
              <w:tc>
                <w:tcPr>
                  <w:tcW w:w="609"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color w:val="auto"/>
                      <w:kern w:val="0"/>
                      <w:sz w:val="21"/>
                      <w:szCs w:val="21"/>
                      <w:u w:val="none"/>
                    </w:rPr>
                  </w:pPr>
                  <w:r>
                    <w:rPr>
                      <w:rFonts w:hint="default" w:ascii="Times New Roman" w:hAnsi="Times New Roman" w:eastAsia="宋体" w:cs="Times New Roman"/>
                      <w:b w:val="0"/>
                      <w:bCs w:val="0"/>
                      <w:color w:val="auto"/>
                      <w:kern w:val="0"/>
                      <w:sz w:val="21"/>
                      <w:szCs w:val="21"/>
                      <w:u w:val="none"/>
                    </w:rPr>
                    <w:t>NH</w:t>
                  </w:r>
                  <w:r>
                    <w:rPr>
                      <w:rFonts w:hint="default" w:ascii="Times New Roman" w:hAnsi="Times New Roman" w:eastAsia="宋体" w:cs="Times New Roman"/>
                      <w:b w:val="0"/>
                      <w:bCs w:val="0"/>
                      <w:color w:val="auto"/>
                      <w:kern w:val="0"/>
                      <w:sz w:val="21"/>
                      <w:szCs w:val="21"/>
                      <w:u w:val="none"/>
                      <w:vertAlign w:val="subscript"/>
                    </w:rPr>
                    <w:t>3</w:t>
                  </w:r>
                  <w:r>
                    <w:rPr>
                      <w:rFonts w:hint="default" w:ascii="Times New Roman" w:hAnsi="Times New Roman" w:eastAsia="宋体" w:cs="Times New Roman"/>
                      <w:b w:val="0"/>
                      <w:bCs w:val="0"/>
                      <w:color w:val="auto"/>
                      <w:kern w:val="0"/>
                      <w:sz w:val="21"/>
                      <w:szCs w:val="21"/>
                      <w:u w:val="none"/>
                    </w:rPr>
                    <w:t>-N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8" w:hRule="atLeast"/>
                <w:jc w:val="center"/>
              </w:trPr>
              <w:tc>
                <w:tcPr>
                  <w:tcW w:w="474" w:type="pct"/>
                  <w:vMerge w:val="restar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rPr>
                  </w:pPr>
                  <w:r>
                    <w:rPr>
                      <w:rFonts w:hint="default" w:ascii="Times New Roman" w:hAnsi="Times New Roman" w:eastAsia="宋体" w:cs="Times New Roman"/>
                      <w:color w:val="auto"/>
                      <w:kern w:val="0"/>
                      <w:sz w:val="21"/>
                      <w:szCs w:val="21"/>
                      <w:u w:val="none"/>
                    </w:rPr>
                    <w:t>生活污水</w:t>
                  </w:r>
                </w:p>
              </w:tc>
              <w:tc>
                <w:tcPr>
                  <w:tcW w:w="722" w:type="pct"/>
                  <w:vMerge w:val="restar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rPr>
                  </w:pPr>
                  <w:r>
                    <w:rPr>
                      <w:rFonts w:hint="eastAsia" w:ascii="Times New Roman" w:hAnsi="Times New Roman" w:eastAsia="宋体" w:cs="Times New Roman"/>
                      <w:color w:val="auto"/>
                      <w:kern w:val="0"/>
                      <w:sz w:val="21"/>
                      <w:szCs w:val="21"/>
                      <w:u w:val="none"/>
                      <w:lang w:val="en-US" w:eastAsia="zh-CN"/>
                    </w:rPr>
                    <w:t>8640</w:t>
                  </w:r>
                  <w:r>
                    <w:rPr>
                      <w:rFonts w:hint="default" w:ascii="Times New Roman" w:hAnsi="Times New Roman" w:eastAsia="宋体" w:cs="Times New Roman"/>
                      <w:color w:val="auto"/>
                      <w:kern w:val="0"/>
                      <w:sz w:val="21"/>
                      <w:szCs w:val="21"/>
                      <w:u w:val="none"/>
                      <w:lang w:val="en-US" w:eastAsia="zh-CN"/>
                    </w:rPr>
                    <w:t>m³/a</w:t>
                  </w:r>
                </w:p>
              </w:tc>
              <w:tc>
                <w:tcPr>
                  <w:tcW w:w="1078"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rPr>
                  </w:pPr>
                  <w:r>
                    <w:rPr>
                      <w:rFonts w:hint="default" w:ascii="Times New Roman" w:hAnsi="Times New Roman" w:eastAsia="宋体" w:cs="Times New Roman"/>
                      <w:color w:val="auto"/>
                      <w:kern w:val="0"/>
                      <w:sz w:val="21"/>
                      <w:szCs w:val="21"/>
                      <w:u w:val="none"/>
                    </w:rPr>
                    <w:t>产生浓度mg/L</w:t>
                  </w:r>
                </w:p>
              </w:tc>
              <w:tc>
                <w:tcPr>
                  <w:tcW w:w="805"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ascii="Times New Roman" w:hAnsi="Times New Roman" w:eastAsia="宋体" w:cs="Times New Roman"/>
                      <w:color w:val="auto"/>
                      <w:kern w:val="0"/>
                      <w:sz w:val="21"/>
                      <w:szCs w:val="21"/>
                      <w:u w:val="none"/>
                      <w:lang w:val="en-US" w:eastAsia="zh-CN"/>
                    </w:rPr>
                    <w:t>350</w:t>
                  </w:r>
                </w:p>
              </w:tc>
              <w:tc>
                <w:tcPr>
                  <w:tcW w:w="746"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ascii="Times New Roman" w:hAnsi="Times New Roman" w:eastAsia="宋体" w:cs="Times New Roman"/>
                      <w:color w:val="auto"/>
                      <w:kern w:val="0"/>
                      <w:sz w:val="21"/>
                      <w:szCs w:val="21"/>
                      <w:u w:val="none"/>
                      <w:lang w:val="en-US" w:eastAsia="zh-CN"/>
                    </w:rPr>
                    <w:t>200</w:t>
                  </w:r>
                </w:p>
              </w:tc>
              <w:tc>
                <w:tcPr>
                  <w:tcW w:w="562"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ascii="Times New Roman" w:hAnsi="Times New Roman" w:eastAsia="宋体" w:cs="Times New Roman"/>
                      <w:color w:val="auto"/>
                      <w:kern w:val="0"/>
                      <w:sz w:val="21"/>
                      <w:szCs w:val="21"/>
                      <w:u w:val="none"/>
                      <w:lang w:val="en-US" w:eastAsia="zh-CN"/>
                    </w:rPr>
                    <w:t>150</w:t>
                  </w:r>
                </w:p>
              </w:tc>
              <w:tc>
                <w:tcPr>
                  <w:tcW w:w="609"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ascii="Times New Roman" w:hAnsi="Times New Roman" w:eastAsia="宋体" w:cs="Times New Roman"/>
                      <w:color w:val="auto"/>
                      <w:kern w:val="0"/>
                      <w:sz w:val="21"/>
                      <w:szCs w:val="21"/>
                      <w:u w:val="none"/>
                      <w:lang w:val="en-US" w:eastAsia="zh-CN"/>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52" w:hRule="atLeast"/>
                <w:jc w:val="center"/>
              </w:trPr>
              <w:tc>
                <w:tcPr>
                  <w:tcW w:w="474"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left"/>
                    <w:textAlignment w:val="auto"/>
                    <w:rPr>
                      <w:rFonts w:hint="default" w:ascii="Times New Roman" w:hAnsi="Times New Roman" w:eastAsia="宋体" w:cs="Times New Roman"/>
                      <w:color w:val="auto"/>
                      <w:kern w:val="0"/>
                      <w:sz w:val="21"/>
                      <w:szCs w:val="21"/>
                      <w:u w:val="none"/>
                    </w:rPr>
                  </w:pPr>
                </w:p>
              </w:tc>
              <w:tc>
                <w:tcPr>
                  <w:tcW w:w="722"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left"/>
                    <w:textAlignment w:val="auto"/>
                    <w:rPr>
                      <w:rFonts w:hint="default" w:ascii="Times New Roman" w:hAnsi="Times New Roman" w:eastAsia="宋体" w:cs="Times New Roman"/>
                      <w:color w:val="auto"/>
                      <w:kern w:val="0"/>
                      <w:sz w:val="21"/>
                      <w:szCs w:val="21"/>
                      <w:u w:val="none"/>
                    </w:rPr>
                  </w:pPr>
                </w:p>
              </w:tc>
              <w:tc>
                <w:tcPr>
                  <w:tcW w:w="1078"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rPr>
                  </w:pPr>
                  <w:r>
                    <w:rPr>
                      <w:rFonts w:hint="default" w:ascii="Times New Roman" w:hAnsi="Times New Roman" w:eastAsia="宋体" w:cs="Times New Roman"/>
                      <w:color w:val="auto"/>
                      <w:kern w:val="0"/>
                      <w:sz w:val="21"/>
                      <w:szCs w:val="21"/>
                      <w:u w:val="none"/>
                    </w:rPr>
                    <w:t>产生量t/a</w:t>
                  </w:r>
                </w:p>
              </w:tc>
              <w:tc>
                <w:tcPr>
                  <w:tcW w:w="805"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default" w:ascii="Times New Roman" w:hAnsi="Times New Roman" w:eastAsia="宋体" w:cs="Times New Roman"/>
                      <w:color w:val="auto"/>
                      <w:kern w:val="0"/>
                      <w:sz w:val="21"/>
                      <w:szCs w:val="21"/>
                      <w:u w:val="none"/>
                      <w:lang w:val="en-US" w:eastAsia="zh-CN"/>
                    </w:rPr>
                    <w:t>3.024</w:t>
                  </w:r>
                </w:p>
              </w:tc>
              <w:tc>
                <w:tcPr>
                  <w:tcW w:w="746"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default" w:ascii="Times New Roman" w:hAnsi="Times New Roman" w:eastAsia="宋体" w:cs="Times New Roman"/>
                      <w:color w:val="auto"/>
                      <w:kern w:val="0"/>
                      <w:sz w:val="21"/>
                      <w:szCs w:val="21"/>
                      <w:u w:val="none"/>
                      <w:lang w:val="en-US" w:eastAsia="zh-CN"/>
                    </w:rPr>
                    <w:t>1.728</w:t>
                  </w:r>
                </w:p>
              </w:tc>
              <w:tc>
                <w:tcPr>
                  <w:tcW w:w="562"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default" w:ascii="Times New Roman" w:hAnsi="Times New Roman" w:eastAsia="宋体" w:cs="Times New Roman"/>
                      <w:color w:val="auto"/>
                      <w:kern w:val="0"/>
                      <w:sz w:val="21"/>
                      <w:szCs w:val="21"/>
                      <w:u w:val="none"/>
                      <w:lang w:val="en-US" w:eastAsia="zh-CN"/>
                    </w:rPr>
                    <w:t>1.296</w:t>
                  </w:r>
                </w:p>
              </w:tc>
              <w:tc>
                <w:tcPr>
                  <w:tcW w:w="609"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default" w:ascii="Times New Roman" w:hAnsi="Times New Roman" w:eastAsia="宋体" w:cs="Times New Roman"/>
                      <w:color w:val="auto"/>
                      <w:kern w:val="0"/>
                      <w:sz w:val="21"/>
                      <w:szCs w:val="21"/>
                      <w:u w:val="none"/>
                      <w:lang w:val="en-US" w:eastAsia="zh-CN"/>
                    </w:rPr>
                    <w:t>0.3456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52" w:hRule="atLeast"/>
                <w:jc w:val="center"/>
              </w:trPr>
              <w:tc>
                <w:tcPr>
                  <w:tcW w:w="474"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rPr>
                  </w:pPr>
                  <w:r>
                    <w:rPr>
                      <w:rFonts w:hint="default" w:ascii="Times New Roman" w:hAnsi="Times New Roman" w:eastAsia="宋体" w:cs="Times New Roman"/>
                      <w:color w:val="auto"/>
                      <w:kern w:val="0"/>
                      <w:sz w:val="21"/>
                      <w:szCs w:val="21"/>
                      <w:u w:val="none"/>
                      <w:lang w:val="en-US" w:eastAsia="zh-CN"/>
                    </w:rPr>
                    <w:t>搅拌桶清洗废水</w:t>
                  </w:r>
                </w:p>
              </w:tc>
              <w:tc>
                <w:tcPr>
                  <w:tcW w:w="722"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rPr>
                  </w:pPr>
                  <w:r>
                    <w:rPr>
                      <w:rFonts w:hint="default" w:ascii="Times New Roman" w:hAnsi="Times New Roman" w:eastAsia="宋体" w:cs="Times New Roman"/>
                      <w:color w:val="auto"/>
                      <w:kern w:val="0"/>
                      <w:sz w:val="21"/>
                      <w:szCs w:val="21"/>
                      <w:u w:val="none"/>
                      <w:lang w:val="en-US" w:eastAsia="zh-CN"/>
                    </w:rPr>
                    <w:t>7.2m</w:t>
                  </w:r>
                  <w:r>
                    <w:rPr>
                      <w:rFonts w:hint="default" w:ascii="Times New Roman" w:hAnsi="Times New Roman" w:eastAsia="宋体" w:cs="Times New Roman"/>
                      <w:color w:val="auto"/>
                      <w:kern w:val="0"/>
                      <w:sz w:val="21"/>
                      <w:szCs w:val="21"/>
                      <w:u w:val="none"/>
                      <w:vertAlign w:val="superscript"/>
                      <w:lang w:val="en-US" w:eastAsia="zh-CN"/>
                    </w:rPr>
                    <w:t>3</w:t>
                  </w:r>
                  <w:r>
                    <w:rPr>
                      <w:rFonts w:hint="default" w:ascii="Times New Roman" w:hAnsi="Times New Roman" w:eastAsia="宋体" w:cs="Times New Roman"/>
                      <w:color w:val="auto"/>
                      <w:kern w:val="0"/>
                      <w:sz w:val="21"/>
                      <w:szCs w:val="21"/>
                      <w:u w:val="none"/>
                      <w:lang w:val="en-US" w:eastAsia="zh-CN"/>
                    </w:rPr>
                    <w:t>/a</w:t>
                  </w:r>
                </w:p>
              </w:tc>
              <w:tc>
                <w:tcPr>
                  <w:tcW w:w="1078"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rPr>
                  </w:pPr>
                  <w:r>
                    <w:rPr>
                      <w:rFonts w:hint="default" w:ascii="Times New Roman" w:hAnsi="Times New Roman" w:eastAsia="宋体" w:cs="Times New Roman"/>
                      <w:color w:val="auto"/>
                      <w:kern w:val="0"/>
                      <w:sz w:val="21"/>
                      <w:szCs w:val="21"/>
                      <w:u w:val="none"/>
                    </w:rPr>
                    <w:t>产生浓度mg/L</w:t>
                  </w:r>
                </w:p>
              </w:tc>
              <w:tc>
                <w:tcPr>
                  <w:tcW w:w="805"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3100</w:t>
                  </w:r>
                </w:p>
              </w:tc>
              <w:tc>
                <w:tcPr>
                  <w:tcW w:w="746"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w:t>
                  </w:r>
                </w:p>
              </w:tc>
              <w:tc>
                <w:tcPr>
                  <w:tcW w:w="562"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1010</w:t>
                  </w:r>
                </w:p>
              </w:tc>
              <w:tc>
                <w:tcPr>
                  <w:tcW w:w="609"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2" w:hRule="atLeast"/>
                <w:jc w:val="center"/>
              </w:trPr>
              <w:tc>
                <w:tcPr>
                  <w:tcW w:w="474"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left"/>
                    <w:textAlignment w:val="auto"/>
                    <w:rPr>
                      <w:rFonts w:hint="default" w:ascii="Times New Roman" w:hAnsi="Times New Roman" w:eastAsia="宋体" w:cs="Times New Roman"/>
                      <w:color w:val="auto"/>
                      <w:kern w:val="0"/>
                      <w:sz w:val="21"/>
                      <w:szCs w:val="21"/>
                      <w:u w:val="none"/>
                    </w:rPr>
                  </w:pPr>
                </w:p>
              </w:tc>
              <w:tc>
                <w:tcPr>
                  <w:tcW w:w="722"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left"/>
                    <w:textAlignment w:val="auto"/>
                    <w:rPr>
                      <w:rFonts w:hint="default" w:ascii="Times New Roman" w:hAnsi="Times New Roman" w:eastAsia="宋体" w:cs="Times New Roman"/>
                      <w:color w:val="auto"/>
                      <w:kern w:val="0"/>
                      <w:sz w:val="21"/>
                      <w:szCs w:val="21"/>
                      <w:u w:val="none"/>
                    </w:rPr>
                  </w:pPr>
                </w:p>
              </w:tc>
              <w:tc>
                <w:tcPr>
                  <w:tcW w:w="1078"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rPr>
                  </w:pPr>
                  <w:r>
                    <w:rPr>
                      <w:rFonts w:hint="default" w:ascii="Times New Roman" w:hAnsi="Times New Roman" w:eastAsia="宋体" w:cs="Times New Roman"/>
                      <w:color w:val="auto"/>
                      <w:kern w:val="0"/>
                      <w:sz w:val="21"/>
                      <w:szCs w:val="21"/>
                      <w:u w:val="none"/>
                    </w:rPr>
                    <w:t>产生量t/a</w:t>
                  </w:r>
                </w:p>
              </w:tc>
              <w:tc>
                <w:tcPr>
                  <w:tcW w:w="805"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0.02232</w:t>
                  </w:r>
                </w:p>
              </w:tc>
              <w:tc>
                <w:tcPr>
                  <w:tcW w:w="746"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w:t>
                  </w:r>
                </w:p>
              </w:tc>
              <w:tc>
                <w:tcPr>
                  <w:tcW w:w="562"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0.007272</w:t>
                  </w:r>
                </w:p>
              </w:tc>
              <w:tc>
                <w:tcPr>
                  <w:tcW w:w="609"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52" w:hRule="atLeast"/>
                <w:jc w:val="center"/>
              </w:trPr>
              <w:tc>
                <w:tcPr>
                  <w:tcW w:w="474"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rPr>
                  </w:pPr>
                  <w:r>
                    <w:rPr>
                      <w:rFonts w:hint="default" w:ascii="Times New Roman" w:hAnsi="Times New Roman" w:eastAsia="宋体" w:cs="Times New Roman"/>
                      <w:color w:val="auto"/>
                      <w:kern w:val="0"/>
                      <w:sz w:val="21"/>
                      <w:szCs w:val="21"/>
                      <w:u w:val="none"/>
                      <w:lang w:val="en-US" w:eastAsia="zh-CN"/>
                    </w:rPr>
                    <w:t>电池清洗废水</w:t>
                  </w:r>
                </w:p>
              </w:tc>
              <w:tc>
                <w:tcPr>
                  <w:tcW w:w="722" w:type="pct"/>
                  <w:vMerge w:val="restar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rPr>
                  </w:pPr>
                  <w:r>
                    <w:rPr>
                      <w:rFonts w:hint="default" w:ascii="Times New Roman" w:hAnsi="Times New Roman" w:eastAsia="宋体" w:cs="Times New Roman"/>
                      <w:color w:val="auto"/>
                      <w:kern w:val="0"/>
                      <w:sz w:val="21"/>
                      <w:szCs w:val="21"/>
                      <w:u w:val="none"/>
                      <w:lang w:val="en-US" w:eastAsia="zh-CN"/>
                    </w:rPr>
                    <w:t>120m³/a</w:t>
                  </w:r>
                </w:p>
              </w:tc>
              <w:tc>
                <w:tcPr>
                  <w:tcW w:w="1078"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rPr>
                  </w:pPr>
                  <w:r>
                    <w:rPr>
                      <w:rFonts w:hint="default" w:ascii="Times New Roman" w:hAnsi="Times New Roman" w:eastAsia="宋体" w:cs="Times New Roman"/>
                      <w:color w:val="auto"/>
                      <w:kern w:val="0"/>
                      <w:sz w:val="21"/>
                      <w:szCs w:val="21"/>
                      <w:u w:val="none"/>
                    </w:rPr>
                    <w:t>产生浓度mg/L</w:t>
                  </w:r>
                </w:p>
              </w:tc>
              <w:tc>
                <w:tcPr>
                  <w:tcW w:w="805"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300</w:t>
                  </w:r>
                </w:p>
              </w:tc>
              <w:tc>
                <w:tcPr>
                  <w:tcW w:w="746"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w:t>
                  </w:r>
                </w:p>
              </w:tc>
              <w:tc>
                <w:tcPr>
                  <w:tcW w:w="562"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300</w:t>
                  </w:r>
                </w:p>
              </w:tc>
              <w:tc>
                <w:tcPr>
                  <w:tcW w:w="609"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52" w:hRule="atLeast"/>
                <w:jc w:val="center"/>
              </w:trPr>
              <w:tc>
                <w:tcPr>
                  <w:tcW w:w="474"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left"/>
                    <w:textAlignment w:val="auto"/>
                    <w:rPr>
                      <w:rFonts w:hint="default" w:ascii="Times New Roman" w:hAnsi="Times New Roman" w:eastAsia="宋体" w:cs="Times New Roman"/>
                      <w:color w:val="auto"/>
                      <w:kern w:val="0"/>
                      <w:sz w:val="21"/>
                      <w:szCs w:val="21"/>
                      <w:u w:val="none"/>
                    </w:rPr>
                  </w:pPr>
                </w:p>
              </w:tc>
              <w:tc>
                <w:tcPr>
                  <w:tcW w:w="722" w:type="pct"/>
                  <w:vMerge w:val="continue"/>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left"/>
                    <w:textAlignment w:val="auto"/>
                    <w:rPr>
                      <w:rFonts w:hint="default" w:ascii="Times New Roman" w:hAnsi="Times New Roman" w:eastAsia="宋体" w:cs="Times New Roman"/>
                      <w:color w:val="auto"/>
                      <w:kern w:val="0"/>
                      <w:sz w:val="21"/>
                      <w:szCs w:val="21"/>
                      <w:u w:val="none"/>
                    </w:rPr>
                  </w:pPr>
                </w:p>
              </w:tc>
              <w:tc>
                <w:tcPr>
                  <w:tcW w:w="1078"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rPr>
                  </w:pPr>
                  <w:r>
                    <w:rPr>
                      <w:rFonts w:hint="default" w:ascii="Times New Roman" w:hAnsi="Times New Roman" w:eastAsia="宋体" w:cs="Times New Roman"/>
                      <w:color w:val="auto"/>
                      <w:kern w:val="0"/>
                      <w:sz w:val="21"/>
                      <w:szCs w:val="21"/>
                      <w:u w:val="none"/>
                    </w:rPr>
                    <w:t>产生量t/a</w:t>
                  </w:r>
                </w:p>
              </w:tc>
              <w:tc>
                <w:tcPr>
                  <w:tcW w:w="805"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0.036</w:t>
                  </w:r>
                </w:p>
              </w:tc>
              <w:tc>
                <w:tcPr>
                  <w:tcW w:w="746"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w:t>
                  </w:r>
                </w:p>
              </w:tc>
              <w:tc>
                <w:tcPr>
                  <w:tcW w:w="562"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default" w:ascii="Times New Roman" w:hAnsi="Times New Roman" w:eastAsia="宋体" w:cs="Times New Roman"/>
                      <w:color w:val="auto"/>
                      <w:kern w:val="0"/>
                      <w:sz w:val="21"/>
                      <w:szCs w:val="21"/>
                      <w:u w:val="none"/>
                      <w:lang w:val="en-US" w:eastAsia="zh-CN"/>
                    </w:rPr>
                    <w:t>0.036</w:t>
                  </w:r>
                </w:p>
              </w:tc>
              <w:tc>
                <w:tcPr>
                  <w:tcW w:w="609"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52" w:hRule="atLeast"/>
                <w:jc w:val="center"/>
              </w:trPr>
              <w:tc>
                <w:tcPr>
                  <w:tcW w:w="474"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auto"/>
                      <w:kern w:val="0"/>
                      <w:sz w:val="21"/>
                      <w:szCs w:val="21"/>
                      <w:u w:val="none"/>
                      <w:lang w:val="en-US" w:eastAsia="zh-CN"/>
                    </w:rPr>
                  </w:pPr>
                  <w:r>
                    <w:rPr>
                      <w:rFonts w:hint="eastAsia" w:cs="Times New Roman"/>
                      <w:color w:val="auto"/>
                      <w:kern w:val="0"/>
                      <w:sz w:val="21"/>
                      <w:szCs w:val="21"/>
                      <w:u w:val="none"/>
                      <w:lang w:val="en-US" w:eastAsia="zh-CN"/>
                    </w:rPr>
                    <w:t>合计</w:t>
                  </w:r>
                </w:p>
              </w:tc>
              <w:tc>
                <w:tcPr>
                  <w:tcW w:w="722" w:type="pct"/>
                  <w:tcBorders>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cs="Times New Roman"/>
                      <w:color w:val="auto"/>
                      <w:kern w:val="0"/>
                      <w:sz w:val="21"/>
                      <w:szCs w:val="21"/>
                      <w:u w:val="none"/>
                      <w:lang w:val="en-US" w:eastAsia="zh-CN"/>
                    </w:rPr>
                  </w:pPr>
                  <w:r>
                    <w:rPr>
                      <w:rFonts w:hint="eastAsia" w:cs="Times New Roman"/>
                      <w:color w:val="auto"/>
                      <w:kern w:val="0"/>
                      <w:sz w:val="21"/>
                      <w:szCs w:val="21"/>
                      <w:u w:val="none"/>
                      <w:lang w:val="en-US" w:eastAsia="zh-CN"/>
                    </w:rPr>
                    <w:t>8767.2</w:t>
                  </w:r>
                  <w:r>
                    <w:rPr>
                      <w:rFonts w:hint="default" w:ascii="Times New Roman" w:hAnsi="Times New Roman" w:eastAsia="宋体" w:cs="Times New Roman"/>
                      <w:color w:val="auto"/>
                      <w:kern w:val="0"/>
                      <w:sz w:val="21"/>
                      <w:szCs w:val="21"/>
                      <w:u w:val="none"/>
                      <w:lang w:val="en-US" w:eastAsia="zh-CN"/>
                    </w:rPr>
                    <w:t>m³/a</w:t>
                  </w:r>
                </w:p>
              </w:tc>
              <w:tc>
                <w:tcPr>
                  <w:tcW w:w="1078"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rPr>
                  </w:pPr>
                  <w:r>
                    <w:rPr>
                      <w:rFonts w:hint="default" w:ascii="Times New Roman" w:hAnsi="Times New Roman" w:eastAsia="宋体" w:cs="Times New Roman"/>
                      <w:color w:val="auto"/>
                      <w:kern w:val="0"/>
                      <w:sz w:val="21"/>
                      <w:szCs w:val="21"/>
                      <w:u w:val="none"/>
                    </w:rPr>
                    <w:t>产生量t/a</w:t>
                  </w:r>
                </w:p>
              </w:tc>
              <w:tc>
                <w:tcPr>
                  <w:tcW w:w="805"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color w:val="auto"/>
                      <w:kern w:val="0"/>
                      <w:sz w:val="21"/>
                      <w:szCs w:val="21"/>
                      <w:u w:val="none"/>
                      <w:lang w:val="en-US" w:eastAsia="zh-CN"/>
                    </w:rPr>
                  </w:pPr>
                  <w:r>
                    <w:rPr>
                      <w:rFonts w:hint="eastAsia" w:cs="Times New Roman"/>
                      <w:color w:val="auto"/>
                      <w:kern w:val="0"/>
                      <w:sz w:val="21"/>
                      <w:szCs w:val="21"/>
                      <w:u w:val="none"/>
                      <w:lang w:val="en-US" w:eastAsia="zh-CN"/>
                    </w:rPr>
                    <w:t>3.08232</w:t>
                  </w:r>
                </w:p>
              </w:tc>
              <w:tc>
                <w:tcPr>
                  <w:tcW w:w="746"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cs="Times New Roman"/>
                      <w:color w:val="auto"/>
                      <w:kern w:val="0"/>
                      <w:sz w:val="21"/>
                      <w:szCs w:val="21"/>
                      <w:u w:val="none"/>
                      <w:lang w:val="en-US" w:eastAsia="zh-CN"/>
                    </w:rPr>
                  </w:pPr>
                  <w:r>
                    <w:rPr>
                      <w:rFonts w:hint="eastAsia" w:cs="Times New Roman"/>
                      <w:color w:val="auto"/>
                      <w:kern w:val="0"/>
                      <w:sz w:val="21"/>
                      <w:szCs w:val="21"/>
                      <w:u w:val="none"/>
                      <w:lang w:val="en-US" w:eastAsia="zh-CN"/>
                    </w:rPr>
                    <w:t>1.728</w:t>
                  </w:r>
                </w:p>
              </w:tc>
              <w:tc>
                <w:tcPr>
                  <w:tcW w:w="562"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u w:val="none"/>
                      <w:lang w:val="en-US" w:eastAsia="zh-CN"/>
                    </w:rPr>
                  </w:pPr>
                  <w:r>
                    <w:rPr>
                      <w:rFonts w:hint="default" w:ascii="Times New Roman" w:hAnsi="Times New Roman" w:eastAsia="宋体" w:cs="Times New Roman"/>
                      <w:color w:val="auto"/>
                      <w:kern w:val="0"/>
                      <w:sz w:val="21"/>
                      <w:szCs w:val="21"/>
                      <w:u w:val="none"/>
                      <w:lang w:val="en-US" w:eastAsia="zh-CN"/>
                    </w:rPr>
                    <w:t>1.339272</w:t>
                  </w:r>
                </w:p>
              </w:tc>
              <w:tc>
                <w:tcPr>
                  <w:tcW w:w="609"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color w:val="auto"/>
                      <w:kern w:val="0"/>
                      <w:sz w:val="21"/>
                      <w:szCs w:val="21"/>
                      <w:u w:val="none"/>
                      <w:lang w:val="en-US" w:eastAsia="zh-CN"/>
                    </w:rPr>
                  </w:pPr>
                  <w:r>
                    <w:rPr>
                      <w:rFonts w:hint="eastAsia" w:cs="Times New Roman"/>
                      <w:color w:val="auto"/>
                      <w:kern w:val="0"/>
                      <w:sz w:val="21"/>
                      <w:szCs w:val="21"/>
                      <w:u w:val="none"/>
                      <w:lang w:val="en-US" w:eastAsia="zh-CN"/>
                    </w:rPr>
                    <w:t>0.3456</w:t>
                  </w:r>
                </w:p>
              </w:tc>
            </w:tr>
          </w:tbl>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leftChars="0" w:right="0" w:firstLine="482" w:firstLineChars="200"/>
              <w:textAlignment w:val="auto"/>
              <w:rPr>
                <w:rFonts w:hint="eastAsia" w:ascii="Times New Roman" w:hAnsi="Times New Roman" w:eastAsia="宋体" w:cs="Times New Roman"/>
                <w:b/>
                <w:bCs w:val="0"/>
                <w:color w:val="000000"/>
                <w:szCs w:val="24"/>
                <w:u w:val="none"/>
                <w:lang w:val="en-US" w:eastAsia="zh-CN"/>
              </w:rPr>
            </w:pPr>
            <w:r>
              <w:rPr>
                <w:rFonts w:hint="eastAsia" w:ascii="Times New Roman" w:hAnsi="Times New Roman" w:eastAsia="宋体" w:cs="Times New Roman"/>
                <w:b/>
                <w:bCs w:val="0"/>
                <w:color w:val="000000"/>
                <w:szCs w:val="24"/>
                <w:u w:val="none"/>
              </w:rPr>
              <w:t>废水</w:t>
            </w:r>
            <w:r>
              <w:rPr>
                <w:rFonts w:hint="eastAsia" w:ascii="Times New Roman" w:hAnsi="Times New Roman" w:eastAsia="宋体" w:cs="Times New Roman"/>
                <w:b/>
                <w:bCs w:val="0"/>
                <w:color w:val="000000"/>
                <w:szCs w:val="24"/>
                <w:u w:val="none"/>
                <w:lang w:val="en-US" w:eastAsia="zh-CN"/>
              </w:rPr>
              <w:t>纳入污水处理厂可行性分析：</w:t>
            </w:r>
          </w:p>
          <w:p>
            <w:pPr>
              <w:keepNext w:val="0"/>
              <w:keepLines w:val="0"/>
              <w:pageBreakBefore w:val="0"/>
              <w:widowControl/>
              <w:kinsoku/>
              <w:wordWrap/>
              <w:overflowPunct/>
              <w:topLinePunct w:val="0"/>
              <w:autoSpaceDE/>
              <w:autoSpaceDN/>
              <w:bidi w:val="0"/>
              <w:adjustRightInd w:val="0"/>
              <w:snapToGrid w:val="0"/>
              <w:spacing w:before="0" w:beforeAutospacing="0" w:after="0" w:afterAutospacing="0" w:line="360" w:lineRule="auto"/>
              <w:ind w:firstLine="480" w:firstLineChars="200"/>
              <w:jc w:val="left"/>
              <w:textAlignment w:val="auto"/>
              <w:rPr>
                <w:rFonts w:ascii="Times New Roman" w:hAnsi="Times New Roman" w:eastAsia="宋体" w:cs="Times New Roman"/>
                <w:color w:val="auto"/>
                <w:kern w:val="0"/>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新田县污水处理厂中心位于新田县龙泉镇木山塘村，厂址总占</w:t>
            </w:r>
            <w:r>
              <w:rPr>
                <w:rFonts w:hint="eastAsia" w:ascii="Times New Roman" w:hAnsi="Times New Roman" w:eastAsia="宋体" w:cs="Times New Roman"/>
                <w:color w:val="auto"/>
                <w:kern w:val="2"/>
                <w:sz w:val="24"/>
                <w:szCs w:val="24"/>
                <w:lang w:val="en-US" w:eastAsia="zh-CN" w:bidi="ar-SA"/>
              </w:rPr>
              <w:t>23400m</w:t>
            </w:r>
            <w:r>
              <w:rPr>
                <w:rFonts w:hint="eastAsia" w:ascii="Times New Roman" w:hAnsi="Times New Roman" w:eastAsia="宋体" w:cs="Times New Roman"/>
                <w:color w:val="auto"/>
                <w:kern w:val="2"/>
                <w:sz w:val="24"/>
                <w:szCs w:val="24"/>
                <w:vertAlign w:val="superscript"/>
                <w:lang w:val="en-US" w:eastAsia="zh-CN" w:bidi="ar-SA"/>
              </w:rPr>
              <w:t>2</w:t>
            </w:r>
            <w:r>
              <w:rPr>
                <w:rFonts w:hint="default" w:ascii="Times New Roman" w:hAnsi="Times New Roman" w:eastAsia="宋体" w:cs="Times New Roman"/>
                <w:color w:val="auto"/>
                <w:kern w:val="2"/>
                <w:sz w:val="24"/>
                <w:szCs w:val="24"/>
                <w:lang w:val="en-US" w:eastAsia="zh-CN" w:bidi="ar-SA"/>
              </w:rPr>
              <w:t>，提标改造工程利用现状厂区预留空地，不另行征地</w:t>
            </w:r>
            <w:r>
              <w:rPr>
                <w:rFonts w:hint="eastAsia" w:ascii="Times New Roman" w:hAnsi="Times New Roman" w:eastAsia="宋体" w:cs="Times New Roman"/>
                <w:color w:val="auto"/>
                <w:kern w:val="2"/>
                <w:sz w:val="24"/>
                <w:szCs w:val="24"/>
                <w:lang w:val="en-US" w:eastAsia="zh-CN" w:bidi="ar-SA"/>
              </w:rPr>
              <w:t>。</w:t>
            </w:r>
            <w:r>
              <w:rPr>
                <w:rFonts w:ascii="Times New Roman" w:hAnsi="Times New Roman" w:eastAsia="宋体" w:cs="Times New Roman"/>
                <w:color w:val="auto"/>
                <w:kern w:val="2"/>
                <w:sz w:val="24"/>
                <w:szCs w:val="24"/>
                <w:lang w:val="en-US" w:eastAsia="zh-CN" w:bidi="ar-SA"/>
              </w:rPr>
              <w:t>工程内容主要包括：新建</w:t>
            </w:r>
            <w:r>
              <w:rPr>
                <w:rFonts w:hint="eastAsia" w:ascii="Times New Roman" w:hAnsi="Times New Roman" w:eastAsia="宋体" w:cs="Times New Roman"/>
                <w:color w:val="auto"/>
                <w:kern w:val="2"/>
                <w:sz w:val="24"/>
                <w:szCs w:val="24"/>
                <w:lang w:val="en-US" w:eastAsia="zh-CN" w:bidi="ar-SA"/>
              </w:rPr>
              <w:t>中间提升泵站</w:t>
            </w:r>
            <w:r>
              <w:rPr>
                <w:rFonts w:ascii="Times New Roman" w:hAnsi="Times New Roman" w:eastAsia="宋体" w:cs="Times New Roman"/>
                <w:color w:val="auto"/>
                <w:kern w:val="2"/>
                <w:sz w:val="24"/>
                <w:szCs w:val="24"/>
                <w:lang w:val="en-US" w:eastAsia="zh-CN" w:bidi="ar-SA"/>
              </w:rPr>
              <w:t>1座（</w:t>
            </w:r>
            <w:r>
              <w:rPr>
                <w:rFonts w:hint="eastAsia" w:ascii="Times New Roman" w:hAnsi="Times New Roman" w:eastAsia="宋体" w:cs="Times New Roman"/>
                <w:color w:val="auto"/>
                <w:kern w:val="2"/>
                <w:sz w:val="24"/>
                <w:szCs w:val="24"/>
                <w:lang w:val="en-US" w:eastAsia="zh-CN" w:bidi="ar-SA"/>
              </w:rPr>
              <w:t>2万</w:t>
            </w:r>
            <w:r>
              <w:rPr>
                <w:rFonts w:ascii="Times New Roman" w:hAnsi="Times New Roman" w:eastAsia="宋体" w:cs="Times New Roman"/>
                <w:color w:val="auto"/>
                <w:kern w:val="2"/>
                <w:sz w:val="24"/>
                <w:szCs w:val="24"/>
                <w:lang w:val="en-US" w:eastAsia="zh-CN" w:bidi="ar-SA"/>
              </w:rPr>
              <w:t>m</w:t>
            </w:r>
            <w:r>
              <w:rPr>
                <w:rFonts w:ascii="Times New Roman" w:hAnsi="Times New Roman" w:eastAsia="宋体" w:cs="Times New Roman"/>
                <w:color w:val="auto"/>
                <w:kern w:val="2"/>
                <w:sz w:val="24"/>
                <w:szCs w:val="24"/>
                <w:vertAlign w:val="superscript"/>
                <w:lang w:val="en-US" w:eastAsia="zh-CN" w:bidi="ar-SA"/>
              </w:rPr>
              <w:t>3</w:t>
            </w:r>
            <w:r>
              <w:rPr>
                <w:rFonts w:ascii="Times New Roman" w:hAnsi="Times New Roman" w:eastAsia="宋体" w:cs="Times New Roman"/>
                <w:color w:val="auto"/>
                <w:kern w:val="2"/>
                <w:sz w:val="24"/>
                <w:szCs w:val="24"/>
                <w:lang w:val="en-US" w:eastAsia="zh-CN" w:bidi="ar-SA"/>
              </w:rPr>
              <w:t>/d）、</w:t>
            </w:r>
            <w:r>
              <w:rPr>
                <w:rFonts w:hint="eastAsia" w:ascii="Times New Roman" w:hAnsi="Times New Roman" w:eastAsia="宋体" w:cs="Times New Roman"/>
                <w:color w:val="auto"/>
                <w:kern w:val="2"/>
                <w:sz w:val="24"/>
                <w:szCs w:val="24"/>
                <w:lang w:val="en-US" w:eastAsia="zh-CN" w:bidi="ar-SA"/>
              </w:rPr>
              <w:t>高效沉淀池</w:t>
            </w:r>
            <w:r>
              <w:rPr>
                <w:rFonts w:ascii="Times New Roman" w:hAnsi="Times New Roman" w:eastAsia="宋体" w:cs="Times New Roman"/>
                <w:color w:val="auto"/>
                <w:kern w:val="2"/>
                <w:sz w:val="24"/>
                <w:szCs w:val="24"/>
                <w:lang w:val="en-US" w:eastAsia="zh-CN" w:bidi="ar-SA"/>
              </w:rPr>
              <w:t>1座（</w:t>
            </w:r>
            <w:r>
              <w:rPr>
                <w:rFonts w:hint="eastAsia" w:ascii="Times New Roman" w:hAnsi="Times New Roman" w:eastAsia="宋体" w:cs="Times New Roman"/>
                <w:color w:val="auto"/>
                <w:kern w:val="2"/>
                <w:sz w:val="24"/>
                <w:szCs w:val="24"/>
                <w:lang w:val="en-US" w:eastAsia="zh-CN" w:bidi="ar-SA"/>
              </w:rPr>
              <w:t>2万</w:t>
            </w:r>
            <w:r>
              <w:rPr>
                <w:rFonts w:ascii="Times New Roman" w:hAnsi="Times New Roman" w:eastAsia="宋体" w:cs="Times New Roman"/>
                <w:color w:val="auto"/>
                <w:kern w:val="2"/>
                <w:sz w:val="24"/>
                <w:szCs w:val="24"/>
                <w:lang w:val="en-US" w:eastAsia="zh-CN" w:bidi="ar-SA"/>
              </w:rPr>
              <w:t>m</w:t>
            </w:r>
            <w:r>
              <w:rPr>
                <w:rFonts w:ascii="Times New Roman" w:hAnsi="Times New Roman" w:eastAsia="宋体" w:cs="Times New Roman"/>
                <w:color w:val="auto"/>
                <w:kern w:val="2"/>
                <w:sz w:val="24"/>
                <w:szCs w:val="24"/>
                <w:vertAlign w:val="superscript"/>
                <w:lang w:val="en-US" w:eastAsia="zh-CN" w:bidi="ar-SA"/>
              </w:rPr>
              <w:t>3</w:t>
            </w:r>
            <w:r>
              <w:rPr>
                <w:rFonts w:ascii="Times New Roman" w:hAnsi="Times New Roman" w:eastAsia="宋体" w:cs="Times New Roman"/>
                <w:color w:val="auto"/>
                <w:kern w:val="2"/>
                <w:sz w:val="24"/>
                <w:szCs w:val="24"/>
                <w:lang w:val="en-US" w:eastAsia="zh-CN" w:bidi="ar-SA"/>
              </w:rPr>
              <w:t>/d）、紫外光消毒池1座（</w:t>
            </w:r>
            <w:r>
              <w:rPr>
                <w:rFonts w:hint="eastAsia" w:ascii="Times New Roman" w:hAnsi="Times New Roman" w:eastAsia="宋体" w:cs="Times New Roman"/>
                <w:color w:val="auto"/>
                <w:kern w:val="2"/>
                <w:sz w:val="24"/>
                <w:szCs w:val="24"/>
                <w:lang w:val="en-US" w:eastAsia="zh-CN" w:bidi="ar-SA"/>
              </w:rPr>
              <w:t>2万</w:t>
            </w:r>
            <w:r>
              <w:rPr>
                <w:rFonts w:ascii="Times New Roman" w:hAnsi="Times New Roman" w:eastAsia="宋体" w:cs="Times New Roman"/>
                <w:color w:val="auto"/>
                <w:kern w:val="2"/>
                <w:sz w:val="24"/>
                <w:szCs w:val="24"/>
                <w:lang w:val="en-US" w:eastAsia="zh-CN" w:bidi="ar-SA"/>
              </w:rPr>
              <w:t>m</w:t>
            </w:r>
            <w:r>
              <w:rPr>
                <w:rFonts w:ascii="Times New Roman" w:hAnsi="Times New Roman" w:eastAsia="宋体" w:cs="Times New Roman"/>
                <w:color w:val="auto"/>
                <w:kern w:val="2"/>
                <w:sz w:val="24"/>
                <w:szCs w:val="24"/>
                <w:vertAlign w:val="superscript"/>
                <w:lang w:val="en-US" w:eastAsia="zh-CN" w:bidi="ar-SA"/>
              </w:rPr>
              <w:t>3</w:t>
            </w:r>
            <w:r>
              <w:rPr>
                <w:rFonts w:ascii="Times New Roman" w:hAnsi="Times New Roman" w:eastAsia="宋体" w:cs="Times New Roman"/>
                <w:color w:val="auto"/>
                <w:kern w:val="2"/>
                <w:sz w:val="24"/>
                <w:szCs w:val="24"/>
                <w:lang w:val="en-US" w:eastAsia="zh-CN" w:bidi="ar-SA"/>
              </w:rPr>
              <w:t>/d）</w:t>
            </w:r>
            <w:r>
              <w:rPr>
                <w:rFonts w:hint="eastAsia" w:ascii="Times New Roman" w:hAnsi="Times New Roman" w:eastAsia="宋体" w:cs="Times New Roman"/>
                <w:color w:val="auto"/>
                <w:kern w:val="2"/>
                <w:sz w:val="24"/>
                <w:szCs w:val="24"/>
                <w:lang w:val="en-US" w:eastAsia="zh-CN" w:bidi="ar-SA"/>
              </w:rPr>
              <w:t>，预留纤维转盘滤池位置</w:t>
            </w:r>
            <w:r>
              <w:rPr>
                <w:rFonts w:ascii="Times New Roman" w:hAnsi="Times New Roman" w:eastAsia="宋体" w:cs="Times New Roman"/>
                <w:color w:val="auto"/>
                <w:kern w:val="2"/>
                <w:sz w:val="24"/>
                <w:szCs w:val="24"/>
                <w:lang w:val="en-US" w:eastAsia="zh-CN" w:bidi="ar-SA"/>
              </w:rPr>
              <w:t>（</w:t>
            </w:r>
            <w:r>
              <w:rPr>
                <w:rFonts w:hint="eastAsia" w:ascii="Times New Roman" w:hAnsi="Times New Roman" w:eastAsia="宋体" w:cs="Times New Roman"/>
                <w:color w:val="auto"/>
                <w:kern w:val="2"/>
                <w:sz w:val="24"/>
                <w:szCs w:val="24"/>
                <w:lang w:val="en-US" w:eastAsia="zh-CN" w:bidi="ar-SA"/>
              </w:rPr>
              <w:t>2万</w:t>
            </w:r>
            <w:r>
              <w:rPr>
                <w:rFonts w:ascii="Times New Roman" w:hAnsi="Times New Roman" w:eastAsia="宋体" w:cs="Times New Roman"/>
                <w:color w:val="auto"/>
                <w:kern w:val="2"/>
                <w:sz w:val="24"/>
                <w:szCs w:val="24"/>
                <w:lang w:val="en-US" w:eastAsia="zh-CN" w:bidi="ar-SA"/>
              </w:rPr>
              <w:t>m</w:t>
            </w:r>
            <w:r>
              <w:rPr>
                <w:rFonts w:ascii="Times New Roman" w:hAnsi="Times New Roman" w:eastAsia="宋体" w:cs="Times New Roman"/>
                <w:color w:val="auto"/>
                <w:kern w:val="2"/>
                <w:sz w:val="24"/>
                <w:szCs w:val="24"/>
                <w:vertAlign w:val="superscript"/>
                <w:lang w:val="en-US" w:eastAsia="zh-CN" w:bidi="ar-SA"/>
              </w:rPr>
              <w:t>3</w:t>
            </w:r>
            <w:r>
              <w:rPr>
                <w:rFonts w:ascii="Times New Roman" w:hAnsi="Times New Roman" w:eastAsia="宋体" w:cs="Times New Roman"/>
                <w:color w:val="auto"/>
                <w:kern w:val="2"/>
                <w:sz w:val="24"/>
                <w:szCs w:val="24"/>
                <w:lang w:val="en-US" w:eastAsia="zh-CN" w:bidi="ar-SA"/>
              </w:rPr>
              <w:t>/d）</w:t>
            </w:r>
            <w:r>
              <w:rPr>
                <w:rFonts w:hint="eastAsia" w:ascii="Times New Roman" w:hAnsi="Times New Roman" w:eastAsia="宋体" w:cs="Times New Roman"/>
                <w:color w:val="auto"/>
                <w:kern w:val="2"/>
                <w:sz w:val="24"/>
                <w:szCs w:val="24"/>
                <w:lang w:val="en-US" w:eastAsia="zh-CN" w:bidi="ar-SA"/>
              </w:rPr>
              <w:t>，改造现有污泥脱水加药间，废除现有接触消毒池（保留做备用消毒设施）</w:t>
            </w:r>
            <w:r>
              <w:rPr>
                <w:rFonts w:ascii="Times New Roman" w:hAnsi="Times New Roman" w:eastAsia="宋体" w:cs="Times New Roman"/>
                <w:color w:val="auto"/>
                <w:kern w:val="2"/>
                <w:sz w:val="24"/>
                <w:szCs w:val="24"/>
                <w:lang w:val="en-US" w:eastAsia="zh-CN" w:bidi="ar-SA"/>
              </w:rPr>
              <w:t>。其他现有工程均保持不变。</w:t>
            </w:r>
            <w:r>
              <w:rPr>
                <w:rFonts w:hint="default" w:ascii="Times New Roman" w:hAnsi="Times New Roman" w:eastAsia="宋体" w:cs="Times New Roman"/>
                <w:color w:val="auto"/>
                <w:kern w:val="2"/>
                <w:sz w:val="24"/>
                <w:szCs w:val="24"/>
                <w:lang w:val="en-US" w:eastAsia="zh-CN" w:bidi="ar-SA"/>
              </w:rPr>
              <w:t>设计污水处理规模为2万t/d，实际污水处理规模为</w:t>
            </w:r>
            <w:r>
              <w:rPr>
                <w:rFonts w:hint="eastAsia" w:ascii="Times New Roman" w:hAnsi="Times New Roman" w:eastAsia="宋体" w:cs="Times New Roman"/>
                <w:color w:val="auto"/>
                <w:kern w:val="2"/>
                <w:sz w:val="24"/>
                <w:szCs w:val="24"/>
                <w:lang w:val="en-US" w:eastAsia="zh-CN" w:bidi="ar-SA"/>
              </w:rPr>
              <w:t>2</w:t>
            </w:r>
            <w:r>
              <w:rPr>
                <w:rFonts w:hint="default" w:ascii="Times New Roman" w:hAnsi="Times New Roman" w:eastAsia="宋体" w:cs="Times New Roman"/>
                <w:color w:val="auto"/>
                <w:kern w:val="2"/>
                <w:sz w:val="24"/>
                <w:szCs w:val="24"/>
                <w:lang w:val="en-US" w:eastAsia="zh-CN" w:bidi="ar-SA"/>
              </w:rPr>
              <w:t>万t/d，污水处理工艺为：粗格栅及提升泵站+细格栅及旋流沉砂池+CASS池+高效沉淀池+紫外光消毒池</w:t>
            </w:r>
            <w:r>
              <w:rPr>
                <w:rFonts w:hint="eastAsia" w:ascii="Times New Roman" w:hAnsi="Times New Roman" w:eastAsia="宋体" w:cs="Times New Roman"/>
                <w:color w:val="auto"/>
                <w:kern w:val="2"/>
                <w:sz w:val="24"/>
                <w:szCs w:val="24"/>
                <w:lang w:val="en-US" w:eastAsia="zh-CN" w:bidi="ar-SA"/>
              </w:rPr>
              <w:t>，</w:t>
            </w:r>
            <w:r>
              <w:rPr>
                <w:rFonts w:ascii="Times New Roman" w:hAnsi="Times New Roman" w:eastAsia="宋体" w:cs="Times New Roman"/>
                <w:sz w:val="24"/>
                <w:szCs w:val="24"/>
              </w:rPr>
              <w:t>污水处理达到《城镇污水处理厂污染物排放标准》(GB18918-2002)一级A标准后排入新田河。</w:t>
            </w:r>
            <w:r>
              <w:rPr>
                <w:rFonts w:ascii="Times New Roman" w:hAnsi="Times New Roman" w:eastAsia="宋体" w:cs="Times New Roman"/>
                <w:color w:val="auto"/>
                <w:kern w:val="2"/>
                <w:sz w:val="24"/>
                <w:szCs w:val="24"/>
                <w:lang w:val="en-US" w:eastAsia="zh-CN" w:bidi="ar-SA"/>
              </w:rPr>
              <w:t>根据</w:t>
            </w:r>
            <w:r>
              <w:rPr>
                <w:rFonts w:hint="eastAsia" w:ascii="Times New Roman" w:hAnsi="Times New Roman" w:eastAsia="宋体" w:cs="Times New Roman"/>
                <w:color w:val="auto"/>
                <w:kern w:val="2"/>
                <w:sz w:val="24"/>
                <w:szCs w:val="24"/>
                <w:lang w:val="en-US" w:eastAsia="zh-CN" w:bidi="ar-SA"/>
              </w:rPr>
              <w:t>新田县工业园管理委员会</w:t>
            </w:r>
            <w:r>
              <w:rPr>
                <w:rFonts w:ascii="Times New Roman" w:hAnsi="Times New Roman" w:eastAsia="宋体" w:cs="Times New Roman"/>
                <w:color w:val="auto"/>
                <w:kern w:val="2"/>
                <w:sz w:val="24"/>
                <w:szCs w:val="24"/>
                <w:lang w:val="en-US" w:eastAsia="zh-CN" w:bidi="ar-SA"/>
              </w:rPr>
              <w:t>介绍，目前本项目所在工业园已完成污水管网铺设，项目建成后，污水能进入新田县污水处理厂。</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leftChars="0" w:right="0" w:firstLine="480" w:firstLineChars="200"/>
              <w:textAlignment w:val="auto"/>
              <w:rPr>
                <w:rFonts w:hint="eastAsia" w:ascii="Times New Roman" w:hAnsi="Times New Roman" w:eastAsia="宋体" w:cs="Times New Roman"/>
                <w:bCs/>
                <w:color w:val="000000"/>
                <w:szCs w:val="24"/>
                <w:u w:val="none"/>
                <w:lang w:val="en-US" w:eastAsia="zh-CN"/>
              </w:rPr>
            </w:pPr>
            <w:r>
              <w:rPr>
                <w:rFonts w:ascii="Times New Roman" w:hAnsi="Times New Roman" w:eastAsia="宋体" w:cs="Times New Roman"/>
                <w:sz w:val="24"/>
                <w:szCs w:val="24"/>
              </w:rPr>
              <w:t>本项目建成后</w:t>
            </w:r>
            <w:r>
              <w:rPr>
                <w:rFonts w:hint="eastAsia" w:ascii="Times New Roman" w:hAnsi="Times New Roman" w:eastAsia="宋体" w:cs="Times New Roman"/>
                <w:sz w:val="24"/>
                <w:szCs w:val="24"/>
                <w:lang w:val="en-US" w:eastAsia="zh-CN"/>
              </w:rPr>
              <w:t>废水</w:t>
            </w:r>
            <w:r>
              <w:rPr>
                <w:rFonts w:ascii="Times New Roman" w:hAnsi="Times New Roman" w:eastAsia="宋体" w:cs="Times New Roman"/>
                <w:sz w:val="24"/>
                <w:szCs w:val="24"/>
              </w:rPr>
              <w:t>排放量为</w:t>
            </w:r>
            <w:r>
              <w:rPr>
                <w:rFonts w:hint="eastAsia" w:ascii="Times New Roman" w:hAnsi="Times New Roman" w:eastAsia="宋体" w:cs="Times New Roman"/>
                <w:sz w:val="24"/>
                <w:szCs w:val="24"/>
                <w:lang w:val="en-US" w:eastAsia="zh-CN"/>
              </w:rPr>
              <w:t>8767.2</w:t>
            </w:r>
            <w:r>
              <w:rPr>
                <w:rFonts w:ascii="Times New Roman" w:hAnsi="Times New Roman" w:eastAsia="宋体" w:cs="Times New Roman"/>
                <w:sz w:val="24"/>
                <w:szCs w:val="24"/>
              </w:rPr>
              <w:t>t/a，根据新田县污水处理厂纳污范围，本项目污水全部纳入污水处理厂处理。由于该项目污水排放量较小，对新田县污水处理厂不会产生较大的处理负荷。</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leftChars="0" w:right="0" w:firstLine="480" w:firstLineChars="200"/>
              <w:textAlignment w:val="auto"/>
              <w:rPr>
                <w:rFonts w:hint="eastAsia" w:ascii="Times New Roman" w:hAnsi="Times New Roman" w:eastAsia="宋体" w:cs="Times New Roman"/>
                <w:bCs/>
                <w:color w:val="000000"/>
                <w:szCs w:val="24"/>
                <w:u w:val="none" w:color="auto"/>
                <w:lang w:val="en-US" w:eastAsia="zh-CN"/>
              </w:rPr>
            </w:pPr>
            <w:r>
              <w:rPr>
                <w:rFonts w:hint="eastAsia" w:ascii="Times New Roman" w:hAnsi="Times New Roman" w:eastAsia="宋体" w:cs="Times New Roman"/>
                <w:bCs/>
                <w:color w:val="000000"/>
                <w:szCs w:val="24"/>
                <w:u w:val="none"/>
                <w:lang w:val="en-US" w:eastAsia="zh-CN"/>
              </w:rPr>
              <w:t>污水</w:t>
            </w:r>
            <w:r>
              <w:rPr>
                <w:rFonts w:hint="eastAsia" w:ascii="Times New Roman" w:hAnsi="Times New Roman" w:eastAsia="宋体" w:cs="Times New Roman"/>
                <w:bCs/>
                <w:color w:val="000000"/>
                <w:szCs w:val="24"/>
                <w:u w:val="none" w:color="auto"/>
                <w:lang w:val="en-US" w:eastAsia="zh-CN"/>
              </w:rPr>
              <w:t>处理厂工艺流程图如下：</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leftChars="0" w:right="0" w:firstLine="0" w:firstLineChars="0"/>
              <w:textAlignment w:val="auto"/>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object>
                <v:shape id="_x0000_i1025" o:spt="75" type="#_x0000_t75" style="height:139.15pt;width:436.85pt;" o:ole="t" filled="f" o:preferrelative="t" stroked="f" coordsize="21600,21600">
                  <v:path/>
                  <v:fill on="f" focussize="0,0"/>
                  <v:stroke on="f"/>
                  <v:imagedata r:id="rId15" o:title=""/>
                  <o:lock v:ext="edit" aspectratio="t"/>
                  <w10:wrap type="none"/>
                  <w10:anchorlock/>
                </v:shape>
                <o:OLEObject Type="Embed" ProgID="Visio.Drawing.11" ShapeID="_x0000_i1025" DrawAspect="Content" ObjectID="_1468075725" r:id="rId14">
                  <o:LockedField>false</o:LockedField>
                </o:OLEObject>
              </w:object>
            </w:r>
          </w:p>
          <w:p>
            <w:pPr>
              <w:ind w:left="0" w:leftChars="0" w:firstLine="0" w:firstLineChars="0"/>
              <w:jc w:val="center"/>
              <w:rPr>
                <w:rFonts w:hint="default" w:ascii="Times New Roman" w:hAnsi="Times New Roman" w:eastAsia="宋体" w:cs="Times New Roman"/>
                <w:u w:val="none" w:color="auto"/>
                <w:lang w:val="en-US" w:eastAsia="zh-CN"/>
              </w:rPr>
            </w:pPr>
            <w:r>
              <w:rPr>
                <w:rFonts w:hint="eastAsia" w:ascii="Times New Roman" w:hAnsi="Times New Roman" w:eastAsia="宋体" w:cs="Times New Roman"/>
                <w:b/>
                <w:bCs/>
                <w:snapToGrid w:val="0"/>
                <w:color w:val="auto"/>
                <w:kern w:val="2"/>
                <w:sz w:val="21"/>
                <w:szCs w:val="21"/>
                <w:highlight w:val="none"/>
                <w:u w:val="none" w:color="auto"/>
                <w:lang w:val="en-US" w:eastAsia="zh-CN" w:bidi="ar-SA"/>
              </w:rPr>
              <w:t>图4-2 新田县污水处理厂工艺流程图</w:t>
            </w:r>
          </w:p>
          <w:p>
            <w:pPr>
              <w:keepNext w:val="0"/>
              <w:keepLines w:val="0"/>
              <w:pageBreakBefore w:val="0"/>
              <w:widowControl w:val="0"/>
              <w:suppressLineNumbers w:val="0"/>
              <w:tabs>
                <w:tab w:val="left" w:pos="0"/>
                <w:tab w:val="left" w:pos="870"/>
                <w:tab w:val="left" w:pos="3150"/>
              </w:tabs>
              <w:kinsoku/>
              <w:wordWrap/>
              <w:overflowPunct/>
              <w:topLinePunct w:val="0"/>
              <w:autoSpaceDE w:val="0"/>
              <w:autoSpaceDN w:val="0"/>
              <w:bidi w:val="0"/>
              <w:adjustRightInd w:val="0"/>
              <w:snapToGrid w:val="0"/>
              <w:spacing w:before="0" w:beforeAutospacing="0" w:after="0" w:afterAutospacing="0" w:line="360" w:lineRule="auto"/>
              <w:ind w:left="0" w:right="0" w:firstLine="480" w:firstLineChars="200"/>
              <w:jc w:val="both"/>
              <w:textAlignment w:val="auto"/>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pPr>
            <w:r>
              <w:rPr>
                <w:rFonts w:hint="eastAsia"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w:t>
            </w:r>
            <w:r>
              <w:rPr>
                <w:rFonts w:hint="eastAsia"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6</w:t>
            </w:r>
            <w:r>
              <w:rPr>
                <w:rFonts w:hint="eastAsia"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）环境监测计划</w:t>
            </w:r>
          </w:p>
          <w:p>
            <w:pPr>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2"/>
                <w:highlight w:val="none"/>
                <w:u w:val="none" w:color="auto"/>
                <w14:textFill>
                  <w14:solidFill>
                    <w14:schemeClr w14:val="tx1"/>
                  </w14:solidFill>
                </w14:textFill>
              </w:rPr>
              <w:t>为及时了解污染源情况，项目要经常开展污染源和环境质量的监测工作，及时发现环境污染问题，并加以控制和解决。可委托有资质的环境监测单位进行</w:t>
            </w:r>
            <w:r>
              <w:rPr>
                <w:rFonts w:hint="eastAsia" w:ascii="Times New Roman" w:hAnsi="Times New Roman" w:cs="Times New Roman" w:eastAsiaTheme="minorEastAsia"/>
                <w:color w:val="000000" w:themeColor="text1"/>
                <w:sz w:val="24"/>
                <w:szCs w:val="22"/>
                <w:highlight w:val="none"/>
                <w:u w:val="none" w:color="auto"/>
                <w:lang w:eastAsia="zh-CN"/>
                <w14:textFill>
                  <w14:solidFill>
                    <w14:schemeClr w14:val="tx1"/>
                  </w14:solidFill>
                </w14:textFill>
              </w:rPr>
              <w:t>。</w:t>
            </w:r>
            <w:r>
              <w:rPr>
                <w:rFonts w:hint="eastAsia" w:ascii="Times New Roman" w:hAnsi="Times New Roman" w:eastAsia="宋体" w:cs="Times New Roman"/>
                <w:sz w:val="24"/>
                <w:szCs w:val="24"/>
                <w:highlight w:val="none"/>
                <w:u w:val="none" w:color="auto"/>
                <w:lang w:val="en-US" w:eastAsia="zh-CN"/>
              </w:rPr>
              <w:t>参照《</w:t>
            </w:r>
            <w:r>
              <w:rPr>
                <w:rFonts w:ascii="宋体" w:hAnsi="宋体" w:eastAsia="宋体" w:cs="宋体"/>
                <w:sz w:val="24"/>
                <w:szCs w:val="24"/>
                <w:highlight w:val="none"/>
                <w:u w:val="none" w:color="auto"/>
              </w:rPr>
              <w:t>排污单位自行监测技术指</w:t>
            </w:r>
            <w:r>
              <w:rPr>
                <w:rFonts w:hint="default" w:ascii="Times New Roman" w:hAnsi="Times New Roman" w:eastAsia="宋体" w:cs="Times New Roman"/>
                <w:sz w:val="24"/>
                <w:szCs w:val="24"/>
                <w:highlight w:val="none"/>
                <w:u w:val="none" w:color="auto"/>
              </w:rPr>
              <w:t>南总则</w:t>
            </w:r>
            <w:r>
              <w:rPr>
                <w:rFonts w:hint="default" w:ascii="Times New Roman" w:hAnsi="Times New Roman" w:eastAsia="宋体" w:cs="Times New Roman"/>
                <w:sz w:val="24"/>
                <w:szCs w:val="24"/>
                <w:highlight w:val="none"/>
                <w:u w:val="none" w:color="auto"/>
                <w:lang w:val="en-US" w:eastAsia="zh-CN"/>
              </w:rPr>
              <w:t>》（</w:t>
            </w:r>
            <w:r>
              <w:rPr>
                <w:rFonts w:hint="default" w:ascii="Times New Roman" w:hAnsi="Times New Roman" w:eastAsia="宋体" w:cs="Times New Roman"/>
                <w:sz w:val="24"/>
                <w:szCs w:val="24"/>
                <w:highlight w:val="none"/>
                <w:u w:val="none" w:color="auto"/>
              </w:rPr>
              <w:t>HJ819-2017</w:t>
            </w:r>
            <w:r>
              <w:rPr>
                <w:rFonts w:hint="default" w:ascii="Times New Roman" w:hAnsi="Times New Roman" w:eastAsia="宋体" w:cs="Times New Roman"/>
                <w:sz w:val="24"/>
                <w:szCs w:val="24"/>
                <w:highlight w:val="none"/>
                <w:u w:val="none" w:color="auto"/>
                <w:lang w:val="en-US" w:eastAsia="zh-CN"/>
              </w:rPr>
              <w:t>）</w:t>
            </w:r>
            <w:r>
              <w:rPr>
                <w:rFonts w:hint="eastAsia" w:ascii="Times New Roman" w:hAnsi="Times New Roman" w:eastAsia="宋体" w:cs="Times New Roman"/>
                <w:sz w:val="24"/>
                <w:szCs w:val="24"/>
                <w:highlight w:val="none"/>
                <w:u w:val="none" w:color="auto"/>
                <w:lang w:val="en-US" w:eastAsia="zh-CN"/>
              </w:rPr>
              <w:t>，</w:t>
            </w:r>
            <w:r>
              <w:rPr>
                <w:rFonts w:hint="default" w:ascii="Times New Roman" w:hAnsi="Times New Roman" w:cs="Times New Roman" w:eastAsiaTheme="minorEastAsia"/>
                <w:color w:val="000000" w:themeColor="text1"/>
                <w:sz w:val="24"/>
                <w:szCs w:val="22"/>
                <w:highlight w:val="none"/>
                <w:u w:val="none" w:color="auto"/>
                <w14:textFill>
                  <w14:solidFill>
                    <w14:schemeClr w14:val="tx1"/>
                  </w14:solidFill>
                </w14:textFill>
              </w:rPr>
              <w:t>根据本项目污染物排放实际情况，项目常规监测工作计划见表</w:t>
            </w:r>
            <w:r>
              <w:rPr>
                <w:rFonts w:hint="default" w:ascii="Times New Roman" w:hAnsi="Times New Roman" w:cs="Times New Roman" w:eastAsiaTheme="minorEastAsia"/>
                <w:color w:val="000000" w:themeColor="text1"/>
                <w:sz w:val="24"/>
                <w:szCs w:val="22"/>
                <w:highlight w:val="none"/>
                <w:u w:val="none" w:color="auto"/>
                <w:lang w:val="en-US" w:eastAsia="zh-CN"/>
                <w14:textFill>
                  <w14:solidFill>
                    <w14:schemeClr w14:val="tx1"/>
                  </w14:solidFill>
                </w14:textFill>
              </w:rPr>
              <w:t>4-</w:t>
            </w:r>
            <w:r>
              <w:rPr>
                <w:rFonts w:hint="eastAsia" w:cs="Times New Roman" w:eastAsiaTheme="minorEastAsia"/>
                <w:color w:val="000000" w:themeColor="text1"/>
                <w:sz w:val="24"/>
                <w:szCs w:val="22"/>
                <w:highlight w:val="none"/>
                <w:u w:val="none" w:color="auto"/>
                <w:lang w:val="en-US" w:eastAsia="zh-CN"/>
                <w14:textFill>
                  <w14:solidFill>
                    <w14:schemeClr w14:val="tx1"/>
                  </w14:solidFill>
                </w14:textFill>
              </w:rPr>
              <w:t>3</w:t>
            </w:r>
            <w:r>
              <w:rPr>
                <w:rFonts w:hint="default" w:ascii="Times New Roman" w:hAnsi="Times New Roman" w:cs="Times New Roman" w:eastAsiaTheme="minorEastAsia"/>
                <w:color w:val="000000" w:themeColor="text1"/>
                <w:sz w:val="24"/>
                <w:szCs w:val="22"/>
                <w:highlight w:val="none"/>
                <w:u w:val="none" w:color="auto"/>
                <w14:textFill>
                  <w14:solidFill>
                    <w14:schemeClr w14:val="tx1"/>
                  </w14:solidFill>
                </w14:textFill>
              </w:rPr>
              <w:t>。</w:t>
            </w:r>
          </w:p>
          <w:p>
            <w:pPr>
              <w:spacing w:line="240" w:lineRule="auto"/>
              <w:ind w:left="0" w:leftChars="0" w:firstLine="0" w:firstLineChars="0"/>
              <w:jc w:val="cente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pP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表</w:t>
            </w:r>
            <w:r>
              <w:rPr>
                <w:rFonts w:hint="default"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t>4-</w:t>
            </w:r>
            <w:r>
              <w:rPr>
                <w:rFonts w:hint="eastAsia" w:cs="Times New Roman" w:eastAsiaTheme="minorEastAsia"/>
                <w:b/>
                <w:color w:val="000000" w:themeColor="text1"/>
                <w:sz w:val="21"/>
                <w:szCs w:val="21"/>
                <w:highlight w:val="none"/>
                <w:u w:val="none" w:color="auto"/>
                <w:lang w:val="en-US" w:eastAsia="zh-CN"/>
                <w14:textFill>
                  <w14:solidFill>
                    <w14:schemeClr w14:val="tx1"/>
                  </w14:solidFill>
                </w14:textFill>
              </w:rPr>
              <w:t>3</w:t>
            </w: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 xml:space="preserve"> </w:t>
            </w:r>
            <w:r>
              <w:rPr>
                <w:rFonts w:hint="default"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t>项目建成后</w:t>
            </w:r>
            <w:r>
              <w:rPr>
                <w:rFonts w:hint="eastAsia" w:cs="Times New Roman" w:eastAsiaTheme="minorEastAsia"/>
                <w:b/>
                <w:color w:val="000000" w:themeColor="text1"/>
                <w:sz w:val="21"/>
                <w:szCs w:val="21"/>
                <w:highlight w:val="none"/>
                <w:u w:val="none" w:color="auto"/>
                <w:lang w:val="en-US" w:eastAsia="zh-CN"/>
                <w14:textFill>
                  <w14:solidFill>
                    <w14:schemeClr w14:val="tx1"/>
                  </w14:solidFill>
                </w14:textFill>
              </w:rPr>
              <w:t>废水</w:t>
            </w: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污染源监测计划</w:t>
            </w:r>
          </w:p>
          <w:tbl>
            <w:tblPr>
              <w:tblStyle w:val="23"/>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41"/>
              <w:gridCol w:w="1648"/>
              <w:gridCol w:w="1696"/>
              <w:gridCol w:w="1376"/>
              <w:gridCol w:w="32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72" w:hRule="atLeast"/>
                <w:jc w:val="center"/>
              </w:trPr>
              <w:tc>
                <w:tcPr>
                  <w:tcW w:w="52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color="auto"/>
                      <w:lang w:val="en-US" w:eastAsia="zh-CN" w:bidi="ar-SA"/>
                    </w:rPr>
                  </w:pPr>
                  <w:r>
                    <w:rPr>
                      <w:rFonts w:hint="default" w:ascii="Times New Roman" w:hAnsi="Times New Roman" w:eastAsia="宋体" w:cs="Times New Roman"/>
                      <w:color w:val="auto"/>
                      <w:kern w:val="0"/>
                      <w:sz w:val="21"/>
                      <w:szCs w:val="21"/>
                      <w:highlight w:val="none"/>
                      <w:u w:val="none" w:color="auto"/>
                      <w:lang w:val="en-US" w:eastAsia="zh-CN" w:bidi="ar-SA"/>
                    </w:rPr>
                    <w:t>监测项目</w:t>
                  </w:r>
                </w:p>
              </w:tc>
              <w:tc>
                <w:tcPr>
                  <w:tcW w:w="921"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kern w:val="0"/>
                      <w:sz w:val="21"/>
                      <w:szCs w:val="21"/>
                      <w:highlight w:val="none"/>
                      <w:u w:val="none" w:color="auto"/>
                      <w:lang w:val="en-US" w:eastAsia="zh-CN" w:bidi="ar-SA"/>
                    </w:rPr>
                  </w:pPr>
                  <w:r>
                    <w:rPr>
                      <w:rFonts w:hint="default" w:ascii="Times New Roman" w:hAnsi="Times New Roman" w:eastAsia="宋体" w:cs="Times New Roman"/>
                      <w:b w:val="0"/>
                      <w:bCs w:val="0"/>
                      <w:kern w:val="0"/>
                      <w:sz w:val="21"/>
                      <w:szCs w:val="21"/>
                      <w:highlight w:val="none"/>
                      <w:u w:val="none" w:color="auto"/>
                      <w:lang w:val="en-US" w:eastAsia="zh-CN" w:bidi="ar-SA"/>
                    </w:rPr>
                    <w:t>监测点位</w:t>
                  </w:r>
                </w:p>
              </w:tc>
              <w:tc>
                <w:tcPr>
                  <w:tcW w:w="948"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kern w:val="0"/>
                      <w:sz w:val="21"/>
                      <w:szCs w:val="21"/>
                      <w:highlight w:val="none"/>
                      <w:u w:val="none" w:color="auto"/>
                      <w:lang w:val="en-US" w:eastAsia="zh-CN" w:bidi="ar-SA"/>
                    </w:rPr>
                  </w:pPr>
                  <w:r>
                    <w:rPr>
                      <w:rFonts w:hint="default" w:ascii="Times New Roman" w:hAnsi="Times New Roman" w:eastAsia="宋体" w:cs="Times New Roman"/>
                      <w:b w:val="0"/>
                      <w:bCs w:val="0"/>
                      <w:kern w:val="0"/>
                      <w:sz w:val="21"/>
                      <w:szCs w:val="21"/>
                      <w:highlight w:val="none"/>
                      <w:u w:val="none" w:color="auto"/>
                      <w:lang w:val="en-US" w:eastAsia="zh-CN" w:bidi="ar-SA"/>
                    </w:rPr>
                    <w:t>监测因子</w:t>
                  </w:r>
                </w:p>
              </w:tc>
              <w:tc>
                <w:tcPr>
                  <w:tcW w:w="769"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kern w:val="0"/>
                      <w:sz w:val="21"/>
                      <w:szCs w:val="21"/>
                      <w:highlight w:val="none"/>
                      <w:u w:val="none" w:color="auto"/>
                      <w:lang w:val="en-US" w:eastAsia="zh-CN" w:bidi="ar-SA"/>
                    </w:rPr>
                  </w:pPr>
                  <w:r>
                    <w:rPr>
                      <w:rFonts w:hint="default" w:ascii="Times New Roman" w:hAnsi="Times New Roman" w:eastAsia="宋体" w:cs="Times New Roman"/>
                      <w:b w:val="0"/>
                      <w:bCs w:val="0"/>
                      <w:kern w:val="0"/>
                      <w:sz w:val="21"/>
                      <w:szCs w:val="21"/>
                      <w:highlight w:val="none"/>
                      <w:u w:val="none" w:color="auto"/>
                      <w:lang w:val="en-US" w:eastAsia="zh-CN" w:bidi="ar-SA"/>
                    </w:rPr>
                    <w:t>监测频次</w:t>
                  </w:r>
                </w:p>
              </w:tc>
              <w:tc>
                <w:tcPr>
                  <w:tcW w:w="1833"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kern w:val="0"/>
                      <w:sz w:val="21"/>
                      <w:szCs w:val="21"/>
                      <w:highlight w:val="none"/>
                      <w:u w:val="none" w:color="auto"/>
                      <w:lang w:val="en-US" w:eastAsia="zh-CN" w:bidi="ar-SA"/>
                    </w:rPr>
                  </w:pPr>
                  <w:r>
                    <w:rPr>
                      <w:rFonts w:hint="eastAsia" w:ascii="Times New Roman" w:hAnsi="Times New Roman" w:eastAsia="宋体" w:cs="Times New Roman"/>
                      <w:b w:val="0"/>
                      <w:bCs w:val="0"/>
                      <w:kern w:val="0"/>
                      <w:sz w:val="21"/>
                      <w:szCs w:val="21"/>
                      <w:highlight w:val="none"/>
                      <w:u w:val="none" w:color="auto"/>
                      <w:lang w:val="en-US" w:eastAsia="zh-CN" w:bidi="ar-SA"/>
                    </w:rPr>
                    <w:t>执行排放标准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jc w:val="center"/>
              </w:trPr>
              <w:tc>
                <w:tcPr>
                  <w:tcW w:w="526"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color="auto"/>
                      <w:lang w:val="en-US" w:eastAsia="zh-CN" w:bidi="ar-SA"/>
                    </w:rPr>
                  </w:pPr>
                  <w:r>
                    <w:rPr>
                      <w:rFonts w:hint="eastAsia" w:ascii="Times New Roman" w:hAnsi="Times New Roman" w:eastAsia="宋体" w:cs="Times New Roman"/>
                      <w:color w:val="auto"/>
                      <w:kern w:val="0"/>
                      <w:sz w:val="21"/>
                      <w:szCs w:val="21"/>
                      <w:highlight w:val="none"/>
                      <w:u w:val="none" w:color="auto"/>
                      <w:lang w:val="en-US" w:eastAsia="zh-CN" w:bidi="ar-SA"/>
                    </w:rPr>
                    <w:t>废水</w:t>
                  </w:r>
                </w:p>
              </w:tc>
              <w:tc>
                <w:tcPr>
                  <w:tcW w:w="921"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1"/>
                      <w:highlight w:val="none"/>
                      <w:u w:val="none" w:color="auto"/>
                      <w:lang w:val="en-US" w:eastAsia="zh-CN" w:bidi="ar-SA"/>
                    </w:rPr>
                  </w:pPr>
                  <w:r>
                    <w:rPr>
                      <w:rFonts w:hint="eastAsia"/>
                      <w:sz w:val="21"/>
                      <w:szCs w:val="21"/>
                      <w:lang w:val="en-US" w:eastAsia="zh-CN"/>
                    </w:rPr>
                    <w:t>DW001废水总排放口</w:t>
                  </w:r>
                </w:p>
              </w:tc>
              <w:tc>
                <w:tcPr>
                  <w:tcW w:w="948"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1"/>
                      <w:highlight w:val="none"/>
                      <w:u w:val="none" w:color="auto"/>
                      <w:lang w:val="en-US" w:eastAsia="zh-CN" w:bidi="ar-SA"/>
                    </w:rPr>
                  </w:pPr>
                  <w:r>
                    <w:rPr>
                      <w:rFonts w:hint="eastAsia" w:ascii="Times New Roman" w:hAnsi="Times New Roman" w:eastAsia="宋体" w:cs="Times New Roman"/>
                      <w:kern w:val="0"/>
                      <w:sz w:val="21"/>
                      <w:szCs w:val="21"/>
                      <w:highlight w:val="none"/>
                      <w:u w:val="none" w:color="auto"/>
                      <w:lang w:val="en-US" w:eastAsia="zh-CN" w:bidi="ar-SA"/>
                    </w:rPr>
                    <w:t>pH、COD、SS、NH</w:t>
                  </w:r>
                  <w:r>
                    <w:rPr>
                      <w:rFonts w:hint="eastAsia" w:ascii="Times New Roman" w:hAnsi="Times New Roman" w:eastAsia="宋体" w:cs="Times New Roman"/>
                      <w:kern w:val="0"/>
                      <w:sz w:val="21"/>
                      <w:szCs w:val="21"/>
                      <w:highlight w:val="none"/>
                      <w:u w:val="none" w:color="auto"/>
                      <w:vertAlign w:val="subscript"/>
                      <w:lang w:val="en-US" w:eastAsia="zh-CN" w:bidi="ar-SA"/>
                    </w:rPr>
                    <w:t>3</w:t>
                  </w:r>
                  <w:r>
                    <w:rPr>
                      <w:rFonts w:hint="eastAsia" w:ascii="Times New Roman" w:hAnsi="Times New Roman" w:eastAsia="宋体" w:cs="Times New Roman"/>
                      <w:kern w:val="0"/>
                      <w:sz w:val="21"/>
                      <w:szCs w:val="21"/>
                      <w:highlight w:val="none"/>
                      <w:u w:val="none" w:color="auto"/>
                      <w:lang w:val="en-US" w:eastAsia="zh-CN" w:bidi="ar-SA"/>
                    </w:rPr>
                    <w:t>-N、BOD</w:t>
                  </w:r>
                  <w:r>
                    <w:rPr>
                      <w:rFonts w:hint="eastAsia" w:ascii="Times New Roman" w:hAnsi="Times New Roman" w:eastAsia="宋体" w:cs="Times New Roman"/>
                      <w:kern w:val="0"/>
                      <w:sz w:val="21"/>
                      <w:szCs w:val="21"/>
                      <w:highlight w:val="none"/>
                      <w:u w:val="none" w:color="auto"/>
                      <w:vertAlign w:val="subscript"/>
                      <w:lang w:val="en-US" w:eastAsia="zh-CN" w:bidi="ar-SA"/>
                    </w:rPr>
                    <w:t>5</w:t>
                  </w:r>
                  <w:r>
                    <w:rPr>
                      <w:rFonts w:hint="eastAsia" w:cs="Times New Roman"/>
                      <w:kern w:val="0"/>
                      <w:sz w:val="21"/>
                      <w:szCs w:val="21"/>
                      <w:highlight w:val="none"/>
                      <w:u w:val="none" w:color="auto"/>
                      <w:vertAlign w:val="baseline"/>
                      <w:lang w:val="en-US" w:eastAsia="zh-CN" w:bidi="ar-SA"/>
                    </w:rPr>
                    <w:t>、动植物油</w:t>
                  </w:r>
                </w:p>
              </w:tc>
              <w:tc>
                <w:tcPr>
                  <w:tcW w:w="769"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1"/>
                      <w:highlight w:val="none"/>
                      <w:u w:val="none" w:color="auto"/>
                      <w:lang w:val="en-US" w:eastAsia="zh-CN" w:bidi="ar-SA"/>
                    </w:rPr>
                  </w:pPr>
                  <w:r>
                    <w:rPr>
                      <w:rFonts w:hint="default" w:ascii="Times New Roman" w:hAnsi="Times New Roman" w:eastAsia="宋体" w:cs="Times New Roman"/>
                      <w:kern w:val="0"/>
                      <w:sz w:val="21"/>
                      <w:szCs w:val="21"/>
                      <w:highlight w:val="none"/>
                      <w:u w:val="none" w:color="auto"/>
                      <w:lang w:val="en-US" w:eastAsia="zh-CN" w:bidi="ar-SA"/>
                    </w:rPr>
                    <w:t>1次/</w:t>
                  </w:r>
                  <w:r>
                    <w:rPr>
                      <w:rFonts w:hint="eastAsia" w:cs="Times New Roman"/>
                      <w:kern w:val="0"/>
                      <w:sz w:val="21"/>
                      <w:szCs w:val="21"/>
                      <w:highlight w:val="none"/>
                      <w:u w:val="none" w:color="auto"/>
                      <w:lang w:val="en-US" w:eastAsia="zh-CN" w:bidi="ar-SA"/>
                    </w:rPr>
                    <w:t>半年</w:t>
                  </w:r>
                </w:p>
              </w:tc>
              <w:tc>
                <w:tcPr>
                  <w:tcW w:w="1833"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1"/>
                      <w:highlight w:val="none"/>
                      <w:u w:val="none" w:color="auto"/>
                      <w:lang w:val="en-US" w:eastAsia="zh-CN" w:bidi="ar-SA"/>
                    </w:rPr>
                  </w:pPr>
                  <w:r>
                    <w:rPr>
                      <w:rFonts w:hint="default" w:ascii="Times New Roman" w:hAnsi="Times New Roman" w:eastAsia="宋体" w:cs="Times New Roman"/>
                      <w:kern w:val="0"/>
                      <w:sz w:val="21"/>
                      <w:szCs w:val="21"/>
                      <w:highlight w:val="none"/>
                      <w:u w:val="none" w:color="auto"/>
                      <w:lang w:val="en-US" w:eastAsia="zh-CN" w:bidi="ar-SA"/>
                    </w:rPr>
                    <w:t>《污水综合排放标准》(GB8978-1996)中表4三级标准</w:t>
                  </w:r>
                  <w:r>
                    <w:rPr>
                      <w:rFonts w:hint="eastAsia" w:cs="Times New Roman"/>
                      <w:kern w:val="0"/>
                      <w:sz w:val="21"/>
                      <w:szCs w:val="21"/>
                      <w:highlight w:val="none"/>
                      <w:u w:val="none" w:color="auto"/>
                      <w:lang w:val="en-US" w:eastAsia="zh-CN" w:bidi="ar-SA"/>
                    </w:rPr>
                    <w:t>、《电池工业污染物排放标准》（GB30484-2013）表2中的间接排放限值以及</w:t>
                  </w:r>
                  <w:r>
                    <w:rPr>
                      <w:rFonts w:hint="default" w:ascii="Times New Roman" w:hAnsi="Times New Roman" w:eastAsia="宋体" w:cs="Times New Roman"/>
                      <w:kern w:val="0"/>
                      <w:sz w:val="21"/>
                      <w:szCs w:val="21"/>
                      <w:highlight w:val="none"/>
                      <w:u w:val="none" w:color="auto"/>
                      <w:lang w:val="en-US" w:eastAsia="zh-CN" w:bidi="ar-SA"/>
                    </w:rPr>
                    <w:t>新田县污水处理厂进水水质标准中较严标准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jc w:val="center"/>
              </w:trPr>
              <w:tc>
                <w:tcPr>
                  <w:tcW w:w="526"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auto"/>
                      <w:kern w:val="0"/>
                      <w:sz w:val="21"/>
                      <w:szCs w:val="21"/>
                      <w:highlight w:val="none"/>
                      <w:u w:val="none" w:color="auto"/>
                      <w:lang w:val="en-US" w:eastAsia="zh-CN" w:bidi="ar-SA"/>
                    </w:rPr>
                  </w:pPr>
                </w:p>
              </w:tc>
              <w:tc>
                <w:tcPr>
                  <w:tcW w:w="921"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sz w:val="21"/>
                      <w:szCs w:val="21"/>
                      <w:lang w:val="en-US" w:eastAsia="zh-CN"/>
                    </w:rPr>
                  </w:pPr>
                  <w:r>
                    <w:rPr>
                      <w:rFonts w:hint="eastAsia"/>
                      <w:sz w:val="21"/>
                      <w:szCs w:val="21"/>
                      <w:lang w:val="en-US" w:eastAsia="zh-CN"/>
                    </w:rPr>
                    <w:t>DW002车间废水排放口</w:t>
                  </w:r>
                </w:p>
              </w:tc>
              <w:tc>
                <w:tcPr>
                  <w:tcW w:w="948"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eastAsia" w:ascii="Times New Roman" w:hAnsi="Times New Roman" w:eastAsia="宋体" w:cs="Times New Roman"/>
                      <w:kern w:val="0"/>
                      <w:sz w:val="21"/>
                      <w:szCs w:val="21"/>
                      <w:highlight w:val="none"/>
                      <w:u w:val="none" w:color="auto"/>
                      <w:lang w:val="en-US" w:eastAsia="zh-CN" w:bidi="ar-SA"/>
                    </w:rPr>
                  </w:pPr>
                  <w:r>
                    <w:rPr>
                      <w:rFonts w:hint="eastAsia" w:ascii="Times New Roman" w:hAnsi="Times New Roman" w:eastAsia="宋体" w:cs="Times New Roman"/>
                      <w:kern w:val="0"/>
                      <w:sz w:val="21"/>
                      <w:szCs w:val="21"/>
                      <w:highlight w:val="none"/>
                      <w:u w:val="none" w:color="auto"/>
                      <w:lang w:val="en-US" w:eastAsia="zh-CN" w:bidi="ar-SA"/>
                    </w:rPr>
                    <w:t>总钴</w:t>
                  </w:r>
                </w:p>
              </w:tc>
              <w:tc>
                <w:tcPr>
                  <w:tcW w:w="769"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1"/>
                      <w:highlight w:val="none"/>
                      <w:u w:val="none" w:color="auto"/>
                      <w:lang w:val="en-US" w:eastAsia="zh-CN" w:bidi="ar-SA"/>
                    </w:rPr>
                  </w:pPr>
                  <w:r>
                    <w:rPr>
                      <w:rFonts w:hint="default" w:ascii="Times New Roman" w:hAnsi="Times New Roman" w:eastAsia="宋体" w:cs="Times New Roman"/>
                      <w:kern w:val="0"/>
                      <w:sz w:val="21"/>
                      <w:szCs w:val="21"/>
                      <w:highlight w:val="none"/>
                      <w:u w:val="none" w:color="auto"/>
                      <w:lang w:val="en-US" w:eastAsia="zh-CN" w:bidi="ar-SA"/>
                    </w:rPr>
                    <w:t>1次/季</w:t>
                  </w:r>
                </w:p>
              </w:tc>
              <w:tc>
                <w:tcPr>
                  <w:tcW w:w="1833"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1"/>
                      <w:highlight w:val="none"/>
                      <w:u w:val="none" w:color="auto"/>
                      <w:lang w:val="en-US" w:eastAsia="zh-CN" w:bidi="ar-SA"/>
                    </w:rPr>
                  </w:pPr>
                  <w:r>
                    <w:rPr>
                      <w:rFonts w:hint="default" w:ascii="Times New Roman" w:hAnsi="Times New Roman" w:eastAsia="宋体" w:cs="Times New Roman"/>
                      <w:kern w:val="0"/>
                      <w:sz w:val="21"/>
                      <w:szCs w:val="21"/>
                      <w:highlight w:val="none"/>
                      <w:u w:val="none" w:color="auto"/>
                      <w:lang w:val="en-US" w:eastAsia="zh-CN" w:bidi="ar-SA"/>
                    </w:rPr>
                    <w:t>《电池工业污染物排放标准》（GB30484-2013）表2中的间接排放限值和新田县污水处理厂进水水质标准中较严标准</w:t>
                  </w:r>
                </w:p>
              </w:tc>
            </w:tr>
          </w:tbl>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482" w:firstLineChars="200"/>
              <w:textAlignment w:val="auto"/>
              <w:rPr>
                <w:rFonts w:hint="default" w:ascii="Times New Roman" w:hAnsi="Times New Roman" w:cs="Times New Roman" w:eastAsiaTheme="minorEastAsia"/>
                <w:b/>
                <w:color w:val="000000" w:themeColor="text1"/>
                <w:sz w:val="24"/>
                <w:szCs w:val="24"/>
                <w:highlight w:val="none"/>
                <w:u w:val="none" w:color="auto"/>
                <w14:textFill>
                  <w14:solidFill>
                    <w14:schemeClr w14:val="tx1"/>
                  </w14:solidFill>
                </w14:textFill>
              </w:rPr>
            </w:pPr>
            <w:r>
              <w:rPr>
                <w:rFonts w:hint="eastAsia" w:cs="Times New Roman" w:eastAsiaTheme="minorEastAsia"/>
                <w:b/>
                <w:color w:val="000000" w:themeColor="text1"/>
                <w:sz w:val="24"/>
                <w:szCs w:val="24"/>
                <w:highlight w:val="none"/>
                <w:u w:val="none" w:color="auto"/>
                <w:lang w:val="en-US" w:eastAsia="zh-CN"/>
                <w14:textFill>
                  <w14:solidFill>
                    <w14:schemeClr w14:val="tx1"/>
                  </w14:solidFill>
                </w14:textFill>
              </w:rPr>
              <w:t>3、</w:t>
            </w:r>
            <w:r>
              <w:rPr>
                <w:rFonts w:hint="default" w:ascii="Times New Roman" w:hAnsi="Times New Roman" w:cs="Times New Roman" w:eastAsiaTheme="minorEastAsia"/>
                <w:b/>
                <w:color w:val="000000" w:themeColor="text1"/>
                <w:sz w:val="24"/>
                <w:szCs w:val="24"/>
                <w:highlight w:val="none"/>
                <w:u w:val="none" w:color="auto"/>
                <w14:textFill>
                  <w14:solidFill>
                    <w14:schemeClr w14:val="tx1"/>
                  </w14:solidFill>
                </w14:textFill>
              </w:rPr>
              <w:t>噪声环境影响分析</w:t>
            </w:r>
          </w:p>
          <w:p>
            <w:pPr>
              <w:keepNext w:val="0"/>
              <w:keepLines w:val="0"/>
              <w:suppressLineNumbers w:val="0"/>
              <w:spacing w:before="0" w:beforeAutospacing="0" w:after="0" w:afterAutospacing="0" w:line="360" w:lineRule="auto"/>
              <w:ind w:left="0" w:right="0" w:firstLine="420"/>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项目主要噪声主要来自搅拌机、涂布机、</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对辊机</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、分</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条</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机、卷绕机、注液机、</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制片机</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、分选机等运行时产生的噪声，噪声值在65-80dB(A)，设备均放置在封闭厂房内</w:t>
            </w:r>
            <w:r>
              <w:rPr>
                <w:rFonts w:hint="default" w:ascii="Times New Roman" w:hAnsi="Times New Roman" w:cs="Times New Roman" w:eastAsiaTheme="minorEastAsia"/>
                <w:color w:val="auto"/>
                <w:sz w:val="24"/>
                <w:szCs w:val="24"/>
                <w:highlight w:val="none"/>
                <w:u w:val="none" w:color="auto"/>
              </w:rPr>
              <w:t>。</w:t>
            </w:r>
          </w:p>
          <w:p>
            <w:pPr>
              <w:keepNext w:val="0"/>
              <w:keepLines w:val="0"/>
              <w:suppressLineNumbers w:val="0"/>
              <w:spacing w:before="0" w:beforeAutospacing="0" w:after="0" w:afterAutospacing="0" w:line="360" w:lineRule="auto"/>
              <w:ind w:right="0"/>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（1）预测模型</w:t>
            </w:r>
          </w:p>
          <w:p>
            <w:pPr>
              <w:keepNext w:val="0"/>
              <w:keepLines w:val="0"/>
              <w:suppressLineNumbers w:val="0"/>
              <w:tabs>
                <w:tab w:val="left" w:pos="1700"/>
              </w:tabs>
              <w:spacing w:before="0" w:beforeAutospacing="0" w:after="0" w:afterAutospacing="0" w:line="360" w:lineRule="auto"/>
              <w:ind w:left="0" w:right="0" w:firstLine="480" w:firstLineChars="200"/>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工业噪声预测模式采用《环境影响评价技术导则·声环境》（HJ2.4—2009）中对工业企业噪声预测模式进行预测，本项目进行环境噪声预测时所使用的工业噪声源按点源处理。</w:t>
            </w:r>
          </w:p>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考虑遮挡物、空气吸收衰减、地面附加衰减，对某些难以定量的参数，查相关资料进行估算。</w:t>
            </w:r>
          </w:p>
          <w:p>
            <w:pPr>
              <w:tabs>
                <w:tab w:val="left" w:pos="1620"/>
                <w:tab w:val="center" w:pos="4153"/>
              </w:tabs>
              <w:spacing w:line="240" w:lineRule="auto"/>
              <w:jc w:val="cente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pPr>
          </w:p>
          <w:p>
            <w:pPr>
              <w:tabs>
                <w:tab w:val="left" w:pos="1620"/>
                <w:tab w:val="center" w:pos="4153"/>
              </w:tabs>
              <w:spacing w:line="240" w:lineRule="auto"/>
              <w:jc w:val="cente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pP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表</w:t>
            </w:r>
            <w:r>
              <w:rPr>
                <w:rFonts w:hint="default"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t>4</w:t>
            </w: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w:t>
            </w:r>
            <w:r>
              <w:rPr>
                <w:rFonts w:hint="eastAsia" w:cs="Times New Roman" w:eastAsiaTheme="minorEastAsia"/>
                <w:b/>
                <w:color w:val="000000" w:themeColor="text1"/>
                <w:sz w:val="21"/>
                <w:szCs w:val="21"/>
                <w:highlight w:val="none"/>
                <w:u w:val="none" w:color="auto"/>
                <w:lang w:val="en-US" w:eastAsia="zh-CN"/>
                <w14:textFill>
                  <w14:solidFill>
                    <w14:schemeClr w14:val="tx1"/>
                  </w14:solidFill>
                </w14:textFill>
              </w:rPr>
              <w:t>4</w:t>
            </w: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 xml:space="preserve"> </w:t>
            </w:r>
            <w:r>
              <w:rPr>
                <w:rFonts w:hint="eastAsia" w:cs="Times New Roman" w:eastAsiaTheme="minorEastAsia"/>
                <w:b/>
                <w:color w:val="000000" w:themeColor="text1"/>
                <w:sz w:val="21"/>
                <w:szCs w:val="21"/>
                <w:highlight w:val="none"/>
                <w:u w:val="none" w:color="auto"/>
                <w:lang w:val="en-US" w:eastAsia="zh-CN"/>
                <w14:textFill>
                  <w14:solidFill>
                    <w14:schemeClr w14:val="tx1"/>
                  </w14:solidFill>
                </w14:textFill>
              </w:rPr>
              <w:t>项目</w:t>
            </w: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噪声源强及其与场界的距离统计表</w:t>
            </w:r>
          </w:p>
          <w:tbl>
            <w:tblPr>
              <w:tblStyle w:val="23"/>
              <w:tblW w:w="4997"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890"/>
              <w:gridCol w:w="1569"/>
              <w:gridCol w:w="1079"/>
              <w:gridCol w:w="1079"/>
              <w:gridCol w:w="1079"/>
              <w:gridCol w:w="1079"/>
              <w:gridCol w:w="1079"/>
              <w:gridCol w:w="108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498"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位置</w:t>
                  </w:r>
                </w:p>
              </w:tc>
              <w:tc>
                <w:tcPr>
                  <w:tcW w:w="877"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设备名称</w:t>
                  </w:r>
                </w:p>
              </w:tc>
              <w:tc>
                <w:tcPr>
                  <w:tcW w:w="603" w:type="pct"/>
                  <w:noWrap w:val="0"/>
                  <w:vAlign w:val="center"/>
                </w:tcPr>
                <w:p>
                  <w:pPr>
                    <w:pStyle w:val="59"/>
                    <w:bidi w:val="0"/>
                    <w:jc w:val="center"/>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9#栋声源数量</w:t>
                  </w:r>
                </w:p>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（台）</w:t>
                  </w:r>
                </w:p>
              </w:tc>
              <w:tc>
                <w:tcPr>
                  <w:tcW w:w="603"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10#栋声源数量（台）</w:t>
                  </w:r>
                </w:p>
              </w:tc>
              <w:tc>
                <w:tcPr>
                  <w:tcW w:w="603"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单台源强</w:t>
                  </w:r>
                </w:p>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(dB(A))</w:t>
                  </w:r>
                </w:p>
              </w:tc>
              <w:tc>
                <w:tcPr>
                  <w:tcW w:w="603"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采用降噪措施</w:t>
                  </w:r>
                </w:p>
              </w:tc>
              <w:tc>
                <w:tcPr>
                  <w:tcW w:w="603"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采用降噪措施后车间声压级dB（A）</w:t>
                  </w:r>
                </w:p>
              </w:tc>
              <w:tc>
                <w:tcPr>
                  <w:tcW w:w="607"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车间噪声叠加值</w:t>
                  </w:r>
                </w:p>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(dB(A))</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498" w:type="pct"/>
                  <w:vMerge w:val="restart"/>
                  <w:noWrap w:val="0"/>
                  <w:vAlign w:val="center"/>
                </w:tcPr>
                <w:p>
                  <w:pPr>
                    <w:pStyle w:val="59"/>
                    <w:bidi w:val="0"/>
                    <w:rPr>
                      <w:rFonts w:hint="eastAsia" w:ascii="Times New Roman" w:hAnsi="Times New Roman" w:eastAsia="宋体" w:cs="Times New Roman"/>
                      <w:highlight w:val="none"/>
                      <w:u w:val="none" w:color="auto"/>
                      <w:lang w:val="en-US" w:eastAsia="zh-CN"/>
                    </w:rPr>
                  </w:pPr>
                </w:p>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生产车间</w:t>
                  </w:r>
                </w:p>
              </w:tc>
              <w:tc>
                <w:tcPr>
                  <w:tcW w:w="877"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搅拌机</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4台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8台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75</w:t>
                  </w:r>
                </w:p>
              </w:tc>
              <w:tc>
                <w:tcPr>
                  <w:tcW w:w="603" w:type="pct"/>
                  <w:vMerge w:val="restar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基础减振、合理布局、厂房隔声、低噪声设备、定期保养等措施</w:t>
                  </w: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55</w:t>
                  </w:r>
                </w:p>
              </w:tc>
              <w:tc>
                <w:tcPr>
                  <w:tcW w:w="607" w:type="pct"/>
                  <w:vMerge w:val="restar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69.9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498"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877"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涂布机</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70</w:t>
                  </w:r>
                </w:p>
              </w:tc>
              <w:tc>
                <w:tcPr>
                  <w:tcW w:w="60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50</w:t>
                  </w:r>
                </w:p>
              </w:tc>
              <w:tc>
                <w:tcPr>
                  <w:tcW w:w="607" w:type="pct"/>
                  <w:vMerge w:val="continue"/>
                  <w:noWrap w:val="0"/>
                  <w:vAlign w:val="center"/>
                </w:tcPr>
                <w:p>
                  <w:pPr>
                    <w:jc w:val="center"/>
                    <w:rPr>
                      <w:rFonts w:ascii="Times New Roman" w:hAns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3" w:hRule="atLeast"/>
              </w:trPr>
              <w:tc>
                <w:tcPr>
                  <w:tcW w:w="498"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877"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对辊机</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70</w:t>
                  </w:r>
                </w:p>
              </w:tc>
              <w:tc>
                <w:tcPr>
                  <w:tcW w:w="60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50</w:t>
                  </w:r>
                </w:p>
              </w:tc>
              <w:tc>
                <w:tcPr>
                  <w:tcW w:w="607" w:type="pct"/>
                  <w:vMerge w:val="continue"/>
                  <w:noWrap w:val="0"/>
                  <w:vAlign w:val="center"/>
                </w:tcPr>
                <w:p>
                  <w:pPr>
                    <w:jc w:val="center"/>
                    <w:rPr>
                      <w:rFonts w:ascii="Times New Roman" w:hAns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90" w:hRule="atLeast"/>
              </w:trPr>
              <w:tc>
                <w:tcPr>
                  <w:tcW w:w="498"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877"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分条机</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75</w:t>
                  </w:r>
                </w:p>
              </w:tc>
              <w:tc>
                <w:tcPr>
                  <w:tcW w:w="60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55</w:t>
                  </w:r>
                </w:p>
              </w:tc>
              <w:tc>
                <w:tcPr>
                  <w:tcW w:w="607" w:type="pct"/>
                  <w:vMerge w:val="continue"/>
                  <w:noWrap w:val="0"/>
                  <w:vAlign w:val="center"/>
                </w:tcPr>
                <w:p>
                  <w:pPr>
                    <w:jc w:val="center"/>
                    <w:rPr>
                      <w:rFonts w:ascii="Times New Roman" w:hAns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3" w:hRule="atLeast"/>
              </w:trPr>
              <w:tc>
                <w:tcPr>
                  <w:tcW w:w="498"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877"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制片机</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20台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20台</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65</w:t>
                  </w:r>
                </w:p>
              </w:tc>
              <w:tc>
                <w:tcPr>
                  <w:tcW w:w="60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45</w:t>
                  </w:r>
                </w:p>
              </w:tc>
              <w:tc>
                <w:tcPr>
                  <w:tcW w:w="607" w:type="pct"/>
                  <w:vMerge w:val="continue"/>
                  <w:noWrap w:val="0"/>
                  <w:vAlign w:val="center"/>
                </w:tcPr>
                <w:p>
                  <w:pPr>
                    <w:jc w:val="center"/>
                    <w:rPr>
                      <w:rFonts w:ascii="Times New Roman" w:hAns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3" w:hRule="atLeast"/>
              </w:trPr>
              <w:tc>
                <w:tcPr>
                  <w:tcW w:w="498"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877"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卷绕机</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10台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10台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65</w:t>
                  </w:r>
                </w:p>
              </w:tc>
              <w:tc>
                <w:tcPr>
                  <w:tcW w:w="60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45</w:t>
                  </w:r>
                </w:p>
              </w:tc>
              <w:tc>
                <w:tcPr>
                  <w:tcW w:w="607" w:type="pct"/>
                  <w:vMerge w:val="continue"/>
                  <w:noWrap w:val="0"/>
                  <w:vAlign w:val="center"/>
                </w:tcPr>
                <w:p>
                  <w:pPr>
                    <w:jc w:val="center"/>
                    <w:rPr>
                      <w:rFonts w:ascii="Times New Roman" w:hAns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3" w:hRule="atLeast"/>
              </w:trPr>
              <w:tc>
                <w:tcPr>
                  <w:tcW w:w="498"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877"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一体机</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10台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15台</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60</w:t>
                  </w:r>
                </w:p>
              </w:tc>
              <w:tc>
                <w:tcPr>
                  <w:tcW w:w="60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40</w:t>
                  </w:r>
                </w:p>
              </w:tc>
              <w:tc>
                <w:tcPr>
                  <w:tcW w:w="607" w:type="pct"/>
                  <w:vMerge w:val="continue"/>
                  <w:noWrap w:val="0"/>
                  <w:vAlign w:val="center"/>
                </w:tcPr>
                <w:p>
                  <w:pPr>
                    <w:jc w:val="center"/>
                    <w:rPr>
                      <w:rFonts w:ascii="Times New Roman" w:hAns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3" w:hRule="atLeast"/>
              </w:trPr>
              <w:tc>
                <w:tcPr>
                  <w:tcW w:w="498"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877"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注液机</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2台</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70</w:t>
                  </w:r>
                </w:p>
              </w:tc>
              <w:tc>
                <w:tcPr>
                  <w:tcW w:w="60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50</w:t>
                  </w:r>
                </w:p>
              </w:tc>
              <w:tc>
                <w:tcPr>
                  <w:tcW w:w="607" w:type="pct"/>
                  <w:vMerge w:val="continue"/>
                  <w:noWrap w:val="0"/>
                  <w:vAlign w:val="center"/>
                </w:tcPr>
                <w:p>
                  <w:pPr>
                    <w:jc w:val="center"/>
                    <w:rPr>
                      <w:rFonts w:ascii="Times New Roman" w:hAns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73" w:hRule="atLeast"/>
              </w:trPr>
              <w:tc>
                <w:tcPr>
                  <w:tcW w:w="498"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877"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烤箱</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1台</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60</w:t>
                  </w:r>
                </w:p>
              </w:tc>
              <w:tc>
                <w:tcPr>
                  <w:tcW w:w="60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40</w:t>
                  </w:r>
                </w:p>
              </w:tc>
              <w:tc>
                <w:tcPr>
                  <w:tcW w:w="607" w:type="pct"/>
                  <w:vMerge w:val="continue"/>
                  <w:noWrap w:val="0"/>
                  <w:vAlign w:val="center"/>
                </w:tcPr>
                <w:p>
                  <w:pPr>
                    <w:jc w:val="center"/>
                    <w:rPr>
                      <w:rFonts w:ascii="Times New Roman" w:hAns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3" w:hRule="atLeast"/>
              </w:trPr>
              <w:tc>
                <w:tcPr>
                  <w:tcW w:w="498"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877"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化成柜</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10台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10台</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65</w:t>
                  </w:r>
                </w:p>
              </w:tc>
              <w:tc>
                <w:tcPr>
                  <w:tcW w:w="60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45</w:t>
                  </w:r>
                </w:p>
              </w:tc>
              <w:tc>
                <w:tcPr>
                  <w:tcW w:w="607" w:type="pct"/>
                  <w:vMerge w:val="continue"/>
                  <w:noWrap w:val="0"/>
                  <w:vAlign w:val="center"/>
                </w:tcPr>
                <w:p>
                  <w:pPr>
                    <w:jc w:val="center"/>
                    <w:rPr>
                      <w:rFonts w:ascii="Times New Roman" w:hAns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3" w:hRule="atLeast"/>
              </w:trPr>
              <w:tc>
                <w:tcPr>
                  <w:tcW w:w="498"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877"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套膜机</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3台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5台</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65</w:t>
                  </w:r>
                </w:p>
              </w:tc>
              <w:tc>
                <w:tcPr>
                  <w:tcW w:w="60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45</w:t>
                  </w:r>
                </w:p>
              </w:tc>
              <w:tc>
                <w:tcPr>
                  <w:tcW w:w="607" w:type="pct"/>
                  <w:vMerge w:val="continue"/>
                  <w:noWrap w:val="0"/>
                  <w:vAlign w:val="center"/>
                </w:tcPr>
                <w:p>
                  <w:pPr>
                    <w:jc w:val="center"/>
                    <w:rPr>
                      <w:rFonts w:ascii="Times New Roman" w:hAns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3" w:hRule="atLeast"/>
              </w:trPr>
              <w:tc>
                <w:tcPr>
                  <w:tcW w:w="498"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877"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分选机</w:t>
                  </w:r>
                </w:p>
              </w:tc>
              <w:tc>
                <w:tcPr>
                  <w:tcW w:w="603" w:type="pct"/>
                  <w:noWrap w:val="0"/>
                  <w:vAlign w:val="center"/>
                </w:tcPr>
                <w:p>
                  <w:pPr>
                    <w:pStyle w:val="59"/>
                    <w:bidi w:val="0"/>
                    <w:ind w:firstLine="0" w:firstLineChars="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8台</w:t>
                  </w:r>
                </w:p>
              </w:tc>
              <w:tc>
                <w:tcPr>
                  <w:tcW w:w="603" w:type="pct"/>
                  <w:noWrap w:val="0"/>
                  <w:vAlign w:val="center"/>
                </w:tcPr>
                <w:p>
                  <w:pPr>
                    <w:pStyle w:val="59"/>
                    <w:bidi w:val="0"/>
                    <w:ind w:firstLine="0" w:firstLineChars="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65</w:t>
                  </w:r>
                </w:p>
              </w:tc>
              <w:tc>
                <w:tcPr>
                  <w:tcW w:w="603" w:type="pct"/>
                  <w:vMerge w:val="continue"/>
                  <w:noWrap w:val="0"/>
                  <w:vAlign w:val="center"/>
                </w:tcPr>
                <w:p>
                  <w:pPr>
                    <w:pStyle w:val="59"/>
                    <w:bidi w:val="0"/>
                    <w:rPr>
                      <w:rFonts w:hint="eastAsia" w:ascii="Times New Roman" w:hAnsi="Times New Roman" w:eastAsia="宋体" w:cs="Times New Roman"/>
                      <w:highlight w:val="none"/>
                      <w:u w:val="none" w:color="auto"/>
                      <w:lang w:val="en-US" w:eastAsia="zh-CN"/>
                    </w:rPr>
                  </w:pPr>
                </w:p>
              </w:tc>
              <w:tc>
                <w:tcPr>
                  <w:tcW w:w="603"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45</w:t>
                  </w:r>
                </w:p>
              </w:tc>
              <w:tc>
                <w:tcPr>
                  <w:tcW w:w="607" w:type="pct"/>
                  <w:vMerge w:val="continue"/>
                  <w:noWrap w:val="0"/>
                  <w:vAlign w:val="center"/>
                </w:tcPr>
                <w:p>
                  <w:pPr>
                    <w:jc w:val="center"/>
                    <w:rPr>
                      <w:rFonts w:ascii="Times New Roman" w:hAnsi="Times New Roman"/>
                    </w:rPr>
                  </w:pPr>
                </w:p>
              </w:tc>
            </w:tr>
          </w:tbl>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多个等效噪声源叠加的噪声计算公式如下：</w:t>
            </w:r>
          </w:p>
          <w:p>
            <w:pPr>
              <w:keepNext w:val="0"/>
              <w:keepLines w:val="0"/>
              <w:widowControl w:val="0"/>
              <w:suppressLineNumbers w:val="0"/>
              <w:tabs>
                <w:tab w:val="left" w:pos="480"/>
              </w:tabs>
              <w:spacing w:before="0" w:beforeAutospacing="0" w:after="0" w:afterAutospacing="0" w:line="360" w:lineRule="auto"/>
              <w:ind w:left="0" w:right="0" w:firstLine="480" w:firstLineChars="200"/>
              <w:jc w:val="cente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pP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object>
                <v:shape id="_x0000_i1026" o:spt="75" type="#_x0000_t75" style="height:35.25pt;width:105.8pt;" o:ole="t" filled="f" o:preferrelative="t" stroked="f" coordsize="21600,21600">
                  <v:path/>
                  <v:fill on="f" focussize="0,0"/>
                  <v:stroke on="f"/>
                  <v:imagedata r:id="rId17" o:title=""/>
                  <o:lock v:ext="edit" grouping="f" rotation="f" text="f" aspectratio="t"/>
                  <w10:wrap type="none"/>
                  <w10:anchorlock/>
                </v:shape>
                <o:OLEObject Type="Embed" ProgID="Equation.3" ShapeID="_x0000_i1026" DrawAspect="Content" ObjectID="_1468075726" r:id="rId16">
                  <o:LockedField>false</o:LockedField>
                </o:OLEObject>
              </w:object>
            </w:r>
          </w:p>
          <w:p>
            <w:pPr>
              <w:keepNext w:val="0"/>
              <w:keepLines w:val="0"/>
              <w:widowControl w:val="0"/>
              <w:suppressLineNumbers w:val="0"/>
              <w:tabs>
                <w:tab w:val="left" w:pos="480"/>
              </w:tabs>
              <w:spacing w:before="0" w:beforeAutospacing="0" w:after="0" w:afterAutospacing="0" w:line="360" w:lineRule="auto"/>
              <w:ind w:left="0" w:right="0" w:firstLine="480" w:firstLineChars="200"/>
              <w:jc w:val="both"/>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pP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式中：</w:t>
            </w: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object>
                <v:shape id="_x0000_i1027" o:spt="75" type="#_x0000_t75" style="height:17.25pt;width:16.5pt;" o:ole="t" filled="f" o:preferrelative="t" stroked="f" coordsize="21600,21600">
                  <v:path/>
                  <v:fill on="f" focussize="0,0"/>
                  <v:stroke on="f"/>
                  <v:imagedata r:id="rId19" o:title=""/>
                  <o:lock v:ext="edit" grouping="f" rotation="f" text="f" aspectratio="t"/>
                  <w10:wrap type="none"/>
                  <w10:anchorlock/>
                </v:shape>
                <o:OLEObject Type="Embed" ProgID="Equation.3" ShapeID="_x0000_i1027" DrawAspect="Content" ObjectID="_1468075727" r:id="rId18">
                  <o:LockedField>false</o:LockedField>
                </o:OLEObject>
              </w:object>
            </w: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—多个噪声源叠加的等效噪声源声级，dB（A）；</w:t>
            </w:r>
          </w:p>
          <w:p>
            <w:pPr>
              <w:keepNext w:val="0"/>
              <w:keepLines w:val="0"/>
              <w:widowControl w:val="0"/>
              <w:suppressLineNumbers w:val="0"/>
              <w:tabs>
                <w:tab w:val="left" w:pos="480"/>
              </w:tabs>
              <w:spacing w:before="0" w:beforeAutospacing="0" w:after="0" w:afterAutospacing="0" w:line="360" w:lineRule="auto"/>
              <w:ind w:left="0" w:right="0" w:firstLine="480" w:firstLineChars="200"/>
              <w:jc w:val="both"/>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pP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object>
                <v:shape id="_x0000_i1028" o:spt="75" type="#_x0000_t75" style="height:18.75pt;width:12.75pt;" o:ole="t" filled="f" o:preferrelative="t" stroked="f" coordsize="21600,21600">
                  <v:path/>
                  <v:fill on="f" focussize="0,0"/>
                  <v:stroke on="f"/>
                  <v:imagedata r:id="rId21" o:title=""/>
                  <o:lock v:ext="edit" grouping="f" rotation="f" text="f" aspectratio="t"/>
                  <w10:wrap type="none"/>
                  <w10:anchorlock/>
                </v:shape>
                <o:OLEObject Type="Embed" ProgID="Equation.3" ShapeID="_x0000_i1028" DrawAspect="Content" ObjectID="_1468075728" r:id="rId20">
                  <o:LockedField>false</o:LockedField>
                </o:OLEObject>
              </w:object>
            </w: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—第I个噪声源的声级，dB（A）；</w:t>
            </w:r>
          </w:p>
          <w:p>
            <w:pPr>
              <w:keepNext w:val="0"/>
              <w:keepLines w:val="0"/>
              <w:widowControl w:val="0"/>
              <w:suppressLineNumbers w:val="0"/>
              <w:tabs>
                <w:tab w:val="left" w:pos="480"/>
              </w:tabs>
              <w:spacing w:before="0" w:beforeAutospacing="0" w:after="0" w:afterAutospacing="0" w:line="360" w:lineRule="auto"/>
              <w:ind w:left="0" w:right="0" w:firstLine="480" w:firstLineChars="200"/>
              <w:jc w:val="both"/>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pP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object>
                <v:shape id="_x0000_i1029" o:spt="75" type="#_x0000_t75" style="height:12pt;width:9.75pt;" o:ole="t" filled="f" o:preferrelative="t" stroked="f" coordsize="21600,21600">
                  <v:path/>
                  <v:fill on="f" focussize="0,0"/>
                  <v:stroke on="f"/>
                  <v:imagedata r:id="rId23" o:title=""/>
                  <o:lock v:ext="edit" grouping="f" rotation="f" text="f" aspectratio="t"/>
                  <w10:wrap type="none"/>
                  <w10:anchorlock/>
                </v:shape>
                <o:OLEObject Type="Embed" ProgID="Equation.3" ShapeID="_x0000_i1029" DrawAspect="Content" ObjectID="_1468075729" r:id="rId22">
                  <o:LockedField>false</o:LockedField>
                </o:OLEObject>
              </w:object>
            </w: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—噪声源的个数。</w:t>
            </w:r>
          </w:p>
          <w:p>
            <w:pPr>
              <w:keepNext w:val="0"/>
              <w:keepLines w:val="0"/>
              <w:widowControl w:val="0"/>
              <w:suppressLineNumbers w:val="0"/>
              <w:tabs>
                <w:tab w:val="left" w:pos="480"/>
              </w:tabs>
              <w:spacing w:before="0" w:beforeAutospacing="0" w:after="0" w:afterAutospacing="0" w:line="360" w:lineRule="auto"/>
              <w:ind w:left="0" w:right="0" w:firstLine="480" w:firstLineChars="200"/>
              <w:jc w:val="both"/>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pP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对运营期噪声采用点源模式进行预测，点源衰减模式为：</w:t>
            </w:r>
          </w:p>
          <w:p>
            <w:pPr>
              <w:keepNext w:val="0"/>
              <w:keepLines w:val="0"/>
              <w:suppressLineNumbers w:val="0"/>
              <w:spacing w:before="0" w:beforeAutospacing="0" w:after="0" w:afterAutospacing="0" w:line="360" w:lineRule="auto"/>
              <w:ind w:left="0" w:right="0" w:firstLine="480" w:firstLineChars="200"/>
              <w:jc w:val="cente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Lp（r）=Lp（r0）-20lg（r/r0）-△L</w:t>
            </w:r>
          </w:p>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式中：</w:t>
            </w:r>
          </w:p>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Lp（r）—距离声源r处的倍频带声压级，dB；</w:t>
            </w:r>
          </w:p>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Lp（r0）—参考位置r0处的倍频带声压级，dB；</w:t>
            </w:r>
          </w:p>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r0—参考位置距离声源的距离，m；</w:t>
            </w:r>
          </w:p>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r—预测点距离声源的距离，m。</w:t>
            </w:r>
          </w:p>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△L—各种因素引起的衰减量（包括声屏障屏蔽、遮挡物、空气吸收、地面效应等引起的衰减量），本评价计算过程△L取0。</w:t>
            </w:r>
          </w:p>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cs="Times New Roman" w:eastAsiaTheme="minorEastAsia"/>
                <w:snapToGrid w:val="0"/>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snapToGrid w:val="0"/>
                <w:color w:val="000000" w:themeColor="text1"/>
                <w:sz w:val="24"/>
                <w:szCs w:val="24"/>
                <w:highlight w:val="none"/>
                <w:u w:val="none" w:color="auto"/>
                <w14:textFill>
                  <w14:solidFill>
                    <w14:schemeClr w14:val="tx1"/>
                  </w14:solidFill>
                </w14:textFill>
              </w:rPr>
              <w:t>（2）预测结果分析</w:t>
            </w:r>
          </w:p>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cs="Times New Roman" w:eastAsiaTheme="minorEastAsia"/>
                <w:snapToGrid w:val="0"/>
                <w:color w:val="000000" w:themeColor="text1"/>
                <w:sz w:val="24"/>
                <w:szCs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现对本项目厂界噪声进行预测，</w:t>
            </w:r>
            <w:r>
              <w:rPr>
                <w:rFonts w:hint="default" w:ascii="Times New Roman" w:hAnsi="Times New Roman" w:cs="Times New Roman" w:eastAsiaTheme="minorEastAsia"/>
                <w:snapToGrid w:val="0"/>
                <w:color w:val="000000" w:themeColor="text1"/>
                <w:sz w:val="24"/>
                <w:szCs w:val="24"/>
                <w:highlight w:val="none"/>
                <w:u w:val="none" w:color="auto"/>
                <w14:textFill>
                  <w14:solidFill>
                    <w14:schemeClr w14:val="tx1"/>
                  </w14:solidFill>
                </w14:textFill>
              </w:rPr>
              <w:t>噪声预测结果见下表。</w:t>
            </w:r>
          </w:p>
          <w:p>
            <w:pPr>
              <w:pStyle w:val="59"/>
              <w:bidi w:val="0"/>
              <w:rPr>
                <w:rFonts w:hint="default"/>
                <w:b/>
                <w:bCs/>
                <w:highlight w:val="none"/>
                <w:u w:val="none" w:color="auto"/>
              </w:rPr>
            </w:pPr>
          </w:p>
          <w:p>
            <w:pPr>
              <w:pStyle w:val="59"/>
              <w:bidi w:val="0"/>
              <w:rPr>
                <w:rFonts w:hint="default"/>
                <w:b/>
                <w:bCs/>
                <w:highlight w:val="none"/>
                <w:u w:val="none" w:color="auto"/>
              </w:rPr>
            </w:pPr>
            <w:r>
              <w:rPr>
                <w:rFonts w:hint="default"/>
                <w:b/>
                <w:bCs/>
                <w:highlight w:val="none"/>
                <w:u w:val="none" w:color="auto"/>
              </w:rPr>
              <w:t>表</w:t>
            </w:r>
            <w:r>
              <w:rPr>
                <w:rFonts w:hint="default"/>
                <w:b/>
                <w:bCs/>
                <w:highlight w:val="none"/>
                <w:u w:val="none" w:color="auto"/>
                <w:lang w:val="en-US" w:eastAsia="zh-CN"/>
              </w:rPr>
              <w:t>4</w:t>
            </w:r>
            <w:r>
              <w:rPr>
                <w:rFonts w:hint="default"/>
                <w:b/>
                <w:bCs/>
                <w:highlight w:val="none"/>
                <w:u w:val="none" w:color="auto"/>
              </w:rPr>
              <w:t>-</w:t>
            </w:r>
            <w:r>
              <w:rPr>
                <w:rFonts w:hint="eastAsia"/>
                <w:b/>
                <w:bCs/>
                <w:highlight w:val="none"/>
                <w:u w:val="none" w:color="auto"/>
                <w:lang w:val="en-US" w:eastAsia="zh-CN"/>
              </w:rPr>
              <w:t>5</w:t>
            </w:r>
            <w:r>
              <w:rPr>
                <w:rFonts w:hint="default"/>
                <w:b/>
                <w:bCs/>
                <w:highlight w:val="none"/>
                <w:u w:val="none" w:color="auto"/>
                <w:lang w:val="en-US" w:eastAsia="zh-CN"/>
              </w:rPr>
              <w:t xml:space="preserve"> </w:t>
            </w:r>
            <w:r>
              <w:rPr>
                <w:rFonts w:hint="default"/>
                <w:b/>
                <w:bCs/>
                <w:highlight w:val="none"/>
                <w:u w:val="none" w:color="auto"/>
              </w:rPr>
              <w:t>项目营运期厂界噪声贡献值及达标情况</w:t>
            </w:r>
          </w:p>
          <w:tbl>
            <w:tblPr>
              <w:tblStyle w:val="23"/>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78"/>
              <w:gridCol w:w="1800"/>
              <w:gridCol w:w="1790"/>
              <w:gridCol w:w="2477"/>
              <w:gridCol w:w="1190"/>
              <w:gridCol w:w="10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5" w:hRule="atLeast"/>
              </w:trPr>
              <w:tc>
                <w:tcPr>
                  <w:tcW w:w="379" w:type="pct"/>
                  <w:vMerge w:val="restar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序号</w:t>
                  </w:r>
                </w:p>
              </w:tc>
              <w:tc>
                <w:tcPr>
                  <w:tcW w:w="1006" w:type="pct"/>
                  <w:vMerge w:val="restar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厂界方位</w:t>
                  </w:r>
                </w:p>
              </w:tc>
              <w:tc>
                <w:tcPr>
                  <w:tcW w:w="1000" w:type="pct"/>
                  <w:vMerge w:val="restar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噪声源叠加值</w:t>
                  </w:r>
                </w:p>
              </w:tc>
              <w:tc>
                <w:tcPr>
                  <w:tcW w:w="1384" w:type="pct"/>
                  <w:vMerge w:val="restar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生产车间距离厂界的距离（m）</w:t>
                  </w:r>
                </w:p>
              </w:tc>
              <w:tc>
                <w:tcPr>
                  <w:tcW w:w="665" w:type="pct"/>
                  <w:vMerge w:val="restar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贡献值</w:t>
                  </w:r>
                </w:p>
              </w:tc>
              <w:tc>
                <w:tcPr>
                  <w:tcW w:w="562"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标准值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trPr>
              <w:tc>
                <w:tcPr>
                  <w:tcW w:w="379" w:type="pct"/>
                  <w:vMerge w:val="continue"/>
                  <w:noWrap w:val="0"/>
                  <w:vAlign w:val="center"/>
                </w:tcPr>
                <w:p>
                  <w:pPr>
                    <w:pStyle w:val="59"/>
                    <w:bidi w:val="0"/>
                    <w:rPr>
                      <w:rFonts w:hint="default" w:ascii="Times New Roman" w:hAnsi="Times New Roman" w:eastAsia="宋体" w:cs="Times New Roman"/>
                      <w:highlight w:val="none"/>
                      <w:u w:val="none" w:color="auto"/>
                      <w:lang w:val="en-US" w:eastAsia="zh-CN"/>
                    </w:rPr>
                  </w:pPr>
                </w:p>
              </w:tc>
              <w:tc>
                <w:tcPr>
                  <w:tcW w:w="1006" w:type="pct"/>
                  <w:vMerge w:val="continue"/>
                  <w:noWrap w:val="0"/>
                  <w:vAlign w:val="center"/>
                </w:tcPr>
                <w:p>
                  <w:pPr>
                    <w:pStyle w:val="59"/>
                    <w:bidi w:val="0"/>
                    <w:rPr>
                      <w:rFonts w:hint="default" w:ascii="Times New Roman" w:hAnsi="Times New Roman" w:eastAsia="宋体" w:cs="Times New Roman"/>
                      <w:highlight w:val="none"/>
                      <w:u w:val="none" w:color="auto"/>
                      <w:lang w:val="en-US" w:eastAsia="zh-CN"/>
                    </w:rPr>
                  </w:pPr>
                </w:p>
              </w:tc>
              <w:tc>
                <w:tcPr>
                  <w:tcW w:w="1000" w:type="pct"/>
                  <w:vMerge w:val="continue"/>
                  <w:noWrap w:val="0"/>
                  <w:vAlign w:val="center"/>
                </w:tcPr>
                <w:p>
                  <w:pPr>
                    <w:pStyle w:val="59"/>
                    <w:bidi w:val="0"/>
                    <w:rPr>
                      <w:rFonts w:hint="default" w:ascii="Times New Roman" w:hAnsi="Times New Roman" w:eastAsia="宋体" w:cs="Times New Roman"/>
                      <w:highlight w:val="none"/>
                      <w:u w:val="none" w:color="auto"/>
                      <w:lang w:val="en-US" w:eastAsia="zh-CN"/>
                    </w:rPr>
                  </w:pPr>
                </w:p>
              </w:tc>
              <w:tc>
                <w:tcPr>
                  <w:tcW w:w="1384" w:type="pct"/>
                  <w:vMerge w:val="continue"/>
                  <w:noWrap w:val="0"/>
                  <w:vAlign w:val="center"/>
                </w:tcPr>
                <w:p>
                  <w:pPr>
                    <w:pStyle w:val="59"/>
                    <w:bidi w:val="0"/>
                    <w:rPr>
                      <w:rFonts w:hint="default" w:ascii="Times New Roman" w:hAnsi="Times New Roman" w:eastAsia="宋体" w:cs="Times New Roman"/>
                      <w:highlight w:val="none"/>
                      <w:u w:val="none" w:color="auto"/>
                      <w:lang w:val="en-US" w:eastAsia="zh-CN"/>
                    </w:rPr>
                  </w:pPr>
                </w:p>
              </w:tc>
              <w:tc>
                <w:tcPr>
                  <w:tcW w:w="665" w:type="pct"/>
                  <w:vMerge w:val="continue"/>
                  <w:noWrap w:val="0"/>
                  <w:vAlign w:val="center"/>
                </w:tcPr>
                <w:p>
                  <w:pPr>
                    <w:pStyle w:val="59"/>
                    <w:bidi w:val="0"/>
                    <w:rPr>
                      <w:rFonts w:hint="default" w:ascii="Times New Roman" w:hAnsi="Times New Roman" w:eastAsia="宋体" w:cs="Times New Roman"/>
                      <w:highlight w:val="none"/>
                      <w:u w:val="none" w:color="auto"/>
                      <w:lang w:val="en-US" w:eastAsia="zh-CN"/>
                    </w:rPr>
                  </w:pPr>
                </w:p>
              </w:tc>
              <w:tc>
                <w:tcPr>
                  <w:tcW w:w="559"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昼间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trPr>
              <w:tc>
                <w:tcPr>
                  <w:tcW w:w="379"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1</w:t>
                  </w:r>
                </w:p>
              </w:tc>
              <w:tc>
                <w:tcPr>
                  <w:tcW w:w="1006"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东厂界</w:t>
                  </w:r>
                </w:p>
              </w:tc>
              <w:tc>
                <w:tcPr>
                  <w:tcW w:w="1000" w:type="pct"/>
                  <w:vMerge w:val="restar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69.9</w:t>
                  </w:r>
                </w:p>
              </w:tc>
              <w:tc>
                <w:tcPr>
                  <w:tcW w:w="1384"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12</w:t>
                  </w:r>
                </w:p>
              </w:tc>
              <w:tc>
                <w:tcPr>
                  <w:tcW w:w="665"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48.3</w:t>
                  </w:r>
                </w:p>
              </w:tc>
              <w:tc>
                <w:tcPr>
                  <w:tcW w:w="559"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379"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2</w:t>
                  </w:r>
                </w:p>
              </w:tc>
              <w:tc>
                <w:tcPr>
                  <w:tcW w:w="1006"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南厂界</w:t>
                  </w:r>
                </w:p>
              </w:tc>
              <w:tc>
                <w:tcPr>
                  <w:tcW w:w="1000" w:type="pct"/>
                  <w:vMerge w:val="continue"/>
                  <w:noWrap w:val="0"/>
                  <w:vAlign w:val="center"/>
                </w:tcPr>
                <w:p>
                  <w:pPr>
                    <w:pStyle w:val="59"/>
                    <w:bidi w:val="0"/>
                    <w:rPr>
                      <w:rFonts w:hint="default" w:ascii="Times New Roman" w:hAnsi="Times New Roman" w:eastAsia="宋体" w:cs="Times New Roman"/>
                      <w:highlight w:val="none"/>
                      <w:u w:val="none" w:color="auto"/>
                      <w:lang w:val="en-US" w:eastAsia="zh-CN"/>
                    </w:rPr>
                  </w:pPr>
                </w:p>
              </w:tc>
              <w:tc>
                <w:tcPr>
                  <w:tcW w:w="1384"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w:t>
                  </w:r>
                </w:p>
              </w:tc>
              <w:tc>
                <w:tcPr>
                  <w:tcW w:w="665" w:type="pct"/>
                  <w:noWrap w:val="0"/>
                  <w:vAlign w:val="center"/>
                </w:tcPr>
                <w:p>
                  <w:pPr>
                    <w:pStyle w:val="59"/>
                    <w:bidi w:val="0"/>
                    <w:rPr>
                      <w:rFonts w:hint="eastAsia"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55.9</w:t>
                  </w:r>
                </w:p>
              </w:tc>
              <w:tc>
                <w:tcPr>
                  <w:tcW w:w="559"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379"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3</w:t>
                  </w:r>
                </w:p>
              </w:tc>
              <w:tc>
                <w:tcPr>
                  <w:tcW w:w="1006"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西厂界</w:t>
                  </w:r>
                </w:p>
              </w:tc>
              <w:tc>
                <w:tcPr>
                  <w:tcW w:w="1000" w:type="pct"/>
                  <w:vMerge w:val="continue"/>
                  <w:noWrap w:val="0"/>
                  <w:vAlign w:val="center"/>
                </w:tcPr>
                <w:p>
                  <w:pPr>
                    <w:pStyle w:val="59"/>
                    <w:bidi w:val="0"/>
                    <w:rPr>
                      <w:rFonts w:hint="default" w:ascii="Times New Roman" w:hAnsi="Times New Roman" w:eastAsia="宋体" w:cs="Times New Roman"/>
                      <w:highlight w:val="none"/>
                      <w:u w:val="none" w:color="auto"/>
                      <w:lang w:val="en-US" w:eastAsia="zh-CN"/>
                    </w:rPr>
                  </w:pPr>
                </w:p>
              </w:tc>
              <w:tc>
                <w:tcPr>
                  <w:tcW w:w="1384"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5</w:t>
                  </w:r>
                </w:p>
              </w:tc>
              <w:tc>
                <w:tcPr>
                  <w:tcW w:w="665"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55.9</w:t>
                  </w:r>
                </w:p>
              </w:tc>
              <w:tc>
                <w:tcPr>
                  <w:tcW w:w="559"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379"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4</w:t>
                  </w:r>
                </w:p>
              </w:tc>
              <w:tc>
                <w:tcPr>
                  <w:tcW w:w="1006"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北厂界</w:t>
                  </w:r>
                </w:p>
              </w:tc>
              <w:tc>
                <w:tcPr>
                  <w:tcW w:w="1000" w:type="pct"/>
                  <w:vMerge w:val="continue"/>
                  <w:noWrap w:val="0"/>
                  <w:vAlign w:val="center"/>
                </w:tcPr>
                <w:p>
                  <w:pPr>
                    <w:pStyle w:val="59"/>
                    <w:bidi w:val="0"/>
                    <w:rPr>
                      <w:rFonts w:hint="default" w:ascii="Times New Roman" w:hAnsi="Times New Roman" w:eastAsia="宋体" w:cs="Times New Roman"/>
                      <w:highlight w:val="none"/>
                      <w:u w:val="none" w:color="auto"/>
                      <w:lang w:val="en-US" w:eastAsia="zh-CN"/>
                    </w:rPr>
                  </w:pPr>
                </w:p>
              </w:tc>
              <w:tc>
                <w:tcPr>
                  <w:tcW w:w="1384"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w:t>
                  </w:r>
                </w:p>
              </w:tc>
              <w:tc>
                <w:tcPr>
                  <w:tcW w:w="665"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default" w:ascii="Times New Roman" w:hAnsi="Times New Roman" w:eastAsia="宋体" w:cs="Times New Roman"/>
                      <w:highlight w:val="none"/>
                      <w:u w:val="none" w:color="auto"/>
                      <w:lang w:val="en-US" w:eastAsia="zh-CN"/>
                    </w:rPr>
                    <w:t>54.3</w:t>
                  </w:r>
                </w:p>
              </w:tc>
              <w:tc>
                <w:tcPr>
                  <w:tcW w:w="559" w:type="pct"/>
                  <w:noWrap w:val="0"/>
                  <w:vAlign w:val="center"/>
                </w:tcPr>
                <w:p>
                  <w:pPr>
                    <w:pStyle w:val="59"/>
                    <w:bidi w:val="0"/>
                    <w:rPr>
                      <w:rFonts w:hint="default" w:ascii="Times New Roman" w:hAnsi="Times New Roman" w:eastAsia="宋体" w:cs="Times New Roman"/>
                      <w:highlight w:val="none"/>
                      <w:u w:val="none" w:color="auto"/>
                      <w:lang w:val="en-US" w:eastAsia="zh-CN"/>
                    </w:rPr>
                  </w:pPr>
                  <w:r>
                    <w:rPr>
                      <w:rFonts w:hint="eastAsia" w:ascii="Times New Roman" w:hAnsi="Times New Roman" w:eastAsia="宋体" w:cs="Times New Roman"/>
                      <w:highlight w:val="none"/>
                      <w:u w:val="none" w:color="auto"/>
                      <w:lang w:val="en-US" w:eastAsia="zh-CN"/>
                    </w:rPr>
                    <w:t>65</w:t>
                  </w:r>
                </w:p>
              </w:tc>
            </w:tr>
          </w:tbl>
          <w:p>
            <w:pPr>
              <w:keepNext w:val="0"/>
              <w:keepLines w:val="0"/>
              <w:pageBreakBefore w:val="0"/>
              <w:widowControl w:val="0"/>
              <w:suppressLineNumbers w:val="0"/>
              <w:tabs>
                <w:tab w:val="left" w:pos="0"/>
                <w:tab w:val="left" w:pos="870"/>
                <w:tab w:val="left" w:pos="3150"/>
              </w:tabs>
              <w:kinsoku/>
              <w:wordWrap/>
              <w:overflowPunct/>
              <w:topLinePunct w:val="0"/>
              <w:autoSpaceDE w:val="0"/>
              <w:autoSpaceDN w:val="0"/>
              <w:bidi w:val="0"/>
              <w:adjustRightInd w:val="0"/>
              <w:snapToGrid w:val="0"/>
              <w:spacing w:before="0" w:beforeAutospacing="0" w:after="0" w:afterAutospacing="0" w:line="360" w:lineRule="auto"/>
              <w:ind w:left="0" w:right="0" w:firstLine="480" w:firstLineChars="200"/>
              <w:jc w:val="both"/>
              <w:textAlignment w:val="auto"/>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pP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通过预测可知，各设备采取基础减振、合理布局、厂房隔声、低噪声设备、定期保养</w:t>
            </w:r>
            <w:r>
              <w:rPr>
                <w:rFonts w:hint="eastAsia"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等降噪措</w:t>
            </w: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施后，项目东、南、西、北</w:t>
            </w:r>
            <w:r>
              <w:rPr>
                <w:rFonts w:hint="eastAsia"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侧</w:t>
            </w: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噪声值均满足《工业企业厂界环境噪声排放标准》（GB12348-2008）</w:t>
            </w:r>
            <w:r>
              <w:rPr>
                <w:rFonts w:hint="eastAsia"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3</w:t>
            </w: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类（昼间≤6</w:t>
            </w:r>
            <w:r>
              <w:rPr>
                <w:rFonts w:hint="eastAsia"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5</w:t>
            </w:r>
            <w:r>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dB（A））标准</w:t>
            </w:r>
            <w:r>
              <w:rPr>
                <w:rFonts w:hint="eastAsia"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w:t>
            </w:r>
          </w:p>
          <w:p>
            <w:pPr>
              <w:keepNext w:val="0"/>
              <w:keepLines w:val="0"/>
              <w:pageBreakBefore w:val="0"/>
              <w:widowControl w:val="0"/>
              <w:suppressLineNumbers w:val="0"/>
              <w:tabs>
                <w:tab w:val="left" w:pos="0"/>
                <w:tab w:val="left" w:pos="870"/>
                <w:tab w:val="left" w:pos="3150"/>
              </w:tabs>
              <w:kinsoku/>
              <w:wordWrap/>
              <w:overflowPunct/>
              <w:topLinePunct w:val="0"/>
              <w:autoSpaceDE w:val="0"/>
              <w:autoSpaceDN w:val="0"/>
              <w:bidi w:val="0"/>
              <w:adjustRightInd w:val="0"/>
              <w:snapToGrid w:val="0"/>
              <w:spacing w:before="0" w:beforeAutospacing="0" w:after="0" w:afterAutospacing="0" w:line="360" w:lineRule="auto"/>
              <w:ind w:left="0" w:right="0" w:firstLine="480" w:firstLineChars="200"/>
              <w:jc w:val="both"/>
              <w:textAlignment w:val="auto"/>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pPr>
            <w:r>
              <w:rPr>
                <w:rFonts w:hint="eastAsia"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t>（3）环境监测计划</w:t>
            </w:r>
          </w:p>
          <w:p>
            <w:pPr>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2"/>
                <w:highlight w:val="none"/>
                <w:u w:val="none" w:color="auto"/>
                <w14:textFill>
                  <w14:solidFill>
                    <w14:schemeClr w14:val="tx1"/>
                  </w14:solidFill>
                </w14:textFill>
              </w:rPr>
              <w:t>为及时了解污染源情况，项目要经常开展污染源和环境质量的监测工作，及时发现环境污染问题，并加以控制和解决。可委托有资质的环境监测单位进行</w:t>
            </w:r>
            <w:r>
              <w:rPr>
                <w:rFonts w:hint="eastAsia" w:ascii="Times New Roman" w:hAnsi="Times New Roman" w:cs="Times New Roman" w:eastAsiaTheme="minorEastAsia"/>
                <w:color w:val="000000" w:themeColor="text1"/>
                <w:sz w:val="24"/>
                <w:szCs w:val="22"/>
                <w:highlight w:val="none"/>
                <w:u w:val="none" w:color="auto"/>
                <w:lang w:eastAsia="zh-CN"/>
                <w14:textFill>
                  <w14:solidFill>
                    <w14:schemeClr w14:val="tx1"/>
                  </w14:solidFill>
                </w14:textFill>
              </w:rPr>
              <w:t>。</w:t>
            </w:r>
            <w:r>
              <w:rPr>
                <w:rFonts w:hint="eastAsia" w:ascii="Times New Roman" w:hAnsi="Times New Roman" w:eastAsia="宋体" w:cs="Times New Roman"/>
                <w:sz w:val="24"/>
                <w:szCs w:val="24"/>
                <w:highlight w:val="none"/>
                <w:u w:val="none" w:color="auto"/>
                <w:lang w:val="en-US" w:eastAsia="zh-CN"/>
              </w:rPr>
              <w:t>参照《</w:t>
            </w:r>
            <w:r>
              <w:rPr>
                <w:rFonts w:ascii="宋体" w:hAnsi="宋体" w:eastAsia="宋体" w:cs="宋体"/>
                <w:sz w:val="24"/>
                <w:szCs w:val="24"/>
                <w:highlight w:val="none"/>
                <w:u w:val="none" w:color="auto"/>
              </w:rPr>
              <w:t>排污单位自行监测技术指</w:t>
            </w:r>
            <w:r>
              <w:rPr>
                <w:rFonts w:hint="default" w:ascii="Times New Roman" w:hAnsi="Times New Roman" w:eastAsia="宋体" w:cs="Times New Roman"/>
                <w:sz w:val="24"/>
                <w:szCs w:val="24"/>
                <w:highlight w:val="none"/>
                <w:u w:val="none" w:color="auto"/>
              </w:rPr>
              <w:t>南总则</w:t>
            </w:r>
            <w:r>
              <w:rPr>
                <w:rFonts w:hint="default" w:ascii="Times New Roman" w:hAnsi="Times New Roman" w:eastAsia="宋体" w:cs="Times New Roman"/>
                <w:sz w:val="24"/>
                <w:szCs w:val="24"/>
                <w:highlight w:val="none"/>
                <w:u w:val="none" w:color="auto"/>
                <w:lang w:val="en-US" w:eastAsia="zh-CN"/>
              </w:rPr>
              <w:t>》（</w:t>
            </w:r>
            <w:r>
              <w:rPr>
                <w:rFonts w:hint="default" w:ascii="Times New Roman" w:hAnsi="Times New Roman" w:eastAsia="宋体" w:cs="Times New Roman"/>
                <w:sz w:val="24"/>
                <w:szCs w:val="24"/>
                <w:highlight w:val="none"/>
                <w:u w:val="none" w:color="auto"/>
              </w:rPr>
              <w:t>HJ819-2017</w:t>
            </w:r>
            <w:r>
              <w:rPr>
                <w:rFonts w:hint="default" w:ascii="Times New Roman" w:hAnsi="Times New Roman" w:eastAsia="宋体" w:cs="Times New Roman"/>
                <w:sz w:val="24"/>
                <w:szCs w:val="24"/>
                <w:highlight w:val="none"/>
                <w:u w:val="none" w:color="auto"/>
                <w:lang w:val="en-US" w:eastAsia="zh-CN"/>
              </w:rPr>
              <w:t>）</w:t>
            </w:r>
            <w:r>
              <w:rPr>
                <w:rFonts w:hint="eastAsia" w:ascii="Times New Roman" w:hAnsi="Times New Roman" w:eastAsia="宋体" w:cs="Times New Roman"/>
                <w:sz w:val="24"/>
                <w:szCs w:val="24"/>
                <w:highlight w:val="none"/>
                <w:u w:val="none" w:color="auto"/>
                <w:lang w:val="en-US" w:eastAsia="zh-CN"/>
              </w:rPr>
              <w:t>，</w:t>
            </w:r>
            <w:r>
              <w:rPr>
                <w:rFonts w:hint="default" w:ascii="Times New Roman" w:hAnsi="Times New Roman" w:cs="Times New Roman" w:eastAsiaTheme="minorEastAsia"/>
                <w:color w:val="000000" w:themeColor="text1"/>
                <w:sz w:val="24"/>
                <w:szCs w:val="22"/>
                <w:highlight w:val="none"/>
                <w:u w:val="none" w:color="auto"/>
                <w14:textFill>
                  <w14:solidFill>
                    <w14:schemeClr w14:val="tx1"/>
                  </w14:solidFill>
                </w14:textFill>
              </w:rPr>
              <w:t>根据本项目污染物排放实际情况，项目常规监测工作计划见表</w:t>
            </w:r>
            <w:r>
              <w:rPr>
                <w:rFonts w:hint="default" w:ascii="Times New Roman" w:hAnsi="Times New Roman" w:cs="Times New Roman" w:eastAsiaTheme="minorEastAsia"/>
                <w:color w:val="000000" w:themeColor="text1"/>
                <w:sz w:val="24"/>
                <w:szCs w:val="22"/>
                <w:highlight w:val="none"/>
                <w:u w:val="none" w:color="auto"/>
                <w:lang w:val="en-US" w:eastAsia="zh-CN"/>
                <w14:textFill>
                  <w14:solidFill>
                    <w14:schemeClr w14:val="tx1"/>
                  </w14:solidFill>
                </w14:textFill>
              </w:rPr>
              <w:t>4-</w:t>
            </w:r>
            <w:r>
              <w:rPr>
                <w:rFonts w:hint="eastAsia" w:cs="Times New Roman" w:eastAsiaTheme="minorEastAsia"/>
                <w:color w:val="000000" w:themeColor="text1"/>
                <w:sz w:val="24"/>
                <w:szCs w:val="22"/>
                <w:highlight w:val="none"/>
                <w:u w:val="none" w:color="auto"/>
                <w:lang w:val="en-US" w:eastAsia="zh-CN"/>
                <w14:textFill>
                  <w14:solidFill>
                    <w14:schemeClr w14:val="tx1"/>
                  </w14:solidFill>
                </w14:textFill>
              </w:rPr>
              <w:t>6</w:t>
            </w:r>
            <w:r>
              <w:rPr>
                <w:rFonts w:hint="default" w:ascii="Times New Roman" w:hAnsi="Times New Roman" w:cs="Times New Roman" w:eastAsiaTheme="minorEastAsia"/>
                <w:color w:val="000000" w:themeColor="text1"/>
                <w:sz w:val="24"/>
                <w:szCs w:val="22"/>
                <w:highlight w:val="none"/>
                <w:u w:val="none" w:color="auto"/>
                <w14:textFill>
                  <w14:solidFill>
                    <w14:schemeClr w14:val="tx1"/>
                  </w14:solidFill>
                </w14:textFill>
              </w:rPr>
              <w:t>。</w:t>
            </w:r>
          </w:p>
          <w:p>
            <w:pPr>
              <w:spacing w:line="240" w:lineRule="auto"/>
              <w:ind w:left="0" w:leftChars="0" w:firstLine="0" w:firstLineChars="0"/>
              <w:jc w:val="cente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pP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表</w:t>
            </w:r>
            <w:r>
              <w:rPr>
                <w:rFonts w:hint="default"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t>4-</w:t>
            </w:r>
            <w:r>
              <w:rPr>
                <w:rFonts w:hint="eastAsia" w:cs="Times New Roman" w:eastAsiaTheme="minorEastAsia"/>
                <w:b/>
                <w:color w:val="000000" w:themeColor="text1"/>
                <w:sz w:val="21"/>
                <w:szCs w:val="21"/>
                <w:highlight w:val="none"/>
                <w:u w:val="none" w:color="auto"/>
                <w:lang w:val="en-US" w:eastAsia="zh-CN"/>
                <w14:textFill>
                  <w14:solidFill>
                    <w14:schemeClr w14:val="tx1"/>
                  </w14:solidFill>
                </w14:textFill>
              </w:rPr>
              <w:t>6</w:t>
            </w: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 xml:space="preserve"> </w:t>
            </w:r>
            <w:r>
              <w:rPr>
                <w:rFonts w:hint="default"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t>项目建成后</w:t>
            </w:r>
            <w:r>
              <w:rPr>
                <w:rFonts w:hint="eastAsia" w:ascii="Times New Roman" w:hAnsi="Times New Roman" w:cs="Times New Roman" w:eastAsiaTheme="minorEastAsia"/>
                <w:b/>
                <w:color w:val="000000" w:themeColor="text1"/>
                <w:sz w:val="21"/>
                <w:szCs w:val="21"/>
                <w:highlight w:val="none"/>
                <w:u w:val="none" w:color="auto"/>
                <w:lang w:val="en-US" w:eastAsia="zh-CN"/>
                <w14:textFill>
                  <w14:solidFill>
                    <w14:schemeClr w14:val="tx1"/>
                  </w14:solidFill>
                </w14:textFill>
              </w:rPr>
              <w:t>噪声</w:t>
            </w:r>
            <w:r>
              <w:rPr>
                <w:rFonts w:hint="default" w:ascii="Times New Roman" w:hAnsi="Times New Roman" w:cs="Times New Roman" w:eastAsiaTheme="minorEastAsia"/>
                <w:b/>
                <w:color w:val="000000" w:themeColor="text1"/>
                <w:sz w:val="21"/>
                <w:szCs w:val="21"/>
                <w:highlight w:val="none"/>
                <w:u w:val="none" w:color="auto"/>
                <w14:textFill>
                  <w14:solidFill>
                    <w14:schemeClr w14:val="tx1"/>
                  </w14:solidFill>
                </w14:textFill>
              </w:rPr>
              <w:t>污染源监测计划</w:t>
            </w:r>
          </w:p>
          <w:tbl>
            <w:tblPr>
              <w:tblStyle w:val="23"/>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99"/>
              <w:gridCol w:w="2027"/>
              <w:gridCol w:w="2065"/>
              <w:gridCol w:w="1823"/>
              <w:gridCol w:w="20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jc w:val="center"/>
              </w:trPr>
              <w:tc>
                <w:tcPr>
                  <w:tcW w:w="55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color="auto"/>
                      <w:lang w:val="en-US" w:eastAsia="zh-CN" w:bidi="ar-SA"/>
                    </w:rPr>
                  </w:pPr>
                  <w:r>
                    <w:rPr>
                      <w:rFonts w:hint="default" w:ascii="Times New Roman" w:hAnsi="Times New Roman" w:eastAsia="宋体" w:cs="Times New Roman"/>
                      <w:color w:val="auto"/>
                      <w:kern w:val="0"/>
                      <w:sz w:val="21"/>
                      <w:szCs w:val="21"/>
                      <w:highlight w:val="none"/>
                      <w:u w:val="none" w:color="auto"/>
                      <w:lang w:val="en-US" w:eastAsia="zh-CN" w:bidi="ar-SA"/>
                    </w:rPr>
                    <w:t>监测项目</w:t>
                  </w:r>
                </w:p>
              </w:tc>
              <w:tc>
                <w:tcPr>
                  <w:tcW w:w="1133"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kern w:val="0"/>
                      <w:sz w:val="21"/>
                      <w:szCs w:val="20"/>
                      <w:highlight w:val="none"/>
                      <w:u w:val="none" w:color="auto"/>
                      <w:lang w:val="en-US" w:eastAsia="zh-CN" w:bidi="ar-SA"/>
                    </w:rPr>
                  </w:pPr>
                  <w:r>
                    <w:rPr>
                      <w:rFonts w:hint="default" w:ascii="Times New Roman" w:hAnsi="Times New Roman" w:eastAsia="宋体" w:cs="Times New Roman"/>
                      <w:b w:val="0"/>
                      <w:bCs w:val="0"/>
                      <w:kern w:val="0"/>
                      <w:sz w:val="21"/>
                      <w:szCs w:val="20"/>
                      <w:highlight w:val="none"/>
                      <w:u w:val="none" w:color="auto"/>
                      <w:lang w:val="en-US" w:eastAsia="zh-CN" w:bidi="ar-SA"/>
                    </w:rPr>
                    <w:t>监测点位</w:t>
                  </w:r>
                </w:p>
              </w:tc>
              <w:tc>
                <w:tcPr>
                  <w:tcW w:w="1154"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kern w:val="0"/>
                      <w:sz w:val="21"/>
                      <w:szCs w:val="20"/>
                      <w:highlight w:val="none"/>
                      <w:u w:val="none" w:color="auto"/>
                      <w:lang w:val="en-US" w:eastAsia="zh-CN" w:bidi="ar-SA"/>
                    </w:rPr>
                  </w:pPr>
                  <w:r>
                    <w:rPr>
                      <w:rFonts w:hint="default" w:ascii="Times New Roman" w:hAnsi="Times New Roman" w:eastAsia="宋体" w:cs="Times New Roman"/>
                      <w:b w:val="0"/>
                      <w:bCs w:val="0"/>
                      <w:kern w:val="0"/>
                      <w:sz w:val="21"/>
                      <w:szCs w:val="20"/>
                      <w:highlight w:val="none"/>
                      <w:u w:val="none" w:color="auto"/>
                      <w:lang w:val="en-US" w:eastAsia="zh-CN" w:bidi="ar-SA"/>
                    </w:rPr>
                    <w:t>监测因子</w:t>
                  </w:r>
                </w:p>
              </w:tc>
              <w:tc>
                <w:tcPr>
                  <w:tcW w:w="1019"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kern w:val="0"/>
                      <w:sz w:val="21"/>
                      <w:szCs w:val="20"/>
                      <w:highlight w:val="none"/>
                      <w:u w:val="none" w:color="auto"/>
                      <w:lang w:val="en-US" w:eastAsia="zh-CN" w:bidi="ar-SA"/>
                    </w:rPr>
                  </w:pPr>
                  <w:r>
                    <w:rPr>
                      <w:rFonts w:hint="default" w:ascii="Times New Roman" w:hAnsi="Times New Roman" w:eastAsia="宋体" w:cs="Times New Roman"/>
                      <w:b w:val="0"/>
                      <w:bCs w:val="0"/>
                      <w:kern w:val="0"/>
                      <w:sz w:val="21"/>
                      <w:szCs w:val="20"/>
                      <w:highlight w:val="none"/>
                      <w:u w:val="none" w:color="auto"/>
                      <w:lang w:val="en-US" w:eastAsia="zh-CN" w:bidi="ar-SA"/>
                    </w:rPr>
                    <w:t>监测频次</w:t>
                  </w:r>
                </w:p>
              </w:tc>
              <w:tc>
                <w:tcPr>
                  <w:tcW w:w="1133"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b w:val="0"/>
                      <w:bCs w:val="0"/>
                      <w:kern w:val="0"/>
                      <w:sz w:val="21"/>
                      <w:szCs w:val="20"/>
                      <w:highlight w:val="none"/>
                      <w:u w:val="none" w:color="auto"/>
                      <w:lang w:val="en-US" w:eastAsia="zh-CN" w:bidi="ar-SA"/>
                    </w:rPr>
                  </w:pPr>
                  <w:r>
                    <w:rPr>
                      <w:rFonts w:hint="eastAsia" w:ascii="Times New Roman" w:hAnsi="Times New Roman" w:eastAsia="宋体" w:cs="Times New Roman"/>
                      <w:b w:val="0"/>
                      <w:bCs w:val="0"/>
                      <w:kern w:val="0"/>
                      <w:sz w:val="21"/>
                      <w:szCs w:val="20"/>
                      <w:highlight w:val="none"/>
                      <w:u w:val="none" w:color="auto"/>
                      <w:lang w:val="en-US" w:eastAsia="zh-CN" w:bidi="ar-SA"/>
                    </w:rPr>
                    <w:t>执行排放标准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jc w:val="center"/>
              </w:trPr>
              <w:tc>
                <w:tcPr>
                  <w:tcW w:w="559"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color="auto"/>
                      <w:lang w:val="en-US" w:eastAsia="zh-CN" w:bidi="ar-SA"/>
                    </w:rPr>
                  </w:pPr>
                  <w:r>
                    <w:rPr>
                      <w:rFonts w:hint="default" w:ascii="Times New Roman" w:hAnsi="Times New Roman" w:eastAsia="宋体" w:cs="Times New Roman"/>
                      <w:color w:val="auto"/>
                      <w:kern w:val="0"/>
                      <w:sz w:val="21"/>
                      <w:szCs w:val="21"/>
                      <w:highlight w:val="none"/>
                      <w:u w:val="none" w:color="auto"/>
                      <w:lang w:val="en-US" w:eastAsia="zh-CN" w:bidi="ar-SA"/>
                    </w:rPr>
                    <w:t>噪声</w:t>
                  </w:r>
                </w:p>
              </w:tc>
              <w:tc>
                <w:tcPr>
                  <w:tcW w:w="1133"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0"/>
                      <w:highlight w:val="none"/>
                      <w:u w:val="none" w:color="auto"/>
                      <w:lang w:val="en-US" w:eastAsia="zh-CN" w:bidi="ar-SA"/>
                    </w:rPr>
                  </w:pPr>
                  <w:r>
                    <w:rPr>
                      <w:rFonts w:hint="eastAsia" w:ascii="Times New Roman" w:hAnsi="Times New Roman" w:eastAsia="宋体" w:cs="Times New Roman"/>
                      <w:kern w:val="0"/>
                      <w:sz w:val="21"/>
                      <w:szCs w:val="20"/>
                      <w:highlight w:val="none"/>
                      <w:u w:val="none" w:color="auto"/>
                      <w:lang w:val="en-US" w:eastAsia="zh-CN" w:bidi="ar-SA"/>
                    </w:rPr>
                    <w:t>厂界东侧外1m处</w:t>
                  </w:r>
                </w:p>
              </w:tc>
              <w:tc>
                <w:tcPr>
                  <w:tcW w:w="1154" w:type="pct"/>
                  <w:vMerge w:val="restar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0"/>
                      <w:highlight w:val="none"/>
                      <w:u w:val="none" w:color="auto"/>
                      <w:lang w:val="en-US" w:eastAsia="zh-CN" w:bidi="ar-SA"/>
                    </w:rPr>
                  </w:pPr>
                  <w:r>
                    <w:rPr>
                      <w:rFonts w:hint="eastAsia" w:ascii="Times New Roman" w:hAnsi="Times New Roman" w:eastAsia="宋体" w:cs="Times New Roman"/>
                      <w:kern w:val="0"/>
                      <w:sz w:val="21"/>
                      <w:szCs w:val="20"/>
                      <w:highlight w:val="none"/>
                      <w:u w:val="none" w:color="auto"/>
                      <w:lang w:val="en-US" w:eastAsia="zh-CN" w:bidi="ar-SA"/>
                    </w:rPr>
                    <w:t>等效连续A声级</w:t>
                  </w:r>
                </w:p>
              </w:tc>
              <w:tc>
                <w:tcPr>
                  <w:tcW w:w="1019" w:type="pct"/>
                  <w:vMerge w:val="restar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0"/>
                      <w:highlight w:val="none"/>
                      <w:u w:val="none" w:color="auto"/>
                      <w:lang w:val="en-US" w:eastAsia="zh-CN" w:bidi="ar-SA"/>
                    </w:rPr>
                  </w:pPr>
                  <w:r>
                    <w:rPr>
                      <w:rFonts w:hint="default" w:ascii="Times New Roman" w:hAnsi="Times New Roman" w:eastAsia="宋体" w:cs="Times New Roman"/>
                      <w:kern w:val="0"/>
                      <w:sz w:val="21"/>
                      <w:szCs w:val="20"/>
                      <w:highlight w:val="none"/>
                      <w:u w:val="none" w:color="auto"/>
                      <w:lang w:val="en-US" w:eastAsia="zh-CN" w:bidi="ar-SA"/>
                    </w:rPr>
                    <w:t>每季度一次</w:t>
                  </w:r>
                </w:p>
              </w:tc>
              <w:tc>
                <w:tcPr>
                  <w:tcW w:w="1133" w:type="pct"/>
                  <w:vMerge w:val="restar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0"/>
                      <w:highlight w:val="none"/>
                      <w:u w:val="none" w:color="auto"/>
                      <w:lang w:val="en-US" w:eastAsia="zh-CN" w:bidi="ar-SA"/>
                    </w:rPr>
                  </w:pPr>
                  <w:r>
                    <w:rPr>
                      <w:rFonts w:hint="default" w:ascii="Times New Roman" w:hAnsi="Times New Roman" w:eastAsia="宋体" w:cs="Times New Roman"/>
                      <w:kern w:val="0"/>
                      <w:sz w:val="21"/>
                      <w:szCs w:val="20"/>
                      <w:highlight w:val="none"/>
                      <w:u w:val="none" w:color="auto"/>
                      <w:lang w:val="en-US" w:eastAsia="zh-CN" w:bidi="ar-SA"/>
                    </w:rPr>
                    <w:t>工业企业厂界环境噪声排放标准》（GB12348-2008）2类标准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jc w:val="center"/>
              </w:trPr>
              <w:tc>
                <w:tcPr>
                  <w:tcW w:w="559"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color="auto"/>
                      <w:lang w:val="en-US" w:eastAsia="zh-CN" w:bidi="ar-SA"/>
                    </w:rPr>
                  </w:pPr>
                </w:p>
              </w:tc>
              <w:tc>
                <w:tcPr>
                  <w:tcW w:w="1133"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eastAsia" w:ascii="Times New Roman" w:hAnsi="Times New Roman" w:eastAsia="宋体" w:cs="Times New Roman"/>
                      <w:kern w:val="0"/>
                      <w:sz w:val="21"/>
                      <w:szCs w:val="20"/>
                      <w:highlight w:val="none"/>
                      <w:u w:val="none" w:color="auto"/>
                      <w:lang w:val="en-US" w:eastAsia="zh-CN" w:bidi="ar-SA"/>
                    </w:rPr>
                  </w:pPr>
                  <w:r>
                    <w:rPr>
                      <w:rFonts w:hint="eastAsia" w:ascii="Times New Roman" w:hAnsi="Times New Roman" w:eastAsia="宋体" w:cs="Times New Roman"/>
                      <w:kern w:val="0"/>
                      <w:sz w:val="21"/>
                      <w:szCs w:val="20"/>
                      <w:highlight w:val="none"/>
                      <w:u w:val="none" w:color="auto"/>
                      <w:lang w:val="en-US" w:eastAsia="zh-CN" w:bidi="ar-SA"/>
                    </w:rPr>
                    <w:t>厂界南侧外1m处</w:t>
                  </w:r>
                </w:p>
              </w:tc>
              <w:tc>
                <w:tcPr>
                  <w:tcW w:w="1154" w:type="pct"/>
                  <w:vMerge w:val="continue"/>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eastAsia" w:ascii="Times New Roman" w:hAnsi="Times New Roman" w:eastAsia="宋体" w:cs="Times New Roman"/>
                      <w:kern w:val="0"/>
                      <w:sz w:val="21"/>
                      <w:szCs w:val="20"/>
                      <w:highlight w:val="none"/>
                      <w:u w:val="none" w:color="auto"/>
                      <w:lang w:val="en-US" w:eastAsia="zh-CN" w:bidi="ar-SA"/>
                    </w:rPr>
                  </w:pPr>
                </w:p>
              </w:tc>
              <w:tc>
                <w:tcPr>
                  <w:tcW w:w="1019" w:type="pct"/>
                  <w:vMerge w:val="continue"/>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0"/>
                      <w:highlight w:val="none"/>
                      <w:u w:val="none" w:color="auto"/>
                      <w:lang w:val="en-US" w:eastAsia="zh-CN" w:bidi="ar-SA"/>
                    </w:rPr>
                  </w:pPr>
                </w:p>
              </w:tc>
              <w:tc>
                <w:tcPr>
                  <w:tcW w:w="1133" w:type="pct"/>
                  <w:vMerge w:val="continue"/>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0"/>
                      <w:highlight w:val="none"/>
                      <w:u w:val="none" w:color="auto"/>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jc w:val="center"/>
              </w:trPr>
              <w:tc>
                <w:tcPr>
                  <w:tcW w:w="559"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color="auto"/>
                      <w:lang w:val="en-US" w:eastAsia="zh-CN" w:bidi="ar-SA"/>
                    </w:rPr>
                  </w:pPr>
                </w:p>
              </w:tc>
              <w:tc>
                <w:tcPr>
                  <w:tcW w:w="1133"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eastAsia" w:ascii="Times New Roman" w:hAnsi="Times New Roman" w:eastAsia="宋体" w:cs="Times New Roman"/>
                      <w:kern w:val="0"/>
                      <w:sz w:val="21"/>
                      <w:szCs w:val="20"/>
                      <w:highlight w:val="none"/>
                      <w:u w:val="none" w:color="auto"/>
                      <w:lang w:val="en-US" w:eastAsia="zh-CN" w:bidi="ar-SA"/>
                    </w:rPr>
                  </w:pPr>
                  <w:r>
                    <w:rPr>
                      <w:rFonts w:hint="eastAsia" w:ascii="Times New Roman" w:hAnsi="Times New Roman" w:eastAsia="宋体" w:cs="Times New Roman"/>
                      <w:kern w:val="0"/>
                      <w:sz w:val="21"/>
                      <w:szCs w:val="20"/>
                      <w:highlight w:val="none"/>
                      <w:u w:val="none" w:color="auto"/>
                      <w:lang w:val="en-US" w:eastAsia="zh-CN" w:bidi="ar-SA"/>
                    </w:rPr>
                    <w:t>厂界西侧外1m处</w:t>
                  </w:r>
                </w:p>
              </w:tc>
              <w:tc>
                <w:tcPr>
                  <w:tcW w:w="1154" w:type="pct"/>
                  <w:vMerge w:val="continue"/>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eastAsia" w:ascii="Times New Roman" w:hAnsi="Times New Roman" w:eastAsia="宋体" w:cs="Times New Roman"/>
                      <w:kern w:val="0"/>
                      <w:sz w:val="21"/>
                      <w:szCs w:val="20"/>
                      <w:highlight w:val="none"/>
                      <w:u w:val="none" w:color="auto"/>
                      <w:lang w:val="en-US" w:eastAsia="zh-CN" w:bidi="ar-SA"/>
                    </w:rPr>
                  </w:pPr>
                </w:p>
              </w:tc>
              <w:tc>
                <w:tcPr>
                  <w:tcW w:w="1019" w:type="pct"/>
                  <w:vMerge w:val="continue"/>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0"/>
                      <w:highlight w:val="none"/>
                      <w:u w:val="none" w:color="auto"/>
                      <w:lang w:val="en-US" w:eastAsia="zh-CN" w:bidi="ar-SA"/>
                    </w:rPr>
                  </w:pPr>
                </w:p>
              </w:tc>
              <w:tc>
                <w:tcPr>
                  <w:tcW w:w="1133" w:type="pct"/>
                  <w:vMerge w:val="continue"/>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0"/>
                      <w:highlight w:val="none"/>
                      <w:u w:val="none" w:color="auto"/>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jc w:val="center"/>
              </w:trPr>
              <w:tc>
                <w:tcPr>
                  <w:tcW w:w="559"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auto"/>
                      <w:kern w:val="0"/>
                      <w:sz w:val="21"/>
                      <w:szCs w:val="21"/>
                      <w:highlight w:val="none"/>
                      <w:u w:val="none" w:color="auto"/>
                      <w:lang w:val="en-US" w:eastAsia="zh-CN" w:bidi="ar-SA"/>
                    </w:rPr>
                  </w:pPr>
                </w:p>
              </w:tc>
              <w:tc>
                <w:tcPr>
                  <w:tcW w:w="1133" w:type="pct"/>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eastAsia" w:ascii="Times New Roman" w:hAnsi="Times New Roman" w:eastAsia="宋体" w:cs="Times New Roman"/>
                      <w:kern w:val="0"/>
                      <w:sz w:val="21"/>
                      <w:szCs w:val="20"/>
                      <w:highlight w:val="none"/>
                      <w:u w:val="none" w:color="auto"/>
                      <w:lang w:val="en-US" w:eastAsia="zh-CN" w:bidi="ar-SA"/>
                    </w:rPr>
                  </w:pPr>
                  <w:r>
                    <w:rPr>
                      <w:rFonts w:hint="eastAsia" w:ascii="Times New Roman" w:hAnsi="Times New Roman" w:eastAsia="宋体" w:cs="Times New Roman"/>
                      <w:kern w:val="0"/>
                      <w:sz w:val="21"/>
                      <w:szCs w:val="20"/>
                      <w:highlight w:val="none"/>
                      <w:u w:val="none" w:color="auto"/>
                      <w:lang w:val="en-US" w:eastAsia="zh-CN" w:bidi="ar-SA"/>
                    </w:rPr>
                    <w:t>厂界北侧外1m处</w:t>
                  </w:r>
                </w:p>
              </w:tc>
              <w:tc>
                <w:tcPr>
                  <w:tcW w:w="1154" w:type="pct"/>
                  <w:vMerge w:val="continue"/>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eastAsia" w:ascii="Times New Roman" w:hAnsi="Times New Roman" w:eastAsia="宋体" w:cs="Times New Roman"/>
                      <w:kern w:val="0"/>
                      <w:sz w:val="21"/>
                      <w:szCs w:val="20"/>
                      <w:highlight w:val="none"/>
                      <w:u w:val="none" w:color="auto"/>
                      <w:lang w:val="en-US" w:eastAsia="zh-CN" w:bidi="ar-SA"/>
                    </w:rPr>
                  </w:pPr>
                </w:p>
              </w:tc>
              <w:tc>
                <w:tcPr>
                  <w:tcW w:w="1019" w:type="pct"/>
                  <w:vMerge w:val="continue"/>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0"/>
                      <w:highlight w:val="none"/>
                      <w:u w:val="none" w:color="auto"/>
                      <w:lang w:val="en-US" w:eastAsia="zh-CN" w:bidi="ar-SA"/>
                    </w:rPr>
                  </w:pPr>
                </w:p>
              </w:tc>
              <w:tc>
                <w:tcPr>
                  <w:tcW w:w="1133" w:type="pct"/>
                  <w:vMerge w:val="continue"/>
                  <w:noWrap w:val="0"/>
                  <w:vAlign w:val="center"/>
                </w:tcPr>
                <w:p>
                  <w:pPr>
                    <w:pageBreakBefore w:val="0"/>
                    <w:widowControl w:val="0"/>
                    <w:kinsoku/>
                    <w:wordWrap/>
                    <w:overflowPunct/>
                    <w:topLinePunct w:val="0"/>
                    <w:bidi w:val="0"/>
                    <w:adjustRightInd w:val="0"/>
                    <w:snapToGrid w:val="0"/>
                    <w:spacing w:line="240" w:lineRule="auto"/>
                    <w:ind w:firstLine="0" w:firstLineChars="0"/>
                    <w:jc w:val="center"/>
                    <w:textAlignment w:val="auto"/>
                    <w:rPr>
                      <w:rFonts w:hint="default" w:ascii="Times New Roman" w:hAnsi="Times New Roman" w:eastAsia="宋体" w:cs="Times New Roman"/>
                      <w:kern w:val="0"/>
                      <w:sz w:val="21"/>
                      <w:szCs w:val="20"/>
                      <w:highlight w:val="none"/>
                      <w:u w:val="none" w:color="auto"/>
                      <w:lang w:val="en-US" w:eastAsia="zh-CN" w:bidi="ar-SA"/>
                    </w:rPr>
                  </w:pPr>
                </w:p>
              </w:tc>
            </w:tr>
          </w:tbl>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360" w:lineRule="auto"/>
              <w:ind w:right="0" w:firstLine="482" w:firstLineChars="200"/>
              <w:textAlignment w:val="auto"/>
              <w:rPr>
                <w:rFonts w:hint="default" w:ascii="Times New Roman" w:hAnsi="Times New Roman" w:cs="Times New Roman" w:eastAsiaTheme="minorEastAsia"/>
                <w:b/>
                <w:bCs/>
                <w:color w:val="000000" w:themeColor="text1"/>
                <w:sz w:val="24"/>
                <w:szCs w:val="24"/>
                <w:highlight w:val="none"/>
                <w:u w:val="none" w:color="auto"/>
                <w14:textFill>
                  <w14:solidFill>
                    <w14:schemeClr w14:val="tx1"/>
                  </w14:solidFill>
                </w14:textFill>
              </w:rPr>
            </w:pPr>
            <w:r>
              <w:rPr>
                <w:rFonts w:hint="eastAsia" w:cs="Times New Roman" w:eastAsiaTheme="minorEastAsia"/>
                <w:b/>
                <w:bCs/>
                <w:color w:val="000000" w:themeColor="text1"/>
                <w:sz w:val="24"/>
                <w:szCs w:val="24"/>
                <w:highlight w:val="none"/>
                <w:u w:val="none" w:color="auto"/>
                <w:lang w:val="en-US" w:eastAsia="zh-CN"/>
                <w14:textFill>
                  <w14:solidFill>
                    <w14:schemeClr w14:val="tx1"/>
                  </w14:solidFill>
                </w14:textFill>
              </w:rPr>
              <w:t>4、</w:t>
            </w:r>
            <w:r>
              <w:rPr>
                <w:rFonts w:hint="default" w:ascii="Times New Roman" w:hAnsi="Times New Roman" w:cs="Times New Roman" w:eastAsiaTheme="minorEastAsia"/>
                <w:b/>
                <w:bCs/>
                <w:color w:val="000000" w:themeColor="text1"/>
                <w:sz w:val="24"/>
                <w:szCs w:val="24"/>
                <w:highlight w:val="none"/>
                <w:u w:val="none" w:color="auto"/>
                <w14:textFill>
                  <w14:solidFill>
                    <w14:schemeClr w14:val="tx1"/>
                  </w14:solidFill>
                </w14:textFill>
              </w:rPr>
              <w:t>固体废物环境影响分析</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right="0" w:firstLine="480" w:firstLineChars="200"/>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2"/>
                <w:highlight w:val="none"/>
                <w:u w:val="none" w:color="auto"/>
                <w:lang w:val="en-US" w:eastAsia="zh-CN"/>
                <w14:textFill>
                  <w14:solidFill>
                    <w14:schemeClr w14:val="tx1"/>
                  </w14:solidFill>
                </w14:textFill>
              </w:rPr>
              <w:t>项目</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所产生的固体废弃物主要包括废隔膜、废边角料、原辅材料废包装袋（桶）、不合格电池、</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生活垃圾、</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废活性炭、废电解液等。</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①</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废隔膜</w:t>
            </w:r>
            <w:r>
              <w:rPr>
                <w:rFonts w:hint="default" w:ascii="Times New Roman" w:hAnsi="Times New Roman" w:cs="Times New Roman" w:eastAsiaTheme="minorEastAsia"/>
                <w:color w:val="000000" w:themeColor="text1"/>
                <w:sz w:val="24"/>
                <w:szCs w:val="24"/>
                <w:highlight w:val="none"/>
                <w:u w:val="none" w:color="auto"/>
                <w14:textFill>
                  <w14:solidFill>
                    <w14:schemeClr w14:val="tx1"/>
                  </w14:solidFill>
                </w14:textFill>
              </w:rPr>
              <w:t>：</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废隔膜产生量为1.0t/a</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，集中收集后外售处理</w:t>
            </w:r>
            <w:r>
              <w:rPr>
                <w:rFonts w:hint="eastAsia" w:cs="Times New Roman" w:eastAsiaTheme="minorEastAsia"/>
                <w:color w:val="000000" w:themeColor="text1"/>
                <w:sz w:val="24"/>
                <w:szCs w:val="24"/>
                <w:highlight w:val="none"/>
                <w:u w:val="none" w:color="auto"/>
                <w:lang w:eastAsia="zh-CN"/>
                <w14:textFill>
                  <w14:solidFill>
                    <w14:schemeClr w14:val="tx1"/>
                  </w14:solidFill>
                </w14:textFill>
              </w:rPr>
              <w:t>；</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②</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废边角料</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项目在分切过程会产生一定的废极片边角料，废边角料产生量约2t/a。根据《关于废旧锂电池收集处置有关问题的复函》（环办函[2014]1621号）：“根据《废电池污染防治技术政策》，废锂离子电池（通常也称为废锂电池）等其他废电池不属于危险废物。同时，锂电池一般不含有毒有害成分，废旧锂电池的环境危险性较小。因此，废旧锂电池不属于危险废物”、“废旧锂电池的收集、贮存、处置应参照一般工业固体废物的相关环境管理与污染防治要求，防止环境污染”，集中收集后外售处理</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③原辅材料废包装袋（桶）：镍钴锰酸锂、CMC、炭黑、石墨、NMP、SBR及电解液原辅材料在使用过程中会产生废包装桶(袋)，产生量为0.</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4625</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t/a，属于《国家危险废物名录》(环境保护部令第39号)中危险废物(废物类别：HW49其他废物中非特定行业，废物代码：900-041-49)交由厂家回收利用；</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④不合格电池：项目在生产过程会产生不合格电池，不合格电池按照产量的5‰计算，则产生量约</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150</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万支/a。根据《关于废旧锂电池收集处置有关问题的复函》（环办函[2014]1621号）：“根据《废电池污染防治技术政策》，废锂离子电池（通常也称为废锂电池）等其他废电池不属于危险废物。同时，锂电池一般不含有毒有害成分，废旧锂电池的环境危险性较小。因此，废旧锂电池不属于危险废物”、“废旧锂电池的收集、贮存、处置应参照一般工业固体废物的相关环境管理与污染防治要求，防止环境污染”。因此，不合格电池不属于危险废物。根据《废电池污染防治技术政策》：“废电池污染防治应遵循闭环与绿色回收、资源利用优先、合理安全处置的综合防治原则”。不合格电池暂存于一般固废暂存间，定期交给有资质的单位合理安全处置，禁止混入生活垃圾处理</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⑤</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生活垃圾：</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项目</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员工人数为</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400</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人，生活垃圾产量按1.0kg.d/人计算，生活垃圾产生量为</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120</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t/a，由环卫部门运往城市生活垃圾填埋场进行集中处理</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⑥废活性炭：本项目在处理涂布烘干有机废气、注液有机废气时采用活性炭吸附法吸附，一般情况下活性炭在吸附量达到一定程度时便会自动失效，因此应定期更换活性炭以保证有机废气处理效果，一般情况下1kg活性炭按照吸附0.4kg有机物进行保守计算，本项目有机废气削减量约为26.6076t/a，需要活性炭约为66.519t/a，则产生的废活性炭约66.519t/a，产生的废活性炭属于《国家危险废物名录》(环境保护部令第39号)中危险废物(废物类别：HW49其他废物中的非特定行业，废物代码900-041-49），交由有处理资质单位进行处理。</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⑦废电解液：项目废电解液产生量按照原料用量的0.5‰计算，则废电解液产生量为1.05t/a。废电解液属于《国家危险废物名录》（2021版）中危险废物（废物类别HW34，废物代码900-349-34），交由有处理资质单位进行处理。</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⑧NMP废液：项目涂布废气采用冷凝回收以及喷淋工艺对NMP进行回收，回收后贮存于NMP包装桶内，根据工程分析，NMP废液产生量为349.855t/a，由供应商回收替换。根据《固体废弃物鉴别通则》（GB34330-2017）第6.1a)条“任何不需要修复和加工即可用于其原始用途的物质，或者在产生点经过修复和加工后满足国家、地方制定或行业通行的产品质量标准并且用于其原始用途的物质”规定，NMP废液溶剂不属于固废。</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本项目设置危险废物暂存间（35m</w:t>
            </w:r>
            <w:r>
              <w:rPr>
                <w:rFonts w:hint="eastAsia" w:ascii="Times New Roman" w:hAnsi="Times New Roman" w:cs="Times New Roman" w:eastAsiaTheme="minorEastAsia"/>
                <w:color w:val="000000" w:themeColor="text1"/>
                <w:sz w:val="24"/>
                <w:szCs w:val="24"/>
                <w:highlight w:val="none"/>
                <w:u w:val="none" w:color="auto"/>
                <w:vertAlign w:val="superscript"/>
                <w:lang w:val="en-US" w:eastAsia="zh-CN"/>
                <w14:textFill>
                  <w14:solidFill>
                    <w14:schemeClr w14:val="tx1"/>
                  </w14:solidFill>
                </w14:textFill>
              </w:rPr>
              <w:t>2</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）以及一般固废暂存间（40m</w:t>
            </w:r>
            <w:r>
              <w:rPr>
                <w:rFonts w:hint="eastAsia" w:ascii="Times New Roman" w:hAnsi="Times New Roman" w:cs="Times New Roman" w:eastAsiaTheme="minorEastAsia"/>
                <w:color w:val="000000" w:themeColor="text1"/>
                <w:sz w:val="24"/>
                <w:szCs w:val="24"/>
                <w:highlight w:val="none"/>
                <w:u w:val="none" w:color="auto"/>
                <w:vertAlign w:val="superscript"/>
                <w:lang w:val="en-US" w:eastAsia="zh-CN"/>
                <w14:textFill>
                  <w14:solidFill>
                    <w14:schemeClr w14:val="tx1"/>
                  </w14:solidFill>
                </w14:textFill>
              </w:rPr>
              <w:t>2</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），将危险废物统一收集至危废暂存间（35m</w:t>
            </w:r>
            <w:r>
              <w:rPr>
                <w:rFonts w:hint="eastAsia" w:ascii="Times New Roman" w:hAnsi="Times New Roman" w:cs="Times New Roman" w:eastAsiaTheme="minorEastAsia"/>
                <w:color w:val="000000" w:themeColor="text1"/>
                <w:sz w:val="24"/>
                <w:szCs w:val="24"/>
                <w:highlight w:val="none"/>
                <w:u w:val="none" w:color="auto"/>
                <w:vertAlign w:val="superscript"/>
                <w:lang w:val="en-US" w:eastAsia="zh-CN"/>
                <w14:textFill>
                  <w14:solidFill>
                    <w14:schemeClr w14:val="tx1"/>
                  </w14:solidFill>
                </w14:textFill>
              </w:rPr>
              <w:t>2</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单独贮存，将本项目危险废物转移至危废暂存间，危废在厂内暂存期间不再进行利用与处置，无二次污染风险；项目与有资质单位签订委托处置合同，定期将危废废物交资质单位运输处置，资质单位运输与处置危废不在本次评价范围内；项目建设期同时考虑建设危废暂存间，确保运营期正常投入使用，在项目服务期满后确保将危险废物全部委托资质单位处理完毕，无遗留。</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针对设置固废暂存区域，切实做好该区域“防风、防雨、防晒、防渗漏”工作，不造成二次污染，环评提出以下具体要求：</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①危险废物的收集必须按照危险废物的相关规定进行，各种固废单独隔离存放，禁止与其它原料或废物混合存放。各种废物包装贮存需按照国家相应要求处置，贮存场所按照GB15562.2设置警示标准。建有堵截泄漏的裙脚，地面与裙脚要用坚固的防渗材料建造。应有隔离设施、报警装置和防风、防晒、防雨设施。</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②危险固废暂存区域需有耐腐蚀的硬化地面，地面无裂缝；衬层上需建有渗漏液收集清除系统。</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③危险暂存场四周修建围堰，围堰设置导流沟，导流沟直接接入生产废水处理站调节水池，暂存场地面和四周挡墙、围堰和导流沟作防渗、防腐处理。</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④危废暂存场不作为永久渣场厂区储存，暂存不得超过一年。废物转运时必须安全转移，防止撒漏，废油等采用专用罐车运输，有具有相应处理资质的单位接手。并严格执行危险废物转运联单制度，防止二次污染的产生。</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项目所有固废要按照“减量化、资源化、无害化”处理原则，加强固体废物的内部管理，建立固体废物产生、外运、处置及最终去向的详细账单，按废物转移交换处置管理办法实施追踪管理，并落实安全管理责任，避免二次污染。一般工业固废暂存场所需按照《一般工业固体废物贮存和填埋污染控制标准》（GB 18599-2020）要求建设，固废按相关标准和要求妥善处置后，对外影响较小。</w:t>
            </w:r>
          </w:p>
          <w:p>
            <w:pPr>
              <w:keepNext w:val="0"/>
              <w:keepLines w:val="0"/>
              <w:pageBreakBefore w:val="0"/>
              <w:widowControl w:val="0"/>
              <w:suppressLineNumbers w:val="0"/>
              <w:kinsoku/>
              <w:wordWrap/>
              <w:overflowPunct/>
              <w:topLinePunct w:val="0"/>
              <w:autoSpaceDE/>
              <w:autoSpaceDN/>
              <w:bidi w:val="0"/>
              <w:adjustRightInd w:val="0"/>
              <w:snapToGrid w:val="0"/>
              <w:spacing w:beforeAutospacing="0" w:afterAutospacing="0" w:line="360" w:lineRule="auto"/>
              <w:ind w:left="0" w:right="0" w:firstLine="480" w:firstLineChars="200"/>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通过采取上述措施后，本项目固体废物均可得到妥善的处理，对区域环境影响较小。</w:t>
            </w:r>
          </w:p>
          <w:p>
            <w:pPr>
              <w:keepNext w:val="0"/>
              <w:keepLines w:val="0"/>
              <w:suppressLineNumbers w:val="0"/>
              <w:spacing w:before="0" w:beforeAutospacing="0" w:after="0" w:afterAutospacing="0" w:line="360" w:lineRule="auto"/>
              <w:ind w:right="0" w:firstLine="482" w:firstLineChars="200"/>
              <w:rPr>
                <w:rFonts w:hint="default" w:ascii="Times New Roman" w:hAnsi="Times New Roman" w:cs="Times New Roman" w:eastAsiaTheme="minorEastAsia"/>
                <w:b/>
                <w:bCs/>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b/>
                <w:bCs/>
                <w:color w:val="000000" w:themeColor="text1"/>
                <w:sz w:val="24"/>
                <w:szCs w:val="24"/>
                <w:highlight w:val="none"/>
                <w:u w:val="none" w:color="auto"/>
                <w:lang w:val="en-US" w:eastAsia="zh-CN"/>
                <w14:textFill>
                  <w14:solidFill>
                    <w14:schemeClr w14:val="tx1"/>
                  </w14:solidFill>
                </w14:textFill>
              </w:rPr>
              <w:t>5、地下水、土壤环境影响分析</w:t>
            </w:r>
          </w:p>
          <w:p>
            <w:pPr>
              <w:ind w:firstLine="480"/>
              <w:rPr>
                <w:rFonts w:ascii="Times New Roman" w:hAnsi="Times New Roman" w:eastAsia="宋体" w:cs="Times New Roman"/>
                <w:szCs w:val="24"/>
                <w:highlight w:val="none"/>
                <w:u w:val="none" w:color="auto"/>
              </w:rPr>
            </w:pPr>
            <w:r>
              <w:rPr>
                <w:rFonts w:hint="eastAsia" w:ascii="Times New Roman" w:hAnsi="Times New Roman" w:eastAsia="宋体" w:cs="Times New Roman"/>
                <w:szCs w:val="24"/>
                <w:highlight w:val="none"/>
                <w:u w:val="none" w:color="auto"/>
              </w:rPr>
              <w:t>对地下水和土壤环境可能造成影响的主要是有毒有害等物质泄露，泄露后以渗透为主，可能进入地下水层造成地下水水质污染和土壤污染的可能。</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480" w:firstLineChars="200"/>
              <w:textAlignment w:val="auto"/>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pPr>
            <w:r>
              <w:rPr>
                <w:rFonts w:hint="eastAsia" w:ascii="Times New Roman" w:hAnsi="Times New Roman" w:eastAsia="宋体" w:cs="Times New Roman"/>
                <w:szCs w:val="24"/>
                <w:highlight w:val="none"/>
                <w:u w:val="none" w:color="auto"/>
              </w:rPr>
              <w:t>本项目厂区已</w:t>
            </w:r>
            <w:r>
              <w:rPr>
                <w:rFonts w:hint="eastAsia" w:cs="Times New Roman"/>
                <w:szCs w:val="24"/>
                <w:highlight w:val="none"/>
                <w:u w:val="none" w:color="auto"/>
                <w:lang w:val="en-US" w:eastAsia="zh-CN"/>
              </w:rPr>
              <w:t>铺设水泥板</w:t>
            </w:r>
            <w:r>
              <w:rPr>
                <w:rFonts w:hint="eastAsia" w:ascii="Times New Roman" w:hAnsi="Times New Roman" w:eastAsia="宋体" w:cs="Times New Roman"/>
                <w:szCs w:val="24"/>
                <w:highlight w:val="none"/>
                <w:u w:val="none" w:color="auto"/>
              </w:rPr>
              <w:t>，且不存在土壤和地下水的污染途径。</w:t>
            </w:r>
          </w:p>
          <w:p>
            <w:pPr>
              <w:keepNext w:val="0"/>
              <w:keepLines w:val="0"/>
              <w:suppressLineNumbers w:val="0"/>
              <w:spacing w:before="0" w:beforeAutospacing="0" w:after="0" w:afterAutospacing="0" w:line="360" w:lineRule="auto"/>
              <w:ind w:right="0" w:firstLine="482" w:firstLineChars="200"/>
              <w:rPr>
                <w:rFonts w:hint="default" w:ascii="Times New Roman" w:hAnsi="Times New Roman" w:cs="Times New Roman" w:eastAsiaTheme="minorEastAsia"/>
                <w:b/>
                <w:bCs/>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b/>
                <w:bCs/>
                <w:color w:val="000000" w:themeColor="text1"/>
                <w:sz w:val="24"/>
                <w:szCs w:val="24"/>
                <w:highlight w:val="none"/>
                <w:u w:val="none" w:color="auto"/>
                <w:lang w:val="en-US" w:eastAsia="zh-CN"/>
                <w14:textFill>
                  <w14:solidFill>
                    <w14:schemeClr w14:val="tx1"/>
                  </w14:solidFill>
                </w14:textFill>
              </w:rPr>
              <w:t>6、</w:t>
            </w:r>
            <w:r>
              <w:rPr>
                <w:rFonts w:hint="default" w:ascii="Times New Roman" w:hAnsi="Times New Roman" w:cs="Times New Roman" w:eastAsiaTheme="minorEastAsia"/>
                <w:b/>
                <w:bCs/>
                <w:color w:val="000000" w:themeColor="text1"/>
                <w:sz w:val="24"/>
                <w:szCs w:val="24"/>
                <w:highlight w:val="none"/>
                <w:u w:val="none" w:color="auto"/>
                <w:lang w:val="en-US" w:eastAsia="zh-CN"/>
                <w14:textFill>
                  <w14:solidFill>
                    <w14:schemeClr w14:val="tx1"/>
                  </w14:solidFill>
                </w14:textFill>
              </w:rPr>
              <w:t>环境风险分析</w:t>
            </w:r>
          </w:p>
          <w:p>
            <w:pPr>
              <w:ind w:firstLine="480"/>
              <w:rPr>
                <w:rFonts w:ascii="Times New Roman" w:hAnsi="Times New Roman" w:eastAsia="宋体" w:cs="Times New Roman"/>
                <w:szCs w:val="24"/>
                <w:u w:val="none" w:color="auto"/>
              </w:rPr>
            </w:pPr>
            <w:r>
              <w:rPr>
                <w:rFonts w:hint="eastAsia" w:ascii="Times New Roman" w:hAnsi="Times New Roman" w:eastAsia="宋体" w:cs="Times New Roman"/>
                <w:szCs w:val="24"/>
                <w:u w:val="none" w:color="auto"/>
                <w:lang w:val="en-US" w:eastAsia="zh-CN"/>
              </w:rPr>
              <w:t>根据该建设项目的工程性质、作业方式及当地环境特征，确定项目风险类型，提出合理可行的防范、应急与减缓措施，以使建设项目事故率、损失和环境影响达到可接受水平。</w:t>
            </w:r>
          </w:p>
          <w:p>
            <w:pPr>
              <w:pStyle w:val="57"/>
              <w:keepNext w:val="0"/>
              <w:keepLines w:val="0"/>
              <w:pageBreakBefore w:val="0"/>
              <w:widowControl w:val="0"/>
              <w:kinsoku/>
              <w:wordWrap/>
              <w:overflowPunct/>
              <w:topLinePunct w:val="0"/>
              <w:autoSpaceDE/>
              <w:autoSpaceDN/>
              <w:bidi w:val="0"/>
              <w:adjustRightInd w:val="0"/>
              <w:snapToGrid w:val="0"/>
              <w:spacing w:line="360" w:lineRule="auto"/>
              <w:ind w:firstLine="462"/>
              <w:textAlignment w:val="auto"/>
              <w:rPr>
                <w:rFonts w:hint="default" w:ascii="Times New Roman" w:hAnsi="Times New Roman" w:eastAsia="宋体" w:cs="Times New Roman"/>
                <w:b w:val="0"/>
                <w:bCs w:val="0"/>
                <w:color w:val="auto"/>
                <w:highlight w:val="none"/>
                <w:u w:val="none" w:color="auto"/>
                <w:lang w:val="en-US" w:eastAsia="zh-CN"/>
              </w:rPr>
            </w:pPr>
            <w:r>
              <w:rPr>
                <w:rFonts w:hint="eastAsia" w:ascii="Times New Roman" w:hAnsi="Times New Roman" w:eastAsia="宋体" w:cs="Times New Roman"/>
                <w:szCs w:val="24"/>
                <w:u w:val="none" w:color="auto"/>
                <w:lang w:val="en-US" w:eastAsia="zh-CN"/>
              </w:rPr>
              <w:t>根据按照《建设项目环境风险评价技术导则》（</w:t>
            </w:r>
            <w:r>
              <w:rPr>
                <w:rFonts w:hint="default" w:ascii="Times New Roman" w:hAnsi="Times New Roman" w:eastAsia="宋体" w:cs="Times New Roman"/>
                <w:szCs w:val="24"/>
                <w:u w:val="none" w:color="auto"/>
                <w:lang w:val="en-US" w:eastAsia="zh-CN"/>
              </w:rPr>
              <w:t>HJ169-2018</w:t>
            </w:r>
            <w:r>
              <w:rPr>
                <w:rFonts w:hint="eastAsia" w:ascii="Times New Roman" w:hAnsi="Times New Roman" w:eastAsia="宋体" w:cs="Times New Roman"/>
                <w:szCs w:val="24"/>
                <w:u w:val="none" w:color="auto"/>
                <w:lang w:val="en-US" w:eastAsia="zh-CN"/>
              </w:rPr>
              <w:t>）附录</w:t>
            </w:r>
            <w:r>
              <w:rPr>
                <w:rFonts w:hint="default" w:ascii="Times New Roman" w:hAnsi="Times New Roman" w:eastAsia="宋体" w:cs="Times New Roman"/>
                <w:szCs w:val="24"/>
                <w:u w:val="none" w:color="auto"/>
                <w:lang w:val="en-US" w:eastAsia="zh-CN"/>
              </w:rPr>
              <w:t>B</w:t>
            </w:r>
            <w:r>
              <w:rPr>
                <w:rFonts w:hint="eastAsia" w:ascii="Times New Roman" w:hAnsi="Times New Roman" w:eastAsia="宋体" w:cs="Times New Roman"/>
                <w:szCs w:val="24"/>
                <w:u w:val="none" w:color="auto"/>
                <w:lang w:val="en-US" w:eastAsia="zh-CN"/>
              </w:rPr>
              <w:t>及《重大危</w:t>
            </w:r>
            <w:r>
              <w:rPr>
                <w:rFonts w:hint="eastAsia" w:ascii="Times New Roman" w:hAnsi="Times New Roman" w:eastAsia="宋体" w:cs="Times New Roman"/>
                <w:szCs w:val="24"/>
                <w:highlight w:val="none"/>
                <w:u w:val="none" w:color="auto"/>
                <w:lang w:val="en-US" w:eastAsia="zh-CN"/>
              </w:rPr>
              <w:t>险源辨识》（</w:t>
            </w:r>
            <w:r>
              <w:rPr>
                <w:rFonts w:hint="default" w:ascii="Times New Roman" w:hAnsi="Times New Roman" w:eastAsia="宋体" w:cs="Times New Roman"/>
                <w:szCs w:val="24"/>
                <w:highlight w:val="none"/>
                <w:u w:val="none" w:color="auto"/>
                <w:lang w:val="en-US" w:eastAsia="zh-CN"/>
              </w:rPr>
              <w:t>GB18218-2018</w:t>
            </w:r>
            <w:r>
              <w:rPr>
                <w:rFonts w:hint="eastAsia" w:ascii="Times New Roman" w:hAnsi="Times New Roman" w:eastAsia="宋体" w:cs="Times New Roman"/>
                <w:szCs w:val="24"/>
                <w:highlight w:val="none"/>
                <w:u w:val="none" w:color="auto"/>
                <w:lang w:val="en-US" w:eastAsia="zh-CN"/>
              </w:rPr>
              <w:t>），本项目涉及有毒有害和易燃易爆等危险化学品主要为</w:t>
            </w:r>
            <w:r>
              <w:rPr>
                <w:rFonts w:hint="default" w:ascii="Times New Roman" w:hAnsi="Times New Roman" w:eastAsia="宋体" w:cs="Times New Roman"/>
                <w:b w:val="0"/>
                <w:bCs w:val="0"/>
                <w:color w:val="auto"/>
                <w:highlight w:val="none"/>
                <w:u w:val="none" w:color="auto"/>
                <w:lang w:val="en-US" w:eastAsia="zh-CN"/>
              </w:rPr>
              <w:t>NMP、电解液</w:t>
            </w:r>
            <w:r>
              <w:rPr>
                <w:rFonts w:hint="eastAsia" w:cs="Times New Roman"/>
                <w:b w:val="0"/>
                <w:bCs w:val="0"/>
                <w:color w:val="auto"/>
                <w:highlight w:val="none"/>
                <w:u w:val="none" w:color="auto"/>
                <w:lang w:val="en-US" w:eastAsia="zh-CN"/>
              </w:rPr>
              <w:t>、油墨</w:t>
            </w:r>
            <w:r>
              <w:rPr>
                <w:rFonts w:hint="default" w:ascii="Times New Roman" w:hAnsi="Times New Roman" w:eastAsia="宋体" w:cs="Times New Roman"/>
                <w:b w:val="0"/>
                <w:bCs w:val="0"/>
                <w:color w:val="auto"/>
                <w:highlight w:val="none"/>
                <w:u w:val="none" w:color="auto"/>
                <w:lang w:val="en-US" w:eastAsia="zh-CN"/>
              </w:rPr>
              <w:t>。</w:t>
            </w:r>
            <w:r>
              <w:rPr>
                <w:rFonts w:hint="eastAsia" w:ascii="Times New Roman" w:eastAsia="宋体"/>
                <w:lang w:val="en-US" w:eastAsia="zh-CN"/>
              </w:rPr>
              <w:t>《危险化学品重大危险源辨识》</w:t>
            </w:r>
            <w:r>
              <w:rPr>
                <w:rFonts w:hint="default"/>
                <w:lang w:val="en-US" w:eastAsia="zh-CN"/>
              </w:rPr>
              <w:t>(GB18218-2018)</w:t>
            </w:r>
            <w:r>
              <w:rPr>
                <w:rFonts w:hint="eastAsia" w:ascii="Times New Roman" w:eastAsia="宋体"/>
                <w:lang w:val="en-US" w:eastAsia="zh-CN"/>
              </w:rPr>
              <w:t>及《建设项目环境风险评价技术导则》（</w:t>
            </w:r>
            <w:r>
              <w:rPr>
                <w:rFonts w:hint="default"/>
                <w:lang w:val="en-US" w:eastAsia="zh-CN"/>
              </w:rPr>
              <w:t>HJ169-2018</w:t>
            </w:r>
            <w:r>
              <w:rPr>
                <w:rFonts w:hint="eastAsia" w:ascii="Times New Roman" w:eastAsia="宋体"/>
                <w:lang w:val="en-US" w:eastAsia="zh-CN"/>
              </w:rPr>
              <w:t>）中均未列入</w:t>
            </w:r>
            <w:r>
              <w:rPr>
                <w:rFonts w:hint="default"/>
                <w:lang w:val="en-US" w:eastAsia="zh-CN"/>
              </w:rPr>
              <w:t>NMP</w:t>
            </w:r>
            <w:r>
              <w:rPr>
                <w:rFonts w:hint="eastAsia" w:ascii="Times New Roman" w:eastAsia="宋体"/>
                <w:lang w:val="en-US" w:eastAsia="zh-CN"/>
              </w:rPr>
              <w:t>。根据《化学品分类和标签规范 第</w:t>
            </w:r>
            <w:r>
              <w:rPr>
                <w:rFonts w:hint="default"/>
                <w:lang w:val="en-US" w:eastAsia="zh-CN"/>
              </w:rPr>
              <w:t>7</w:t>
            </w:r>
            <w:r>
              <w:rPr>
                <w:rFonts w:hint="eastAsia" w:ascii="Times New Roman" w:eastAsia="宋体"/>
                <w:lang w:val="en-US" w:eastAsia="zh-CN"/>
              </w:rPr>
              <w:t>部分：易燃液体》（</w:t>
            </w:r>
            <w:r>
              <w:rPr>
                <w:rFonts w:hint="default"/>
                <w:lang w:val="en-US" w:eastAsia="zh-CN"/>
              </w:rPr>
              <w:t>GB30000.7-2013</w:t>
            </w:r>
            <w:r>
              <w:rPr>
                <w:rFonts w:hint="eastAsia" w:ascii="Times New Roman" w:eastAsia="宋体"/>
                <w:lang w:val="en-US" w:eastAsia="zh-CN"/>
              </w:rPr>
              <w:t>），</w:t>
            </w:r>
            <w:r>
              <w:rPr>
                <w:rFonts w:hint="default"/>
                <w:lang w:val="en-US" w:eastAsia="zh-CN"/>
              </w:rPr>
              <w:t>NMP</w:t>
            </w:r>
            <w:r>
              <w:rPr>
                <w:rFonts w:hint="eastAsia" w:ascii="Times New Roman" w:eastAsia="宋体"/>
                <w:lang w:val="en-US" w:eastAsia="zh-CN"/>
              </w:rPr>
              <w:t>闪点</w:t>
            </w:r>
            <w:r>
              <w:rPr>
                <w:rFonts w:hint="default"/>
                <w:lang w:val="en-US" w:eastAsia="zh-CN"/>
              </w:rPr>
              <w:t>95</w:t>
            </w:r>
            <w:r>
              <w:rPr>
                <w:rFonts w:hint="eastAsia" w:ascii="Times New Roman" w:eastAsia="宋体"/>
                <w:lang w:val="en-US" w:eastAsia="zh-CN"/>
              </w:rPr>
              <w:t>℃，不属于</w:t>
            </w:r>
            <w:r>
              <w:rPr>
                <w:rFonts w:hint="default"/>
                <w:lang w:val="en-US" w:eastAsia="zh-CN"/>
              </w:rPr>
              <w:t>1~4</w:t>
            </w:r>
            <w:r>
              <w:rPr>
                <w:rFonts w:hint="eastAsia" w:ascii="Times New Roman" w:eastAsia="宋体"/>
                <w:lang w:val="en-US" w:eastAsia="zh-CN"/>
              </w:rPr>
              <w:t>类易燃液体。根据《化学品分类和标签规范 第</w:t>
            </w:r>
            <w:r>
              <w:rPr>
                <w:rFonts w:hint="default"/>
                <w:lang w:val="en-US" w:eastAsia="zh-CN"/>
              </w:rPr>
              <w:t>18</w:t>
            </w:r>
            <w:r>
              <w:rPr>
                <w:rFonts w:hint="eastAsia" w:ascii="Times New Roman" w:eastAsia="宋体"/>
                <w:lang w:val="en-US" w:eastAsia="zh-CN"/>
              </w:rPr>
              <w:t>部分：急性毒性》（</w:t>
            </w:r>
            <w:r>
              <w:rPr>
                <w:rFonts w:hint="default"/>
                <w:lang w:val="en-US" w:eastAsia="zh-CN"/>
              </w:rPr>
              <w:t>GB30000.18-2013</w:t>
            </w:r>
            <w:r>
              <w:rPr>
                <w:rFonts w:hint="eastAsia" w:ascii="Times New Roman" w:eastAsia="宋体"/>
                <w:lang w:val="en-US" w:eastAsia="zh-CN"/>
              </w:rPr>
              <w:t>），</w:t>
            </w:r>
            <w:r>
              <w:rPr>
                <w:rFonts w:hint="default"/>
                <w:lang w:val="en-US" w:eastAsia="zh-CN"/>
              </w:rPr>
              <w:t>NMP</w:t>
            </w:r>
            <w:r>
              <w:rPr>
                <w:rFonts w:hint="eastAsia" w:ascii="Times New Roman" w:eastAsia="宋体"/>
                <w:lang w:val="en-US" w:eastAsia="zh-CN"/>
              </w:rPr>
              <w:t>大鼠经口</w:t>
            </w:r>
            <w:r>
              <w:rPr>
                <w:rFonts w:hint="default"/>
                <w:lang w:val="en-US" w:eastAsia="zh-CN"/>
              </w:rPr>
              <w:t>LD</w:t>
            </w:r>
            <w:r>
              <w:rPr>
                <w:rFonts w:hint="default"/>
                <w:vertAlign w:val="subscript"/>
                <w:lang w:val="en-US" w:eastAsia="zh-CN"/>
              </w:rPr>
              <w:t>50</w:t>
            </w:r>
            <w:r>
              <w:rPr>
                <w:rFonts w:hint="eastAsia" w:ascii="Times New Roman" w:eastAsia="宋体"/>
                <w:lang w:val="en-US" w:eastAsia="zh-CN"/>
              </w:rPr>
              <w:t>为</w:t>
            </w:r>
            <w:r>
              <w:rPr>
                <w:rFonts w:hint="default"/>
                <w:lang w:val="en-US" w:eastAsia="zh-CN"/>
              </w:rPr>
              <w:t>3914mg/kg</w:t>
            </w:r>
            <w:r>
              <w:rPr>
                <w:rFonts w:hint="eastAsia" w:ascii="Times New Roman" w:eastAsia="宋体"/>
                <w:lang w:val="en-US" w:eastAsia="zh-CN"/>
              </w:rPr>
              <w:t>，属于类别</w:t>
            </w:r>
            <w:r>
              <w:rPr>
                <w:rFonts w:hint="default"/>
                <w:lang w:val="en-US" w:eastAsia="zh-CN"/>
              </w:rPr>
              <w:t>5</w:t>
            </w:r>
            <w:r>
              <w:rPr>
                <w:rFonts w:hint="eastAsia" w:ascii="Times New Roman" w:eastAsia="宋体"/>
                <w:lang w:val="en-US" w:eastAsia="zh-CN"/>
              </w:rPr>
              <w:t>。因此，</w:t>
            </w:r>
            <w:r>
              <w:rPr>
                <w:rFonts w:hint="default"/>
                <w:lang w:val="en-US" w:eastAsia="zh-CN"/>
              </w:rPr>
              <w:t>NMP</w:t>
            </w:r>
            <w:r>
              <w:rPr>
                <w:rFonts w:hint="eastAsia" w:ascii="Times New Roman" w:eastAsia="宋体"/>
                <w:lang w:val="en-US" w:eastAsia="zh-CN"/>
              </w:rPr>
              <w:t>不属于有毒、易燃物质。电解液有机溶剂为碳酸甲乙酯，碳酸乙烯酯，碳酸二甲酯，电解质为六氟磷酸锂（</w:t>
            </w:r>
            <w:r>
              <w:rPr>
                <w:rFonts w:hint="default"/>
                <w:lang w:val="en-US" w:eastAsia="zh-CN"/>
              </w:rPr>
              <w:t>LiPF</w:t>
            </w:r>
            <w:r>
              <w:rPr>
                <w:rFonts w:hint="default"/>
                <w:vertAlign w:val="subscript"/>
                <w:lang w:val="en-US" w:eastAsia="zh-CN"/>
              </w:rPr>
              <w:t>6</w:t>
            </w:r>
            <w:r>
              <w:rPr>
                <w:rFonts w:hint="eastAsia" w:ascii="Times New Roman" w:eastAsia="宋体"/>
                <w:lang w:val="en-US" w:eastAsia="zh-CN"/>
              </w:rPr>
              <w:t>）。</w:t>
            </w:r>
            <w:r>
              <w:rPr>
                <w:rFonts w:hint="eastAsia" w:ascii="宋体" w:hAnsi="宋体" w:eastAsia="宋体" w:cs="宋体"/>
                <w:color w:val="000000"/>
                <w:kern w:val="0"/>
                <w:sz w:val="24"/>
                <w:szCs w:val="24"/>
                <w:lang w:val="en-US" w:eastAsia="zh-CN" w:bidi="ar"/>
              </w:rPr>
              <w:t>电解液中碳酸甲乙酯（含量约</w:t>
            </w:r>
            <w:r>
              <w:rPr>
                <w:rFonts w:hint="default" w:ascii="Times New Roman" w:hAnsi="Times New Roman" w:eastAsia="宋体" w:cs="Times New Roman"/>
                <w:color w:val="000000"/>
                <w:kern w:val="0"/>
                <w:sz w:val="24"/>
                <w:szCs w:val="24"/>
                <w:lang w:val="en-US" w:eastAsia="zh-CN" w:bidi="ar"/>
              </w:rPr>
              <w:t>5%</w:t>
            </w:r>
            <w:r>
              <w:rPr>
                <w:rFonts w:hint="eastAsia" w:ascii="宋体" w:hAnsi="宋体" w:eastAsia="宋体" w:cs="宋体"/>
                <w:color w:val="000000"/>
                <w:kern w:val="0"/>
                <w:sz w:val="24"/>
                <w:szCs w:val="24"/>
                <w:lang w:val="en-US" w:eastAsia="zh-CN" w:bidi="ar"/>
              </w:rPr>
              <w:t>）、碳酸二甲酯（含量约</w:t>
            </w:r>
            <w:r>
              <w:rPr>
                <w:rFonts w:hint="default" w:ascii="Times New Roman" w:hAnsi="Times New Roman" w:eastAsia="宋体" w:cs="Times New Roman"/>
                <w:color w:val="000000"/>
                <w:kern w:val="0"/>
                <w:sz w:val="24"/>
                <w:szCs w:val="24"/>
                <w:lang w:val="en-US" w:eastAsia="zh-CN" w:bidi="ar"/>
              </w:rPr>
              <w:t>10%</w:t>
            </w:r>
            <w:r>
              <w:rPr>
                <w:rFonts w:hint="eastAsia" w:ascii="宋体" w:hAnsi="宋体" w:eastAsia="宋体" w:cs="宋体"/>
                <w:color w:val="000000"/>
                <w:kern w:val="0"/>
                <w:sz w:val="24"/>
                <w:szCs w:val="24"/>
                <w:lang w:val="en-US" w:eastAsia="zh-CN" w:bidi="ar"/>
              </w:rPr>
              <w:t>）属于</w:t>
            </w:r>
            <w:r>
              <w:rPr>
                <w:lang w:val="en-US" w:eastAsia="zh-CN"/>
              </w:rPr>
              <w:t>2</w:t>
            </w:r>
            <w:r>
              <w:rPr>
                <w:rFonts w:hint="eastAsia" w:ascii="宋体" w:hAnsi="宋体" w:eastAsia="宋体" w:cs="宋体"/>
                <w:color w:val="000000"/>
                <w:kern w:val="0"/>
                <w:sz w:val="24"/>
                <w:szCs w:val="24"/>
                <w:lang w:val="en-US" w:eastAsia="zh-CN" w:bidi="ar"/>
              </w:rPr>
              <w:t>类易燃液体。</w:t>
            </w:r>
          </w:p>
          <w:p>
            <w:pPr>
              <w:spacing w:line="240" w:lineRule="auto"/>
              <w:ind w:firstLine="0" w:firstLineChars="0"/>
              <w:jc w:val="center"/>
              <w:rPr>
                <w:rFonts w:ascii="Times New Roman" w:hAnsi="Times New Roman" w:eastAsia="宋体" w:cs="Times New Roman"/>
                <w:b/>
                <w:bCs/>
                <w:color w:val="000000"/>
                <w:sz w:val="21"/>
                <w:szCs w:val="21"/>
                <w:u w:val="none" w:color="auto"/>
              </w:rPr>
            </w:pPr>
            <w:r>
              <w:rPr>
                <w:rFonts w:ascii="Times New Roman" w:hAnsi="Times New Roman" w:eastAsia="宋体" w:cs="Times New Roman"/>
                <w:b/>
                <w:bCs/>
                <w:color w:val="000000"/>
                <w:sz w:val="21"/>
                <w:szCs w:val="21"/>
                <w:u w:val="none" w:color="auto"/>
              </w:rPr>
              <w:t>表4-</w:t>
            </w:r>
            <w:r>
              <w:rPr>
                <w:rFonts w:hint="eastAsia" w:cs="Times New Roman"/>
                <w:b/>
                <w:bCs/>
                <w:color w:val="000000"/>
                <w:sz w:val="21"/>
                <w:szCs w:val="21"/>
                <w:u w:val="none" w:color="auto"/>
                <w:lang w:val="en-US" w:eastAsia="zh-CN"/>
              </w:rPr>
              <w:t>7</w:t>
            </w:r>
            <w:r>
              <w:rPr>
                <w:rFonts w:ascii="Times New Roman" w:hAnsi="Times New Roman" w:eastAsia="宋体" w:cs="Times New Roman"/>
                <w:b/>
                <w:bCs/>
                <w:color w:val="000000"/>
                <w:sz w:val="21"/>
                <w:szCs w:val="21"/>
                <w:u w:val="none" w:color="auto"/>
              </w:rPr>
              <w:t xml:space="preserve">  评价工作等级划分</w:t>
            </w:r>
          </w:p>
          <w:tbl>
            <w:tblPr>
              <w:tblStyle w:val="23"/>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08"/>
              <w:gridCol w:w="1731"/>
              <w:gridCol w:w="1731"/>
              <w:gridCol w:w="1731"/>
              <w:gridCol w:w="17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23" w:type="pct"/>
                  <w:noWrap w:val="0"/>
                  <w:vAlign w:val="center"/>
                </w:tcPr>
                <w:p>
                  <w:pPr>
                    <w:spacing w:line="240" w:lineRule="auto"/>
                    <w:ind w:firstLine="0" w:firstLineChars="0"/>
                    <w:jc w:val="center"/>
                    <w:rPr>
                      <w:rFonts w:ascii="Times New Roman" w:hAnsi="Times New Roman" w:eastAsia="宋体" w:cs="Times New Roman"/>
                      <w:color w:val="000000"/>
                      <w:sz w:val="21"/>
                      <w:szCs w:val="21"/>
                      <w:u w:val="none" w:color="auto"/>
                    </w:rPr>
                  </w:pPr>
                  <w:r>
                    <w:rPr>
                      <w:rFonts w:ascii="Times New Roman" w:hAnsi="Times New Roman" w:eastAsia="宋体" w:cs="Times New Roman"/>
                      <w:color w:val="000000"/>
                      <w:sz w:val="21"/>
                      <w:szCs w:val="21"/>
                      <w:u w:val="none" w:color="auto"/>
                    </w:rPr>
                    <w:t>环境风险潜势</w:t>
                  </w:r>
                </w:p>
              </w:tc>
              <w:tc>
                <w:tcPr>
                  <w:tcW w:w="968" w:type="pct"/>
                  <w:noWrap w:val="0"/>
                  <w:vAlign w:val="center"/>
                </w:tcPr>
                <w:p>
                  <w:pPr>
                    <w:spacing w:line="240" w:lineRule="auto"/>
                    <w:ind w:firstLine="0" w:firstLineChars="0"/>
                    <w:jc w:val="center"/>
                    <w:rPr>
                      <w:rFonts w:ascii="Times New Roman" w:hAnsi="Times New Roman" w:eastAsia="宋体" w:cs="Times New Roman"/>
                      <w:color w:val="000000"/>
                      <w:sz w:val="21"/>
                      <w:szCs w:val="21"/>
                      <w:u w:val="none" w:color="auto"/>
                    </w:rPr>
                  </w:pPr>
                  <w:r>
                    <w:rPr>
                      <w:rFonts w:ascii="Times New Roman" w:hAnsi="Times New Roman" w:eastAsia="宋体" w:cs="Times New Roman"/>
                      <w:color w:val="000000"/>
                      <w:sz w:val="21"/>
                      <w:szCs w:val="21"/>
                      <w:u w:val="none" w:color="auto"/>
                    </w:rPr>
                    <w:t>Ⅳ、Ⅳ+</w:t>
                  </w:r>
                </w:p>
              </w:tc>
              <w:tc>
                <w:tcPr>
                  <w:tcW w:w="968" w:type="pct"/>
                  <w:noWrap w:val="0"/>
                  <w:vAlign w:val="center"/>
                </w:tcPr>
                <w:p>
                  <w:pPr>
                    <w:spacing w:line="240" w:lineRule="auto"/>
                    <w:ind w:firstLine="0" w:firstLineChars="0"/>
                    <w:jc w:val="center"/>
                    <w:rPr>
                      <w:rFonts w:ascii="Times New Roman" w:hAnsi="Times New Roman" w:eastAsia="宋体" w:cs="Times New Roman"/>
                      <w:color w:val="000000"/>
                      <w:sz w:val="21"/>
                      <w:szCs w:val="21"/>
                      <w:u w:val="none" w:color="auto"/>
                    </w:rPr>
                  </w:pPr>
                  <w:r>
                    <w:rPr>
                      <w:rFonts w:ascii="Times New Roman" w:hAnsi="Times New Roman" w:eastAsia="宋体" w:cs="Times New Roman"/>
                      <w:color w:val="000000"/>
                      <w:sz w:val="21"/>
                      <w:szCs w:val="21"/>
                      <w:u w:val="none" w:color="auto"/>
                    </w:rPr>
                    <w:t>Ⅲ</w:t>
                  </w:r>
                </w:p>
              </w:tc>
              <w:tc>
                <w:tcPr>
                  <w:tcW w:w="968" w:type="pct"/>
                  <w:noWrap w:val="0"/>
                  <w:vAlign w:val="center"/>
                </w:tcPr>
                <w:p>
                  <w:pPr>
                    <w:spacing w:line="240" w:lineRule="auto"/>
                    <w:ind w:firstLine="0" w:firstLineChars="0"/>
                    <w:jc w:val="center"/>
                    <w:rPr>
                      <w:rFonts w:ascii="Times New Roman" w:hAnsi="Times New Roman" w:eastAsia="宋体" w:cs="Times New Roman"/>
                      <w:color w:val="000000"/>
                      <w:sz w:val="21"/>
                      <w:szCs w:val="21"/>
                      <w:u w:val="none" w:color="auto"/>
                    </w:rPr>
                  </w:pPr>
                  <w:r>
                    <w:rPr>
                      <w:rFonts w:ascii="Times New Roman" w:hAnsi="Times New Roman" w:eastAsia="宋体" w:cs="Times New Roman"/>
                      <w:color w:val="000000"/>
                      <w:sz w:val="21"/>
                      <w:szCs w:val="21"/>
                      <w:u w:val="none" w:color="auto"/>
                    </w:rPr>
                    <w:t>Ⅱ</w:t>
                  </w:r>
                </w:p>
              </w:tc>
              <w:tc>
                <w:tcPr>
                  <w:tcW w:w="970" w:type="pct"/>
                  <w:noWrap w:val="0"/>
                  <w:vAlign w:val="center"/>
                </w:tcPr>
                <w:p>
                  <w:pPr>
                    <w:spacing w:line="240" w:lineRule="auto"/>
                    <w:ind w:firstLine="0" w:firstLineChars="0"/>
                    <w:jc w:val="center"/>
                    <w:rPr>
                      <w:rFonts w:ascii="Times New Roman" w:hAnsi="Times New Roman" w:eastAsia="宋体" w:cs="Times New Roman"/>
                      <w:color w:val="000000"/>
                      <w:sz w:val="21"/>
                      <w:szCs w:val="21"/>
                      <w:u w:val="none" w:color="auto"/>
                    </w:rPr>
                  </w:pPr>
                  <w:r>
                    <w:rPr>
                      <w:rFonts w:ascii="Times New Roman" w:hAnsi="Times New Roman" w:eastAsia="宋体" w:cs="Times New Roman"/>
                      <w:color w:val="000000"/>
                      <w:sz w:val="21"/>
                      <w:szCs w:val="21"/>
                      <w:u w:val="none" w:color="auto"/>
                    </w:rPr>
                    <w:t>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23" w:type="pct"/>
                  <w:noWrap w:val="0"/>
                  <w:vAlign w:val="center"/>
                </w:tcPr>
                <w:p>
                  <w:pPr>
                    <w:spacing w:line="240" w:lineRule="auto"/>
                    <w:ind w:firstLine="0" w:firstLineChars="0"/>
                    <w:jc w:val="center"/>
                    <w:rPr>
                      <w:rFonts w:ascii="Times New Roman" w:hAnsi="Times New Roman" w:eastAsia="宋体" w:cs="Times New Roman"/>
                      <w:color w:val="000000"/>
                      <w:sz w:val="21"/>
                      <w:szCs w:val="21"/>
                      <w:u w:val="none" w:color="auto"/>
                    </w:rPr>
                  </w:pPr>
                  <w:r>
                    <w:rPr>
                      <w:rFonts w:ascii="Times New Roman" w:hAnsi="Times New Roman" w:eastAsia="宋体" w:cs="Times New Roman"/>
                      <w:color w:val="000000"/>
                      <w:sz w:val="21"/>
                      <w:szCs w:val="21"/>
                      <w:u w:val="none" w:color="auto"/>
                    </w:rPr>
                    <w:t>评价工作等级</w:t>
                  </w:r>
                </w:p>
              </w:tc>
              <w:tc>
                <w:tcPr>
                  <w:tcW w:w="968" w:type="pct"/>
                  <w:noWrap w:val="0"/>
                  <w:vAlign w:val="center"/>
                </w:tcPr>
                <w:p>
                  <w:pPr>
                    <w:spacing w:line="240" w:lineRule="auto"/>
                    <w:ind w:firstLine="0" w:firstLineChars="0"/>
                    <w:jc w:val="center"/>
                    <w:rPr>
                      <w:rFonts w:ascii="Times New Roman" w:hAnsi="Times New Roman" w:eastAsia="宋体" w:cs="Times New Roman"/>
                      <w:color w:val="000000"/>
                      <w:sz w:val="21"/>
                      <w:szCs w:val="21"/>
                      <w:u w:val="none" w:color="auto"/>
                    </w:rPr>
                  </w:pPr>
                  <w:r>
                    <w:rPr>
                      <w:rFonts w:ascii="Times New Roman" w:hAnsi="Times New Roman" w:eastAsia="宋体" w:cs="Times New Roman"/>
                      <w:color w:val="000000"/>
                      <w:sz w:val="21"/>
                      <w:szCs w:val="21"/>
                      <w:u w:val="none" w:color="auto"/>
                    </w:rPr>
                    <w:t>一</w:t>
                  </w:r>
                </w:p>
              </w:tc>
              <w:tc>
                <w:tcPr>
                  <w:tcW w:w="968" w:type="pct"/>
                  <w:noWrap w:val="0"/>
                  <w:vAlign w:val="center"/>
                </w:tcPr>
                <w:p>
                  <w:pPr>
                    <w:spacing w:line="240" w:lineRule="auto"/>
                    <w:ind w:firstLine="0" w:firstLineChars="0"/>
                    <w:jc w:val="center"/>
                    <w:rPr>
                      <w:rFonts w:ascii="Times New Roman" w:hAnsi="Times New Roman" w:eastAsia="宋体" w:cs="Times New Roman"/>
                      <w:color w:val="000000"/>
                      <w:sz w:val="21"/>
                      <w:szCs w:val="21"/>
                      <w:u w:val="none" w:color="auto"/>
                    </w:rPr>
                  </w:pPr>
                  <w:r>
                    <w:rPr>
                      <w:rFonts w:ascii="Times New Roman" w:hAnsi="Times New Roman" w:eastAsia="宋体" w:cs="Times New Roman"/>
                      <w:color w:val="000000"/>
                      <w:sz w:val="21"/>
                      <w:szCs w:val="21"/>
                      <w:u w:val="none" w:color="auto"/>
                    </w:rPr>
                    <w:t>二</w:t>
                  </w:r>
                </w:p>
              </w:tc>
              <w:tc>
                <w:tcPr>
                  <w:tcW w:w="968" w:type="pct"/>
                  <w:noWrap w:val="0"/>
                  <w:vAlign w:val="center"/>
                </w:tcPr>
                <w:p>
                  <w:pPr>
                    <w:spacing w:line="240" w:lineRule="auto"/>
                    <w:ind w:firstLine="0" w:firstLineChars="0"/>
                    <w:jc w:val="center"/>
                    <w:rPr>
                      <w:rFonts w:ascii="Times New Roman" w:hAnsi="Times New Roman" w:eastAsia="宋体" w:cs="Times New Roman"/>
                      <w:color w:val="000000"/>
                      <w:sz w:val="21"/>
                      <w:szCs w:val="21"/>
                      <w:u w:val="none" w:color="auto"/>
                    </w:rPr>
                  </w:pPr>
                  <w:r>
                    <w:rPr>
                      <w:rFonts w:ascii="Times New Roman" w:hAnsi="Times New Roman" w:eastAsia="宋体" w:cs="Times New Roman"/>
                      <w:color w:val="000000"/>
                      <w:sz w:val="21"/>
                      <w:szCs w:val="21"/>
                      <w:u w:val="none" w:color="auto"/>
                    </w:rPr>
                    <w:t>三</w:t>
                  </w:r>
                </w:p>
              </w:tc>
              <w:tc>
                <w:tcPr>
                  <w:tcW w:w="970" w:type="pct"/>
                  <w:noWrap w:val="0"/>
                  <w:vAlign w:val="center"/>
                </w:tcPr>
                <w:p>
                  <w:pPr>
                    <w:spacing w:line="240" w:lineRule="auto"/>
                    <w:ind w:firstLine="0" w:firstLineChars="0"/>
                    <w:jc w:val="center"/>
                    <w:rPr>
                      <w:rFonts w:ascii="Times New Roman" w:hAnsi="Times New Roman" w:eastAsia="宋体" w:cs="Times New Roman"/>
                      <w:color w:val="000000"/>
                      <w:sz w:val="21"/>
                      <w:szCs w:val="21"/>
                      <w:u w:val="none" w:color="auto"/>
                    </w:rPr>
                  </w:pPr>
                  <w:r>
                    <w:rPr>
                      <w:rFonts w:ascii="Times New Roman" w:hAnsi="Times New Roman" w:eastAsia="宋体" w:cs="Times New Roman"/>
                      <w:color w:val="000000"/>
                      <w:sz w:val="21"/>
                      <w:szCs w:val="21"/>
                      <w:u w:val="none" w:color="auto"/>
                    </w:rPr>
                    <w:t>简单分析a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5000" w:type="pct"/>
                  <w:gridSpan w:val="5"/>
                  <w:noWrap w:val="0"/>
                  <w:vAlign w:val="center"/>
                </w:tcPr>
                <w:p>
                  <w:pPr>
                    <w:spacing w:line="240" w:lineRule="auto"/>
                    <w:ind w:firstLine="0" w:firstLineChars="0"/>
                    <w:rPr>
                      <w:rFonts w:ascii="Times New Roman" w:hAnsi="Times New Roman" w:eastAsia="宋体" w:cs="Times New Roman"/>
                      <w:color w:val="000000"/>
                      <w:sz w:val="21"/>
                      <w:szCs w:val="21"/>
                      <w:u w:val="none" w:color="auto"/>
                    </w:rPr>
                  </w:pPr>
                  <w:r>
                    <w:rPr>
                      <w:rFonts w:ascii="Times New Roman" w:hAnsi="Times New Roman" w:eastAsia="宋体" w:cs="Times New Roman"/>
                      <w:color w:val="000000"/>
                      <w:sz w:val="21"/>
                      <w:szCs w:val="21"/>
                      <w:u w:val="none" w:color="auto"/>
                    </w:rPr>
                    <w:t>a是相对于详细评价工作内容而言，在描述危险物质、环境影响途径、环境危害后果、风险防范措施等方面给出定性的说明。见附录A。</w:t>
                  </w:r>
                </w:p>
              </w:tc>
            </w:tr>
          </w:tbl>
          <w:p>
            <w:pPr>
              <w:ind w:firstLine="480"/>
              <w:rPr>
                <w:rFonts w:hint="eastAsia" w:ascii="Times New Roman" w:hAnsi="Times New Roman" w:eastAsia="宋体" w:cs="Times New Roman"/>
                <w:szCs w:val="24"/>
                <w:u w:val="none" w:color="auto"/>
              </w:rPr>
            </w:pPr>
            <w:r>
              <w:rPr>
                <w:rFonts w:hint="eastAsia" w:ascii="Times New Roman" w:hAnsi="Times New Roman" w:eastAsia="宋体" w:cs="Times New Roman"/>
                <w:szCs w:val="24"/>
                <w:u w:val="none" w:color="auto"/>
              </w:rPr>
              <w:t>按下式计算物质总量与其临界量比值（Q)。</w:t>
            </w:r>
          </w:p>
          <w:p>
            <w:pPr>
              <w:ind w:left="0" w:leftChars="0" w:firstLine="0" w:firstLineChars="0"/>
              <w:jc w:val="center"/>
              <w:rPr>
                <w:rFonts w:hint="eastAsia" w:ascii="Times New Roman" w:hAnsi="Times New Roman" w:eastAsia="宋体" w:cs="Times New Roman"/>
                <w:szCs w:val="24"/>
                <w:u w:val="none" w:color="auto"/>
              </w:rPr>
            </w:pPr>
            <w:r>
              <w:rPr>
                <w:rFonts w:hint="eastAsia" w:ascii="Times New Roman" w:hAnsi="Times New Roman" w:eastAsia="宋体" w:cs="Times New Roman"/>
                <w:szCs w:val="24"/>
                <w:u w:val="none" w:color="auto"/>
              </w:rPr>
              <w:t>Q</w:t>
            </w:r>
            <w:r>
              <w:rPr>
                <w:rFonts w:hint="eastAsia" w:ascii="Times New Roman" w:hAnsi="Times New Roman" w:eastAsia="宋体" w:cs="Times New Roman"/>
                <w:szCs w:val="24"/>
                <w:u w:val="none" w:color="auto"/>
                <w:lang w:val="en-US" w:eastAsia="zh-CN"/>
              </w:rPr>
              <w:t>=</w:t>
            </w:r>
            <w:r>
              <w:rPr>
                <w:rFonts w:hint="eastAsia" w:ascii="Times New Roman" w:hAnsi="Times New Roman" w:eastAsia="宋体" w:cs="Times New Roman"/>
                <w:szCs w:val="24"/>
                <w:u w:val="none" w:color="auto"/>
              </w:rPr>
              <w:t>q</w:t>
            </w:r>
            <w:r>
              <w:rPr>
                <w:rFonts w:hint="eastAsia" w:ascii="Times New Roman" w:hAnsi="Times New Roman" w:eastAsia="宋体" w:cs="Times New Roman"/>
                <w:szCs w:val="24"/>
                <w:u w:val="none" w:color="auto"/>
                <w:vertAlign w:val="subscript"/>
                <w:lang w:val="en-US" w:eastAsia="zh-CN"/>
              </w:rPr>
              <w:t>1</w:t>
            </w:r>
            <w:r>
              <w:rPr>
                <w:rFonts w:hint="eastAsia" w:ascii="Times New Roman" w:hAnsi="Times New Roman" w:eastAsia="宋体" w:cs="Times New Roman"/>
                <w:szCs w:val="24"/>
                <w:u w:val="none" w:color="auto"/>
              </w:rPr>
              <w:t>/Q</w:t>
            </w:r>
            <w:r>
              <w:rPr>
                <w:rFonts w:hint="eastAsia" w:ascii="Times New Roman" w:hAnsi="Times New Roman" w:eastAsia="宋体" w:cs="Times New Roman"/>
                <w:szCs w:val="24"/>
                <w:u w:val="none" w:color="auto"/>
                <w:vertAlign w:val="subscript"/>
              </w:rPr>
              <w:t>1</w:t>
            </w:r>
            <w:r>
              <w:rPr>
                <w:rFonts w:hint="eastAsia" w:ascii="Times New Roman" w:hAnsi="Times New Roman" w:eastAsia="宋体" w:cs="Times New Roman"/>
                <w:szCs w:val="24"/>
                <w:u w:val="none" w:color="auto"/>
              </w:rPr>
              <w:t>+q</w:t>
            </w:r>
            <w:r>
              <w:rPr>
                <w:rFonts w:hint="eastAsia" w:ascii="Times New Roman" w:hAnsi="Times New Roman" w:eastAsia="宋体" w:cs="Times New Roman"/>
                <w:szCs w:val="24"/>
                <w:u w:val="none" w:color="auto"/>
                <w:vertAlign w:val="subscript"/>
              </w:rPr>
              <w:t>2</w:t>
            </w:r>
            <w:r>
              <w:rPr>
                <w:rFonts w:hint="eastAsia" w:ascii="Times New Roman" w:hAnsi="Times New Roman" w:eastAsia="宋体" w:cs="Times New Roman"/>
                <w:szCs w:val="24"/>
                <w:u w:val="none" w:color="auto"/>
              </w:rPr>
              <w:t>/Q</w:t>
            </w:r>
            <w:r>
              <w:rPr>
                <w:rFonts w:hint="eastAsia" w:ascii="Times New Roman" w:hAnsi="Times New Roman" w:eastAsia="宋体" w:cs="Times New Roman"/>
                <w:szCs w:val="24"/>
                <w:u w:val="none" w:color="auto"/>
                <w:vertAlign w:val="subscript"/>
              </w:rPr>
              <w:t>2</w:t>
            </w:r>
            <w:r>
              <w:rPr>
                <w:rFonts w:hint="eastAsia" w:ascii="Times New Roman" w:hAnsi="Times New Roman" w:eastAsia="宋体" w:cs="Times New Roman"/>
                <w:szCs w:val="24"/>
                <w:u w:val="none" w:color="auto"/>
              </w:rPr>
              <w:t>+…+qn/Qn</w:t>
            </w:r>
          </w:p>
          <w:p>
            <w:pPr>
              <w:ind w:firstLine="480"/>
              <w:rPr>
                <w:rFonts w:hint="eastAsia" w:ascii="Times New Roman" w:hAnsi="Times New Roman" w:eastAsia="宋体" w:cs="Times New Roman"/>
                <w:szCs w:val="24"/>
                <w:u w:val="none" w:color="auto"/>
                <w:lang w:eastAsia="zh-CN"/>
              </w:rPr>
            </w:pPr>
            <w:r>
              <w:rPr>
                <w:rFonts w:hint="eastAsia" w:ascii="Times New Roman" w:hAnsi="Times New Roman" w:eastAsia="宋体" w:cs="Times New Roman"/>
                <w:szCs w:val="24"/>
                <w:u w:val="none" w:color="auto"/>
              </w:rPr>
              <w:t>式中</w:t>
            </w:r>
            <w:r>
              <w:rPr>
                <w:rFonts w:hint="eastAsia" w:ascii="Times New Roman" w:hAnsi="Times New Roman" w:eastAsia="宋体" w:cs="Times New Roman"/>
                <w:szCs w:val="24"/>
                <w:u w:val="none" w:color="auto"/>
                <w:lang w:eastAsia="zh-CN"/>
              </w:rPr>
              <w:t>：</w:t>
            </w:r>
            <w:r>
              <w:rPr>
                <w:rFonts w:hint="eastAsia" w:ascii="Times New Roman" w:hAnsi="Times New Roman" w:eastAsia="宋体" w:cs="Times New Roman"/>
                <w:szCs w:val="24"/>
                <w:u w:val="none" w:color="auto"/>
              </w:rPr>
              <w:t>q</w:t>
            </w:r>
            <w:r>
              <w:rPr>
                <w:rFonts w:hint="eastAsia" w:ascii="Times New Roman" w:hAnsi="Times New Roman" w:eastAsia="宋体" w:cs="Times New Roman"/>
                <w:szCs w:val="24"/>
                <w:u w:val="none" w:color="auto"/>
                <w:vertAlign w:val="subscript"/>
              </w:rPr>
              <w:t>1</w:t>
            </w:r>
            <w:r>
              <w:rPr>
                <w:rFonts w:hint="eastAsia" w:ascii="Times New Roman" w:hAnsi="Times New Roman" w:eastAsia="宋体" w:cs="Times New Roman"/>
                <w:szCs w:val="24"/>
                <w:u w:val="none" w:color="auto"/>
              </w:rPr>
              <w:t>，q</w:t>
            </w:r>
            <w:r>
              <w:rPr>
                <w:rFonts w:hint="eastAsia" w:ascii="Times New Roman" w:hAnsi="Times New Roman" w:eastAsia="宋体" w:cs="Times New Roman"/>
                <w:szCs w:val="24"/>
                <w:u w:val="none" w:color="auto"/>
                <w:vertAlign w:val="subscript"/>
              </w:rPr>
              <w:t>2</w:t>
            </w:r>
            <w:r>
              <w:rPr>
                <w:rFonts w:hint="eastAsia" w:ascii="Times New Roman" w:hAnsi="Times New Roman" w:eastAsia="宋体" w:cs="Times New Roman"/>
                <w:szCs w:val="24"/>
                <w:u w:val="none" w:color="auto"/>
              </w:rPr>
              <w:t>，...，qn——每种危险物质的最大存在总量，t</w:t>
            </w:r>
            <w:r>
              <w:rPr>
                <w:rFonts w:hint="eastAsia" w:ascii="Times New Roman" w:hAnsi="Times New Roman" w:eastAsia="宋体" w:cs="Times New Roman"/>
                <w:szCs w:val="24"/>
                <w:u w:val="none" w:color="auto"/>
                <w:lang w:eastAsia="zh-CN"/>
              </w:rPr>
              <w:t>；</w:t>
            </w:r>
          </w:p>
          <w:p>
            <w:pPr>
              <w:ind w:firstLine="480"/>
              <w:rPr>
                <w:rFonts w:hint="eastAsia" w:ascii="Times New Roman" w:hAnsi="Times New Roman" w:eastAsia="宋体" w:cs="Times New Roman"/>
                <w:szCs w:val="24"/>
                <w:u w:val="none" w:color="auto"/>
              </w:rPr>
            </w:pPr>
            <w:r>
              <w:rPr>
                <w:rFonts w:hint="eastAsia" w:ascii="Times New Roman" w:hAnsi="Times New Roman" w:eastAsia="宋体" w:cs="Times New Roman"/>
                <w:szCs w:val="24"/>
                <w:u w:val="none" w:color="auto"/>
              </w:rPr>
              <w:t>Q</w:t>
            </w:r>
            <w:r>
              <w:rPr>
                <w:rFonts w:hint="eastAsia" w:ascii="Times New Roman" w:hAnsi="Times New Roman" w:eastAsia="宋体" w:cs="Times New Roman"/>
                <w:szCs w:val="24"/>
                <w:u w:val="none" w:color="auto"/>
                <w:vertAlign w:val="subscript"/>
                <w:lang w:val="en-US" w:eastAsia="zh-CN"/>
              </w:rPr>
              <w:t>1</w:t>
            </w:r>
            <w:r>
              <w:rPr>
                <w:rFonts w:hint="eastAsia" w:ascii="Times New Roman" w:hAnsi="Times New Roman" w:eastAsia="宋体" w:cs="Times New Roman"/>
                <w:szCs w:val="24"/>
                <w:u w:val="none" w:color="auto"/>
              </w:rPr>
              <w:t>，Q</w:t>
            </w:r>
            <w:r>
              <w:rPr>
                <w:rFonts w:hint="eastAsia" w:ascii="Times New Roman" w:hAnsi="Times New Roman" w:eastAsia="宋体" w:cs="Times New Roman"/>
                <w:szCs w:val="24"/>
                <w:u w:val="none" w:color="auto"/>
                <w:vertAlign w:val="subscript"/>
                <w:lang w:val="en-US" w:eastAsia="zh-CN"/>
              </w:rPr>
              <w:t>2</w:t>
            </w:r>
            <w:r>
              <w:rPr>
                <w:rFonts w:hint="eastAsia" w:ascii="Times New Roman" w:hAnsi="Times New Roman" w:eastAsia="宋体" w:cs="Times New Roman"/>
                <w:szCs w:val="24"/>
                <w:u w:val="none" w:color="auto"/>
              </w:rPr>
              <w:t>，...，Qn——每种危险物质的临界量，t。</w:t>
            </w:r>
          </w:p>
          <w:p>
            <w:pPr>
              <w:ind w:firstLine="480"/>
              <w:rPr>
                <w:rFonts w:hint="eastAsia" w:ascii="Times New Roman" w:hAnsi="Times New Roman" w:eastAsia="宋体" w:cs="Times New Roman"/>
                <w:szCs w:val="24"/>
                <w:u w:val="none" w:color="auto"/>
                <w:lang w:eastAsia="zh-CN"/>
              </w:rPr>
            </w:pPr>
            <w:r>
              <w:rPr>
                <w:rFonts w:hint="eastAsia" w:ascii="Times New Roman" w:hAnsi="Times New Roman" w:eastAsia="宋体" w:cs="Times New Roman"/>
                <w:szCs w:val="24"/>
                <w:u w:val="none" w:color="auto"/>
              </w:rPr>
              <w:t>本项目危险物质数量与临界量比值（Q）计算过程见下表</w:t>
            </w:r>
            <w:r>
              <w:rPr>
                <w:rFonts w:hint="eastAsia" w:ascii="Times New Roman" w:hAnsi="Times New Roman" w:eastAsia="宋体" w:cs="Times New Roman"/>
                <w:szCs w:val="24"/>
                <w:u w:val="none" w:color="auto"/>
                <w:lang w:eastAsia="zh-CN"/>
              </w:rPr>
              <w:t>：</w:t>
            </w:r>
          </w:p>
          <w:p>
            <w:pPr>
              <w:spacing w:line="240" w:lineRule="auto"/>
              <w:ind w:firstLine="0" w:firstLineChars="0"/>
              <w:jc w:val="center"/>
              <w:rPr>
                <w:rFonts w:ascii="Times New Roman" w:hAnsi="Times New Roman" w:eastAsia="宋体" w:cs="Times New Roman"/>
                <w:b/>
                <w:bCs/>
                <w:sz w:val="21"/>
                <w:szCs w:val="21"/>
                <w:u w:val="none" w:color="auto"/>
              </w:rPr>
            </w:pPr>
            <w:r>
              <w:rPr>
                <w:rFonts w:ascii="Times New Roman" w:hAnsi="Times New Roman" w:eastAsia="宋体" w:cs="Times New Roman"/>
                <w:b/>
                <w:bCs/>
                <w:sz w:val="21"/>
                <w:szCs w:val="21"/>
                <w:u w:val="none" w:color="auto"/>
              </w:rPr>
              <w:t>表</w:t>
            </w:r>
            <w:r>
              <w:rPr>
                <w:rFonts w:hint="eastAsia" w:ascii="Times New Roman" w:hAnsi="Times New Roman" w:eastAsia="宋体" w:cs="Times New Roman"/>
                <w:b/>
                <w:bCs/>
                <w:sz w:val="21"/>
                <w:szCs w:val="21"/>
                <w:u w:val="none" w:color="auto"/>
              </w:rPr>
              <w:t>4-</w:t>
            </w:r>
            <w:r>
              <w:rPr>
                <w:rFonts w:hint="eastAsia" w:cs="Times New Roman"/>
                <w:b/>
                <w:bCs/>
                <w:sz w:val="21"/>
                <w:szCs w:val="21"/>
                <w:u w:val="none" w:color="auto"/>
                <w:lang w:val="en-US" w:eastAsia="zh-CN"/>
              </w:rPr>
              <w:t>8</w:t>
            </w:r>
            <w:r>
              <w:rPr>
                <w:rFonts w:hint="eastAsia" w:ascii="Times New Roman" w:hAnsi="Times New Roman" w:eastAsia="宋体" w:cs="Times New Roman"/>
                <w:b/>
                <w:bCs/>
                <w:sz w:val="21"/>
                <w:szCs w:val="21"/>
                <w:u w:val="none" w:color="auto"/>
              </w:rPr>
              <w:t xml:space="preserve">  </w:t>
            </w:r>
            <w:r>
              <w:rPr>
                <w:rFonts w:ascii="Times New Roman" w:hAnsi="Times New Roman" w:eastAsia="宋体" w:cs="Times New Roman"/>
                <w:b/>
                <w:bCs/>
                <w:sz w:val="21"/>
                <w:szCs w:val="21"/>
                <w:u w:val="none" w:color="auto"/>
              </w:rPr>
              <w:t>项目重大危险源判别表</w:t>
            </w:r>
          </w:p>
          <w:tbl>
            <w:tblPr>
              <w:tblStyle w:val="23"/>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83"/>
              <w:gridCol w:w="1225"/>
              <w:gridCol w:w="1156"/>
              <w:gridCol w:w="1741"/>
              <w:gridCol w:w="1141"/>
              <w:gridCol w:w="1721"/>
              <w:gridCol w:w="11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40" w:hRule="atLeast"/>
                <w:jc w:val="center"/>
              </w:trPr>
              <w:tc>
                <w:tcPr>
                  <w:tcW w:w="438"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000000"/>
                      <w:sz w:val="21"/>
                      <w:szCs w:val="21"/>
                      <w:u w:val="none" w:color="auto"/>
                    </w:rPr>
                  </w:pPr>
                  <w:r>
                    <w:rPr>
                      <w:rFonts w:ascii="Times New Roman" w:hAnsi="Times New Roman" w:eastAsia="宋体" w:cs="Times New Roman"/>
                      <w:color w:val="000000"/>
                      <w:sz w:val="21"/>
                      <w:szCs w:val="21"/>
                      <w:u w:val="none" w:color="auto"/>
                    </w:rPr>
                    <w:t>序号</w:t>
                  </w:r>
                </w:p>
              </w:tc>
              <w:tc>
                <w:tcPr>
                  <w:tcW w:w="68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000000"/>
                      <w:sz w:val="21"/>
                      <w:szCs w:val="21"/>
                      <w:u w:val="none" w:color="auto"/>
                    </w:rPr>
                  </w:pPr>
                  <w:r>
                    <w:rPr>
                      <w:rFonts w:ascii="Times New Roman" w:hAnsi="Times New Roman" w:eastAsia="宋体" w:cs="Times New Roman"/>
                      <w:color w:val="000000"/>
                      <w:sz w:val="21"/>
                      <w:szCs w:val="21"/>
                      <w:u w:val="none" w:color="auto"/>
                    </w:rPr>
                    <w:t>危险物质类别</w:t>
                  </w:r>
                </w:p>
              </w:tc>
              <w:tc>
                <w:tcPr>
                  <w:tcW w:w="64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000000"/>
                      <w:sz w:val="21"/>
                      <w:szCs w:val="21"/>
                      <w:u w:val="none" w:color="auto"/>
                    </w:rPr>
                  </w:pPr>
                  <w:r>
                    <w:rPr>
                      <w:rFonts w:hint="default" w:ascii="Times New Roman" w:hAnsi="Times New Roman" w:eastAsia="宋体" w:cs="Times New Roman"/>
                      <w:color w:val="000000"/>
                      <w:sz w:val="21"/>
                      <w:szCs w:val="21"/>
                      <w:u w:val="none" w:color="auto"/>
                    </w:rPr>
                    <w:t>CAS号</w:t>
                  </w:r>
                </w:p>
              </w:tc>
              <w:tc>
                <w:tcPr>
                  <w:tcW w:w="97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000000"/>
                      <w:sz w:val="21"/>
                      <w:szCs w:val="21"/>
                      <w:u w:val="none" w:color="auto"/>
                    </w:rPr>
                  </w:pPr>
                  <w:r>
                    <w:rPr>
                      <w:rFonts w:ascii="Times New Roman" w:hAnsi="Times New Roman" w:eastAsia="宋体" w:cs="Times New Roman"/>
                      <w:color w:val="000000"/>
                      <w:sz w:val="21"/>
                      <w:szCs w:val="21"/>
                      <w:u w:val="none" w:color="auto"/>
                    </w:rPr>
                    <w:t>最大存在总量qn/t</w:t>
                  </w:r>
                </w:p>
              </w:tc>
              <w:tc>
                <w:tcPr>
                  <w:tcW w:w="63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000000"/>
                      <w:sz w:val="21"/>
                      <w:szCs w:val="21"/>
                      <w:u w:val="none" w:color="auto"/>
                    </w:rPr>
                  </w:pPr>
                  <w:r>
                    <w:rPr>
                      <w:rFonts w:ascii="Times New Roman" w:hAnsi="Times New Roman" w:eastAsia="宋体" w:cs="Times New Roman"/>
                      <w:color w:val="000000"/>
                      <w:sz w:val="21"/>
                      <w:szCs w:val="21"/>
                      <w:u w:val="none" w:color="auto"/>
                    </w:rPr>
                    <w:t>临界量Qn/t</w:t>
                  </w:r>
                </w:p>
              </w:tc>
              <w:tc>
                <w:tcPr>
                  <w:tcW w:w="96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000000"/>
                      <w:sz w:val="21"/>
                      <w:szCs w:val="21"/>
                      <w:u w:val="none" w:color="auto"/>
                    </w:rPr>
                  </w:pPr>
                  <w:r>
                    <w:rPr>
                      <w:rFonts w:ascii="Times New Roman" w:hAnsi="Times New Roman" w:eastAsia="宋体" w:cs="Times New Roman"/>
                      <w:color w:val="000000"/>
                      <w:sz w:val="21"/>
                      <w:szCs w:val="21"/>
                      <w:u w:val="none" w:color="auto"/>
                    </w:rPr>
                    <w:t>该危险物质</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000000"/>
                      <w:sz w:val="21"/>
                      <w:szCs w:val="21"/>
                      <w:u w:val="none" w:color="auto"/>
                    </w:rPr>
                  </w:pPr>
                  <w:r>
                    <w:rPr>
                      <w:rFonts w:ascii="Times New Roman" w:hAnsi="Times New Roman" w:eastAsia="宋体" w:cs="Times New Roman"/>
                      <w:color w:val="000000"/>
                      <w:sz w:val="21"/>
                      <w:szCs w:val="21"/>
                      <w:u w:val="none" w:color="auto"/>
                    </w:rPr>
                    <w:t>q/Q值</w:t>
                  </w:r>
                </w:p>
              </w:tc>
              <w:tc>
                <w:tcPr>
                  <w:tcW w:w="65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000000"/>
                      <w:sz w:val="21"/>
                      <w:szCs w:val="21"/>
                      <w:u w:val="none" w:color="auto"/>
                    </w:rPr>
                  </w:pPr>
                  <w:r>
                    <w:rPr>
                      <w:rFonts w:ascii="Times New Roman" w:hAnsi="Times New Roman" w:eastAsia="宋体" w:cs="Times New Roman"/>
                      <w:color w:val="000000"/>
                      <w:sz w:val="21"/>
                      <w:szCs w:val="21"/>
                      <w:u w:val="none" w:color="auto"/>
                    </w:rPr>
                    <w:t>所在位置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38"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000000"/>
                      <w:sz w:val="21"/>
                      <w:szCs w:val="21"/>
                      <w:u w:val="none" w:color="auto"/>
                    </w:rPr>
                  </w:pPr>
                  <w:r>
                    <w:rPr>
                      <w:rFonts w:ascii="Times New Roman" w:hAnsi="Times New Roman" w:eastAsia="宋体" w:cs="Times New Roman"/>
                      <w:color w:val="000000"/>
                      <w:sz w:val="21"/>
                      <w:szCs w:val="21"/>
                      <w:u w:val="none" w:color="auto"/>
                    </w:rPr>
                    <w:t>1</w:t>
                  </w:r>
                </w:p>
              </w:tc>
              <w:tc>
                <w:tcPr>
                  <w:tcW w:w="68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000000"/>
                      <w:sz w:val="21"/>
                      <w:szCs w:val="21"/>
                      <w:u w:val="none" w:color="auto"/>
                    </w:rPr>
                  </w:pPr>
                  <w:r>
                    <w:rPr>
                      <w:rFonts w:hint="eastAsia" w:ascii="Times New Roman" w:hAnsi="Times New Roman" w:eastAsia="宋体" w:cs="Times New Roman"/>
                      <w:color w:val="000000"/>
                      <w:sz w:val="21"/>
                      <w:szCs w:val="21"/>
                      <w:u w:val="none" w:color="auto"/>
                      <w:lang w:val="en-US" w:eastAsia="zh-CN"/>
                    </w:rPr>
                    <w:t>电解液</w:t>
                  </w:r>
                </w:p>
              </w:tc>
              <w:tc>
                <w:tcPr>
                  <w:tcW w:w="64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u w:val="none" w:color="auto"/>
                      <w:lang w:val="en-US" w:eastAsia="zh-CN"/>
                    </w:rPr>
                  </w:pPr>
                  <w:r>
                    <w:rPr>
                      <w:rFonts w:hint="eastAsia" w:ascii="Times New Roman" w:hAnsi="Times New Roman" w:eastAsia="宋体" w:cs="Times New Roman"/>
                      <w:color w:val="000000"/>
                      <w:sz w:val="21"/>
                      <w:szCs w:val="21"/>
                      <w:u w:val="none" w:color="auto"/>
                      <w:lang w:val="en-US" w:eastAsia="zh-CN"/>
                    </w:rPr>
                    <w:t>/</w:t>
                  </w:r>
                </w:p>
              </w:tc>
              <w:tc>
                <w:tcPr>
                  <w:tcW w:w="97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u w:val="none" w:color="auto"/>
                      <w:lang w:val="en-US" w:eastAsia="zh-CN"/>
                    </w:rPr>
                  </w:pPr>
                  <w:r>
                    <w:rPr>
                      <w:rFonts w:hint="eastAsia" w:ascii="Times New Roman" w:hAnsi="Times New Roman" w:eastAsia="宋体" w:cs="Times New Roman"/>
                      <w:color w:val="000000"/>
                      <w:sz w:val="21"/>
                      <w:szCs w:val="21"/>
                      <w:u w:val="none" w:color="auto"/>
                      <w:lang w:val="en-US" w:eastAsia="zh-CN"/>
                    </w:rPr>
                    <w:t>10</w:t>
                  </w:r>
                </w:p>
              </w:tc>
              <w:tc>
                <w:tcPr>
                  <w:tcW w:w="63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u w:val="none" w:color="auto"/>
                      <w:lang w:val="en-US" w:eastAsia="zh-CN"/>
                    </w:rPr>
                  </w:pPr>
                  <w:r>
                    <w:rPr>
                      <w:rFonts w:hint="eastAsia" w:ascii="Times New Roman" w:hAnsi="Times New Roman" w:eastAsia="宋体" w:cs="Times New Roman"/>
                      <w:color w:val="000000"/>
                      <w:sz w:val="21"/>
                      <w:szCs w:val="21"/>
                      <w:u w:val="none" w:color="auto"/>
                      <w:lang w:val="en-US" w:eastAsia="zh-CN"/>
                    </w:rPr>
                    <w:t>1000</w:t>
                  </w:r>
                </w:p>
              </w:tc>
              <w:tc>
                <w:tcPr>
                  <w:tcW w:w="96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u w:val="none" w:color="auto"/>
                      <w:lang w:val="en-US" w:eastAsia="zh-CN"/>
                    </w:rPr>
                  </w:pPr>
                  <w:r>
                    <w:rPr>
                      <w:rFonts w:hint="eastAsia" w:ascii="Times New Roman" w:hAnsi="Times New Roman" w:eastAsia="宋体" w:cs="Times New Roman"/>
                      <w:color w:val="000000"/>
                      <w:sz w:val="21"/>
                      <w:szCs w:val="21"/>
                      <w:u w:val="none" w:color="auto"/>
                      <w:lang w:val="en-US" w:eastAsia="zh-CN"/>
                    </w:rPr>
                    <w:t>0.01</w:t>
                  </w:r>
                </w:p>
              </w:tc>
              <w:tc>
                <w:tcPr>
                  <w:tcW w:w="65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Times New Roman" w:hAnsi="Times New Roman" w:eastAsia="宋体" w:cs="Times New Roman"/>
                      <w:color w:val="000000"/>
                      <w:sz w:val="21"/>
                      <w:szCs w:val="21"/>
                      <w:u w:val="none" w:color="auto"/>
                    </w:rPr>
                  </w:pPr>
                  <w:r>
                    <w:rPr>
                      <w:rFonts w:hint="eastAsia" w:ascii="Times New Roman" w:hAnsi="Times New Roman" w:eastAsia="宋体" w:cs="Times New Roman"/>
                      <w:color w:val="000000"/>
                      <w:sz w:val="21"/>
                      <w:szCs w:val="21"/>
                      <w:u w:val="none" w:color="auto"/>
                      <w:lang w:val="en-US" w:eastAsia="zh-CN"/>
                    </w:rPr>
                    <w:t>材料仓库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40" w:hRule="atLeast"/>
                <w:jc w:val="center"/>
              </w:trPr>
              <w:tc>
                <w:tcPr>
                  <w:tcW w:w="438"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u w:val="none" w:color="auto"/>
                      <w:lang w:val="en-US" w:eastAsia="zh-CN"/>
                    </w:rPr>
                  </w:pPr>
                  <w:r>
                    <w:rPr>
                      <w:rFonts w:hint="eastAsia" w:ascii="Times New Roman" w:hAnsi="Times New Roman" w:eastAsia="宋体" w:cs="Times New Roman"/>
                      <w:color w:val="000000"/>
                      <w:sz w:val="21"/>
                      <w:szCs w:val="21"/>
                      <w:u w:val="none" w:color="auto"/>
                      <w:lang w:val="en-US" w:eastAsia="zh-CN"/>
                    </w:rPr>
                    <w:t>2</w:t>
                  </w:r>
                </w:p>
              </w:tc>
              <w:tc>
                <w:tcPr>
                  <w:tcW w:w="68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u w:val="none" w:color="auto"/>
                    </w:rPr>
                  </w:pPr>
                  <w:r>
                    <w:rPr>
                      <w:rFonts w:hint="eastAsia" w:ascii="Times New Roman" w:hAnsi="Times New Roman" w:eastAsia="宋体" w:cs="Times New Roman"/>
                      <w:color w:val="000000"/>
                      <w:sz w:val="21"/>
                      <w:szCs w:val="21"/>
                      <w:u w:val="none" w:color="auto"/>
                      <w:lang w:val="en-US" w:eastAsia="zh-CN"/>
                    </w:rPr>
                    <w:t>NMP</w:t>
                  </w:r>
                </w:p>
              </w:tc>
              <w:tc>
                <w:tcPr>
                  <w:tcW w:w="64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u w:val="none" w:color="auto"/>
                      <w:lang w:val="en-US" w:eastAsia="zh-CN"/>
                    </w:rPr>
                  </w:pPr>
                  <w:r>
                    <w:rPr>
                      <w:rFonts w:hint="eastAsia" w:ascii="Times New Roman" w:hAnsi="Times New Roman" w:eastAsia="宋体" w:cs="Times New Roman"/>
                      <w:color w:val="000000"/>
                      <w:sz w:val="21"/>
                      <w:szCs w:val="21"/>
                      <w:u w:val="none" w:color="auto"/>
                      <w:lang w:val="en-US" w:eastAsia="zh-CN"/>
                    </w:rPr>
                    <w:t>872-50-4</w:t>
                  </w:r>
                </w:p>
              </w:tc>
              <w:tc>
                <w:tcPr>
                  <w:tcW w:w="97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u w:val="none" w:color="auto"/>
                      <w:lang w:val="en-US" w:eastAsia="zh-CN"/>
                    </w:rPr>
                  </w:pPr>
                  <w:r>
                    <w:rPr>
                      <w:rFonts w:hint="eastAsia" w:cs="Times New Roman"/>
                      <w:color w:val="000000"/>
                      <w:sz w:val="21"/>
                      <w:szCs w:val="21"/>
                      <w:u w:val="none" w:color="auto"/>
                      <w:lang w:val="en-US" w:eastAsia="zh-CN"/>
                    </w:rPr>
                    <w:t>350</w:t>
                  </w:r>
                </w:p>
              </w:tc>
              <w:tc>
                <w:tcPr>
                  <w:tcW w:w="63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u w:val="none" w:color="auto"/>
                      <w:lang w:val="en-US" w:eastAsia="zh-CN"/>
                    </w:rPr>
                  </w:pPr>
                  <w:r>
                    <w:rPr>
                      <w:rFonts w:hint="eastAsia" w:ascii="Times New Roman" w:hAnsi="Times New Roman" w:eastAsia="宋体" w:cs="Times New Roman"/>
                      <w:color w:val="000000"/>
                      <w:sz w:val="21"/>
                      <w:szCs w:val="21"/>
                      <w:u w:val="none" w:color="auto"/>
                      <w:lang w:val="en-US" w:eastAsia="zh-CN"/>
                    </w:rPr>
                    <w:t>1000</w:t>
                  </w:r>
                </w:p>
              </w:tc>
              <w:tc>
                <w:tcPr>
                  <w:tcW w:w="96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u w:val="none" w:color="auto"/>
                      <w:lang w:val="en-US" w:eastAsia="zh-CN"/>
                    </w:rPr>
                  </w:pPr>
                  <w:r>
                    <w:rPr>
                      <w:rFonts w:hint="eastAsia" w:cs="Times New Roman"/>
                      <w:color w:val="000000"/>
                      <w:sz w:val="21"/>
                      <w:szCs w:val="21"/>
                      <w:u w:val="none" w:color="auto"/>
                      <w:lang w:val="en-US" w:eastAsia="zh-CN"/>
                    </w:rPr>
                    <w:t>0.35</w:t>
                  </w:r>
                </w:p>
              </w:tc>
              <w:tc>
                <w:tcPr>
                  <w:tcW w:w="65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u w:val="none" w:color="auto"/>
                    </w:rPr>
                  </w:pPr>
                  <w:r>
                    <w:rPr>
                      <w:rFonts w:hint="eastAsia" w:ascii="Times New Roman" w:hAnsi="Times New Roman" w:eastAsia="宋体" w:cs="Times New Roman"/>
                      <w:color w:val="000000"/>
                      <w:sz w:val="21"/>
                      <w:szCs w:val="21"/>
                      <w:u w:val="none" w:color="auto"/>
                      <w:lang w:val="en-US" w:eastAsia="zh-CN"/>
                    </w:rPr>
                    <w:t>材料仓库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40" w:hRule="atLeast"/>
                <w:jc w:val="center"/>
              </w:trPr>
              <w:tc>
                <w:tcPr>
                  <w:tcW w:w="438"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u w:val="none" w:color="auto"/>
                      <w:lang w:val="en-US" w:eastAsia="zh-CN"/>
                    </w:rPr>
                  </w:pPr>
                  <w:r>
                    <w:rPr>
                      <w:rFonts w:hint="eastAsia" w:ascii="Times New Roman" w:hAnsi="Times New Roman" w:eastAsia="宋体" w:cs="Times New Roman"/>
                      <w:color w:val="000000"/>
                      <w:sz w:val="21"/>
                      <w:szCs w:val="21"/>
                      <w:u w:val="none" w:color="auto"/>
                      <w:lang w:val="en-US" w:eastAsia="zh-CN"/>
                    </w:rPr>
                    <w:t>3</w:t>
                  </w:r>
                </w:p>
              </w:tc>
              <w:tc>
                <w:tcPr>
                  <w:tcW w:w="68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u w:val="none" w:color="auto"/>
                      <w:lang w:val="en-US" w:eastAsia="zh-CN"/>
                    </w:rPr>
                  </w:pPr>
                  <w:r>
                    <w:rPr>
                      <w:rFonts w:hint="eastAsia" w:ascii="Times New Roman" w:hAnsi="Times New Roman" w:eastAsia="宋体" w:cs="Times New Roman"/>
                      <w:color w:val="000000"/>
                      <w:sz w:val="21"/>
                      <w:szCs w:val="21"/>
                      <w:u w:val="none" w:color="auto"/>
                      <w:lang w:val="en-US" w:eastAsia="zh-CN"/>
                    </w:rPr>
                    <w:t>油墨</w:t>
                  </w:r>
                </w:p>
              </w:tc>
              <w:tc>
                <w:tcPr>
                  <w:tcW w:w="64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u w:val="none" w:color="auto"/>
                      <w:lang w:val="en-US" w:eastAsia="zh-CN"/>
                    </w:rPr>
                  </w:pPr>
                  <w:r>
                    <w:rPr>
                      <w:rFonts w:hint="eastAsia" w:ascii="Times New Roman" w:hAnsi="Times New Roman" w:eastAsia="宋体" w:cs="Times New Roman"/>
                      <w:color w:val="000000"/>
                      <w:sz w:val="21"/>
                      <w:szCs w:val="21"/>
                      <w:u w:val="none" w:color="auto"/>
                      <w:lang w:val="en-US" w:eastAsia="zh-CN"/>
                    </w:rPr>
                    <w:t>/</w:t>
                  </w:r>
                </w:p>
              </w:tc>
              <w:tc>
                <w:tcPr>
                  <w:tcW w:w="973"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sz w:val="21"/>
                      <w:szCs w:val="21"/>
                      <w:u w:val="none" w:color="auto"/>
                      <w:lang w:val="en-US" w:eastAsia="zh-CN"/>
                    </w:rPr>
                  </w:pPr>
                  <w:r>
                    <w:rPr>
                      <w:rFonts w:hint="eastAsia" w:ascii="Times New Roman" w:hAnsi="Times New Roman" w:eastAsia="宋体" w:cs="Times New Roman"/>
                      <w:color w:val="000000"/>
                      <w:sz w:val="21"/>
                      <w:szCs w:val="21"/>
                      <w:u w:val="none" w:color="auto"/>
                      <w:lang w:val="en-US" w:eastAsia="zh-CN"/>
                    </w:rPr>
                    <w:t>0.5</w:t>
                  </w:r>
                </w:p>
              </w:tc>
              <w:tc>
                <w:tcPr>
                  <w:tcW w:w="63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u w:val="none" w:color="auto"/>
                      <w:lang w:val="en-US" w:eastAsia="zh-CN"/>
                    </w:rPr>
                  </w:pPr>
                  <w:r>
                    <w:rPr>
                      <w:rFonts w:hint="eastAsia" w:ascii="Times New Roman" w:hAnsi="Times New Roman" w:eastAsia="宋体" w:cs="Times New Roman"/>
                      <w:color w:val="000000"/>
                      <w:sz w:val="21"/>
                      <w:szCs w:val="21"/>
                      <w:u w:val="none" w:color="auto"/>
                      <w:lang w:val="en-US" w:eastAsia="zh-CN"/>
                    </w:rPr>
                    <w:t>10</w:t>
                  </w:r>
                </w:p>
              </w:tc>
              <w:tc>
                <w:tcPr>
                  <w:tcW w:w="96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u w:val="none" w:color="auto"/>
                      <w:lang w:val="en-US" w:eastAsia="zh-CN"/>
                    </w:rPr>
                  </w:pPr>
                  <w:r>
                    <w:rPr>
                      <w:rFonts w:hint="eastAsia" w:ascii="Times New Roman" w:hAnsi="Times New Roman" w:eastAsia="宋体" w:cs="Times New Roman"/>
                      <w:color w:val="000000"/>
                      <w:sz w:val="21"/>
                      <w:szCs w:val="21"/>
                      <w:u w:val="none" w:color="auto"/>
                      <w:lang w:val="en-US" w:eastAsia="zh-CN"/>
                    </w:rPr>
                    <w:t>0.005</w:t>
                  </w:r>
                </w:p>
              </w:tc>
              <w:tc>
                <w:tcPr>
                  <w:tcW w:w="65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u w:val="none" w:color="auto"/>
                      <w:lang w:val="en-US" w:eastAsia="zh-CN"/>
                    </w:rPr>
                  </w:pPr>
                  <w:r>
                    <w:rPr>
                      <w:rFonts w:hint="eastAsia" w:ascii="Times New Roman" w:hAnsi="Times New Roman" w:eastAsia="宋体" w:cs="Times New Roman"/>
                      <w:color w:val="000000"/>
                      <w:sz w:val="21"/>
                      <w:szCs w:val="21"/>
                      <w:u w:val="none" w:color="auto"/>
                      <w:lang w:val="en-US" w:eastAsia="zh-CN"/>
                    </w:rPr>
                    <w:t>材料仓库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40" w:hRule="atLeast"/>
                <w:jc w:val="center"/>
              </w:trPr>
              <w:tc>
                <w:tcPr>
                  <w:tcW w:w="3380" w:type="pct"/>
                  <w:gridSpan w:val="5"/>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u w:val="none" w:color="auto"/>
                      <w:lang w:val="en-US" w:eastAsia="zh-CN"/>
                    </w:rPr>
                  </w:pPr>
                  <w:r>
                    <w:rPr>
                      <w:rFonts w:hint="eastAsia" w:ascii="Times New Roman" w:hAnsi="Times New Roman" w:eastAsia="宋体" w:cs="Times New Roman"/>
                      <w:color w:val="000000"/>
                      <w:sz w:val="21"/>
                      <w:szCs w:val="21"/>
                      <w:u w:val="none" w:color="auto"/>
                      <w:lang w:val="en-US" w:eastAsia="zh-CN"/>
                    </w:rPr>
                    <w:t>合计</w:t>
                  </w:r>
                </w:p>
              </w:tc>
              <w:tc>
                <w:tcPr>
                  <w:tcW w:w="962"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u w:val="none" w:color="auto"/>
                      <w:lang w:val="en-US" w:eastAsia="zh-CN"/>
                    </w:rPr>
                  </w:pPr>
                  <w:r>
                    <w:rPr>
                      <w:rFonts w:hint="eastAsia" w:ascii="Times New Roman" w:hAnsi="Times New Roman" w:eastAsia="宋体" w:cs="Times New Roman"/>
                      <w:color w:val="000000"/>
                      <w:sz w:val="21"/>
                      <w:szCs w:val="21"/>
                      <w:u w:val="none" w:color="auto"/>
                      <w:lang w:val="en-US" w:eastAsia="zh-CN"/>
                    </w:rPr>
                    <w:t>0.365</w:t>
                  </w:r>
                </w:p>
              </w:tc>
              <w:tc>
                <w:tcPr>
                  <w:tcW w:w="65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color w:val="000000"/>
                      <w:sz w:val="21"/>
                      <w:szCs w:val="21"/>
                      <w:u w:val="none" w:color="auto"/>
                      <w:lang w:val="en-US" w:eastAsia="zh-CN"/>
                    </w:rPr>
                  </w:pPr>
                </w:p>
              </w:tc>
            </w:tr>
          </w:tbl>
          <w:p>
            <w:pPr>
              <w:ind w:firstLine="480"/>
              <w:rPr>
                <w:rFonts w:ascii="Times New Roman" w:hAnsi="Times New Roman" w:eastAsia="宋体" w:cs="Times New Roman"/>
                <w:szCs w:val="24"/>
                <w:u w:val="none" w:color="auto"/>
              </w:rPr>
            </w:pPr>
            <w:r>
              <w:rPr>
                <w:rFonts w:ascii="Times New Roman" w:hAnsi="Times New Roman" w:eastAsia="宋体" w:cs="Times New Roman"/>
                <w:szCs w:val="24"/>
                <w:u w:val="none" w:color="auto"/>
              </w:rPr>
              <w:t>由上表分析可知，本项目Q=</w:t>
            </w:r>
            <w:r>
              <w:rPr>
                <w:rFonts w:hint="eastAsia" w:cs="Times New Roman"/>
                <w:szCs w:val="24"/>
                <w:u w:val="none" w:color="auto"/>
                <w:lang w:val="en-US" w:eastAsia="zh-CN"/>
              </w:rPr>
              <w:t>0.365</w:t>
            </w:r>
            <w:r>
              <w:rPr>
                <w:rFonts w:ascii="Times New Roman" w:hAnsi="Times New Roman" w:eastAsia="宋体" w:cs="Times New Roman"/>
                <w:szCs w:val="24"/>
                <w:u w:val="none" w:color="auto"/>
              </w:rPr>
              <w:t>＜1，则本项目环境风险潜势直接判定为Ⅰ。</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left"/>
              <w:textAlignment w:val="auto"/>
              <w:rPr>
                <w:rFonts w:hint="default" w:ascii="Times New Roman" w:hAnsi="Times New Roman" w:eastAsia="宋体" w:cs="Times New Roman"/>
                <w:color w:val="000000"/>
                <w:sz w:val="24"/>
                <w:szCs w:val="21"/>
                <w:highlight w:val="none"/>
                <w:u w:val="none" w:color="auto"/>
              </w:rPr>
            </w:pPr>
            <w:r>
              <w:rPr>
                <w:rFonts w:hint="default" w:ascii="Times New Roman" w:hAnsi="Times New Roman" w:eastAsia="宋体" w:cs="Times New Roman"/>
                <w:color w:val="000000"/>
                <w:sz w:val="24"/>
                <w:szCs w:val="21"/>
                <w:highlight w:val="none"/>
                <w:u w:val="none" w:color="auto"/>
              </w:rPr>
              <w:t>（</w:t>
            </w:r>
            <w:r>
              <w:rPr>
                <w:rFonts w:hint="eastAsia" w:cs="Times New Roman"/>
                <w:color w:val="000000"/>
                <w:sz w:val="24"/>
                <w:szCs w:val="21"/>
                <w:highlight w:val="none"/>
                <w:u w:val="none" w:color="auto"/>
                <w:lang w:val="en-US" w:eastAsia="zh-CN"/>
              </w:rPr>
              <w:t>1</w:t>
            </w:r>
            <w:r>
              <w:rPr>
                <w:rFonts w:hint="default" w:ascii="Times New Roman" w:hAnsi="Times New Roman" w:eastAsia="宋体" w:cs="Times New Roman"/>
                <w:color w:val="000000"/>
                <w:sz w:val="24"/>
                <w:szCs w:val="21"/>
                <w:highlight w:val="none"/>
                <w:u w:val="none" w:color="auto"/>
              </w:rPr>
              <w:t>）风险等级</w:t>
            </w:r>
          </w:p>
          <w:p>
            <w:pPr>
              <w:autoSpaceDE w:val="0"/>
              <w:autoSpaceDN w:val="0"/>
              <w:ind w:firstLine="480"/>
              <w:jc w:val="left"/>
              <w:rPr>
                <w:rFonts w:ascii="Times New Roman" w:hAnsi="Times New Roman" w:eastAsia="宋体" w:cs="Times New Roman"/>
                <w:color w:val="000000"/>
                <w:szCs w:val="21"/>
                <w:u w:val="none" w:color="auto"/>
              </w:rPr>
            </w:pPr>
            <w:r>
              <w:rPr>
                <w:rFonts w:ascii="Times New Roman" w:hAnsi="Times New Roman" w:eastAsia="宋体" w:cs="Times New Roman"/>
                <w:color w:val="000000"/>
                <w:szCs w:val="21"/>
                <w:u w:val="none" w:color="auto"/>
              </w:rPr>
              <w:t>依据《建设项目环境风险评价技术导则》（HJ 169-2018）中评价工作等级划分基本原则的规定，环境风险评价工作等级划分为一级、二级、三级。根据建设项目涉及的物质及工艺系统危险性和所在地的环境敏感性确定环境风险潜势，评价工作</w:t>
            </w:r>
            <w:r>
              <w:rPr>
                <w:rFonts w:ascii="Times New Roman" w:hAnsi="Times New Roman" w:eastAsia="宋体" w:cs="Times New Roman"/>
                <w:color w:val="000000"/>
                <w:szCs w:val="21"/>
                <w:highlight w:val="none"/>
                <w:u w:val="none" w:color="auto"/>
              </w:rPr>
              <w:t>级别按表4-</w:t>
            </w:r>
            <w:r>
              <w:rPr>
                <w:rFonts w:hint="eastAsia" w:cs="Times New Roman"/>
                <w:color w:val="000000"/>
                <w:szCs w:val="21"/>
                <w:highlight w:val="none"/>
                <w:u w:val="none" w:color="auto"/>
                <w:lang w:val="en-US" w:eastAsia="zh-CN"/>
              </w:rPr>
              <w:t>7</w:t>
            </w:r>
            <w:r>
              <w:rPr>
                <w:rFonts w:ascii="Times New Roman" w:hAnsi="Times New Roman" w:eastAsia="宋体" w:cs="Times New Roman"/>
                <w:color w:val="000000"/>
                <w:szCs w:val="21"/>
                <w:highlight w:val="none"/>
                <w:u w:val="none" w:color="auto"/>
              </w:rPr>
              <w:t>划分。</w:t>
            </w:r>
          </w:p>
          <w:p>
            <w:pPr>
              <w:autoSpaceDE w:val="0"/>
              <w:autoSpaceDN w:val="0"/>
              <w:ind w:firstLine="480"/>
              <w:jc w:val="left"/>
              <w:rPr>
                <w:rFonts w:ascii="Times New Roman" w:hAnsi="Times New Roman" w:eastAsia="宋体" w:cs="Times New Roman"/>
                <w:color w:val="000000"/>
                <w:kern w:val="0"/>
                <w:sz w:val="21"/>
                <w:szCs w:val="18"/>
                <w:u w:val="none" w:color="auto"/>
              </w:rPr>
            </w:pPr>
            <w:r>
              <w:rPr>
                <w:rFonts w:ascii="Times New Roman" w:hAnsi="Times New Roman" w:eastAsia="宋体" w:cs="Times New Roman"/>
                <w:color w:val="000000"/>
                <w:szCs w:val="21"/>
                <w:u w:val="none" w:color="auto"/>
              </w:rPr>
              <w:t>风险潜势为</w:t>
            </w:r>
            <w:r>
              <w:rPr>
                <w:rFonts w:ascii="Times New Roman" w:hAnsi="Times New Roman" w:eastAsia="宋体" w:cs="Times New Roman"/>
                <w:color w:val="000000"/>
                <w:kern w:val="0"/>
                <w:szCs w:val="21"/>
                <w:u w:val="none" w:color="auto"/>
              </w:rPr>
              <w:t>Ⅳ及以上，进行一级评价；风险潜势为Ⅲ，进行二级评价；风险潜势为Ⅱ，进行三级评价；风险潜势为Ⅰ，可开展简单分析。</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left"/>
              <w:textAlignment w:val="auto"/>
              <w:rPr>
                <w:rFonts w:hint="default" w:ascii="Times New Roman" w:hAnsi="Times New Roman" w:eastAsia="宋体" w:cs="Times New Roman"/>
                <w:color w:val="000000"/>
                <w:sz w:val="24"/>
                <w:szCs w:val="21"/>
                <w:highlight w:val="none"/>
                <w:u w:val="none" w:color="auto"/>
              </w:rPr>
            </w:pPr>
            <w:r>
              <w:rPr>
                <w:rFonts w:ascii="Times New Roman" w:hAnsi="Times New Roman" w:eastAsia="宋体" w:cs="Times New Roman"/>
                <w:bCs/>
                <w:color w:val="000000"/>
                <w:szCs w:val="21"/>
                <w:u w:val="none" w:color="auto"/>
              </w:rPr>
              <w:t>结合本项目的特点，本项目Q=</w:t>
            </w:r>
            <w:r>
              <w:rPr>
                <w:rFonts w:hint="eastAsia" w:cs="Times New Roman"/>
                <w:bCs/>
                <w:color w:val="000000"/>
                <w:szCs w:val="21"/>
                <w:u w:val="none" w:color="auto"/>
                <w:lang w:val="en-US" w:eastAsia="zh-CN"/>
              </w:rPr>
              <w:t>0.365</w:t>
            </w:r>
            <w:r>
              <w:rPr>
                <w:rFonts w:ascii="Times New Roman" w:hAnsi="Times New Roman" w:eastAsia="宋体" w:cs="Times New Roman"/>
                <w:bCs/>
                <w:color w:val="000000"/>
                <w:szCs w:val="21"/>
                <w:u w:val="none" w:color="auto"/>
              </w:rPr>
              <w:t>＜1</w:t>
            </w:r>
            <w:r>
              <w:rPr>
                <w:rFonts w:hint="eastAsia" w:ascii="Times New Roman" w:hAnsi="Times New Roman" w:eastAsia="宋体" w:cs="Times New Roman"/>
                <w:bCs/>
                <w:color w:val="000000"/>
                <w:szCs w:val="21"/>
                <w:u w:val="none" w:color="auto"/>
              </w:rPr>
              <w:t>，因此</w:t>
            </w:r>
            <w:r>
              <w:rPr>
                <w:rFonts w:ascii="Times New Roman" w:hAnsi="Times New Roman" w:eastAsia="宋体" w:cs="Times New Roman"/>
                <w:bCs/>
                <w:color w:val="000000"/>
                <w:szCs w:val="21"/>
                <w:u w:val="none" w:color="auto"/>
              </w:rPr>
              <w:t>本项目风险潜势为Ⅰ，可开展简单分析。</w:t>
            </w:r>
          </w:p>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
                <w:bCs/>
                <w:kern w:val="2"/>
                <w:sz w:val="21"/>
                <w:szCs w:val="21"/>
                <w:lang w:val="en-US" w:eastAsia="zh-CN" w:bidi="ar-SA"/>
              </w:rPr>
              <w:t>表4-</w:t>
            </w:r>
            <w:r>
              <w:rPr>
                <w:rFonts w:hint="eastAsia" w:cs="Times New Roman"/>
                <w:b/>
                <w:bCs/>
                <w:kern w:val="2"/>
                <w:sz w:val="21"/>
                <w:szCs w:val="21"/>
                <w:lang w:val="en-US" w:eastAsia="zh-CN" w:bidi="ar-SA"/>
              </w:rPr>
              <w:t>9</w:t>
            </w:r>
            <w:r>
              <w:rPr>
                <w:rFonts w:hint="default" w:ascii="Times New Roman" w:hAnsi="Times New Roman" w:eastAsia="宋体" w:cs="Times New Roman"/>
                <w:b/>
                <w:bCs/>
                <w:kern w:val="2"/>
                <w:sz w:val="21"/>
                <w:szCs w:val="21"/>
                <w:lang w:val="en-US" w:eastAsia="zh-CN" w:bidi="ar-SA"/>
              </w:rPr>
              <w:t xml:space="preserve"> 建设项目环境风险简单分析内容表</w:t>
            </w:r>
          </w:p>
          <w:tbl>
            <w:tblPr>
              <w:tblStyle w:val="23"/>
              <w:tblW w:w="4999" w:type="pct"/>
              <w:tblInd w:w="0" w:type="dxa"/>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autofit"/>
              <w:tblCellMar>
                <w:top w:w="0" w:type="dxa"/>
                <w:left w:w="0" w:type="dxa"/>
                <w:bottom w:w="0" w:type="dxa"/>
                <w:right w:w="0" w:type="dxa"/>
              </w:tblCellMar>
            </w:tblPr>
            <w:tblGrid>
              <w:gridCol w:w="1415"/>
              <w:gridCol w:w="973"/>
              <w:gridCol w:w="2722"/>
              <w:gridCol w:w="973"/>
              <w:gridCol w:w="2840"/>
            </w:tblGrid>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Ex>
              <w:trPr>
                <w:trHeight w:val="340" w:hRule="atLeast"/>
              </w:trPr>
              <w:tc>
                <w:tcPr>
                  <w:tcW w:w="793"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建设项目名称</w:t>
                  </w:r>
                </w:p>
              </w:tc>
              <w:tc>
                <w:tcPr>
                  <w:tcW w:w="4206" w:type="pct"/>
                  <w:gridSpan w:val="4"/>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湖南镁鑫新能源有限公司锂电池生产项目</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340" w:hRule="atLeast"/>
              </w:trPr>
              <w:tc>
                <w:tcPr>
                  <w:tcW w:w="793"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建设地点</w:t>
                  </w:r>
                </w:p>
              </w:tc>
              <w:tc>
                <w:tcPr>
                  <w:tcW w:w="545"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湖南省</w:t>
                  </w:r>
                </w:p>
              </w:tc>
              <w:tc>
                <w:tcPr>
                  <w:tcW w:w="1525"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永州</w:t>
                  </w:r>
                  <w:r>
                    <w:rPr>
                      <w:rFonts w:hint="default" w:ascii="Times New Roman" w:hAnsi="Times New Roman" w:eastAsia="宋体" w:cs="Times New Roman"/>
                      <w:kern w:val="2"/>
                      <w:sz w:val="21"/>
                      <w:szCs w:val="21"/>
                      <w:lang w:val="en-US" w:eastAsia="zh-CN" w:bidi="ar-SA"/>
                    </w:rPr>
                    <w:t>市</w:t>
                  </w:r>
                </w:p>
              </w:tc>
              <w:tc>
                <w:tcPr>
                  <w:tcW w:w="545"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新田县</w:t>
                  </w:r>
                </w:p>
              </w:tc>
              <w:tc>
                <w:tcPr>
                  <w:tcW w:w="1589"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lang w:val="en-US" w:eastAsia="zh-CN" w:bidi="ar-SA"/>
                    </w:rPr>
                  </w:pPr>
                  <w:r>
                    <w:rPr>
                      <w:rFonts w:hint="eastAsia" w:cs="Times New Roman"/>
                      <w:kern w:val="2"/>
                      <w:sz w:val="21"/>
                      <w:szCs w:val="21"/>
                      <w:lang w:val="en-US" w:eastAsia="zh-CN" w:bidi="ar-SA"/>
                    </w:rPr>
                    <w:t>龙泉街道工业园南园新能源新材料产业园10号栋</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Ex>
              <w:trPr>
                <w:trHeight w:val="340" w:hRule="atLeast"/>
              </w:trPr>
              <w:tc>
                <w:tcPr>
                  <w:tcW w:w="793"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地理坐标</w:t>
                  </w:r>
                </w:p>
              </w:tc>
              <w:tc>
                <w:tcPr>
                  <w:tcW w:w="545"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经度</w:t>
                  </w:r>
                </w:p>
              </w:tc>
              <w:tc>
                <w:tcPr>
                  <w:tcW w:w="1525"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112.196904594</w:t>
                  </w:r>
                </w:p>
              </w:tc>
              <w:tc>
                <w:tcPr>
                  <w:tcW w:w="545"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纬度</w:t>
                  </w:r>
                </w:p>
              </w:tc>
              <w:tc>
                <w:tcPr>
                  <w:tcW w:w="1589"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25.892254514</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Ex>
              <w:trPr>
                <w:trHeight w:val="340" w:hRule="atLeast"/>
              </w:trPr>
              <w:tc>
                <w:tcPr>
                  <w:tcW w:w="793"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highlight w:val="none"/>
                      <w:lang w:val="en-US" w:eastAsia="zh-CN" w:bidi="ar-SA"/>
                    </w:rPr>
                    <w:t>主要危险物质及分布</w:t>
                  </w:r>
                </w:p>
              </w:tc>
              <w:tc>
                <w:tcPr>
                  <w:tcW w:w="4206" w:type="pct"/>
                  <w:gridSpan w:val="4"/>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eastAsia" w:cs="Times New Roman"/>
                      <w:kern w:val="2"/>
                      <w:sz w:val="21"/>
                      <w:szCs w:val="21"/>
                      <w:highlight w:val="none"/>
                      <w:lang w:val="en-US" w:eastAsia="zh-CN" w:bidi="ar-SA"/>
                    </w:rPr>
                    <w:t>仓库内的NMP、电解液、油墨</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340" w:hRule="atLeast"/>
              </w:trPr>
              <w:tc>
                <w:tcPr>
                  <w:tcW w:w="793"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highlight w:val="none"/>
                      <w:lang w:val="en-US" w:eastAsia="zh-CN" w:bidi="ar-SA"/>
                    </w:rPr>
                    <w:t>环境影响途径及危害后果（大气、地表水、地下水等）</w:t>
                  </w:r>
                </w:p>
              </w:tc>
              <w:tc>
                <w:tcPr>
                  <w:tcW w:w="4206" w:type="pct"/>
                  <w:gridSpan w:val="4"/>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keepNext w:val="0"/>
                    <w:keepLines w:val="0"/>
                    <w:widowControl/>
                    <w:suppressLineNumbers w:val="0"/>
                    <w:spacing w:line="240" w:lineRule="auto"/>
                    <w:jc w:val="both"/>
                    <w:rPr>
                      <w:color w:val="auto"/>
                      <w:sz w:val="21"/>
                      <w:szCs w:val="21"/>
                    </w:rPr>
                  </w:pPr>
                  <w:r>
                    <w:rPr>
                      <w:rFonts w:hint="eastAsia" w:ascii="宋体" w:hAnsi="宋体" w:eastAsia="宋体" w:cs="宋体"/>
                      <w:color w:val="auto"/>
                      <w:kern w:val="0"/>
                      <w:sz w:val="21"/>
                      <w:szCs w:val="21"/>
                      <w:lang w:val="en-US" w:eastAsia="zh-CN" w:bidi="ar"/>
                    </w:rPr>
                    <w:t>①项目生产过程中使用的电解液属于易挥发、易燃易、爆物品，可能发生泄漏挥发、火灾爆炸；</w:t>
                  </w:r>
                </w:p>
                <w:p>
                  <w:pPr>
                    <w:keepNext w:val="0"/>
                    <w:keepLines w:val="0"/>
                    <w:widowControl/>
                    <w:suppressLineNumbers w:val="0"/>
                    <w:spacing w:line="240" w:lineRule="auto"/>
                    <w:jc w:val="both"/>
                    <w:rPr>
                      <w:color w:val="auto"/>
                      <w:sz w:val="21"/>
                      <w:szCs w:val="21"/>
                    </w:rPr>
                  </w:pPr>
                  <w:r>
                    <w:rPr>
                      <w:rFonts w:hint="eastAsia" w:ascii="宋体" w:hAnsi="宋体" w:eastAsia="宋体" w:cs="宋体"/>
                      <w:color w:val="auto"/>
                      <w:kern w:val="0"/>
                      <w:sz w:val="21"/>
                      <w:szCs w:val="21"/>
                      <w:lang w:val="en-US" w:eastAsia="zh-CN" w:bidi="ar"/>
                    </w:rPr>
                    <w:t>②本项目产生的危险废物暂存于专门的危废暂存点，暂存时可能发生渗漏；</w:t>
                  </w:r>
                </w:p>
                <w:p>
                  <w:pPr>
                    <w:keepNext w:val="0"/>
                    <w:keepLines w:val="0"/>
                    <w:widowControl/>
                    <w:suppressLineNumbers w:val="0"/>
                    <w:spacing w:line="240" w:lineRule="auto"/>
                    <w:ind w:firstLine="420" w:firstLineChars="200"/>
                    <w:jc w:val="both"/>
                    <w:rPr>
                      <w:rFonts w:hint="default" w:ascii="Times New Roman" w:hAnsi="Times New Roman" w:eastAsia="宋体" w:cs="Times New Roman"/>
                      <w:kern w:val="2"/>
                      <w:sz w:val="21"/>
                      <w:szCs w:val="21"/>
                      <w:highlight w:val="none"/>
                      <w:lang w:val="en-US" w:eastAsia="zh-CN" w:bidi="ar-SA"/>
                    </w:rPr>
                  </w:pPr>
                  <w:r>
                    <w:rPr>
                      <w:rFonts w:hint="eastAsia" w:ascii="宋体" w:hAnsi="宋体" w:eastAsia="宋体" w:cs="宋体"/>
                      <w:color w:val="auto"/>
                      <w:kern w:val="0"/>
                      <w:sz w:val="21"/>
                      <w:szCs w:val="21"/>
                      <w:lang w:val="en-US" w:eastAsia="zh-CN" w:bidi="ar"/>
                    </w:rPr>
                    <w:t>③废气处理设施发生事故性排放</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340" w:hRule="atLeast"/>
              </w:trPr>
              <w:tc>
                <w:tcPr>
                  <w:tcW w:w="793"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风险防范措施要求</w:t>
                  </w:r>
                </w:p>
              </w:tc>
              <w:tc>
                <w:tcPr>
                  <w:tcW w:w="4206" w:type="pct"/>
                  <w:gridSpan w:val="4"/>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keepNext w:val="0"/>
                    <w:keepLines w:val="0"/>
                    <w:widowControl/>
                    <w:suppressLineNumbers w:val="0"/>
                    <w:spacing w:line="240" w:lineRule="auto"/>
                    <w:jc w:val="both"/>
                    <w:rPr>
                      <w:color w:val="auto"/>
                      <w:sz w:val="21"/>
                      <w:szCs w:val="21"/>
                    </w:rPr>
                  </w:pPr>
                  <w:r>
                    <w:rPr>
                      <w:rFonts w:hint="eastAsia" w:ascii="宋体" w:hAnsi="宋体" w:eastAsia="宋体" w:cs="宋体"/>
                      <w:color w:val="auto"/>
                      <w:kern w:val="0"/>
                      <w:sz w:val="21"/>
                      <w:szCs w:val="21"/>
                      <w:lang w:val="en-US" w:eastAsia="zh-CN" w:bidi="ar"/>
                    </w:rPr>
                    <w:t>①定期对操作人员进行安全生产与安全知识培训，并制定严格的安全操作规程，切实加强生产过程中的温度控制，保证劳动安全，防止意外事故的发生。</w:t>
                  </w:r>
                </w:p>
                <w:p>
                  <w:pPr>
                    <w:keepNext w:val="0"/>
                    <w:keepLines w:val="0"/>
                    <w:widowControl/>
                    <w:suppressLineNumbers w:val="0"/>
                    <w:spacing w:line="240" w:lineRule="auto"/>
                    <w:jc w:val="both"/>
                    <w:rPr>
                      <w:color w:val="auto"/>
                      <w:sz w:val="21"/>
                      <w:szCs w:val="21"/>
                    </w:rPr>
                  </w:pPr>
                  <w:r>
                    <w:rPr>
                      <w:rFonts w:hint="eastAsia" w:ascii="宋体" w:hAnsi="宋体" w:eastAsia="宋体" w:cs="宋体"/>
                      <w:color w:val="auto"/>
                      <w:kern w:val="0"/>
                      <w:sz w:val="21"/>
                      <w:szCs w:val="21"/>
                      <w:lang w:val="en-US" w:eastAsia="zh-CN" w:bidi="ar"/>
                    </w:rPr>
                    <w:t>②危险废物贮存及处理严格按照《危险废物贮存污染控制标准》（</w:t>
                  </w:r>
                  <w:r>
                    <w:rPr>
                      <w:rFonts w:hint="default" w:ascii="Times New Roman" w:hAnsi="Times New Roman" w:eastAsia="宋体" w:cs="Times New Roman"/>
                      <w:color w:val="auto"/>
                      <w:kern w:val="0"/>
                      <w:sz w:val="21"/>
                      <w:szCs w:val="21"/>
                      <w:lang w:val="en-US" w:eastAsia="zh-CN" w:bidi="ar"/>
                    </w:rPr>
                    <w:t>GB18597-2001</w:t>
                  </w:r>
                  <w:r>
                    <w:rPr>
                      <w:rFonts w:hint="eastAsia" w:ascii="宋体" w:hAnsi="宋体" w:eastAsia="宋体" w:cs="宋体"/>
                      <w:color w:val="auto"/>
                      <w:kern w:val="0"/>
                      <w:sz w:val="21"/>
                      <w:szCs w:val="21"/>
                      <w:lang w:val="en-US" w:eastAsia="zh-CN" w:bidi="ar"/>
                    </w:rPr>
                    <w:t>）及</w:t>
                  </w:r>
                  <w:r>
                    <w:rPr>
                      <w:rFonts w:hint="default" w:ascii="Times New Roman" w:hAnsi="Times New Roman" w:eastAsia="宋体" w:cs="Times New Roman"/>
                      <w:color w:val="auto"/>
                      <w:kern w:val="0"/>
                      <w:sz w:val="21"/>
                      <w:szCs w:val="21"/>
                      <w:lang w:val="en-US" w:eastAsia="zh-CN" w:bidi="ar"/>
                    </w:rPr>
                    <w:t>2013</w:t>
                  </w:r>
                  <w:r>
                    <w:rPr>
                      <w:rFonts w:hint="eastAsia" w:ascii="宋体" w:hAnsi="宋体" w:eastAsia="宋体" w:cs="宋体"/>
                      <w:color w:val="auto"/>
                      <w:kern w:val="0"/>
                      <w:sz w:val="21"/>
                      <w:szCs w:val="21"/>
                      <w:lang w:val="en-US" w:eastAsia="zh-CN" w:bidi="ar"/>
                    </w:rPr>
                    <w:t>年修改单的要求进行。</w:t>
                  </w:r>
                </w:p>
                <w:p>
                  <w:pPr>
                    <w:keepNext w:val="0"/>
                    <w:keepLines w:val="0"/>
                    <w:widowControl/>
                    <w:suppressLineNumbers w:val="0"/>
                    <w:spacing w:line="240" w:lineRule="auto"/>
                    <w:ind w:firstLine="420" w:firstLineChars="200"/>
                    <w:jc w:val="both"/>
                    <w:rPr>
                      <w:rFonts w:hint="default" w:ascii="Times New Roman" w:hAnsi="Times New Roman" w:eastAsia="宋体" w:cs="Times New Roman"/>
                      <w:kern w:val="2"/>
                      <w:sz w:val="21"/>
                      <w:szCs w:val="21"/>
                      <w:lang w:val="en-US" w:eastAsia="zh-CN" w:bidi="ar-SA"/>
                    </w:rPr>
                  </w:pPr>
                  <w:r>
                    <w:rPr>
                      <w:rFonts w:hint="eastAsia" w:ascii="宋体" w:hAnsi="宋体" w:eastAsia="宋体" w:cs="宋体"/>
                      <w:color w:val="auto"/>
                      <w:kern w:val="0"/>
                      <w:sz w:val="21"/>
                      <w:szCs w:val="21"/>
                      <w:lang w:val="en-US" w:eastAsia="zh-CN" w:bidi="ar"/>
                    </w:rPr>
                    <w:t>③加强污染治理设施管理，进行定期或不定期检查，建立废气事故性排放的应急制度和响应措施，将事故性排放的影响降至最低。</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340" w:hRule="atLeast"/>
              </w:trPr>
              <w:tc>
                <w:tcPr>
                  <w:tcW w:w="793" w:type="pct"/>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0" w:firstLineChars="0"/>
                    <w:jc w:val="center"/>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highlight w:val="none"/>
                      <w:lang w:val="en-US" w:eastAsia="zh-CN" w:bidi="ar-SA"/>
                    </w:rPr>
                    <w:t>填表说明（列出项目相关信息及评价说明）</w:t>
                  </w:r>
                </w:p>
              </w:tc>
              <w:tc>
                <w:tcPr>
                  <w:tcW w:w="4206" w:type="pct"/>
                  <w:gridSpan w:val="4"/>
                  <w:tcBorders>
                    <w:top w:val="single" w:color="000000" w:sz="8" w:space="0"/>
                    <w:left w:val="single" w:color="000000" w:sz="8" w:space="0"/>
                    <w:bottom w:val="single" w:color="000000" w:sz="8" w:space="0"/>
                    <w:right w:val="single" w:color="000000" w:sz="8" w:space="0"/>
                  </w:tcBorders>
                  <w:shd w:val="clear" w:color="auto" w:fill="FFFFFF"/>
                  <w:noWrap w:val="0"/>
                  <w:vAlign w:val="center"/>
                </w:tcPr>
                <w:p>
                  <w:pPr>
                    <w:widowControl w:val="0"/>
                    <w:bidi w:val="0"/>
                    <w:adjustRightInd w:val="0"/>
                    <w:snapToGrid w:val="0"/>
                    <w:spacing w:line="240" w:lineRule="auto"/>
                    <w:ind w:firstLine="420" w:firstLineChars="200"/>
                    <w:jc w:val="both"/>
                    <w:rPr>
                      <w:rFonts w:hint="default" w:ascii="Times New Roman" w:hAnsi="Times New Roman" w:eastAsia="宋体" w:cs="Times New Roman"/>
                      <w:kern w:val="2"/>
                      <w:sz w:val="21"/>
                      <w:szCs w:val="21"/>
                      <w:highlight w:val="none"/>
                      <w:lang w:val="en-US" w:eastAsia="zh-CN" w:bidi="ar-SA"/>
                    </w:rPr>
                  </w:pPr>
                  <w:r>
                    <w:rPr>
                      <w:rFonts w:hint="default" w:ascii="Times New Roman" w:hAnsi="Times New Roman" w:eastAsia="宋体" w:cs="Times New Roman"/>
                      <w:kern w:val="2"/>
                      <w:sz w:val="21"/>
                      <w:szCs w:val="21"/>
                      <w:highlight w:val="none"/>
                      <w:lang w:val="en-US" w:eastAsia="zh-CN" w:bidi="ar-SA"/>
                    </w:rPr>
                    <w:t>项目通过采取相应的风险预防、管理、应急措施后，评价认为项目环境风险是可以接受的</w:t>
                  </w:r>
                </w:p>
              </w:tc>
            </w:tr>
          </w:tbl>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textAlignment w:val="auto"/>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w:t>
            </w:r>
            <w:r>
              <w:rPr>
                <w:rFonts w:hint="eastAsia" w:cs="Times New Roman" w:eastAsiaTheme="minorEastAsia"/>
                <w:color w:val="000000" w:themeColor="text1"/>
                <w:sz w:val="24"/>
                <w:highlight w:val="none"/>
                <w:u w:val="none" w:color="auto"/>
                <w:lang w:val="en-US" w:eastAsia="zh-CN"/>
                <w14:textFill>
                  <w14:solidFill>
                    <w14:schemeClr w14:val="tx1"/>
                  </w14:solidFill>
                </w14:textFill>
              </w:rPr>
              <w:t>2</w:t>
            </w: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）环境风险影响分析</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lang w:eastAsia="zh-CN"/>
              </w:rPr>
            </w:pPr>
            <w:r>
              <w:rPr>
                <w:rFonts w:hint="default"/>
                <w:szCs w:val="24"/>
                <w:lang w:eastAsia="zh-CN"/>
              </w:rPr>
              <w:fldChar w:fldCharType="begin"/>
            </w:r>
            <w:r>
              <w:rPr>
                <w:rFonts w:hint="default"/>
                <w:szCs w:val="24"/>
                <w:lang w:eastAsia="zh-CN"/>
              </w:rPr>
              <w:instrText xml:space="preserve"> = 1 \* GB3 \* MERGEFORMAT </w:instrText>
            </w:r>
            <w:r>
              <w:rPr>
                <w:rFonts w:hint="default"/>
                <w:szCs w:val="24"/>
                <w:lang w:eastAsia="zh-CN"/>
              </w:rPr>
              <w:fldChar w:fldCharType="separate"/>
            </w:r>
            <w:r>
              <w:rPr>
                <w:szCs w:val="24"/>
              </w:rPr>
              <w:t>①</w:t>
            </w:r>
            <w:r>
              <w:rPr>
                <w:rFonts w:hint="default"/>
                <w:szCs w:val="24"/>
                <w:lang w:eastAsia="zh-CN"/>
              </w:rPr>
              <w:fldChar w:fldCharType="end"/>
            </w:r>
            <w:r>
              <w:rPr>
                <w:rFonts w:hint="default"/>
                <w:szCs w:val="24"/>
                <w:lang w:eastAsia="zh-CN"/>
              </w:rPr>
              <w:t>项目生产工艺风险分析</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lang w:eastAsia="zh-CN"/>
              </w:rPr>
            </w:pPr>
            <w:r>
              <w:rPr>
                <w:rFonts w:hint="default"/>
                <w:szCs w:val="24"/>
                <w:lang w:eastAsia="zh-CN"/>
              </w:rPr>
              <w:t>本项目锂离子电池注液过程会使用电解液，电解液主要由高纯度六氟磷酸锂盐溶解于碳酸乙烯酯、碳酸二乙酯中配制而成。若生产操作不当，导致电解液发生泄漏时，电解液中的六氟磷酸锂与空气中水蒸气发生化学反应才会产生氟化物等废气，短时间摄人大剂量，能引起急性中毒。经呼吸道吸入高浓度，刺激鼻和上呼吸道，引起粘膜溃疡和上呼吸道炎症，重者可引起化学性肺炎、肺水肿和反应性窒息。氟化氢腐蚀剂，有剧毒。在空气中，只要超过3ppm就会产生刺激的味道。可以透过皮肤黏膜、呼吸道及肠胃道吸收，引起皮肤灼伤、气管和咽喉水肿引起窒息死亡。</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lang w:eastAsia="zh-CN"/>
              </w:rPr>
            </w:pPr>
            <w:r>
              <w:rPr>
                <w:rFonts w:hint="default"/>
                <w:szCs w:val="24"/>
                <w:lang w:eastAsia="zh-CN"/>
              </w:rPr>
              <w:t>根据电解液中成分六氟磷酸锂的理化性质，电解液如果泄漏时遇水源、火源将产生剧毒物质，随温度的升高会有爆炸风险。</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lang w:eastAsia="zh-CN"/>
              </w:rPr>
            </w:pPr>
            <w:r>
              <w:rPr>
                <w:rFonts w:hint="default"/>
                <w:szCs w:val="24"/>
                <w:lang w:eastAsia="zh-CN"/>
              </w:rPr>
              <w:fldChar w:fldCharType="begin"/>
            </w:r>
            <w:r>
              <w:rPr>
                <w:rFonts w:hint="default"/>
                <w:szCs w:val="24"/>
                <w:lang w:eastAsia="zh-CN"/>
              </w:rPr>
              <w:instrText xml:space="preserve"> = 2 \* GB3 \* MERGEFORMAT </w:instrText>
            </w:r>
            <w:r>
              <w:rPr>
                <w:rFonts w:hint="default"/>
                <w:szCs w:val="24"/>
                <w:lang w:eastAsia="zh-CN"/>
              </w:rPr>
              <w:fldChar w:fldCharType="separate"/>
            </w:r>
            <w:r>
              <w:rPr>
                <w:szCs w:val="24"/>
              </w:rPr>
              <w:t>②</w:t>
            </w:r>
            <w:r>
              <w:rPr>
                <w:rFonts w:hint="default"/>
                <w:szCs w:val="24"/>
                <w:lang w:eastAsia="zh-CN"/>
              </w:rPr>
              <w:fldChar w:fldCharType="end"/>
            </w:r>
            <w:r>
              <w:rPr>
                <w:rFonts w:hint="default"/>
                <w:szCs w:val="24"/>
                <w:lang w:eastAsia="zh-CN"/>
              </w:rPr>
              <w:t>危险化学品储运风险分析</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lang w:eastAsia="zh-CN"/>
              </w:rPr>
            </w:pPr>
            <w:r>
              <w:rPr>
                <w:rFonts w:hint="default"/>
                <w:szCs w:val="24"/>
                <w:lang w:eastAsia="zh-CN"/>
              </w:rPr>
              <w:t>项目营运后使用的原料中属于固体粉末状的主要有石墨、羧甲基纤维素钠(CMC)等，液体状的主要有电解液、N-甲基吡咯烷酮（NMP）等。原材料在运输、储存过程中，均可能会因自然或人为因素，出现事故造成泄漏而排入周围环境。人为因素是操作不当、违反操作规程等，自然因素是设备老化破裂及自然灾害等。</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lang w:eastAsia="zh-CN"/>
              </w:rPr>
            </w:pPr>
            <w:r>
              <w:rPr>
                <w:rFonts w:hint="default"/>
                <w:szCs w:val="24"/>
                <w:lang w:eastAsia="zh-CN"/>
              </w:rPr>
              <w:t>固体粉末状的原料在运输过程中发生泄漏时，产生的大量粉尘可使公路能见度降低，从而造成交通事故隐患</w:t>
            </w:r>
            <w:r>
              <w:rPr>
                <w:rFonts w:hint="eastAsia" w:eastAsia="宋体"/>
                <w:szCs w:val="24"/>
                <w:lang w:eastAsia="zh-CN"/>
              </w:rPr>
              <w:t>；</w:t>
            </w:r>
            <w:r>
              <w:rPr>
                <w:rFonts w:hint="default"/>
                <w:szCs w:val="24"/>
                <w:lang w:eastAsia="zh-CN"/>
              </w:rPr>
              <w:t>液体状原料在存储发生泄漏时，由于电解液具有腐蚀性，对人体、建筑物及其他物品具有腐蚀作用；N-甲基吡咯烷酮（NMP）对皮肤具有轻度刺激作用，上述物料泄漏进入环境后将对周边区域人员身体健康、环境空气质量和水环境质量造成一定的影响，同时可引发次生污染事件。</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lang w:eastAsia="zh-CN"/>
              </w:rPr>
            </w:pPr>
            <w:r>
              <w:rPr>
                <w:rFonts w:hint="default"/>
                <w:szCs w:val="24"/>
                <w:lang w:eastAsia="zh-CN"/>
              </w:rPr>
              <w:t>建议项目加强对化学品仓库的管理，做好各项防护措施，减低事故发生的风险。</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lang w:eastAsia="zh-CN"/>
              </w:rPr>
            </w:pPr>
            <w:r>
              <w:rPr>
                <w:rFonts w:hint="default"/>
                <w:szCs w:val="24"/>
                <w:lang w:eastAsia="zh-CN"/>
              </w:rPr>
              <w:fldChar w:fldCharType="begin"/>
            </w:r>
            <w:r>
              <w:rPr>
                <w:rFonts w:hint="default"/>
                <w:szCs w:val="24"/>
                <w:lang w:eastAsia="zh-CN"/>
              </w:rPr>
              <w:instrText xml:space="preserve"> = 3 \* GB3 \* MERGEFORMAT </w:instrText>
            </w:r>
            <w:r>
              <w:rPr>
                <w:rFonts w:hint="default"/>
                <w:szCs w:val="24"/>
                <w:lang w:eastAsia="zh-CN"/>
              </w:rPr>
              <w:fldChar w:fldCharType="separate"/>
            </w:r>
            <w:r>
              <w:rPr>
                <w:szCs w:val="24"/>
              </w:rPr>
              <w:t>③</w:t>
            </w:r>
            <w:r>
              <w:rPr>
                <w:rFonts w:hint="default"/>
                <w:szCs w:val="24"/>
                <w:lang w:eastAsia="zh-CN"/>
              </w:rPr>
              <w:fldChar w:fldCharType="end"/>
            </w:r>
            <w:r>
              <w:rPr>
                <w:rFonts w:hint="default"/>
                <w:szCs w:val="24"/>
                <w:lang w:eastAsia="zh-CN"/>
              </w:rPr>
              <w:t>工艺废气事故排放风险分析</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lang w:eastAsia="zh-CN"/>
              </w:rPr>
            </w:pPr>
            <w:r>
              <w:rPr>
                <w:rFonts w:hint="default"/>
                <w:szCs w:val="24"/>
                <w:lang w:eastAsia="zh-CN"/>
              </w:rPr>
              <w:t>本项目废气风险主要为排放的有机废气可能影响生产过程和废气净化过程，并在事故地点产生一定的损害，但由于排放强度较低，如果不是遇到及其不利的气象条件，将不会对厂区以外的环境造成明显污染。</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lang w:eastAsia="zh-CN"/>
              </w:rPr>
            </w:pPr>
            <w:r>
              <w:rPr>
                <w:rFonts w:hint="default"/>
                <w:szCs w:val="24"/>
                <w:lang w:eastAsia="zh-CN"/>
              </w:rPr>
              <w:t>废气风险出现概率主要与废气净化系统的事故率有关，导致出现废气排放风险的主要原因有：</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lang w:eastAsia="zh-CN"/>
              </w:rPr>
            </w:pPr>
            <w:r>
              <w:rPr>
                <w:rFonts w:hint="eastAsia"/>
                <w:szCs w:val="24"/>
                <w:lang w:val="en-US" w:eastAsia="zh-CN"/>
              </w:rPr>
              <w:t>A.</w:t>
            </w:r>
            <w:r>
              <w:rPr>
                <w:rFonts w:hint="default"/>
                <w:szCs w:val="24"/>
                <w:lang w:eastAsia="zh-CN"/>
              </w:rPr>
              <w:t>生产中废气排出状况波动异常；</w:t>
            </w:r>
          </w:p>
          <w:p>
            <w:pPr>
              <w:keepNext w:val="0"/>
              <w:keepLines w:val="0"/>
              <w:pageBreakBefore w:val="0"/>
              <w:widowControl w:val="0"/>
              <w:kinsoku/>
              <w:wordWrap/>
              <w:overflowPunct/>
              <w:topLinePunct w:val="0"/>
              <w:bidi w:val="0"/>
              <w:adjustRightInd w:val="0"/>
              <w:snapToGrid w:val="0"/>
              <w:textAlignment w:val="auto"/>
              <w:rPr>
                <w:rFonts w:hint="default"/>
                <w:szCs w:val="24"/>
                <w:lang w:eastAsia="zh-CN"/>
              </w:rPr>
            </w:pPr>
            <w:r>
              <w:rPr>
                <w:rFonts w:hint="eastAsia"/>
                <w:szCs w:val="24"/>
                <w:lang w:val="en-US" w:eastAsia="zh-CN"/>
              </w:rPr>
              <w:t>B.</w:t>
            </w:r>
            <w:r>
              <w:rPr>
                <w:rFonts w:hint="default"/>
                <w:szCs w:val="24"/>
                <w:lang w:eastAsia="zh-CN"/>
              </w:rPr>
              <w:t>净化系统出现泄漏现象；</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lang w:eastAsia="zh-CN"/>
              </w:rPr>
            </w:pPr>
            <w:r>
              <w:rPr>
                <w:rFonts w:hint="eastAsia"/>
                <w:szCs w:val="24"/>
                <w:lang w:val="en-US" w:eastAsia="zh-CN"/>
              </w:rPr>
              <w:t>C.</w:t>
            </w:r>
            <w:r>
              <w:rPr>
                <w:rFonts w:hint="default"/>
                <w:szCs w:val="24"/>
                <w:lang w:eastAsia="zh-CN"/>
              </w:rPr>
              <w:tab/>
            </w:r>
            <w:r>
              <w:rPr>
                <w:rFonts w:hint="default"/>
                <w:szCs w:val="24"/>
                <w:lang w:eastAsia="zh-CN"/>
              </w:rPr>
              <w:t>操作不当或未根据生产实际状况变化及时调整工艺参数</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lang w:eastAsia="zh-CN"/>
              </w:rPr>
            </w:pPr>
            <w:r>
              <w:rPr>
                <w:rFonts w:hint="default"/>
                <w:szCs w:val="24"/>
                <w:lang w:eastAsia="zh-CN"/>
              </w:rPr>
              <w:t>类比相似企业，废气处理事故的风险概率约在万分之五。</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lang w:eastAsia="zh-CN"/>
              </w:rPr>
            </w:pPr>
            <w:r>
              <w:rPr>
                <w:rFonts w:hint="default"/>
                <w:szCs w:val="24"/>
                <w:lang w:eastAsia="zh-CN"/>
              </w:rPr>
              <w:fldChar w:fldCharType="begin"/>
            </w:r>
            <w:r>
              <w:rPr>
                <w:rFonts w:hint="default"/>
                <w:szCs w:val="24"/>
                <w:lang w:eastAsia="zh-CN"/>
              </w:rPr>
              <w:instrText xml:space="preserve"> = 4 \* GB3 \* MERGEFORMAT </w:instrText>
            </w:r>
            <w:r>
              <w:rPr>
                <w:rFonts w:hint="default"/>
                <w:szCs w:val="24"/>
                <w:lang w:eastAsia="zh-CN"/>
              </w:rPr>
              <w:fldChar w:fldCharType="separate"/>
            </w:r>
            <w:r>
              <w:rPr>
                <w:szCs w:val="24"/>
              </w:rPr>
              <w:t>④</w:t>
            </w:r>
            <w:r>
              <w:rPr>
                <w:rFonts w:hint="default"/>
                <w:szCs w:val="24"/>
                <w:lang w:eastAsia="zh-CN"/>
              </w:rPr>
              <w:fldChar w:fldCharType="end"/>
            </w:r>
            <w:r>
              <w:rPr>
                <w:rFonts w:hint="default"/>
                <w:szCs w:val="24"/>
                <w:lang w:eastAsia="zh-CN"/>
              </w:rPr>
              <w:t>危险废物环境污染事故分析</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lang w:eastAsia="zh-CN"/>
              </w:rPr>
            </w:pPr>
            <w:r>
              <w:rPr>
                <w:rFonts w:hint="default"/>
                <w:szCs w:val="24"/>
                <w:lang w:eastAsia="zh-CN"/>
              </w:rPr>
              <w:t>本项目生产过程中产生的危险废物在送至危险废物处理单位之前将由本项目自行收集并在危险废物储存区进行存放，在其产生、收集和存放过程中均存在泄漏进入周围环境的风险。如果不按要求进行安全处置，而是随一般固体废物进行卫生填埋处理，则其中的危险物质将随着垃圾渗滤液的排出而污染土壤和水体，并在水体下游的生物中富集，进而经过食物链转移到人体，造成人体重金属含量超标，影响健康，甚至发生某些严重的区域性疾病。虽然一个企业的危险废物不按要求安全处理和处置其直接危害性有限，但由于本区域生产企业众多，如果不加强管理，大量的企业也随意处理危险废物，将会造成区域性水体和土壤的重金属污染，并将威胁到人的健康，这方面的例子国内外发生过很多。</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lang w:eastAsia="zh-CN"/>
              </w:rPr>
            </w:pPr>
            <w:r>
              <w:rPr>
                <w:rFonts w:hint="default"/>
                <w:szCs w:val="24"/>
                <w:lang w:eastAsia="zh-CN"/>
              </w:rPr>
              <w:t>因此，需对危险废物的存放进行严格管理，对收集操作人员进行相关收集操作要求、存放要求等知识的培训，并制定相关制度，使员工充分认识到危废所具有的危险性的同时具备发生危废事故风险的应对能力。</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lang w:eastAsia="zh-CN"/>
              </w:rPr>
            </w:pPr>
            <w:r>
              <w:rPr>
                <w:rFonts w:hint="default"/>
                <w:szCs w:val="24"/>
                <w:lang w:eastAsia="zh-CN"/>
              </w:rPr>
              <w:fldChar w:fldCharType="begin"/>
            </w:r>
            <w:r>
              <w:rPr>
                <w:rFonts w:hint="default"/>
                <w:szCs w:val="24"/>
                <w:lang w:eastAsia="zh-CN"/>
              </w:rPr>
              <w:instrText xml:space="preserve"> = 5 \* GB3 \* MERGEFORMAT </w:instrText>
            </w:r>
            <w:r>
              <w:rPr>
                <w:rFonts w:hint="default"/>
                <w:szCs w:val="24"/>
                <w:lang w:eastAsia="zh-CN"/>
              </w:rPr>
              <w:fldChar w:fldCharType="separate"/>
            </w:r>
            <w:r>
              <w:rPr>
                <w:szCs w:val="24"/>
              </w:rPr>
              <w:t>⑤</w:t>
            </w:r>
            <w:r>
              <w:rPr>
                <w:rFonts w:hint="default"/>
                <w:szCs w:val="24"/>
                <w:lang w:eastAsia="zh-CN"/>
              </w:rPr>
              <w:fldChar w:fldCharType="end"/>
            </w:r>
            <w:r>
              <w:rPr>
                <w:rFonts w:hint="default"/>
                <w:szCs w:val="24"/>
                <w:lang w:eastAsia="zh-CN"/>
              </w:rPr>
              <w:t>风险事故引发的次生/伴生污染影响分析</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lang w:eastAsia="zh-CN"/>
              </w:rPr>
            </w:pPr>
            <w:r>
              <w:rPr>
                <w:rFonts w:hint="default"/>
                <w:szCs w:val="24"/>
                <w:lang w:eastAsia="zh-CN"/>
              </w:rPr>
              <w:t>本项目中的电解液因其含有的六氟磷酸锂物质不稳定、NMP遇热分解等特点，上述物质若泄漏暴露在空气中或遇火源、热源等，将会分解或燃烧，产生次生污染物，对周围环境产生不利影响。电解液含有的六氟磷酸锂若泄露而暴露空气中或因遇热源加热时，由于水蒸气的作用而迅速分解，放出五氟化磷；五氟化磷对皮肤、眼睛、粘膜有强烈刺激性，是活性极大的化合物，在潮湿空气中会剧烈产生有毒和腐蚀性的氟化氢白色烟雾。本项目生产的产品是锂电池，锂电池泄漏的液体也主要是电解液，因此产品泄漏时产生的次生污染主要为五氟化磷和氟化氢等有毒有害气体。</w:t>
            </w:r>
          </w:p>
          <w:p>
            <w:pPr>
              <w:keepNext w:val="0"/>
              <w:keepLines w:val="0"/>
              <w:pageBreakBefore w:val="0"/>
              <w:widowControl w:val="0"/>
              <w:kinsoku/>
              <w:wordWrap/>
              <w:overflowPunct/>
              <w:topLinePunct w:val="0"/>
              <w:bidi w:val="0"/>
              <w:adjustRightInd w:val="0"/>
              <w:snapToGrid w:val="0"/>
              <w:ind w:firstLine="480" w:firstLineChars="200"/>
              <w:textAlignment w:val="auto"/>
              <w:rPr>
                <w:rFonts w:hint="default"/>
                <w:szCs w:val="24"/>
                <w:lang w:eastAsia="zh-CN"/>
              </w:rPr>
            </w:pPr>
            <w:r>
              <w:rPr>
                <w:rFonts w:hint="default"/>
                <w:szCs w:val="24"/>
                <w:lang w:eastAsia="zh-CN"/>
              </w:rPr>
              <w:t>NMP闪点为88℃，自燃温度为346℃，遇热分解成二氧化碳、一氧化碳、氮氧化物。</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lang w:eastAsia="zh-CN"/>
              </w:rPr>
            </w:pPr>
            <w:r>
              <w:rPr>
                <w:rFonts w:hint="default"/>
                <w:szCs w:val="24"/>
                <w:lang w:eastAsia="zh-CN"/>
              </w:rPr>
              <w:t>上述物质因泄漏后暴露空气中或遇到火源引起的火灾、爆炸，将产生二氧化碳、一氧化碳、氮氧化物、氟化物等大气污染物以及火灾消防废水等，同时二氧化碳、一氧化碳、氮氧化物、氟化物等大气污染物在特殊情况下会对周围人员安危产生不利影响。</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pPr>
            <w:r>
              <w:rPr>
                <w:rFonts w:hint="default"/>
                <w:szCs w:val="24"/>
                <w:lang w:eastAsia="zh-CN"/>
              </w:rPr>
              <w:t>火灾消防废水是一个不容忽视的二次污染问题，由于消防水在灭火时产生，产生时间短，产生量巨大，不易控制和导向，若火灾消防废水进入雨水管网后直接排入外界水体环境，从而使带有化学品的消防废水对外界水体环境造成严重的污染事故。</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lang w:eastAsia="zh-CN"/>
                <w14:textFill>
                  <w14:solidFill>
                    <w14:schemeClr w14:val="tx1"/>
                  </w14:solidFill>
                </w14:textFill>
              </w:rPr>
              <w:t>（</w:t>
            </w:r>
            <w:r>
              <w:rPr>
                <w:rFonts w:hint="eastAsia" w:cs="Times New Roman" w:eastAsiaTheme="minorEastAsia"/>
                <w:color w:val="000000" w:themeColor="text1"/>
                <w:sz w:val="24"/>
                <w:highlight w:val="none"/>
                <w:u w:val="none" w:color="auto"/>
                <w:lang w:val="en-US" w:eastAsia="zh-CN"/>
                <w14:textFill>
                  <w14:solidFill>
                    <w14:schemeClr w14:val="tx1"/>
                  </w14:solidFill>
                </w14:textFill>
              </w:rPr>
              <w:t>3</w:t>
            </w:r>
            <w:r>
              <w:rPr>
                <w:rFonts w:hint="default" w:ascii="Times New Roman" w:hAnsi="Times New Roman" w:cs="Times New Roman" w:eastAsiaTheme="minorEastAsia"/>
                <w:color w:val="000000" w:themeColor="text1"/>
                <w:sz w:val="24"/>
                <w:highlight w:val="none"/>
                <w:u w:val="none" w:color="auto"/>
                <w:lang w:eastAsia="zh-CN"/>
                <w14:textFill>
                  <w14:solidFill>
                    <w14:schemeClr w14:val="tx1"/>
                  </w14:solidFill>
                </w14:textFill>
              </w:rPr>
              <w:t>）环境风险防范措施及应急要求</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lang w:eastAsia="zh-CN"/>
              </w:rPr>
            </w:pPr>
            <w:r>
              <w:rPr>
                <w:rFonts w:hint="default"/>
                <w:szCs w:val="24"/>
                <w:lang w:eastAsia="zh-CN"/>
              </w:rPr>
              <w:t>针对其可能带来的风险，提出以下防范措施和事故应急措施：</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lang w:eastAsia="zh-CN"/>
              </w:rPr>
            </w:pPr>
            <w:r>
              <w:rPr>
                <w:rFonts w:hint="default"/>
                <w:szCs w:val="24"/>
                <w:lang w:eastAsia="zh-CN"/>
              </w:rPr>
              <w:fldChar w:fldCharType="begin"/>
            </w:r>
            <w:r>
              <w:rPr>
                <w:rFonts w:hint="default"/>
                <w:szCs w:val="24"/>
                <w:lang w:eastAsia="zh-CN"/>
              </w:rPr>
              <w:instrText xml:space="preserve"> = 1 \* GB3 \* MERGEFORMAT </w:instrText>
            </w:r>
            <w:r>
              <w:rPr>
                <w:rFonts w:hint="default"/>
                <w:szCs w:val="24"/>
                <w:lang w:eastAsia="zh-CN"/>
              </w:rPr>
              <w:fldChar w:fldCharType="separate"/>
            </w:r>
            <w:r>
              <w:rPr>
                <w:szCs w:val="24"/>
              </w:rPr>
              <w:t>①</w:t>
            </w:r>
            <w:r>
              <w:rPr>
                <w:rFonts w:hint="default"/>
                <w:szCs w:val="24"/>
                <w:lang w:eastAsia="zh-CN"/>
              </w:rPr>
              <w:fldChar w:fldCharType="end"/>
            </w:r>
            <w:r>
              <w:rPr>
                <w:rFonts w:hint="default"/>
                <w:szCs w:val="24"/>
                <w:lang w:eastAsia="zh-CN"/>
              </w:rPr>
              <w:t>风险防范措施</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lang w:eastAsia="zh-CN"/>
              </w:rPr>
            </w:pPr>
            <w:r>
              <w:rPr>
                <w:rFonts w:hint="eastAsia"/>
                <w:szCs w:val="24"/>
                <w:lang w:val="en-US" w:eastAsia="zh-CN"/>
              </w:rPr>
              <w:t>A.</w:t>
            </w:r>
            <w:r>
              <w:rPr>
                <w:rFonts w:hint="default"/>
                <w:szCs w:val="24"/>
                <w:lang w:eastAsia="zh-CN"/>
              </w:rPr>
              <w:t>制定严格的生产操作规程，加强作业工人的环境风险教育，杜绝工作失误造成的事故；</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lang w:eastAsia="zh-CN"/>
              </w:rPr>
            </w:pPr>
            <w:r>
              <w:rPr>
                <w:rFonts w:hint="eastAsia"/>
                <w:szCs w:val="24"/>
                <w:lang w:val="en-US" w:eastAsia="zh-CN"/>
              </w:rPr>
              <w:t>B.</w:t>
            </w:r>
            <w:r>
              <w:rPr>
                <w:rFonts w:hint="default"/>
                <w:szCs w:val="24"/>
                <w:lang w:eastAsia="zh-CN"/>
              </w:rPr>
              <w:t>在车间和仓库的明显位置张贴禁用明火的告示，并在仓库地面进行硬底化，墙体设置围堰，防止原料泄露时大面积扩散</w:t>
            </w:r>
            <w:r>
              <w:rPr>
                <w:rFonts w:hint="eastAsia" w:eastAsia="宋体"/>
                <w:szCs w:val="24"/>
                <w:lang w:eastAsia="zh-CN"/>
              </w:rPr>
              <w:t>；</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lang w:eastAsia="zh-CN"/>
              </w:rPr>
            </w:pPr>
            <w:r>
              <w:rPr>
                <w:rFonts w:hint="eastAsia"/>
                <w:szCs w:val="24"/>
                <w:lang w:val="en-US" w:eastAsia="zh-CN"/>
              </w:rPr>
              <w:t>C.</w:t>
            </w:r>
            <w:r>
              <w:rPr>
                <w:rFonts w:hint="default"/>
                <w:szCs w:val="24"/>
                <w:lang w:eastAsia="zh-CN"/>
              </w:rPr>
              <w:t>车间和仓库内应加强车间通风，防止可燃气体的累积；</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lang w:eastAsia="zh-CN"/>
              </w:rPr>
            </w:pPr>
            <w:r>
              <w:rPr>
                <w:rFonts w:hint="eastAsia"/>
                <w:szCs w:val="24"/>
                <w:lang w:val="en-US" w:eastAsia="zh-CN"/>
              </w:rPr>
              <w:t>D.</w:t>
            </w:r>
            <w:r>
              <w:rPr>
                <w:rFonts w:hint="default"/>
                <w:szCs w:val="24"/>
                <w:lang w:eastAsia="zh-CN"/>
              </w:rPr>
              <w:t>仓库和车间内应设置移动式式泡沫灭火器，仓库外设置消防沙箱；</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lang w:eastAsia="zh-CN"/>
              </w:rPr>
            </w:pPr>
            <w:r>
              <w:rPr>
                <w:rFonts w:hint="eastAsia"/>
                <w:szCs w:val="24"/>
                <w:lang w:val="en-US" w:eastAsia="zh-CN"/>
              </w:rPr>
              <w:t>E.</w:t>
            </w:r>
            <w:r>
              <w:rPr>
                <w:rFonts w:hint="default"/>
                <w:szCs w:val="24"/>
                <w:lang w:eastAsia="zh-CN"/>
              </w:rPr>
              <w:t>储存辅助材料的铁桶上应注明物质的名称、危险特性、安全使用说明以及事故应对措施等内容；</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lang w:eastAsia="zh-CN"/>
              </w:rPr>
            </w:pPr>
            <w:r>
              <w:rPr>
                <w:rFonts w:hint="eastAsia"/>
                <w:szCs w:val="24"/>
                <w:lang w:val="en-US" w:eastAsia="zh-CN"/>
              </w:rPr>
              <w:t>F.</w:t>
            </w:r>
            <w:r>
              <w:rPr>
                <w:rFonts w:hint="default"/>
                <w:szCs w:val="24"/>
                <w:lang w:eastAsia="zh-CN"/>
              </w:rPr>
              <w:t>搬运和装卸时，应轻拿轻放，防止撞击；</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lang w:eastAsia="zh-CN"/>
              </w:rPr>
            </w:pPr>
            <w:r>
              <w:rPr>
                <w:rFonts w:hint="eastAsia"/>
                <w:szCs w:val="24"/>
                <w:lang w:val="en-US" w:eastAsia="zh-CN"/>
              </w:rPr>
              <w:t>G.</w:t>
            </w:r>
            <w:r>
              <w:rPr>
                <w:rFonts w:hint="default"/>
                <w:szCs w:val="24"/>
                <w:lang w:eastAsia="zh-CN"/>
              </w:rPr>
              <w:t>仓库应选择阴凉通风无阳光直射的位置，仓库内应设置空调设备，防止仓库温度过高；</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lang w:eastAsia="zh-CN"/>
              </w:rPr>
            </w:pPr>
            <w:r>
              <w:rPr>
                <w:rFonts w:hint="eastAsia"/>
                <w:szCs w:val="24"/>
                <w:lang w:val="en-US" w:eastAsia="zh-CN"/>
              </w:rPr>
              <w:t>H.</w:t>
            </w:r>
            <w:r>
              <w:rPr>
                <w:rFonts w:hint="default"/>
                <w:szCs w:val="24"/>
                <w:lang w:eastAsia="zh-CN"/>
              </w:rPr>
              <w:t>仓库应安排专人管理，做好入库记录，并定期检查材料存储的安全状态，定期检查其包装有无破损，以防止泄漏；</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lang w:eastAsia="zh-CN"/>
              </w:rPr>
            </w:pPr>
            <w:r>
              <w:rPr>
                <w:rFonts w:hint="eastAsia"/>
                <w:szCs w:val="24"/>
                <w:lang w:val="en-US" w:eastAsia="zh-CN"/>
              </w:rPr>
              <w:t>I.</w:t>
            </w:r>
            <w:r>
              <w:rPr>
                <w:rFonts w:hint="default"/>
                <w:szCs w:val="24"/>
                <w:lang w:eastAsia="zh-CN"/>
              </w:rPr>
              <w:t>雨污分流，雨污排放口设置闸门，在发生泄漏等环境风险事故时，要立即关闭闸门，防止泄漏的物质流入地表水体。</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lang w:eastAsia="zh-CN"/>
              </w:rPr>
            </w:pPr>
            <w:r>
              <w:rPr>
                <w:rFonts w:hint="eastAsia"/>
                <w:szCs w:val="24"/>
                <w:lang w:val="en-US" w:eastAsia="zh-CN"/>
              </w:rPr>
              <w:t>J.</w:t>
            </w:r>
            <w:r>
              <w:rPr>
                <w:rFonts w:hint="default"/>
                <w:szCs w:val="24"/>
                <w:lang w:eastAsia="zh-CN"/>
              </w:rPr>
              <w:t>当废气净化装置风机故障时，部门人员立即开启备用风机，保证废气净化装置正常运作，防止超标废气排放，同时组织相关人员对风机进行维修或更换；</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lang w:eastAsia="zh-CN"/>
              </w:rPr>
            </w:pPr>
            <w:r>
              <w:rPr>
                <w:rFonts w:hint="eastAsia"/>
                <w:szCs w:val="24"/>
                <w:lang w:val="en-US" w:eastAsia="zh-CN"/>
              </w:rPr>
              <w:t>K.</w:t>
            </w:r>
            <w:r>
              <w:rPr>
                <w:rFonts w:hint="default"/>
                <w:szCs w:val="24"/>
                <w:lang w:eastAsia="zh-CN"/>
              </w:rPr>
              <w:t>对于废气处理设施所有的易损部件（如皮带、轴承）等，废气处理设施负责人要及时委托采购人员购买备用件，一旦发生损坏及时更换。</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lang w:eastAsia="zh-CN"/>
              </w:rPr>
            </w:pPr>
            <w:r>
              <w:rPr>
                <w:rFonts w:hint="default"/>
                <w:szCs w:val="24"/>
                <w:lang w:eastAsia="zh-CN"/>
              </w:rPr>
              <w:fldChar w:fldCharType="begin"/>
            </w:r>
            <w:r>
              <w:rPr>
                <w:rFonts w:hint="default"/>
                <w:szCs w:val="24"/>
                <w:lang w:eastAsia="zh-CN"/>
              </w:rPr>
              <w:instrText xml:space="preserve"> = 2 \* GB3 \* MERGEFORMAT </w:instrText>
            </w:r>
            <w:r>
              <w:rPr>
                <w:rFonts w:hint="default"/>
                <w:szCs w:val="24"/>
                <w:lang w:eastAsia="zh-CN"/>
              </w:rPr>
              <w:fldChar w:fldCharType="separate"/>
            </w:r>
            <w:r>
              <w:rPr>
                <w:szCs w:val="24"/>
              </w:rPr>
              <w:t>②</w:t>
            </w:r>
            <w:r>
              <w:rPr>
                <w:rFonts w:hint="default"/>
                <w:szCs w:val="24"/>
                <w:lang w:eastAsia="zh-CN"/>
              </w:rPr>
              <w:fldChar w:fldCharType="end"/>
            </w:r>
            <w:r>
              <w:rPr>
                <w:rFonts w:hint="default"/>
                <w:szCs w:val="24"/>
                <w:lang w:eastAsia="zh-CN"/>
              </w:rPr>
              <w:t>事故应急措施</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lang w:eastAsia="zh-CN"/>
              </w:rPr>
            </w:pPr>
            <w:r>
              <w:rPr>
                <w:rFonts w:hint="eastAsia"/>
                <w:szCs w:val="24"/>
                <w:lang w:val="en-US" w:eastAsia="zh-CN"/>
              </w:rPr>
              <w:t>A.</w:t>
            </w:r>
            <w:r>
              <w:rPr>
                <w:rFonts w:hint="default"/>
                <w:szCs w:val="24"/>
                <w:lang w:eastAsia="zh-CN"/>
              </w:rPr>
              <w:t>建设单位应该制定环境风险突发事件应急预案，成立事故应急处理小组，由车间的环境管理负责人担任事故应急小组组长，一旦发生泄漏、火灾等事故，应立即启动事故应急预案，并向有关环境管理部门汇报情况，协助环境管理部门进行应急监测等工作；</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lang w:eastAsia="zh-CN"/>
              </w:rPr>
            </w:pPr>
            <w:r>
              <w:rPr>
                <w:rFonts w:hint="eastAsia"/>
                <w:szCs w:val="24"/>
                <w:lang w:val="en-US" w:eastAsia="zh-CN"/>
              </w:rPr>
              <w:t>B.</w:t>
            </w:r>
            <w:r>
              <w:rPr>
                <w:rFonts w:hint="default"/>
                <w:szCs w:val="24"/>
                <w:lang w:eastAsia="zh-CN"/>
              </w:rPr>
              <w:t>生产车间及仓库内应配备泡沫灭火器、消防砂箱和防毒面具等消防应急设备，并定期检查设备有效性；</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lang w:eastAsia="zh-CN"/>
              </w:rPr>
            </w:pPr>
            <w:r>
              <w:rPr>
                <w:rFonts w:hint="eastAsia"/>
                <w:szCs w:val="24"/>
                <w:lang w:val="en-US" w:eastAsia="zh-CN"/>
              </w:rPr>
              <w:t>C.</w:t>
            </w:r>
            <w:r>
              <w:rPr>
                <w:rFonts w:hint="default"/>
                <w:szCs w:val="24"/>
                <w:lang w:eastAsia="zh-CN"/>
              </w:rPr>
              <w:t>在仓库地面铺设防渗防腐材料，一旦发生泄漏事故时，避免泄漏物质下渗，同时应立即切断一切火源，对原料间喷施泡沫覆盖泄漏物，降低蒸汽危害，并尽快封堵泄漏源；</w:t>
            </w:r>
          </w:p>
          <w:p>
            <w:pPr>
              <w:keepNext w:val="0"/>
              <w:keepLines w:val="0"/>
              <w:pageBreakBefore w:val="0"/>
              <w:widowControl w:val="0"/>
              <w:kinsoku/>
              <w:wordWrap/>
              <w:overflowPunct/>
              <w:topLinePunct w:val="0"/>
              <w:autoSpaceDE/>
              <w:autoSpaceDN/>
              <w:bidi w:val="0"/>
              <w:adjustRightInd w:val="0"/>
              <w:snapToGrid w:val="0"/>
              <w:ind w:firstLine="480" w:firstLineChars="200"/>
              <w:textAlignment w:val="auto"/>
              <w:rPr>
                <w:rFonts w:hint="default"/>
                <w:szCs w:val="24"/>
                <w:lang w:eastAsia="zh-CN"/>
              </w:rPr>
            </w:pPr>
            <w:r>
              <w:rPr>
                <w:rFonts w:hint="eastAsia"/>
                <w:szCs w:val="24"/>
                <w:lang w:val="en-US" w:eastAsia="zh-CN"/>
              </w:rPr>
              <w:t>D.</w:t>
            </w:r>
            <w:r>
              <w:rPr>
                <w:rFonts w:hint="default"/>
                <w:szCs w:val="24"/>
                <w:lang w:eastAsia="zh-CN"/>
              </w:rPr>
              <w:t>事故处理完毕后应采用防爆泵将泄漏液转移至槽车或专用的收集容器内，交处理相关单位处置。</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pPr>
            <w:r>
              <w:rPr>
                <w:rFonts w:hint="eastAsia"/>
                <w:szCs w:val="24"/>
                <w:lang w:val="en-US" w:eastAsia="zh-CN"/>
              </w:rPr>
              <w:t>E.</w:t>
            </w:r>
            <w:r>
              <w:rPr>
                <w:rFonts w:hint="default"/>
                <w:szCs w:val="24"/>
                <w:lang w:eastAsia="zh-CN"/>
              </w:rPr>
              <w:t>在厂区内构筑建设事故应急池，收集火灾时的消防水，处理达标后再排放。</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lang w:val="en-US" w:eastAsia="zh-CN"/>
                <w14:textFill>
                  <w14:solidFill>
                    <w14:schemeClr w14:val="tx1"/>
                  </w14:solidFill>
                </w14:textFill>
              </w:rPr>
              <w:t>平时应该有计划、有目的、有针对性地开展预防安全事故及有关知识的宣传；增加员工预防安全事故的常识和防范意识，提高防范能力和应急反应能力。并通过定期组织实战演习，增强应急处置能力；增加安全巡逻等。</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对于生产操作和</w:t>
            </w:r>
            <w:r>
              <w:rPr>
                <w:rFonts w:hint="default" w:ascii="Times New Roman" w:hAnsi="Times New Roman" w:cs="Times New Roman" w:eastAsiaTheme="minorEastAsia"/>
                <w:color w:val="000000" w:themeColor="text1"/>
                <w:sz w:val="24"/>
                <w:highlight w:val="none"/>
                <w:u w:val="none" w:color="auto"/>
                <w:lang w:eastAsia="zh-CN"/>
                <w14:textFill>
                  <w14:solidFill>
                    <w14:schemeClr w14:val="tx1"/>
                  </w14:solidFill>
                </w14:textFill>
              </w:rPr>
              <w:t>设施设计等</w:t>
            </w: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应严格按照国家相关管理条例进行，并通过加强管理避免危险事故的发生。</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14:textFill>
                  <w14:solidFill>
                    <w14:schemeClr w14:val="tx1"/>
                  </w14:solidFill>
                </w14:textFill>
              </w:rPr>
              <w:t>经采取上述措施，本项目运营产生的环境污染事故风险能够控制在可接受范围内。</w:t>
            </w:r>
          </w:p>
          <w:p>
            <w:pPr>
              <w:bidi w:val="0"/>
              <w:spacing w:line="360" w:lineRule="auto"/>
              <w:ind w:firstLine="480" w:firstLineChars="200"/>
              <w:rPr>
                <w:rFonts w:hint="default" w:ascii="Times New Roman" w:hAnsi="Times New Roman" w:cs="Times New Roman" w:eastAsiaTheme="minorEastAsia"/>
                <w:color w:val="000000" w:themeColor="text1"/>
                <w:sz w:val="24"/>
                <w:highlight w:val="none"/>
                <w:u w:val="none" w:color="auto"/>
                <w:lang w:eastAsia="zh-CN"/>
                <w14:textFill>
                  <w14:solidFill>
                    <w14:schemeClr w14:val="tx1"/>
                  </w14:solidFill>
                </w14:textFill>
              </w:rPr>
            </w:pPr>
            <w:r>
              <w:rPr>
                <w:rFonts w:hint="default" w:ascii="Times New Roman" w:hAnsi="Times New Roman" w:cs="Times New Roman" w:eastAsiaTheme="minorEastAsia"/>
                <w:color w:val="000000" w:themeColor="text1"/>
                <w:sz w:val="24"/>
                <w:highlight w:val="none"/>
                <w:u w:val="none" w:color="auto"/>
                <w:lang w:eastAsia="zh-CN"/>
                <w14:textFill>
                  <w14:solidFill>
                    <w14:schemeClr w14:val="tx1"/>
                  </w14:solidFill>
                </w14:textFill>
              </w:rPr>
              <w:t>（</w:t>
            </w:r>
            <w:r>
              <w:rPr>
                <w:rFonts w:hint="eastAsia" w:cs="Times New Roman" w:eastAsiaTheme="minorEastAsia"/>
                <w:color w:val="000000" w:themeColor="text1"/>
                <w:sz w:val="24"/>
                <w:highlight w:val="none"/>
                <w:u w:val="none" w:color="auto"/>
                <w:lang w:val="en-US" w:eastAsia="zh-CN"/>
                <w14:textFill>
                  <w14:solidFill>
                    <w14:schemeClr w14:val="tx1"/>
                  </w14:solidFill>
                </w14:textFill>
              </w:rPr>
              <w:t>4</w:t>
            </w:r>
            <w:r>
              <w:rPr>
                <w:rFonts w:hint="default" w:ascii="Times New Roman" w:hAnsi="Times New Roman" w:cs="Times New Roman" w:eastAsiaTheme="minorEastAsia"/>
                <w:color w:val="000000" w:themeColor="text1"/>
                <w:sz w:val="24"/>
                <w:highlight w:val="none"/>
                <w:u w:val="none" w:color="auto"/>
                <w:lang w:eastAsia="zh-CN"/>
                <w14:textFill>
                  <w14:solidFill>
                    <w14:schemeClr w14:val="tx1"/>
                  </w14:solidFill>
                </w14:textFill>
              </w:rPr>
              <w:t>）分析结论</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eastAsia" w:ascii="Times New Roman" w:hAnsi="Times New Roman" w:eastAsia="宋体" w:cs="Times New Roman"/>
                <w:b w:val="0"/>
                <w:bCs w:val="0"/>
                <w:color w:val="auto"/>
                <w:kern w:val="2"/>
                <w:sz w:val="24"/>
                <w:szCs w:val="24"/>
                <w:highlight w:val="none"/>
                <w:u w:val="none" w:color="auto"/>
                <w:lang w:val="en-US" w:eastAsia="zh-CN" w:bidi="ar-SA"/>
              </w:rPr>
            </w:pPr>
            <w:r>
              <w:rPr>
                <w:rFonts w:hint="default" w:ascii="Times New Roman" w:hAnsi="Times New Roman" w:eastAsia="宋体" w:cs="Times New Roman"/>
                <w:b w:val="0"/>
                <w:bCs w:val="0"/>
                <w:color w:val="auto"/>
                <w:kern w:val="2"/>
                <w:sz w:val="24"/>
                <w:szCs w:val="24"/>
                <w:highlight w:val="none"/>
                <w:u w:val="none" w:color="auto"/>
                <w:lang w:val="en-US" w:eastAsia="zh-CN" w:bidi="ar-SA"/>
              </w:rPr>
              <w:t>综合以上分析，建设单位通过定期检修设备、安排专人巡视。确保各类设备正常运转、设置警示牌等措施，防止环境风险事故发生</w:t>
            </w:r>
            <w:r>
              <w:rPr>
                <w:rFonts w:hint="eastAsia" w:ascii="Times New Roman" w:hAnsi="Times New Roman" w:eastAsia="宋体" w:cs="Times New Roman"/>
                <w:b w:val="0"/>
                <w:bCs w:val="0"/>
                <w:color w:val="auto"/>
                <w:kern w:val="2"/>
                <w:sz w:val="24"/>
                <w:szCs w:val="24"/>
                <w:highlight w:val="none"/>
                <w:u w:val="none" w:color="auto"/>
                <w:lang w:val="en-US" w:eastAsia="zh-CN" w:bidi="ar-SA"/>
              </w:rPr>
              <w:t>。</w:t>
            </w:r>
          </w:p>
          <w:p>
            <w:pPr>
              <w:keepNext/>
              <w:keepLines/>
              <w:pageBreakBefore w:val="0"/>
              <w:widowControl w:val="0"/>
              <w:numPr>
                <w:ilvl w:val="0"/>
                <w:numId w:val="0"/>
              </w:numPr>
              <w:kinsoku/>
              <w:wordWrap/>
              <w:overflowPunct/>
              <w:topLinePunct w:val="0"/>
              <w:autoSpaceDE/>
              <w:autoSpaceDN/>
              <w:bidi w:val="0"/>
              <w:adjustRightInd/>
              <w:snapToGrid w:val="0"/>
              <w:spacing w:line="360" w:lineRule="auto"/>
              <w:ind w:right="0" w:rightChars="0" w:firstLine="480" w:firstLineChars="200"/>
              <w:jc w:val="both"/>
              <w:textAlignment w:val="auto"/>
              <w:outlineLvl w:val="1"/>
              <w:rPr>
                <w:rFonts w:hint="default" w:ascii="Times New Roman" w:hAnsi="Times New Roman" w:eastAsia="宋体" w:cs="Times New Roman"/>
                <w:b w:val="0"/>
                <w:bCs w:val="0"/>
                <w:color w:val="auto"/>
                <w:kern w:val="2"/>
                <w:sz w:val="24"/>
                <w:szCs w:val="24"/>
                <w:highlight w:val="none"/>
                <w:u w:val="none" w:color="auto"/>
                <w:lang w:val="en-US" w:eastAsia="zh-CN" w:bidi="ar-SA"/>
              </w:rPr>
            </w:pPr>
            <w:r>
              <w:rPr>
                <w:rFonts w:hint="eastAsia" w:ascii="Times New Roman" w:hAnsi="Times New Roman" w:eastAsia="宋体" w:cs="Times New Roman"/>
                <w:b w:val="0"/>
                <w:bCs w:val="0"/>
                <w:color w:val="auto"/>
                <w:kern w:val="2"/>
                <w:sz w:val="24"/>
                <w:szCs w:val="24"/>
                <w:highlight w:val="none"/>
                <w:u w:val="none" w:color="auto"/>
                <w:lang w:val="en-US" w:eastAsia="zh-CN" w:bidi="ar-SA"/>
              </w:rPr>
              <w:t>在项目建设单位严格采取上述措施的前提下，环评认为项目环境风险可控，</w:t>
            </w:r>
            <w:r>
              <w:rPr>
                <w:rFonts w:hint="default" w:ascii="Times New Roman" w:hAnsi="Times New Roman" w:eastAsia="宋体" w:cs="Times New Roman"/>
                <w:b w:val="0"/>
                <w:bCs w:val="0"/>
                <w:color w:val="auto"/>
                <w:kern w:val="2"/>
                <w:sz w:val="24"/>
                <w:szCs w:val="24"/>
                <w:highlight w:val="none"/>
                <w:u w:val="none" w:color="auto"/>
                <w:lang w:val="en-US" w:eastAsia="zh-CN" w:bidi="ar-SA"/>
              </w:rPr>
              <w:t>在可接受的范围内。</w:t>
            </w:r>
          </w:p>
          <w:p>
            <w:pPr>
              <w:keepNext/>
              <w:keepLines/>
              <w:pageBreakBefore w:val="0"/>
              <w:widowControl w:val="0"/>
              <w:numPr>
                <w:ilvl w:val="0"/>
                <w:numId w:val="0"/>
              </w:numPr>
              <w:kinsoku/>
              <w:wordWrap/>
              <w:overflowPunct/>
              <w:topLinePunct w:val="0"/>
              <w:autoSpaceDE/>
              <w:autoSpaceDN/>
              <w:bidi w:val="0"/>
              <w:adjustRightInd/>
              <w:snapToGrid w:val="0"/>
              <w:spacing w:line="360" w:lineRule="auto"/>
              <w:ind w:right="0" w:rightChars="0" w:firstLine="482" w:firstLineChars="200"/>
              <w:jc w:val="both"/>
              <w:textAlignment w:val="auto"/>
              <w:outlineLvl w:val="1"/>
              <w:rPr>
                <w:rFonts w:hint="default" w:ascii="Times New Roman" w:hAnsi="Times New Roman" w:cs="Times New Roman" w:eastAsiaTheme="minorEastAsia"/>
                <w:b/>
                <w:bCs/>
                <w:color w:val="000000" w:themeColor="text1"/>
                <w:kern w:val="2"/>
                <w:sz w:val="24"/>
                <w:szCs w:val="24"/>
                <w:highlight w:val="none"/>
                <w:u w:val="none" w:color="auto"/>
                <w:lang w:val="en-US" w:eastAsia="zh-CN" w:bidi="ar-SA"/>
                <w14:textFill>
                  <w14:solidFill>
                    <w14:schemeClr w14:val="tx1"/>
                  </w14:solidFill>
                </w14:textFill>
              </w:rPr>
            </w:pPr>
            <w:r>
              <w:rPr>
                <w:rFonts w:hint="eastAsia" w:cs="Times New Roman" w:eastAsiaTheme="minorEastAsia"/>
                <w:b/>
                <w:bCs/>
                <w:color w:val="000000" w:themeColor="text1"/>
                <w:kern w:val="2"/>
                <w:sz w:val="24"/>
                <w:szCs w:val="24"/>
                <w:highlight w:val="none"/>
                <w:u w:val="none" w:color="auto"/>
                <w:lang w:val="en-US" w:eastAsia="zh-CN" w:bidi="ar-SA"/>
                <w14:textFill>
                  <w14:solidFill>
                    <w14:schemeClr w14:val="tx1"/>
                  </w14:solidFill>
                </w14:textFill>
              </w:rPr>
              <w:t>7、</w:t>
            </w:r>
            <w:r>
              <w:rPr>
                <w:rFonts w:hint="default" w:ascii="Times New Roman" w:hAnsi="Times New Roman" w:cs="Times New Roman" w:eastAsiaTheme="minorEastAsia"/>
                <w:b/>
                <w:bCs/>
                <w:color w:val="000000" w:themeColor="text1"/>
                <w:kern w:val="2"/>
                <w:sz w:val="24"/>
                <w:szCs w:val="24"/>
                <w:highlight w:val="none"/>
                <w:u w:val="none" w:color="auto"/>
                <w:lang w:val="en-US" w:eastAsia="zh-CN" w:bidi="ar-SA"/>
                <w14:textFill>
                  <w14:solidFill>
                    <w14:schemeClr w14:val="tx1"/>
                  </w14:solidFill>
                </w14:textFill>
              </w:rPr>
              <w:t>对排污口规范化的要求</w:t>
            </w:r>
          </w:p>
          <w:p>
            <w:pPr>
              <w:pageBreakBefore w:val="0"/>
              <w:widowControl w:val="0"/>
              <w:kinsoku/>
              <w:wordWrap/>
              <w:overflowPunct/>
              <w:topLinePunct w:val="0"/>
              <w:autoSpaceDE/>
              <w:autoSpaceDN/>
              <w:bidi w:val="0"/>
              <w:adjustRightInd/>
              <w:snapToGrid w:val="0"/>
              <w:spacing w:line="360" w:lineRule="auto"/>
              <w:ind w:firstLine="480" w:firstLineChars="200"/>
              <w:jc w:val="both"/>
              <w:textAlignment w:val="auto"/>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根据《关于开展排放口规范化整治工作的通知》国家环境保护总局环发【1999】24号文件的要求，一切新建、改建的排污单位以及限期治理的排污单位，必须在建设污染治理设施的同时，建设规范化排污口。因此，建设单位在投产时，各类排污口必须规范化建设和管理，而且规范化工作应于污染治理同步实施，即治理设施完工时，规范化工作必须同时完成，并列入污染物治理设施的验收内容。</w:t>
            </w:r>
          </w:p>
          <w:p>
            <w:pPr>
              <w:pageBreakBefore w:val="0"/>
              <w:widowControl w:val="0"/>
              <w:kinsoku/>
              <w:wordWrap/>
              <w:overflowPunct/>
              <w:topLinePunct w:val="0"/>
              <w:autoSpaceDE/>
              <w:autoSpaceDN/>
              <w:bidi w:val="0"/>
              <w:adjustRightInd/>
              <w:snapToGrid w:val="0"/>
              <w:spacing w:line="360" w:lineRule="auto"/>
              <w:ind w:firstLine="480" w:firstLineChars="200"/>
              <w:jc w:val="both"/>
              <w:textAlignment w:val="auto"/>
              <w:rPr>
                <w:rFonts w:hint="default" w:ascii="Times New Roman" w:hAnsi="Times New Roman" w:eastAsia="宋体" w:cs="Times New Roman"/>
                <w:snapToGrid w:val="0"/>
                <w:color w:val="auto"/>
                <w:kern w:val="2"/>
                <w:sz w:val="24"/>
                <w:szCs w:val="24"/>
                <w:lang w:val="en-US" w:eastAsia="zh-CN" w:bidi="ar-SA"/>
              </w:rPr>
            </w:pPr>
            <w:r>
              <w:rPr>
                <w:rFonts w:hint="default" w:ascii="Times New Roman" w:hAnsi="Times New Roman" w:eastAsia="宋体" w:cs="Times New Roman"/>
                <w:snapToGrid w:val="0"/>
                <w:color w:val="auto"/>
                <w:kern w:val="2"/>
                <w:sz w:val="24"/>
                <w:szCs w:val="24"/>
                <w:lang w:val="en-US" w:eastAsia="zh-CN" w:bidi="ar-SA"/>
              </w:rPr>
              <w:t>拟建项目应在气、声、固排污口（源）挂牌标识。规范化整治具体如下：</w:t>
            </w:r>
          </w:p>
          <w:p>
            <w:pPr>
              <w:pageBreakBefore w:val="0"/>
              <w:widowControl w:val="0"/>
              <w:kinsoku/>
              <w:wordWrap/>
              <w:overflowPunct/>
              <w:topLinePunct w:val="0"/>
              <w:autoSpaceDE/>
              <w:autoSpaceDN/>
              <w:bidi w:val="0"/>
              <w:adjustRightInd/>
              <w:snapToGrid w:val="0"/>
              <w:spacing w:line="360" w:lineRule="auto"/>
              <w:ind w:firstLine="480" w:firstLineChars="200"/>
              <w:jc w:val="both"/>
              <w:textAlignment w:val="auto"/>
              <w:rPr>
                <w:rFonts w:hint="default" w:ascii="宋体" w:hAnsi="宋体" w:eastAsia="宋体" w:cs="Times New Roman"/>
                <w:snapToGrid w:val="0"/>
                <w:kern w:val="2"/>
                <w:sz w:val="24"/>
                <w:szCs w:val="24"/>
                <w:lang w:val="en-US" w:eastAsia="zh-CN" w:bidi="ar-SA"/>
              </w:rPr>
            </w:pPr>
            <w:r>
              <w:rPr>
                <w:rFonts w:hint="default" w:ascii="宋体" w:hAnsi="宋体" w:eastAsia="宋体" w:cs="Times New Roman"/>
                <w:snapToGrid w:val="0"/>
                <w:kern w:val="2"/>
                <w:sz w:val="24"/>
                <w:szCs w:val="24"/>
                <w:lang w:val="en-US" w:eastAsia="zh-CN" w:bidi="ar-SA"/>
              </w:rPr>
              <w:fldChar w:fldCharType="begin"/>
            </w:r>
            <w:r>
              <w:rPr>
                <w:rFonts w:hint="default" w:ascii="宋体" w:hAnsi="宋体" w:eastAsia="宋体" w:cs="Times New Roman"/>
                <w:snapToGrid w:val="0"/>
                <w:kern w:val="2"/>
                <w:sz w:val="24"/>
                <w:szCs w:val="24"/>
                <w:lang w:val="en-US" w:eastAsia="zh-CN" w:bidi="ar-SA"/>
              </w:rPr>
              <w:instrText xml:space="preserve"> = 1 \* GB3 \* MERGEFORMAT </w:instrText>
            </w:r>
            <w:r>
              <w:rPr>
                <w:rFonts w:hint="default" w:ascii="宋体" w:hAnsi="宋体" w:eastAsia="宋体" w:cs="Times New Roman"/>
                <w:snapToGrid w:val="0"/>
                <w:kern w:val="2"/>
                <w:sz w:val="24"/>
                <w:szCs w:val="24"/>
                <w:lang w:val="en-US" w:eastAsia="zh-CN" w:bidi="ar-SA"/>
              </w:rPr>
              <w:fldChar w:fldCharType="separate"/>
            </w:r>
            <w:r>
              <w:rPr>
                <w:rFonts w:ascii="宋体" w:hAnsi="宋体" w:eastAsia="宋体" w:cs="Times New Roman"/>
                <w:snapToGrid w:val="0"/>
                <w:kern w:val="2"/>
                <w:sz w:val="24"/>
                <w:szCs w:val="24"/>
                <w:lang w:val="en-US" w:eastAsia="zh-CN" w:bidi="ar-SA"/>
              </w:rPr>
              <w:t>①</w:t>
            </w:r>
            <w:r>
              <w:rPr>
                <w:rFonts w:hint="default" w:ascii="宋体" w:hAnsi="宋体" w:eastAsia="宋体" w:cs="Times New Roman"/>
                <w:snapToGrid w:val="0"/>
                <w:kern w:val="2"/>
                <w:sz w:val="24"/>
                <w:szCs w:val="24"/>
                <w:lang w:val="en-US" w:eastAsia="zh-CN" w:bidi="ar-SA"/>
              </w:rPr>
              <w:fldChar w:fldCharType="end"/>
            </w:r>
            <w:r>
              <w:rPr>
                <w:rFonts w:hint="default" w:ascii="宋体" w:hAnsi="宋体" w:eastAsia="宋体" w:cs="Times New Roman"/>
                <w:snapToGrid w:val="0"/>
                <w:kern w:val="2"/>
                <w:sz w:val="24"/>
                <w:szCs w:val="24"/>
                <w:lang w:val="en-US" w:eastAsia="zh-CN" w:bidi="ar-SA"/>
              </w:rPr>
              <w:t>项目建成后，废气排气筒附近醒目处均应树立一个环保图形标志牌。</w:t>
            </w:r>
          </w:p>
          <w:p>
            <w:pPr>
              <w:pageBreakBefore w:val="0"/>
              <w:widowControl w:val="0"/>
              <w:kinsoku/>
              <w:wordWrap/>
              <w:overflowPunct/>
              <w:topLinePunct w:val="0"/>
              <w:autoSpaceDE/>
              <w:autoSpaceDN/>
              <w:bidi w:val="0"/>
              <w:adjustRightInd/>
              <w:snapToGrid w:val="0"/>
              <w:ind w:firstLine="480" w:firstLineChars="200"/>
              <w:textAlignment w:val="auto"/>
              <w:rPr>
                <w:rFonts w:hint="default"/>
                <w:szCs w:val="24"/>
              </w:rPr>
            </w:pPr>
            <w:r>
              <w:rPr>
                <w:rFonts w:hint="default"/>
                <w:szCs w:val="24"/>
              </w:rPr>
              <w:fldChar w:fldCharType="begin"/>
            </w:r>
            <w:r>
              <w:rPr>
                <w:rFonts w:hint="default"/>
                <w:szCs w:val="24"/>
              </w:rPr>
              <w:instrText xml:space="preserve"> = 2 \* GB3 \* MERGEFORMAT </w:instrText>
            </w:r>
            <w:r>
              <w:rPr>
                <w:rFonts w:hint="default"/>
                <w:szCs w:val="24"/>
              </w:rPr>
              <w:fldChar w:fldCharType="separate"/>
            </w:r>
            <w:r>
              <w:rPr>
                <w:szCs w:val="24"/>
              </w:rPr>
              <w:t>②</w:t>
            </w:r>
            <w:r>
              <w:rPr>
                <w:rFonts w:hint="default"/>
                <w:szCs w:val="24"/>
              </w:rPr>
              <w:fldChar w:fldCharType="end"/>
            </w:r>
            <w:r>
              <w:rPr>
                <w:rFonts w:hint="default"/>
                <w:szCs w:val="24"/>
              </w:rPr>
              <w:t>项目建成后，废渣处置前应当有防扬散、防流失等措施，贮存处进出口醒目处应设置环保图形标志牌。</w:t>
            </w:r>
          </w:p>
          <w:p>
            <w:pPr>
              <w:pageBreakBefore w:val="0"/>
              <w:widowControl w:val="0"/>
              <w:kinsoku/>
              <w:wordWrap/>
              <w:overflowPunct/>
              <w:topLinePunct w:val="0"/>
              <w:autoSpaceDE/>
              <w:autoSpaceDN/>
              <w:bidi w:val="0"/>
              <w:adjustRightInd/>
              <w:snapToGrid w:val="0"/>
              <w:ind w:firstLine="480" w:firstLineChars="200"/>
              <w:textAlignment w:val="auto"/>
              <w:rPr>
                <w:rFonts w:hint="default"/>
                <w:szCs w:val="24"/>
              </w:rPr>
            </w:pPr>
            <w:r>
              <w:rPr>
                <w:rFonts w:hint="default"/>
                <w:szCs w:val="24"/>
              </w:rPr>
              <w:fldChar w:fldCharType="begin"/>
            </w:r>
            <w:r>
              <w:rPr>
                <w:rFonts w:hint="default"/>
                <w:szCs w:val="24"/>
              </w:rPr>
              <w:instrText xml:space="preserve"> = 3 \* GB3 \* MERGEFORMAT </w:instrText>
            </w:r>
            <w:r>
              <w:rPr>
                <w:rFonts w:hint="default"/>
                <w:szCs w:val="24"/>
              </w:rPr>
              <w:fldChar w:fldCharType="separate"/>
            </w:r>
            <w:r>
              <w:rPr>
                <w:szCs w:val="24"/>
              </w:rPr>
              <w:t>③</w:t>
            </w:r>
            <w:r>
              <w:rPr>
                <w:rFonts w:hint="default"/>
                <w:szCs w:val="24"/>
              </w:rPr>
              <w:fldChar w:fldCharType="end"/>
            </w:r>
            <w:r>
              <w:rPr>
                <w:rFonts w:hint="default"/>
                <w:szCs w:val="24"/>
              </w:rPr>
              <w:t>项目建成后，在噪声较大的车间外或噪声源较大的地方醒目处应设置环保图形标志牌。</w:t>
            </w:r>
          </w:p>
          <w:p>
            <w:pPr>
              <w:keepNext w:val="0"/>
              <w:keepLines w:val="0"/>
              <w:pageBreakBefore w:val="0"/>
              <w:widowControl w:val="0"/>
              <w:kinsoku/>
              <w:wordWrap/>
              <w:overflowPunct/>
              <w:topLinePunct w:val="0"/>
              <w:autoSpaceDE/>
              <w:autoSpaceDN/>
              <w:bidi w:val="0"/>
              <w:adjustRightInd/>
              <w:snapToGrid w:val="0"/>
              <w:spacing w:line="360" w:lineRule="auto"/>
              <w:ind w:firstLine="480" w:firstLineChars="200"/>
              <w:textAlignment w:val="auto"/>
              <w:rPr>
                <w:rFonts w:hint="default" w:ascii="Times New Roman" w:hAnsi="Times New Roman" w:cs="Times New Roman" w:eastAsiaTheme="minorEastAsia"/>
                <w:color w:val="000000" w:themeColor="text1"/>
                <w:sz w:val="24"/>
                <w:szCs w:val="22"/>
                <w:highlight w:val="none"/>
                <w:u w:val="none" w:color="auto"/>
                <w14:textFill>
                  <w14:solidFill>
                    <w14:schemeClr w14:val="tx1"/>
                  </w14:solidFill>
                </w14:textFill>
              </w:rPr>
            </w:pPr>
            <w:r>
              <w:rPr>
                <w:rFonts w:hint="default"/>
                <w:szCs w:val="24"/>
              </w:rPr>
              <w:t>标志牌的设置应按《环境保护图形标志</w:t>
            </w:r>
            <w:r>
              <w:rPr>
                <w:rFonts w:hint="eastAsia" w:ascii="Times New Roman" w:eastAsia="宋体"/>
                <w:szCs w:val="24"/>
                <w:lang w:val="en-US" w:eastAsia="zh-CN"/>
              </w:rPr>
              <w:t>-</w:t>
            </w:r>
            <w:r>
              <w:rPr>
                <w:rFonts w:hint="default"/>
                <w:szCs w:val="24"/>
              </w:rPr>
              <w:t>排放口（源）》（GB15562.1-1995、GB15562.2-1995）的规定执行。标志牌必须保持清晰、完整，当发现有损坏或颜色有变化，应及时修复或更换。检查时间一年两次。</w:t>
            </w:r>
            <w:r>
              <w:rPr>
                <w:rFonts w:hint="default"/>
                <w:szCs w:val="24"/>
                <w:highlight w:val="none"/>
              </w:rPr>
              <w:t>具体见表</w:t>
            </w:r>
            <w:r>
              <w:rPr>
                <w:rFonts w:hint="eastAsia"/>
                <w:szCs w:val="24"/>
                <w:highlight w:val="none"/>
                <w:lang w:val="en-US" w:eastAsia="zh-CN"/>
              </w:rPr>
              <w:t>4-10</w:t>
            </w:r>
            <w:r>
              <w:rPr>
                <w:rFonts w:hint="default"/>
                <w:szCs w:val="24"/>
                <w:highlight w:val="none"/>
              </w:rPr>
              <w:t>和</w:t>
            </w:r>
            <w:r>
              <w:rPr>
                <w:rFonts w:hint="eastAsia"/>
                <w:szCs w:val="24"/>
                <w:highlight w:val="none"/>
                <w:lang w:val="en-US" w:eastAsia="zh-CN"/>
              </w:rPr>
              <w:t>4-11</w:t>
            </w:r>
            <w:r>
              <w:rPr>
                <w:rFonts w:hint="default"/>
                <w:szCs w:val="24"/>
                <w:highlight w:val="none"/>
              </w:rPr>
              <w:t>。</w:t>
            </w:r>
          </w:p>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b/>
                <w:bCs/>
                <w:sz w:val="21"/>
                <w:szCs w:val="21"/>
              </w:rPr>
            </w:pPr>
            <w:r>
              <w:rPr>
                <w:rFonts w:hint="default"/>
                <w:b/>
                <w:bCs/>
                <w:sz w:val="21"/>
                <w:szCs w:val="21"/>
                <w:lang w:eastAsia="zh-CN"/>
              </w:rPr>
              <w:t>表</w:t>
            </w:r>
            <w:r>
              <w:rPr>
                <w:rFonts w:hint="eastAsia"/>
                <w:b/>
                <w:bCs/>
                <w:sz w:val="21"/>
                <w:szCs w:val="21"/>
                <w:highlight w:val="none"/>
                <w:lang w:val="en-US" w:eastAsia="zh-CN"/>
              </w:rPr>
              <w:t>4-10</w:t>
            </w:r>
            <w:r>
              <w:rPr>
                <w:rFonts w:hint="default"/>
                <w:b/>
                <w:bCs/>
                <w:sz w:val="21"/>
                <w:szCs w:val="21"/>
              </w:rPr>
              <w:t xml:space="preserve"> 环境保护图形标志的形状及颜色表</w:t>
            </w:r>
          </w:p>
          <w:tbl>
            <w:tblPr>
              <w:tblStyle w:val="23"/>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35"/>
              <w:gridCol w:w="2235"/>
              <w:gridCol w:w="2233"/>
              <w:gridCol w:w="22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blHeader/>
                <w:jc w:val="center"/>
              </w:trPr>
              <w:tc>
                <w:tcPr>
                  <w:tcW w:w="1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b w:val="0"/>
                      <w:bCs w:val="0"/>
                      <w:color w:val="auto"/>
                      <w:sz w:val="21"/>
                      <w:szCs w:val="21"/>
                    </w:rPr>
                  </w:pPr>
                  <w:r>
                    <w:rPr>
                      <w:rFonts w:hint="default" w:ascii="Times New Roman" w:hAnsi="Times New Roman" w:cs="Times New Roman"/>
                      <w:b w:val="0"/>
                      <w:bCs w:val="0"/>
                      <w:color w:val="auto"/>
                      <w:sz w:val="21"/>
                      <w:szCs w:val="21"/>
                    </w:rPr>
                    <w:t>标准名称</w:t>
                  </w:r>
                </w:p>
              </w:tc>
              <w:tc>
                <w:tcPr>
                  <w:tcW w:w="1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b w:val="0"/>
                      <w:bCs w:val="0"/>
                      <w:color w:val="auto"/>
                      <w:sz w:val="21"/>
                      <w:szCs w:val="21"/>
                    </w:rPr>
                  </w:pPr>
                  <w:r>
                    <w:rPr>
                      <w:rFonts w:hint="default" w:ascii="Times New Roman" w:hAnsi="Times New Roman" w:cs="Times New Roman"/>
                      <w:b w:val="0"/>
                      <w:bCs w:val="0"/>
                      <w:color w:val="auto"/>
                      <w:sz w:val="21"/>
                      <w:szCs w:val="21"/>
                    </w:rPr>
                    <w:t>形状</w:t>
                  </w:r>
                </w:p>
              </w:tc>
              <w:tc>
                <w:tcPr>
                  <w:tcW w:w="124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b w:val="0"/>
                      <w:bCs w:val="0"/>
                      <w:color w:val="auto"/>
                      <w:sz w:val="21"/>
                      <w:szCs w:val="21"/>
                    </w:rPr>
                  </w:pPr>
                  <w:r>
                    <w:rPr>
                      <w:rFonts w:hint="default" w:ascii="Times New Roman" w:hAnsi="Times New Roman" w:cs="Times New Roman"/>
                      <w:b w:val="0"/>
                      <w:bCs w:val="0"/>
                      <w:color w:val="auto"/>
                      <w:sz w:val="21"/>
                      <w:szCs w:val="21"/>
                    </w:rPr>
                    <w:t>背景颜色</w:t>
                  </w:r>
                </w:p>
              </w:tc>
              <w:tc>
                <w:tcPr>
                  <w:tcW w:w="125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b w:val="0"/>
                      <w:bCs w:val="0"/>
                      <w:color w:val="auto"/>
                      <w:sz w:val="21"/>
                      <w:szCs w:val="21"/>
                    </w:rPr>
                  </w:pPr>
                  <w:r>
                    <w:rPr>
                      <w:rFonts w:hint="default" w:ascii="Times New Roman" w:hAnsi="Times New Roman" w:cs="Times New Roman"/>
                      <w:b w:val="0"/>
                      <w:bCs w:val="0"/>
                      <w:color w:val="auto"/>
                      <w:sz w:val="21"/>
                      <w:szCs w:val="21"/>
                    </w:rPr>
                    <w:t>图形颜色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blHeader/>
                <w:jc w:val="center"/>
              </w:trPr>
              <w:tc>
                <w:tcPr>
                  <w:tcW w:w="1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警告标志</w:t>
                  </w:r>
                </w:p>
              </w:tc>
              <w:tc>
                <w:tcPr>
                  <w:tcW w:w="1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三角形边框</w:t>
                  </w:r>
                </w:p>
              </w:tc>
              <w:tc>
                <w:tcPr>
                  <w:tcW w:w="124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黄色</w:t>
                  </w:r>
                </w:p>
              </w:tc>
              <w:tc>
                <w:tcPr>
                  <w:tcW w:w="125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黑色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blHeader/>
                <w:jc w:val="center"/>
              </w:trPr>
              <w:tc>
                <w:tcPr>
                  <w:tcW w:w="1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提示标志</w:t>
                  </w:r>
                </w:p>
              </w:tc>
              <w:tc>
                <w:tcPr>
                  <w:tcW w:w="124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正方形边框</w:t>
                  </w:r>
                </w:p>
              </w:tc>
              <w:tc>
                <w:tcPr>
                  <w:tcW w:w="124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绿色</w:t>
                  </w:r>
                </w:p>
              </w:tc>
              <w:tc>
                <w:tcPr>
                  <w:tcW w:w="125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白色</w:t>
                  </w:r>
                </w:p>
              </w:tc>
            </w:tr>
          </w:tbl>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b/>
                <w:bCs/>
                <w:sz w:val="21"/>
                <w:szCs w:val="21"/>
                <w:lang w:eastAsia="zh-CN"/>
              </w:rPr>
            </w:pPr>
          </w:p>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eastAsia="宋体" w:cs="Times New Roman"/>
                <w:bCs/>
                <w:color w:val="auto"/>
                <w:sz w:val="21"/>
                <w:szCs w:val="21"/>
                <w:lang w:eastAsia="zh-CN"/>
              </w:rPr>
            </w:pPr>
            <w:r>
              <w:rPr>
                <w:rFonts w:hint="default"/>
                <w:b/>
                <w:bCs/>
                <w:sz w:val="21"/>
                <w:szCs w:val="21"/>
                <w:lang w:eastAsia="zh-CN"/>
              </w:rPr>
              <w:t>表</w:t>
            </w:r>
            <w:r>
              <w:rPr>
                <w:rFonts w:hint="eastAsia"/>
                <w:b/>
                <w:bCs/>
                <w:sz w:val="21"/>
                <w:szCs w:val="21"/>
                <w:lang w:val="en-US" w:eastAsia="zh-CN"/>
              </w:rPr>
              <w:t>4-11</w:t>
            </w:r>
            <w:r>
              <w:rPr>
                <w:rFonts w:hint="default"/>
                <w:b/>
                <w:bCs/>
                <w:sz w:val="21"/>
                <w:szCs w:val="21"/>
                <w:lang w:eastAsia="zh-CN"/>
              </w:rPr>
              <w:t xml:space="preserve"> 环境保护图形符号一览表</w:t>
            </w:r>
          </w:p>
          <w:tbl>
            <w:tblPr>
              <w:tblStyle w:val="23"/>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52"/>
              <w:gridCol w:w="2015"/>
              <w:gridCol w:w="2015"/>
              <w:gridCol w:w="1923"/>
              <w:gridCol w:w="19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b w:val="0"/>
                      <w:bCs w:val="0"/>
                      <w:color w:val="auto"/>
                      <w:sz w:val="21"/>
                      <w:szCs w:val="21"/>
                    </w:rPr>
                  </w:pPr>
                  <w:r>
                    <w:rPr>
                      <w:rFonts w:hint="default" w:ascii="Times New Roman" w:hAnsi="Times New Roman" w:cs="Times New Roman"/>
                      <w:b w:val="0"/>
                      <w:bCs w:val="0"/>
                      <w:color w:val="auto"/>
                      <w:sz w:val="21"/>
                      <w:szCs w:val="21"/>
                    </w:rPr>
                    <w:t>序号</w:t>
                  </w:r>
                </w:p>
              </w:tc>
              <w:tc>
                <w:tcPr>
                  <w:tcW w:w="112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b w:val="0"/>
                      <w:bCs w:val="0"/>
                      <w:color w:val="auto"/>
                      <w:sz w:val="21"/>
                      <w:szCs w:val="21"/>
                    </w:rPr>
                  </w:pPr>
                  <w:r>
                    <w:rPr>
                      <w:rFonts w:hint="default" w:ascii="Times New Roman" w:hAnsi="Times New Roman" w:cs="Times New Roman"/>
                      <w:b w:val="0"/>
                      <w:bCs w:val="0"/>
                      <w:color w:val="auto"/>
                      <w:sz w:val="21"/>
                      <w:szCs w:val="21"/>
                    </w:rPr>
                    <w:t>提示图形符号</w:t>
                  </w:r>
                </w:p>
              </w:tc>
              <w:tc>
                <w:tcPr>
                  <w:tcW w:w="112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b w:val="0"/>
                      <w:bCs w:val="0"/>
                      <w:color w:val="auto"/>
                      <w:sz w:val="21"/>
                      <w:szCs w:val="21"/>
                    </w:rPr>
                  </w:pPr>
                  <w:r>
                    <w:rPr>
                      <w:rFonts w:hint="default" w:ascii="Times New Roman" w:hAnsi="Times New Roman" w:cs="Times New Roman"/>
                      <w:b w:val="0"/>
                      <w:bCs w:val="0"/>
                      <w:color w:val="auto"/>
                      <w:sz w:val="21"/>
                      <w:szCs w:val="21"/>
                    </w:rPr>
                    <w:t>警告图形符号</w:t>
                  </w:r>
                </w:p>
              </w:tc>
              <w:tc>
                <w:tcPr>
                  <w:tcW w:w="107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b w:val="0"/>
                      <w:bCs w:val="0"/>
                      <w:color w:val="auto"/>
                      <w:sz w:val="21"/>
                      <w:szCs w:val="21"/>
                    </w:rPr>
                  </w:pPr>
                  <w:r>
                    <w:rPr>
                      <w:rFonts w:hint="default" w:ascii="Times New Roman" w:hAnsi="Times New Roman" w:cs="Times New Roman"/>
                      <w:b w:val="0"/>
                      <w:bCs w:val="0"/>
                      <w:color w:val="auto"/>
                      <w:sz w:val="21"/>
                      <w:szCs w:val="21"/>
                    </w:rPr>
                    <w:t>名称</w:t>
                  </w:r>
                </w:p>
              </w:tc>
              <w:tc>
                <w:tcPr>
                  <w:tcW w:w="108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b w:val="0"/>
                      <w:bCs w:val="0"/>
                      <w:color w:val="auto"/>
                      <w:sz w:val="21"/>
                      <w:szCs w:val="21"/>
                    </w:rPr>
                  </w:pPr>
                  <w:r>
                    <w:rPr>
                      <w:rFonts w:hint="default" w:ascii="Times New Roman" w:hAnsi="Times New Roman" w:cs="Times New Roman"/>
                      <w:b w:val="0"/>
                      <w:bCs w:val="0"/>
                      <w:color w:val="auto"/>
                      <w:sz w:val="21"/>
                      <w:szCs w:val="21"/>
                    </w:rPr>
                    <w:t>功能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w:t>
                  </w:r>
                </w:p>
              </w:tc>
              <w:tc>
                <w:tcPr>
                  <w:tcW w:w="112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drawing>
                      <wp:inline distT="0" distB="0" distL="0" distR="0">
                        <wp:extent cx="866775" cy="711835"/>
                        <wp:effectExtent l="0" t="0" r="9525" b="12065"/>
                        <wp:docPr id="13" name="图片 89"/>
                        <wp:cNvGraphicFramePr/>
                        <a:graphic xmlns:a="http://schemas.openxmlformats.org/drawingml/2006/main">
                          <a:graphicData uri="http://schemas.openxmlformats.org/drawingml/2006/picture">
                            <pic:pic xmlns:pic="http://schemas.openxmlformats.org/drawingml/2006/picture">
                              <pic:nvPicPr>
                                <pic:cNvPr id="13" name="图片 89"/>
                                <pic:cNvPicPr/>
                              </pic:nvPicPr>
                              <pic:blipFill>
                                <a:blip r:embed="rId24">
                                  <a:extLst>
                                    <a:ext uri="{28A0092B-C50C-407E-A947-70E740481C1C}">
                                      <a14:useLocalDpi xmlns:a14="http://schemas.microsoft.com/office/drawing/2010/main" val="0"/>
                                    </a:ext>
                                  </a:extLst>
                                </a:blip>
                                <a:srcRect/>
                                <a:stretch>
                                  <a:fillRect/>
                                </a:stretch>
                              </pic:blipFill>
                              <pic:spPr>
                                <a:xfrm>
                                  <a:off x="0" y="0"/>
                                  <a:ext cx="866775" cy="711835"/>
                                </a:xfrm>
                                <a:prstGeom prst="rect">
                                  <a:avLst/>
                                </a:prstGeom>
                                <a:noFill/>
                                <a:ln>
                                  <a:noFill/>
                                </a:ln>
                              </pic:spPr>
                            </pic:pic>
                          </a:graphicData>
                        </a:graphic>
                      </wp:inline>
                    </w:drawing>
                  </w:r>
                </w:p>
              </w:tc>
              <w:tc>
                <w:tcPr>
                  <w:tcW w:w="112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drawing>
                      <wp:inline distT="0" distB="0" distL="0" distR="0">
                        <wp:extent cx="797560" cy="719455"/>
                        <wp:effectExtent l="0" t="0" r="2540" b="4445"/>
                        <wp:docPr id="14" name="图片 90"/>
                        <wp:cNvGraphicFramePr/>
                        <a:graphic xmlns:a="http://schemas.openxmlformats.org/drawingml/2006/main">
                          <a:graphicData uri="http://schemas.openxmlformats.org/drawingml/2006/picture">
                            <pic:pic xmlns:pic="http://schemas.openxmlformats.org/drawingml/2006/picture">
                              <pic:nvPicPr>
                                <pic:cNvPr id="14" name="图片 90"/>
                                <pic:cNvPicPr/>
                              </pic:nvPicPr>
                              <pic:blipFill>
                                <a:blip r:embed="rId25">
                                  <a:extLst>
                                    <a:ext uri="{28A0092B-C50C-407E-A947-70E740481C1C}">
                                      <a14:useLocalDpi xmlns:a14="http://schemas.microsoft.com/office/drawing/2010/main" val="0"/>
                                    </a:ext>
                                  </a:extLst>
                                </a:blip>
                                <a:srcRect/>
                                <a:stretch>
                                  <a:fillRect/>
                                </a:stretch>
                              </pic:blipFill>
                              <pic:spPr>
                                <a:xfrm>
                                  <a:off x="0" y="0"/>
                                  <a:ext cx="797560" cy="719455"/>
                                </a:xfrm>
                                <a:prstGeom prst="rect">
                                  <a:avLst/>
                                </a:prstGeom>
                                <a:noFill/>
                                <a:ln>
                                  <a:noFill/>
                                </a:ln>
                              </pic:spPr>
                            </pic:pic>
                          </a:graphicData>
                        </a:graphic>
                      </wp:inline>
                    </w:drawing>
                  </w:r>
                </w:p>
              </w:tc>
              <w:tc>
                <w:tcPr>
                  <w:tcW w:w="107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废气排放口</w:t>
                  </w:r>
                </w:p>
              </w:tc>
              <w:tc>
                <w:tcPr>
                  <w:tcW w:w="108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表示废气向大气环境排放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2</w:t>
                  </w:r>
                </w:p>
              </w:tc>
              <w:tc>
                <w:tcPr>
                  <w:tcW w:w="112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drawing>
                      <wp:inline distT="0" distB="0" distL="0" distR="0">
                        <wp:extent cx="807085" cy="663575"/>
                        <wp:effectExtent l="0" t="0" r="12065" b="3175"/>
                        <wp:docPr id="15" name="图片 91"/>
                        <wp:cNvGraphicFramePr/>
                        <a:graphic xmlns:a="http://schemas.openxmlformats.org/drawingml/2006/main">
                          <a:graphicData uri="http://schemas.openxmlformats.org/drawingml/2006/picture">
                            <pic:pic xmlns:pic="http://schemas.openxmlformats.org/drawingml/2006/picture">
                              <pic:nvPicPr>
                                <pic:cNvPr id="15" name="图片 91"/>
                                <pic:cNvPicPr/>
                              </pic:nvPicPr>
                              <pic:blipFill>
                                <a:blip r:embed="rId26">
                                  <a:extLst>
                                    <a:ext uri="{28A0092B-C50C-407E-A947-70E740481C1C}">
                                      <a14:useLocalDpi xmlns:a14="http://schemas.microsoft.com/office/drawing/2010/main" val="0"/>
                                    </a:ext>
                                  </a:extLst>
                                </a:blip>
                                <a:srcRect/>
                                <a:stretch>
                                  <a:fillRect/>
                                </a:stretch>
                              </pic:blipFill>
                              <pic:spPr>
                                <a:xfrm>
                                  <a:off x="0" y="0"/>
                                  <a:ext cx="807085" cy="663575"/>
                                </a:xfrm>
                                <a:prstGeom prst="rect">
                                  <a:avLst/>
                                </a:prstGeom>
                                <a:noFill/>
                                <a:ln>
                                  <a:noFill/>
                                </a:ln>
                              </pic:spPr>
                            </pic:pic>
                          </a:graphicData>
                        </a:graphic>
                      </wp:inline>
                    </w:drawing>
                  </w:r>
                </w:p>
              </w:tc>
              <w:tc>
                <w:tcPr>
                  <w:tcW w:w="112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drawing>
                      <wp:inline distT="0" distB="0" distL="0" distR="0">
                        <wp:extent cx="787400" cy="647700"/>
                        <wp:effectExtent l="0" t="0" r="12700" b="0"/>
                        <wp:docPr id="16" name="图片 92"/>
                        <wp:cNvGraphicFramePr/>
                        <a:graphic xmlns:a="http://schemas.openxmlformats.org/drawingml/2006/main">
                          <a:graphicData uri="http://schemas.openxmlformats.org/drawingml/2006/picture">
                            <pic:pic xmlns:pic="http://schemas.openxmlformats.org/drawingml/2006/picture">
                              <pic:nvPicPr>
                                <pic:cNvPr id="16" name="图片 92"/>
                                <pic:cNvPicPr/>
                              </pic:nvPicPr>
                              <pic:blipFill>
                                <a:blip r:embed="rId27">
                                  <a:extLst>
                                    <a:ext uri="{28A0092B-C50C-407E-A947-70E740481C1C}">
                                      <a14:useLocalDpi xmlns:a14="http://schemas.microsoft.com/office/drawing/2010/main" val="0"/>
                                    </a:ext>
                                  </a:extLst>
                                </a:blip>
                                <a:srcRect/>
                                <a:stretch>
                                  <a:fillRect/>
                                </a:stretch>
                              </pic:blipFill>
                              <pic:spPr>
                                <a:xfrm>
                                  <a:off x="0" y="0"/>
                                  <a:ext cx="787400" cy="647700"/>
                                </a:xfrm>
                                <a:prstGeom prst="rect">
                                  <a:avLst/>
                                </a:prstGeom>
                                <a:noFill/>
                                <a:ln>
                                  <a:noFill/>
                                </a:ln>
                              </pic:spPr>
                            </pic:pic>
                          </a:graphicData>
                        </a:graphic>
                      </wp:inline>
                    </w:drawing>
                  </w:r>
                </w:p>
              </w:tc>
              <w:tc>
                <w:tcPr>
                  <w:tcW w:w="107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一般固体废物</w:t>
                  </w:r>
                </w:p>
              </w:tc>
              <w:tc>
                <w:tcPr>
                  <w:tcW w:w="108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表示一般固体废物贮存、处置场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0" w:hRule="atLeast"/>
                <w:jc w:val="center"/>
              </w:trPr>
              <w:tc>
                <w:tcPr>
                  <w:tcW w:w="58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3</w:t>
                  </w:r>
                </w:p>
              </w:tc>
              <w:tc>
                <w:tcPr>
                  <w:tcW w:w="112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drawing>
                      <wp:inline distT="0" distB="0" distL="0" distR="0">
                        <wp:extent cx="827405" cy="741680"/>
                        <wp:effectExtent l="0" t="0" r="10795" b="1270"/>
                        <wp:docPr id="17" name="图片 93"/>
                        <wp:cNvGraphicFramePr/>
                        <a:graphic xmlns:a="http://schemas.openxmlformats.org/drawingml/2006/main">
                          <a:graphicData uri="http://schemas.openxmlformats.org/drawingml/2006/picture">
                            <pic:pic xmlns:pic="http://schemas.openxmlformats.org/drawingml/2006/picture">
                              <pic:nvPicPr>
                                <pic:cNvPr id="17" name="图片 93"/>
                                <pic:cNvPicPr/>
                              </pic:nvPicPr>
                              <pic:blipFill>
                                <a:blip r:embed="rId28">
                                  <a:extLst>
                                    <a:ext uri="{28A0092B-C50C-407E-A947-70E740481C1C}">
                                      <a14:useLocalDpi xmlns:a14="http://schemas.microsoft.com/office/drawing/2010/main" val="0"/>
                                    </a:ext>
                                  </a:extLst>
                                </a:blip>
                                <a:srcRect/>
                                <a:stretch>
                                  <a:fillRect/>
                                </a:stretch>
                              </pic:blipFill>
                              <pic:spPr>
                                <a:xfrm>
                                  <a:off x="0" y="0"/>
                                  <a:ext cx="827405" cy="741680"/>
                                </a:xfrm>
                                <a:prstGeom prst="rect">
                                  <a:avLst/>
                                </a:prstGeom>
                                <a:noFill/>
                                <a:ln>
                                  <a:noFill/>
                                </a:ln>
                              </pic:spPr>
                            </pic:pic>
                          </a:graphicData>
                        </a:graphic>
                      </wp:inline>
                    </w:drawing>
                  </w:r>
                </w:p>
              </w:tc>
              <w:tc>
                <w:tcPr>
                  <w:tcW w:w="112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drawing>
                      <wp:inline distT="0" distB="0" distL="0" distR="0">
                        <wp:extent cx="840740" cy="720090"/>
                        <wp:effectExtent l="0" t="0" r="16510" b="3810"/>
                        <wp:docPr id="18" name="图片 94"/>
                        <wp:cNvGraphicFramePr/>
                        <a:graphic xmlns:a="http://schemas.openxmlformats.org/drawingml/2006/main">
                          <a:graphicData uri="http://schemas.openxmlformats.org/drawingml/2006/picture">
                            <pic:pic xmlns:pic="http://schemas.openxmlformats.org/drawingml/2006/picture">
                              <pic:nvPicPr>
                                <pic:cNvPr id="18" name="图片 94"/>
                                <pic:cNvPicPr/>
                              </pic:nvPicPr>
                              <pic:blipFill>
                                <a:blip r:embed="rId29">
                                  <a:extLst>
                                    <a:ext uri="{28A0092B-C50C-407E-A947-70E740481C1C}">
                                      <a14:useLocalDpi xmlns:a14="http://schemas.microsoft.com/office/drawing/2010/main" val="0"/>
                                    </a:ext>
                                  </a:extLst>
                                </a:blip>
                                <a:srcRect/>
                                <a:stretch>
                                  <a:fillRect/>
                                </a:stretch>
                              </pic:blipFill>
                              <pic:spPr>
                                <a:xfrm>
                                  <a:off x="0" y="0"/>
                                  <a:ext cx="840740" cy="720090"/>
                                </a:xfrm>
                                <a:prstGeom prst="rect">
                                  <a:avLst/>
                                </a:prstGeom>
                                <a:noFill/>
                                <a:ln>
                                  <a:noFill/>
                                </a:ln>
                              </pic:spPr>
                            </pic:pic>
                          </a:graphicData>
                        </a:graphic>
                      </wp:inline>
                    </w:drawing>
                  </w:r>
                </w:p>
              </w:tc>
              <w:tc>
                <w:tcPr>
                  <w:tcW w:w="107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噪声排放源</w:t>
                  </w:r>
                </w:p>
              </w:tc>
              <w:tc>
                <w:tcPr>
                  <w:tcW w:w="108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cs="Times New Roman"/>
                      <w:color w:val="auto"/>
                      <w:sz w:val="21"/>
                      <w:szCs w:val="21"/>
                    </w:rPr>
                    <w:t>表示噪声向外环境排放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8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4</w:t>
                  </w:r>
                </w:p>
              </w:tc>
              <w:tc>
                <w:tcPr>
                  <w:tcW w:w="112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p>
              </w:tc>
              <w:tc>
                <w:tcPr>
                  <w:tcW w:w="1126"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eastAsia="宋体" w:cs="Times New Roman"/>
                      <w:color w:val="auto"/>
                      <w:sz w:val="21"/>
                      <w:szCs w:val="21"/>
                    </w:rPr>
                    <w:drawing>
                      <wp:anchor distT="0" distB="0" distL="114300" distR="114300" simplePos="0" relativeHeight="251661312" behindDoc="1" locked="0" layoutInCell="1" allowOverlap="1">
                        <wp:simplePos x="0" y="0"/>
                        <wp:positionH relativeFrom="column">
                          <wp:posOffset>152400</wp:posOffset>
                        </wp:positionH>
                        <wp:positionV relativeFrom="paragraph">
                          <wp:posOffset>48260</wp:posOffset>
                        </wp:positionV>
                        <wp:extent cx="795655" cy="677545"/>
                        <wp:effectExtent l="0" t="0" r="4445" b="8255"/>
                        <wp:wrapThrough wrapText="bothSides">
                          <wp:wrapPolygon>
                            <wp:start x="0" y="0"/>
                            <wp:lineTo x="0" y="21256"/>
                            <wp:lineTo x="21204" y="21256"/>
                            <wp:lineTo x="21204" y="0"/>
                            <wp:lineTo x="0" y="0"/>
                          </wp:wrapPolygon>
                        </wp:wrapThrough>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30"/>
                                <a:stretch>
                                  <a:fillRect/>
                                </a:stretch>
                              </pic:blipFill>
                              <pic:spPr>
                                <a:xfrm>
                                  <a:off x="0" y="0"/>
                                  <a:ext cx="795655" cy="677545"/>
                                </a:xfrm>
                                <a:prstGeom prst="rect">
                                  <a:avLst/>
                                </a:prstGeom>
                                <a:noFill/>
                                <a:ln>
                                  <a:noFill/>
                                </a:ln>
                              </pic:spPr>
                            </pic:pic>
                          </a:graphicData>
                        </a:graphic>
                      </wp:anchor>
                    </w:drawing>
                  </w:r>
                  <w:r>
                    <w:rPr>
                      <w:rFonts w:hint="default" w:ascii="Times New Roman" w:hAnsi="Times New Roman" w:eastAsia="宋体" w:cs="Times New Roman"/>
                      <w:color w:val="auto"/>
                      <w:sz w:val="21"/>
                      <w:szCs w:val="21"/>
                      <w:lang w:val="en-US" w:eastAsia="zh-CN"/>
                    </w:rPr>
                    <w:fldChar w:fldCharType="begin"/>
                  </w:r>
                  <w:r>
                    <w:rPr>
                      <w:rFonts w:hint="default" w:ascii="Times New Roman" w:hAnsi="Times New Roman" w:eastAsia="宋体" w:cs="Times New Roman"/>
                      <w:color w:val="auto"/>
                      <w:sz w:val="21"/>
                      <w:szCs w:val="21"/>
                      <w:lang w:val="en-US" w:eastAsia="zh-CN"/>
                    </w:rPr>
                    <w:instrText xml:space="preserve">INCLUDEPICTURE \d "D:\\消息文件夹\\1176653889\\Image\\C2C\\[A~LWM`CN621}JK9UK(Q(_J.jpg" \* MERGEFORMATINET </w:instrText>
                  </w:r>
                  <w:r>
                    <w:rPr>
                      <w:rFonts w:hint="default" w:ascii="Times New Roman" w:hAnsi="Times New Roman" w:eastAsia="宋体" w:cs="Times New Roman"/>
                      <w:color w:val="auto"/>
                      <w:sz w:val="21"/>
                      <w:szCs w:val="21"/>
                      <w:lang w:val="en-US" w:eastAsia="zh-CN"/>
                    </w:rPr>
                    <w:fldChar w:fldCharType="separate"/>
                  </w:r>
                  <w:r>
                    <w:rPr>
                      <w:rFonts w:hint="default" w:ascii="Times New Roman" w:hAnsi="Times New Roman" w:eastAsia="宋体" w:cs="Times New Roman"/>
                      <w:color w:val="auto"/>
                      <w:sz w:val="21"/>
                      <w:szCs w:val="21"/>
                      <w:lang w:val="en-US" w:eastAsia="zh-CN"/>
                    </w:rPr>
                    <w:drawing>
                      <wp:inline distT="0" distB="0" distL="114300" distR="114300">
                        <wp:extent cx="899795" cy="899795"/>
                        <wp:effectExtent l="0" t="0" r="14605" b="14605"/>
                        <wp:docPr id="19" name="图片 5" descr="IMG_256"/>
                        <wp:cNvGraphicFramePr/>
                        <a:graphic xmlns:a="http://schemas.openxmlformats.org/drawingml/2006/main">
                          <a:graphicData uri="http://schemas.openxmlformats.org/drawingml/2006/picture">
                            <pic:pic xmlns:pic="http://schemas.openxmlformats.org/drawingml/2006/picture">
                              <pic:nvPicPr>
                                <pic:cNvPr id="19" name="图片 5" descr="IMG_256"/>
                                <pic:cNvPicPr/>
                              </pic:nvPicPr>
                              <pic:blipFill>
                                <a:blip r:embed="rId31"/>
                                <a:stretch>
                                  <a:fillRect/>
                                </a:stretch>
                              </pic:blipFill>
                              <pic:spPr>
                                <a:xfrm>
                                  <a:off x="0" y="0"/>
                                  <a:ext cx="899795" cy="899795"/>
                                </a:xfrm>
                                <a:prstGeom prst="rect">
                                  <a:avLst/>
                                </a:prstGeom>
                                <a:noFill/>
                                <a:ln>
                                  <a:noFill/>
                                </a:ln>
                              </pic:spPr>
                            </pic:pic>
                          </a:graphicData>
                        </a:graphic>
                      </wp:inline>
                    </w:drawing>
                  </w:r>
                  <w:r>
                    <w:rPr>
                      <w:rFonts w:hint="default" w:ascii="Times New Roman" w:hAnsi="Times New Roman" w:eastAsia="宋体" w:cs="Times New Roman"/>
                      <w:color w:val="auto"/>
                      <w:sz w:val="21"/>
                      <w:szCs w:val="21"/>
                      <w:lang w:val="en-US" w:eastAsia="zh-CN"/>
                    </w:rPr>
                    <w:fldChar w:fldCharType="end"/>
                  </w:r>
                </w:p>
              </w:tc>
              <w:tc>
                <w:tcPr>
                  <w:tcW w:w="107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eastAsia="宋体" w:cs="Times New Roman"/>
                      <w:b w:val="0"/>
                      <w:bCs w:val="0"/>
                      <w:color w:val="auto"/>
                      <w:sz w:val="21"/>
                      <w:szCs w:val="21"/>
                      <w:highlight w:val="none"/>
                      <w:lang w:val="en-US" w:eastAsia="zh-CN"/>
                    </w:rPr>
                    <w:t>危险废物</w:t>
                  </w:r>
                </w:p>
              </w:tc>
              <w:tc>
                <w:tcPr>
                  <w:tcW w:w="108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firstLineChars="0"/>
                    <w:jc w:val="center"/>
                    <w:textAlignment w:val="auto"/>
                    <w:rPr>
                      <w:rFonts w:hint="default" w:ascii="Times New Roman" w:hAnsi="Times New Roman" w:cs="Times New Roman"/>
                      <w:color w:val="auto"/>
                      <w:sz w:val="21"/>
                      <w:szCs w:val="21"/>
                    </w:rPr>
                  </w:pPr>
                  <w:r>
                    <w:rPr>
                      <w:rFonts w:hint="default" w:ascii="Times New Roman" w:hAnsi="Times New Roman" w:eastAsia="宋体" w:cs="Times New Roman"/>
                      <w:b w:val="0"/>
                      <w:bCs w:val="0"/>
                      <w:color w:val="auto"/>
                      <w:sz w:val="21"/>
                      <w:szCs w:val="21"/>
                      <w:highlight w:val="none"/>
                      <w:lang w:val="en-US" w:eastAsia="zh-CN"/>
                    </w:rPr>
                    <w:t>表示危险废物贮存、处置场所</w:t>
                  </w:r>
                </w:p>
              </w:tc>
            </w:tr>
          </w:tbl>
          <w:p>
            <w:pPr>
              <w:keepNext/>
              <w:keepLines/>
              <w:pageBreakBefore w:val="0"/>
              <w:widowControl w:val="0"/>
              <w:numPr>
                <w:ilvl w:val="0"/>
                <w:numId w:val="0"/>
              </w:numPr>
              <w:kinsoku/>
              <w:wordWrap/>
              <w:overflowPunct/>
              <w:topLinePunct w:val="0"/>
              <w:autoSpaceDE/>
              <w:autoSpaceDN/>
              <w:bidi w:val="0"/>
              <w:adjustRightInd w:val="0"/>
              <w:snapToGrid w:val="0"/>
              <w:spacing w:line="360" w:lineRule="auto"/>
              <w:ind w:right="0" w:rightChars="0" w:firstLine="482" w:firstLineChars="200"/>
              <w:jc w:val="both"/>
              <w:textAlignment w:val="auto"/>
              <w:outlineLvl w:val="1"/>
              <w:rPr>
                <w:rFonts w:hint="eastAsia" w:cs="Times New Roman" w:eastAsiaTheme="minorEastAsia"/>
                <w:b/>
                <w:bCs/>
                <w:color w:val="000000" w:themeColor="text1"/>
                <w:kern w:val="2"/>
                <w:sz w:val="24"/>
                <w:szCs w:val="24"/>
                <w:highlight w:val="none"/>
                <w:u w:val="none" w:color="auto"/>
                <w:lang w:val="en-US" w:eastAsia="zh-CN" w:bidi="ar-SA"/>
                <w14:textFill>
                  <w14:solidFill>
                    <w14:schemeClr w14:val="tx1"/>
                  </w14:solidFill>
                </w14:textFill>
              </w:rPr>
            </w:pPr>
          </w:p>
          <w:p>
            <w:pPr>
              <w:keepNext/>
              <w:keepLines/>
              <w:pageBreakBefore w:val="0"/>
              <w:widowControl w:val="0"/>
              <w:numPr>
                <w:ilvl w:val="0"/>
                <w:numId w:val="0"/>
              </w:numPr>
              <w:kinsoku/>
              <w:wordWrap/>
              <w:overflowPunct/>
              <w:topLinePunct w:val="0"/>
              <w:autoSpaceDE/>
              <w:autoSpaceDN/>
              <w:bidi w:val="0"/>
              <w:adjustRightInd w:val="0"/>
              <w:snapToGrid w:val="0"/>
              <w:spacing w:line="360" w:lineRule="auto"/>
              <w:ind w:right="0" w:rightChars="0" w:firstLine="482" w:firstLineChars="200"/>
              <w:jc w:val="both"/>
              <w:textAlignment w:val="auto"/>
              <w:outlineLvl w:val="1"/>
              <w:rPr>
                <w:rFonts w:hint="default" w:ascii="Times New Roman" w:hAnsi="Times New Roman" w:cs="Times New Roman" w:eastAsiaTheme="minorEastAsia"/>
                <w:b/>
                <w:bCs/>
                <w:color w:val="000000" w:themeColor="text1"/>
                <w:kern w:val="2"/>
                <w:sz w:val="24"/>
                <w:szCs w:val="24"/>
                <w:highlight w:val="none"/>
                <w:u w:val="none" w:color="auto"/>
                <w:lang w:val="en-US" w:eastAsia="zh-CN" w:bidi="ar-SA"/>
                <w14:textFill>
                  <w14:solidFill>
                    <w14:schemeClr w14:val="tx1"/>
                  </w14:solidFill>
                </w14:textFill>
              </w:rPr>
            </w:pPr>
            <w:r>
              <w:rPr>
                <w:rFonts w:hint="eastAsia" w:cs="Times New Roman" w:eastAsiaTheme="minorEastAsia"/>
                <w:b/>
                <w:bCs/>
                <w:color w:val="000000" w:themeColor="text1"/>
                <w:kern w:val="2"/>
                <w:sz w:val="24"/>
                <w:szCs w:val="24"/>
                <w:highlight w:val="none"/>
                <w:u w:val="none" w:color="auto"/>
                <w:lang w:val="en-US" w:eastAsia="zh-CN" w:bidi="ar-SA"/>
                <w14:textFill>
                  <w14:solidFill>
                    <w14:schemeClr w14:val="tx1"/>
                  </w14:solidFill>
                </w14:textFill>
              </w:rPr>
              <w:t>8、</w:t>
            </w:r>
            <w:r>
              <w:rPr>
                <w:rFonts w:hint="default" w:ascii="Times New Roman" w:hAnsi="Times New Roman" w:cs="Times New Roman" w:eastAsiaTheme="minorEastAsia"/>
                <w:b/>
                <w:bCs/>
                <w:color w:val="000000" w:themeColor="text1"/>
                <w:kern w:val="2"/>
                <w:sz w:val="24"/>
                <w:szCs w:val="24"/>
                <w:highlight w:val="none"/>
                <w:u w:val="none" w:color="auto"/>
                <w:lang w:val="en-US" w:eastAsia="zh-CN" w:bidi="ar-SA"/>
                <w14:textFill>
                  <w14:solidFill>
                    <w14:schemeClr w14:val="tx1"/>
                  </w14:solidFill>
                </w14:textFill>
              </w:rPr>
              <w:t>环保投资</w:t>
            </w:r>
          </w:p>
          <w:p>
            <w:pPr>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default" w:ascii="Times New Roman" w:hAnsi="Times New Roman" w:cs="Times New Roman"/>
                <w:color w:val="000000"/>
                <w:szCs w:val="24"/>
              </w:rPr>
            </w:pPr>
            <w:r>
              <w:rPr>
                <w:rFonts w:hint="default" w:ascii="Times New Roman" w:hAnsi="Times New Roman" w:cs="Times New Roman"/>
                <w:color w:val="auto"/>
                <w:szCs w:val="24"/>
              </w:rPr>
              <w:t>项目总投资为</w:t>
            </w:r>
            <w:r>
              <w:rPr>
                <w:rFonts w:hint="eastAsia" w:cs="Times New Roman"/>
                <w:color w:val="auto"/>
                <w:szCs w:val="24"/>
                <w:lang w:val="en-US" w:eastAsia="zh-CN"/>
              </w:rPr>
              <w:t>30000万</w:t>
            </w:r>
            <w:r>
              <w:rPr>
                <w:rFonts w:hint="default" w:ascii="Times New Roman" w:hAnsi="Times New Roman" w:cs="Times New Roman"/>
                <w:color w:val="auto"/>
                <w:szCs w:val="24"/>
              </w:rPr>
              <w:t>元，</w:t>
            </w:r>
            <w:r>
              <w:rPr>
                <w:rFonts w:hint="default" w:ascii="Times New Roman" w:hAnsi="Times New Roman" w:cs="Times New Roman"/>
                <w:color w:val="auto"/>
                <w:szCs w:val="24"/>
                <w:highlight w:val="none"/>
              </w:rPr>
              <w:t>环保投资约为</w:t>
            </w:r>
            <w:r>
              <w:rPr>
                <w:rFonts w:hint="eastAsia" w:cs="Times New Roman"/>
                <w:color w:val="auto"/>
                <w:szCs w:val="24"/>
                <w:highlight w:val="none"/>
                <w:lang w:val="en-US" w:eastAsia="zh-CN"/>
              </w:rPr>
              <w:t>188</w:t>
            </w:r>
            <w:r>
              <w:rPr>
                <w:rFonts w:hint="default" w:ascii="Times New Roman" w:hAnsi="Times New Roman" w:cs="Times New Roman"/>
                <w:color w:val="auto"/>
                <w:szCs w:val="24"/>
                <w:highlight w:val="none"/>
              </w:rPr>
              <w:t>万元，占项目总投资的</w:t>
            </w:r>
            <w:r>
              <w:rPr>
                <w:rFonts w:hint="eastAsia" w:cs="Times New Roman"/>
                <w:color w:val="auto"/>
                <w:szCs w:val="24"/>
                <w:highlight w:val="none"/>
                <w:lang w:val="en-US" w:eastAsia="zh-CN"/>
              </w:rPr>
              <w:t>0.63</w:t>
            </w:r>
            <w:r>
              <w:rPr>
                <w:rFonts w:hint="default" w:ascii="Times New Roman" w:hAnsi="Times New Roman" w:cs="Times New Roman"/>
                <w:color w:val="auto"/>
                <w:szCs w:val="24"/>
                <w:highlight w:val="none"/>
              </w:rPr>
              <w:t>%</w:t>
            </w:r>
            <w:r>
              <w:rPr>
                <w:rFonts w:hint="default" w:ascii="Times New Roman" w:hAnsi="Times New Roman" w:cs="Times New Roman"/>
                <w:color w:val="auto"/>
                <w:szCs w:val="24"/>
              </w:rPr>
              <w:t>。</w:t>
            </w:r>
            <w:r>
              <w:rPr>
                <w:rFonts w:hint="default" w:ascii="Times New Roman" w:hAnsi="Times New Roman" w:cs="Times New Roman"/>
                <w:color w:val="000000"/>
                <w:szCs w:val="24"/>
              </w:rPr>
              <w:t>措施及投资概算汇总如下表</w:t>
            </w:r>
            <w:r>
              <w:rPr>
                <w:rFonts w:hint="eastAsia" w:cs="Times New Roman"/>
                <w:color w:val="000000"/>
                <w:szCs w:val="24"/>
                <w:highlight w:val="none"/>
                <w:lang w:val="en-US" w:eastAsia="zh-CN"/>
              </w:rPr>
              <w:t>4-12</w:t>
            </w:r>
            <w:r>
              <w:rPr>
                <w:rFonts w:hint="default" w:ascii="Times New Roman" w:hAnsi="Times New Roman" w:cs="Times New Roman"/>
                <w:color w:val="000000"/>
                <w:szCs w:val="24"/>
              </w:rPr>
              <w:t>：</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b/>
                <w:bCs/>
                <w:sz w:val="21"/>
                <w:szCs w:val="21"/>
              </w:rPr>
            </w:pPr>
            <w:r>
              <w:rPr>
                <w:rFonts w:hint="default"/>
                <w:b/>
                <w:bCs/>
                <w:sz w:val="21"/>
                <w:szCs w:val="21"/>
              </w:rPr>
              <w:t>表</w:t>
            </w:r>
            <w:r>
              <w:rPr>
                <w:rFonts w:hint="eastAsia"/>
                <w:b/>
                <w:bCs/>
                <w:sz w:val="21"/>
                <w:szCs w:val="21"/>
                <w:highlight w:val="none"/>
                <w:lang w:val="en-US" w:eastAsia="zh-CN"/>
              </w:rPr>
              <w:t>4-12</w:t>
            </w:r>
            <w:r>
              <w:rPr>
                <w:rFonts w:hint="eastAsia" w:ascii="Times New Roman" w:eastAsia="宋体"/>
                <w:b/>
                <w:bCs/>
                <w:sz w:val="21"/>
                <w:szCs w:val="21"/>
                <w:highlight w:val="none"/>
                <w:lang w:val="en-US" w:eastAsia="zh-CN"/>
              </w:rPr>
              <w:t xml:space="preserve"> </w:t>
            </w:r>
            <w:r>
              <w:rPr>
                <w:rFonts w:hint="default"/>
                <w:b/>
                <w:bCs/>
                <w:sz w:val="21"/>
                <w:szCs w:val="21"/>
              </w:rPr>
              <w:t>污染治理措施及投资概算表</w:t>
            </w:r>
          </w:p>
          <w:tbl>
            <w:tblPr>
              <w:tblStyle w:val="23"/>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84"/>
              <w:gridCol w:w="1763"/>
              <w:gridCol w:w="4505"/>
              <w:gridCol w:w="16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0" w:hRule="atLeast"/>
                <w:jc w:val="center"/>
              </w:trPr>
              <w:tc>
                <w:tcPr>
                  <w:tcW w:w="550" w:type="pct"/>
                  <w:noWrap w:val="0"/>
                  <w:vAlign w:val="center"/>
                </w:tcPr>
                <w:p>
                  <w:pPr>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b w:val="0"/>
                      <w:bCs w:val="0"/>
                      <w:sz w:val="21"/>
                      <w:szCs w:val="21"/>
                      <w:highlight w:val="none"/>
                      <w:u w:val="none"/>
                    </w:rPr>
                  </w:pPr>
                  <w:r>
                    <w:rPr>
                      <w:b w:val="0"/>
                      <w:bCs w:val="0"/>
                      <w:sz w:val="21"/>
                      <w:szCs w:val="21"/>
                      <w:highlight w:val="none"/>
                      <w:u w:val="none"/>
                    </w:rPr>
                    <w:t>项目</w:t>
                  </w:r>
                </w:p>
              </w:tc>
              <w:tc>
                <w:tcPr>
                  <w:tcW w:w="986" w:type="pct"/>
                  <w:noWrap w:val="0"/>
                  <w:vAlign w:val="center"/>
                </w:tcPr>
                <w:p>
                  <w:pPr>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b w:val="0"/>
                      <w:bCs w:val="0"/>
                      <w:sz w:val="21"/>
                      <w:szCs w:val="21"/>
                      <w:highlight w:val="none"/>
                      <w:u w:val="none"/>
                    </w:rPr>
                  </w:pPr>
                  <w:r>
                    <w:rPr>
                      <w:b w:val="0"/>
                      <w:bCs w:val="0"/>
                      <w:sz w:val="21"/>
                      <w:szCs w:val="21"/>
                      <w:highlight w:val="none"/>
                      <w:u w:val="none"/>
                    </w:rPr>
                    <w:t>污染源</w:t>
                  </w:r>
                </w:p>
              </w:tc>
              <w:tc>
                <w:tcPr>
                  <w:tcW w:w="2519" w:type="pct"/>
                  <w:noWrap w:val="0"/>
                  <w:vAlign w:val="center"/>
                </w:tcPr>
                <w:p>
                  <w:pPr>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b w:val="0"/>
                      <w:bCs w:val="0"/>
                      <w:sz w:val="21"/>
                      <w:szCs w:val="21"/>
                      <w:highlight w:val="none"/>
                      <w:u w:val="none"/>
                    </w:rPr>
                  </w:pPr>
                  <w:r>
                    <w:rPr>
                      <w:b w:val="0"/>
                      <w:bCs w:val="0"/>
                      <w:sz w:val="21"/>
                      <w:szCs w:val="21"/>
                      <w:highlight w:val="none"/>
                      <w:u w:val="none"/>
                    </w:rPr>
                    <w:t>建设内容</w:t>
                  </w:r>
                </w:p>
              </w:tc>
              <w:tc>
                <w:tcPr>
                  <w:tcW w:w="944" w:type="pct"/>
                  <w:noWrap w:val="0"/>
                  <w:vAlign w:val="center"/>
                </w:tcPr>
                <w:p>
                  <w:pPr>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b w:val="0"/>
                      <w:bCs w:val="0"/>
                      <w:sz w:val="21"/>
                      <w:szCs w:val="21"/>
                      <w:highlight w:val="none"/>
                      <w:u w:val="none"/>
                    </w:rPr>
                  </w:pPr>
                  <w:r>
                    <w:rPr>
                      <w:b w:val="0"/>
                      <w:bCs w:val="0"/>
                      <w:sz w:val="21"/>
                      <w:szCs w:val="21"/>
                      <w:highlight w:val="none"/>
                      <w:u w:val="none"/>
                    </w:rPr>
                    <w:t>投资额（万元）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50"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sz w:val="21"/>
                      <w:szCs w:val="21"/>
                      <w:lang w:val="en-US" w:eastAsia="zh-CN"/>
                    </w:rPr>
                  </w:pPr>
                  <w:r>
                    <w:rPr>
                      <w:rFonts w:hint="default" w:ascii="Times New Roman" w:hAnsi="Times New Roman" w:cs="Times New Roman"/>
                      <w:sz w:val="21"/>
                      <w:szCs w:val="21"/>
                    </w:rPr>
                    <w:t>废水</w:t>
                  </w:r>
                  <w:r>
                    <w:rPr>
                      <w:rFonts w:hint="eastAsia" w:ascii="Times New Roman" w:hAnsi="Times New Roman" w:cs="Times New Roman"/>
                      <w:sz w:val="21"/>
                      <w:szCs w:val="21"/>
                      <w:lang w:val="en-US" w:eastAsia="zh-CN"/>
                    </w:rPr>
                    <w:t>治理</w:t>
                  </w:r>
                </w:p>
              </w:tc>
              <w:tc>
                <w:tcPr>
                  <w:tcW w:w="986" w:type="pct"/>
                  <w:tcBorders>
                    <w:bottom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生活污水</w:t>
                  </w:r>
                </w:p>
              </w:tc>
              <w:tc>
                <w:tcPr>
                  <w:tcW w:w="2519" w:type="pct"/>
                  <w:tcBorders>
                    <w:bottom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化粪池</w:t>
                  </w:r>
                </w:p>
              </w:tc>
              <w:tc>
                <w:tcPr>
                  <w:tcW w:w="1688" w:type="dxa"/>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lang w:val="en-US" w:eastAsia="zh-CN"/>
                    </w:rPr>
                  </w:pPr>
                  <w:r>
                    <w:rPr>
                      <w:rFonts w:hint="eastAsia" w:ascii="Times New Roman" w:eastAsia="宋体"/>
                      <w:sz w:val="21"/>
                      <w:szCs w:val="21"/>
                      <w:lang w:val="en-US" w:eastAsia="zh-CN"/>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550"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rPr>
                  </w:pPr>
                </w:p>
              </w:tc>
              <w:tc>
                <w:tcPr>
                  <w:tcW w:w="986" w:type="pct"/>
                  <w:tcBorders>
                    <w:bottom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sz w:val="21"/>
                      <w:szCs w:val="21"/>
                      <w:lang w:eastAsia="zh-CN"/>
                    </w:rPr>
                  </w:pPr>
                  <w:r>
                    <w:rPr>
                      <w:rFonts w:hint="eastAsia" w:ascii="Times New Roman" w:hAnsi="Times New Roman" w:cs="Times New Roman"/>
                      <w:sz w:val="21"/>
                      <w:szCs w:val="21"/>
                      <w:lang w:val="en-US" w:eastAsia="zh-CN"/>
                    </w:rPr>
                    <w:t>搅拌机及电池清洗水</w:t>
                  </w:r>
                </w:p>
              </w:tc>
              <w:tc>
                <w:tcPr>
                  <w:tcW w:w="2519" w:type="pct"/>
                  <w:tcBorders>
                    <w:bottom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两个三级沉淀池</w:t>
                  </w:r>
                </w:p>
              </w:tc>
              <w:tc>
                <w:tcPr>
                  <w:tcW w:w="944" w:type="pct"/>
                  <w:vMerge w:val="continue"/>
                  <w:tcBorders>
                    <w:bottom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0" w:hRule="atLeast"/>
                <w:jc w:val="center"/>
              </w:trPr>
              <w:tc>
                <w:tcPr>
                  <w:tcW w:w="550"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废气</w:t>
                  </w:r>
                  <w:r>
                    <w:rPr>
                      <w:rFonts w:hint="eastAsia" w:ascii="Times New Roman" w:hAnsi="Times New Roman" w:cs="Times New Roman"/>
                      <w:sz w:val="21"/>
                      <w:szCs w:val="21"/>
                      <w:lang w:val="en-US" w:eastAsia="zh-CN"/>
                    </w:rPr>
                    <w:t>治理</w:t>
                  </w:r>
                </w:p>
              </w:tc>
              <w:tc>
                <w:tcPr>
                  <w:tcW w:w="98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rPr>
                  </w:pPr>
                  <w:r>
                    <w:rPr>
                      <w:rFonts w:hint="eastAsia" w:ascii="Times New Roman" w:eastAsia="宋体"/>
                      <w:sz w:val="21"/>
                      <w:szCs w:val="21"/>
                      <w:lang w:val="en-US" w:eastAsia="zh-CN"/>
                    </w:rPr>
                    <w:t>涂布烘干废气</w:t>
                  </w:r>
                </w:p>
              </w:tc>
              <w:tc>
                <w:tcPr>
                  <w:tcW w:w="251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rPr>
                  </w:pPr>
                  <w:r>
                    <w:rPr>
                      <w:rFonts w:hint="eastAsia" w:ascii="Times New Roman" w:hAnsi="Times New Roman" w:cs="Times New Roman"/>
                      <w:sz w:val="21"/>
                      <w:szCs w:val="21"/>
                      <w:lang w:val="en-US" w:eastAsia="zh-CN"/>
                    </w:rPr>
                    <w:t>两套NMP回收系统+水喷淋+活性炭吸附系统+排气管道，两座冷却塔</w:t>
                  </w:r>
                </w:p>
              </w:tc>
              <w:tc>
                <w:tcPr>
                  <w:tcW w:w="1688" w:type="dxa"/>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lang w:val="en-US" w:eastAsia="zh-CN"/>
                    </w:rPr>
                  </w:pPr>
                  <w:r>
                    <w:rPr>
                      <w:rFonts w:hint="eastAsia"/>
                      <w:sz w:val="21"/>
                      <w:szCs w:val="21"/>
                      <w:lang w:val="en-US" w:eastAsia="zh-CN"/>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12" w:hRule="atLeast"/>
                <w:jc w:val="center"/>
              </w:trPr>
              <w:tc>
                <w:tcPr>
                  <w:tcW w:w="550"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rPr>
                  </w:pPr>
                </w:p>
              </w:tc>
              <w:tc>
                <w:tcPr>
                  <w:tcW w:w="98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食堂油烟</w:t>
                  </w:r>
                </w:p>
              </w:tc>
              <w:tc>
                <w:tcPr>
                  <w:tcW w:w="251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lang w:val="en-US"/>
                    </w:rPr>
                  </w:pPr>
                  <w:r>
                    <w:rPr>
                      <w:rFonts w:hint="default" w:ascii="Times New Roman" w:hAnsi="Times New Roman" w:cs="Times New Roman"/>
                      <w:sz w:val="21"/>
                      <w:szCs w:val="21"/>
                      <w:lang w:val="en-US" w:eastAsia="zh-CN"/>
                    </w:rPr>
                    <w:t>油烟净化器</w:t>
                  </w:r>
                  <w:r>
                    <w:rPr>
                      <w:rFonts w:hint="eastAsia" w:ascii="Times New Roman" w:hAnsi="Times New Roman" w:cs="Times New Roman"/>
                      <w:sz w:val="21"/>
                      <w:szCs w:val="21"/>
                      <w:lang w:val="en-US" w:eastAsia="zh-CN"/>
                    </w:rPr>
                    <w:t>+排气管道</w:t>
                  </w:r>
                </w:p>
              </w:tc>
              <w:tc>
                <w:tcPr>
                  <w:tcW w:w="944" w:type="pct"/>
                  <w:vMerge w:val="continue"/>
                  <w:tcBorders>
                    <w:bottom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0" w:hRule="atLeast"/>
                <w:jc w:val="center"/>
              </w:trPr>
              <w:tc>
                <w:tcPr>
                  <w:tcW w:w="550"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sz w:val="21"/>
                      <w:szCs w:val="21"/>
                      <w:lang w:val="en-US" w:eastAsia="zh-CN"/>
                    </w:rPr>
                  </w:pPr>
                  <w:r>
                    <w:rPr>
                      <w:rFonts w:hint="default" w:ascii="Times New Roman" w:hAnsi="Times New Roman" w:cs="Times New Roman"/>
                      <w:sz w:val="21"/>
                      <w:szCs w:val="21"/>
                    </w:rPr>
                    <w:t>噪声</w:t>
                  </w:r>
                  <w:r>
                    <w:rPr>
                      <w:rFonts w:hint="eastAsia" w:ascii="Times New Roman" w:hAnsi="Times New Roman" w:cs="Times New Roman"/>
                      <w:sz w:val="21"/>
                      <w:szCs w:val="21"/>
                      <w:lang w:val="en-US" w:eastAsia="zh-CN"/>
                    </w:rPr>
                    <w:t>防治</w:t>
                  </w:r>
                </w:p>
              </w:tc>
              <w:tc>
                <w:tcPr>
                  <w:tcW w:w="986"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rPr>
                  </w:pPr>
                  <w:r>
                    <w:rPr>
                      <w:rFonts w:hint="eastAsia" w:ascii="Times New Roman" w:eastAsia="宋体"/>
                      <w:sz w:val="21"/>
                      <w:szCs w:val="21"/>
                      <w:lang w:val="en-US" w:eastAsia="zh-CN"/>
                    </w:rPr>
                    <w:t>设备噪声</w:t>
                  </w:r>
                </w:p>
              </w:tc>
              <w:tc>
                <w:tcPr>
                  <w:tcW w:w="251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rPr>
                  </w:pPr>
                  <w:r>
                    <w:rPr>
                      <w:rFonts w:hint="default"/>
                      <w:sz w:val="21"/>
                      <w:szCs w:val="21"/>
                    </w:rPr>
                    <w:t>隔声、设备减震</w:t>
                  </w:r>
                </w:p>
              </w:tc>
              <w:tc>
                <w:tcPr>
                  <w:tcW w:w="168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lang w:val="en-US" w:eastAsia="zh-CN"/>
                    </w:rPr>
                  </w:pPr>
                  <w:r>
                    <w:rPr>
                      <w:rFonts w:hint="eastAsia" w:ascii="Times New Roman" w:eastAsia="宋体"/>
                      <w:sz w:val="21"/>
                      <w:szCs w:val="21"/>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0" w:hRule="atLeast"/>
                <w:jc w:val="center"/>
              </w:trPr>
              <w:tc>
                <w:tcPr>
                  <w:tcW w:w="1536" w:type="pct"/>
                  <w:gridSpan w:val="2"/>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sz w:val="21"/>
                      <w:szCs w:val="21"/>
                      <w:lang w:val="en-US" w:eastAsia="zh-CN"/>
                    </w:rPr>
                  </w:pPr>
                  <w:r>
                    <w:rPr>
                      <w:rFonts w:hint="default" w:ascii="Times New Roman" w:hAnsi="Times New Roman" w:cs="Times New Roman"/>
                      <w:sz w:val="21"/>
                      <w:szCs w:val="21"/>
                    </w:rPr>
                    <w:t>固废</w:t>
                  </w:r>
                  <w:r>
                    <w:rPr>
                      <w:rFonts w:hint="eastAsia" w:ascii="Times New Roman" w:hAnsi="Times New Roman" w:cs="Times New Roman"/>
                      <w:sz w:val="21"/>
                      <w:szCs w:val="21"/>
                      <w:lang w:val="en-US" w:eastAsia="zh-CN"/>
                    </w:rPr>
                    <w:t>处理</w:t>
                  </w:r>
                </w:p>
              </w:tc>
              <w:tc>
                <w:tcPr>
                  <w:tcW w:w="251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一般固废暂存间</w:t>
                  </w:r>
                </w:p>
              </w:tc>
              <w:tc>
                <w:tcPr>
                  <w:tcW w:w="1688" w:type="dxa"/>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rPr>
                  </w:pPr>
                  <w:r>
                    <w:rPr>
                      <w:rFonts w:hint="default"/>
                      <w:sz w:val="21"/>
                      <w:szCs w:val="21"/>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0" w:hRule="atLeast"/>
                <w:jc w:val="center"/>
              </w:trPr>
              <w:tc>
                <w:tcPr>
                  <w:tcW w:w="1536" w:type="pct"/>
                  <w:gridSpan w:val="2"/>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rPr>
                  </w:pPr>
                </w:p>
              </w:tc>
              <w:tc>
                <w:tcPr>
                  <w:tcW w:w="251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危废暂存间</w:t>
                  </w:r>
                </w:p>
              </w:tc>
              <w:tc>
                <w:tcPr>
                  <w:tcW w:w="944"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0" w:hRule="atLeast"/>
                <w:jc w:val="center"/>
              </w:trPr>
              <w:tc>
                <w:tcPr>
                  <w:tcW w:w="4055" w:type="pct"/>
                  <w:gridSpan w:val="3"/>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环保总投资</w:t>
                  </w:r>
                </w:p>
              </w:tc>
              <w:tc>
                <w:tcPr>
                  <w:tcW w:w="168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sz w:val="21"/>
                      <w:szCs w:val="21"/>
                      <w:lang w:val="en-US"/>
                    </w:rPr>
                  </w:pPr>
                  <w:r>
                    <w:rPr>
                      <w:rFonts w:hint="eastAsia"/>
                      <w:sz w:val="21"/>
                      <w:szCs w:val="21"/>
                      <w:lang w:val="en-US" w:eastAsia="zh-CN"/>
                    </w:rPr>
                    <w:t>188</w:t>
                  </w:r>
                </w:p>
              </w:tc>
            </w:tr>
          </w:tbl>
          <w:p>
            <w:pPr>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p>
          <w:p>
            <w:pPr>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p>
          <w:p>
            <w:pPr>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p>
          <w:p>
            <w:pPr>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p>
          <w:p>
            <w:pPr>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p>
          <w:p>
            <w:pPr>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p>
          <w:p>
            <w:pPr>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p>
          <w:p>
            <w:pPr>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p>
          <w:p>
            <w:pPr>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p>
          <w:p>
            <w:pPr>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p>
          <w:p>
            <w:pPr>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p>
          <w:p>
            <w:pPr>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p>
          <w:p>
            <w:pPr>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p>
          <w:p>
            <w:pPr>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p>
          <w:p>
            <w:pPr>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p>
          <w:p>
            <w:pPr>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p>
          <w:p>
            <w:pPr>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p>
          <w:p>
            <w:pPr>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p>
          <w:p>
            <w:pPr>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p>
          <w:p>
            <w:pPr>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p>
          <w:p>
            <w:pPr>
              <w:pageBreakBefore w:val="0"/>
              <w:widowControl w:val="0"/>
              <w:kinsoku/>
              <w:wordWrap/>
              <w:overflowPunct/>
              <w:topLinePunct w:val="0"/>
              <w:autoSpaceDE/>
              <w:autoSpaceDN/>
              <w:bidi w:val="0"/>
              <w:adjustRightInd w:val="0"/>
              <w:snapToGrid w:val="0"/>
              <w:spacing w:line="360" w:lineRule="auto"/>
              <w:ind w:left="0" w:leftChars="0" w:firstLine="0" w:firstLineChars="0"/>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 xml:space="preserve"> </w:t>
            </w:r>
          </w:p>
        </w:tc>
      </w:tr>
    </w:tbl>
    <w:p>
      <w:pPr>
        <w:pStyle w:val="18"/>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3"/>
        <w:keepNext/>
        <w:keepLines/>
        <w:pageBreakBefore w:val="0"/>
        <w:widowControl w:val="0"/>
        <w:numPr>
          <w:ilvl w:val="0"/>
          <w:numId w:val="0"/>
        </w:numPr>
        <w:kinsoku/>
        <w:wordWrap/>
        <w:overflowPunct/>
        <w:topLinePunct w:val="0"/>
        <w:autoSpaceDE/>
        <w:autoSpaceDN/>
        <w:bidi w:val="0"/>
        <w:adjustRightInd w:val="0"/>
        <w:snapToGrid w:val="0"/>
        <w:spacing w:before="0" w:beforeLines="0" w:after="0" w:afterLines="0" w:line="240" w:lineRule="auto"/>
        <w:jc w:val="center"/>
        <w:textAlignment w:val="auto"/>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pPr>
      <w:bookmarkStart w:id="10" w:name="_Toc68"/>
      <w:r>
        <w:rPr>
          <w:rFonts w:hint="default" w:ascii="Times New Roman" w:hAnsi="Times New Roman" w:cs="Times New Roman" w:eastAsiaTheme="minorEastAsia"/>
          <w:b/>
          <w:color w:val="000000" w:themeColor="text1"/>
          <w:sz w:val="36"/>
          <w:szCs w:val="36"/>
          <w:highlight w:val="none"/>
          <w:u w:val="none" w:color="auto"/>
          <w:lang w:val="en-US" w:eastAsia="zh-CN"/>
          <w14:textFill>
            <w14:solidFill>
              <w14:schemeClr w14:val="tx1"/>
            </w14:solidFill>
          </w14:textFill>
        </w:rPr>
        <w:t>五、环境保护措施监督检查清单</w:t>
      </w:r>
      <w:bookmarkEnd w:id="10"/>
    </w:p>
    <w:tbl>
      <w:tblPr>
        <w:tblStyle w:val="24"/>
        <w:tblW w:w="4993"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67"/>
        <w:gridCol w:w="1642"/>
        <w:gridCol w:w="814"/>
        <w:gridCol w:w="818"/>
        <w:gridCol w:w="2700"/>
        <w:gridCol w:w="220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8" w:type="pct"/>
            <w:tcBorders>
              <w:tl2br w:val="nil"/>
              <w:tr2bl w:val="nil"/>
            </w:tcBorders>
            <w:vAlign w:val="center"/>
            <mc:AlternateContent>
              <mc:Choice Requires="wpsCustomData">
                <wpsCustomData:diagonals>
                  <wpsCustomData:diagonal from="10000" to="30000">
                    <wpsCustomData:border w:val="single" w:color="auto" w:sz="12" w:space="0"/>
                  </wpsCustomData:diagonal>
                </wpsCustomData:diagonals>
              </mc:Choice>
            </mc:AlternateContent>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both"/>
              <w:textAlignment w:val="auto"/>
              <mc:AlternateContent>
                <mc:Choice Requires="wpsCustomData">
                  <wpsCustomData:diagonalParaType/>
                </mc:Choice>
              </mc:AlternateContent>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要素</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内容</w:t>
            </w:r>
          </w:p>
        </w:tc>
        <w:tc>
          <w:tcPr>
            <w:tcW w:w="82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排放口（编号、名称）/污染源</w:t>
            </w:r>
          </w:p>
        </w:tc>
        <w:tc>
          <w:tcPr>
            <w:tcW w:w="820"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污染物项目</w:t>
            </w:r>
          </w:p>
        </w:tc>
        <w:tc>
          <w:tcPr>
            <w:tcW w:w="13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环境保护措施</w:t>
            </w:r>
          </w:p>
        </w:tc>
        <w:tc>
          <w:tcPr>
            <w:tcW w:w="110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执行标准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84" w:hRule="atLeast"/>
        </w:trPr>
        <w:tc>
          <w:tcPr>
            <w:tcW w:w="888"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大气环境</w:t>
            </w:r>
          </w:p>
        </w:tc>
        <w:tc>
          <w:tcPr>
            <w:tcW w:w="825"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涂布烘干</w:t>
            </w:r>
          </w:p>
        </w:tc>
        <w:tc>
          <w:tcPr>
            <w:tcW w:w="409"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非甲烷总烃</w:t>
            </w:r>
          </w:p>
        </w:tc>
        <w:tc>
          <w:tcPr>
            <w:tcW w:w="41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有组织</w:t>
            </w:r>
          </w:p>
        </w:tc>
        <w:tc>
          <w:tcPr>
            <w:tcW w:w="13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NMP回收系统（三级降温冷凝+水喷淋）+尾气处理系统（活性炭+回风循环）</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处理后引至楼顶排放</w:t>
            </w:r>
          </w:p>
        </w:tc>
        <w:tc>
          <w:tcPr>
            <w:tcW w:w="1108"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《电池工业污染物排放标准》（GB30484-2013）中新建企业大气污染物排放限值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84" w:hRule="atLeast"/>
        </w:trPr>
        <w:tc>
          <w:tcPr>
            <w:tcW w:w="88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pPr>
          </w:p>
        </w:tc>
        <w:tc>
          <w:tcPr>
            <w:tcW w:w="825"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409"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411"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无组织</w:t>
            </w:r>
          </w:p>
        </w:tc>
        <w:tc>
          <w:tcPr>
            <w:tcW w:w="13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加强管理、减少无组织排放</w:t>
            </w:r>
          </w:p>
        </w:tc>
        <w:tc>
          <w:tcPr>
            <w:tcW w:w="110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84" w:hRule="atLeast"/>
        </w:trPr>
        <w:tc>
          <w:tcPr>
            <w:tcW w:w="88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pPr>
          </w:p>
        </w:tc>
        <w:tc>
          <w:tcPr>
            <w:tcW w:w="82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物料装卸</w:t>
            </w:r>
          </w:p>
        </w:tc>
        <w:tc>
          <w:tcPr>
            <w:tcW w:w="820"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颗粒物</w:t>
            </w:r>
          </w:p>
        </w:tc>
        <w:tc>
          <w:tcPr>
            <w:tcW w:w="13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加强管理、减少无组织排放</w:t>
            </w:r>
          </w:p>
        </w:tc>
        <w:tc>
          <w:tcPr>
            <w:tcW w:w="110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84" w:hRule="atLeast"/>
        </w:trPr>
        <w:tc>
          <w:tcPr>
            <w:tcW w:w="88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pPr>
          </w:p>
        </w:tc>
        <w:tc>
          <w:tcPr>
            <w:tcW w:w="82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食堂油烟</w:t>
            </w:r>
          </w:p>
        </w:tc>
        <w:tc>
          <w:tcPr>
            <w:tcW w:w="820"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油烟</w:t>
            </w:r>
          </w:p>
        </w:tc>
        <w:tc>
          <w:tcPr>
            <w:tcW w:w="13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油烟净化器+烟道排放</w:t>
            </w:r>
          </w:p>
        </w:tc>
        <w:tc>
          <w:tcPr>
            <w:tcW w:w="110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《饮食业油烟排放标准》（GB18483-2001)标准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0" w:hRule="atLeast"/>
        </w:trPr>
        <w:tc>
          <w:tcPr>
            <w:tcW w:w="888"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水环境</w:t>
            </w:r>
          </w:p>
        </w:tc>
        <w:tc>
          <w:tcPr>
            <w:tcW w:w="82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生活污水</w:t>
            </w:r>
          </w:p>
        </w:tc>
        <w:tc>
          <w:tcPr>
            <w:tcW w:w="820"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SS、COD、BOD</w:t>
            </w:r>
            <w:r>
              <w:rPr>
                <w:rFonts w:hint="default" w:ascii="Times New Roman" w:hAnsi="Times New Roman" w:cs="Times New Roman" w:eastAsiaTheme="minorEastAsia"/>
                <w:color w:val="000000" w:themeColor="text1"/>
                <w:sz w:val="24"/>
                <w:szCs w:val="24"/>
                <w:highlight w:val="none"/>
                <w:u w:val="none" w:color="auto"/>
                <w:vertAlign w:val="subscript"/>
                <w:lang w:val="en-US" w:eastAsia="zh-CN"/>
                <w14:textFill>
                  <w14:solidFill>
                    <w14:schemeClr w14:val="tx1"/>
                  </w14:solidFill>
                </w14:textFill>
              </w:rPr>
              <w:t>5</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、NH3-N</w:t>
            </w:r>
          </w:p>
        </w:tc>
        <w:tc>
          <w:tcPr>
            <w:tcW w:w="13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化粪池</w:t>
            </w:r>
          </w:p>
        </w:tc>
        <w:tc>
          <w:tcPr>
            <w:tcW w:w="110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《污水综合排放标准》（GB8978-1996）表4中的三级排放标准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82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搅拌桶清洗废水</w:t>
            </w: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、电池清洗废水</w:t>
            </w:r>
          </w:p>
        </w:tc>
        <w:tc>
          <w:tcPr>
            <w:tcW w:w="820"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COD、SS</w:t>
            </w:r>
          </w:p>
        </w:tc>
        <w:tc>
          <w:tcPr>
            <w:tcW w:w="13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三级沉淀池+水处理试剂</w:t>
            </w:r>
          </w:p>
        </w:tc>
        <w:tc>
          <w:tcPr>
            <w:tcW w:w="110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《电池工业污染物排放标准》（GB30484-2013）表2中的间接排放限值和新田县污水处理厂进水水质标准中较严标准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82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循环冷却水</w:t>
            </w:r>
          </w:p>
        </w:tc>
        <w:tc>
          <w:tcPr>
            <w:tcW w:w="820"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w:t>
            </w:r>
          </w:p>
        </w:tc>
        <w:tc>
          <w:tcPr>
            <w:tcW w:w="13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循环使用不排放</w:t>
            </w:r>
          </w:p>
        </w:tc>
        <w:tc>
          <w:tcPr>
            <w:tcW w:w="110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82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喷淋废水</w:t>
            </w:r>
          </w:p>
        </w:tc>
        <w:tc>
          <w:tcPr>
            <w:tcW w:w="820"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NMP</w:t>
            </w:r>
          </w:p>
        </w:tc>
        <w:tc>
          <w:tcPr>
            <w:tcW w:w="13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交由供应商回收替换</w:t>
            </w:r>
          </w:p>
        </w:tc>
        <w:tc>
          <w:tcPr>
            <w:tcW w:w="110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声环境</w:t>
            </w:r>
          </w:p>
        </w:tc>
        <w:tc>
          <w:tcPr>
            <w:tcW w:w="82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生产设备</w:t>
            </w:r>
          </w:p>
        </w:tc>
        <w:tc>
          <w:tcPr>
            <w:tcW w:w="820"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各类生产设备运行产生的噪声</w:t>
            </w:r>
          </w:p>
        </w:tc>
        <w:tc>
          <w:tcPr>
            <w:tcW w:w="13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采取基础减振、合理布局、厂房隔声、低噪声设备、定期保养等降噪措施</w:t>
            </w:r>
          </w:p>
        </w:tc>
        <w:tc>
          <w:tcPr>
            <w:tcW w:w="110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《工业企业厂界环境噪声排放标准》（GB12348-2008）</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3</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类标准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电离辐射</w:t>
            </w:r>
          </w:p>
        </w:tc>
        <w:tc>
          <w:tcPr>
            <w:tcW w:w="82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w:t>
            </w:r>
          </w:p>
        </w:tc>
        <w:tc>
          <w:tcPr>
            <w:tcW w:w="820"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w:t>
            </w:r>
          </w:p>
        </w:tc>
        <w:tc>
          <w:tcPr>
            <w:tcW w:w="13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w:t>
            </w:r>
          </w:p>
        </w:tc>
        <w:tc>
          <w:tcPr>
            <w:tcW w:w="110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8"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固体废物</w:t>
            </w:r>
          </w:p>
        </w:tc>
        <w:tc>
          <w:tcPr>
            <w:tcW w:w="82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员工生活</w:t>
            </w:r>
          </w:p>
        </w:tc>
        <w:tc>
          <w:tcPr>
            <w:tcW w:w="820"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生活垃圾</w:t>
            </w:r>
          </w:p>
        </w:tc>
        <w:tc>
          <w:tcPr>
            <w:tcW w:w="13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统一收集交由环卫部门</w:t>
            </w:r>
          </w:p>
        </w:tc>
        <w:tc>
          <w:tcPr>
            <w:tcW w:w="1108"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处置率100%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82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yellow"/>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不合格电池</w:t>
            </w:r>
          </w:p>
        </w:tc>
        <w:tc>
          <w:tcPr>
            <w:tcW w:w="820"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不合格电池</w:t>
            </w:r>
          </w:p>
        </w:tc>
        <w:tc>
          <w:tcPr>
            <w:tcW w:w="13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定期交给有资质的单位合理安全处置</w:t>
            </w:r>
          </w:p>
        </w:tc>
        <w:tc>
          <w:tcPr>
            <w:tcW w:w="110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82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yellow"/>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废边角料</w:t>
            </w:r>
          </w:p>
        </w:tc>
        <w:tc>
          <w:tcPr>
            <w:tcW w:w="820"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废边角料</w:t>
            </w:r>
          </w:p>
        </w:tc>
        <w:tc>
          <w:tcPr>
            <w:tcW w:w="13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集中收集后外售处理</w:t>
            </w:r>
          </w:p>
        </w:tc>
        <w:tc>
          <w:tcPr>
            <w:tcW w:w="110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82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yellow"/>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废电解液</w:t>
            </w:r>
          </w:p>
        </w:tc>
        <w:tc>
          <w:tcPr>
            <w:tcW w:w="820"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废电解液</w:t>
            </w:r>
          </w:p>
        </w:tc>
        <w:tc>
          <w:tcPr>
            <w:tcW w:w="13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kern w:val="2"/>
                <w:sz w:val="24"/>
                <w:szCs w:val="24"/>
                <w:highlight w:val="none"/>
                <w:u w:val="none" w:color="auto"/>
                <w:lang w:val="en-US" w:eastAsia="zh-CN" w:bidi="ar-SA"/>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交由有处理资质单位进行处理</w:t>
            </w:r>
          </w:p>
        </w:tc>
        <w:tc>
          <w:tcPr>
            <w:tcW w:w="110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82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yellow"/>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废活性炭</w:t>
            </w:r>
          </w:p>
        </w:tc>
        <w:tc>
          <w:tcPr>
            <w:tcW w:w="820"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废活性炭</w:t>
            </w:r>
          </w:p>
        </w:tc>
        <w:tc>
          <w:tcPr>
            <w:tcW w:w="13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交由有处理资质单位进行处理</w:t>
            </w:r>
          </w:p>
        </w:tc>
        <w:tc>
          <w:tcPr>
            <w:tcW w:w="110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82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yellow"/>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废</w:t>
            </w: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隔膜</w:t>
            </w:r>
          </w:p>
        </w:tc>
        <w:tc>
          <w:tcPr>
            <w:tcW w:w="820"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废隔膜</w:t>
            </w:r>
          </w:p>
        </w:tc>
        <w:tc>
          <w:tcPr>
            <w:tcW w:w="13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集中收集后外售处理</w:t>
            </w:r>
          </w:p>
        </w:tc>
        <w:tc>
          <w:tcPr>
            <w:tcW w:w="110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c>
          <w:tcPr>
            <w:tcW w:w="82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yellow"/>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原辅材料废包装袋（桶）</w:t>
            </w:r>
          </w:p>
        </w:tc>
        <w:tc>
          <w:tcPr>
            <w:tcW w:w="820" w:type="pct"/>
            <w:gridSpan w:val="2"/>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废包装桶(袋)</w:t>
            </w:r>
          </w:p>
        </w:tc>
        <w:tc>
          <w:tcPr>
            <w:tcW w:w="13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交由厂家回收利用</w:t>
            </w:r>
          </w:p>
        </w:tc>
        <w:tc>
          <w:tcPr>
            <w:tcW w:w="110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土壤及地下水污染防治措施</w:t>
            </w:r>
          </w:p>
        </w:tc>
        <w:tc>
          <w:tcPr>
            <w:tcW w:w="4111" w:type="pct"/>
            <w:gridSpan w:val="5"/>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全厂进行地面硬化，防腐防渗，防止土壤环境污染。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生态保护措施</w:t>
            </w:r>
          </w:p>
        </w:tc>
        <w:tc>
          <w:tcPr>
            <w:tcW w:w="4111" w:type="pct"/>
            <w:gridSpan w:val="5"/>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项目占地面积较小，通过对渣土、建筑垃圾等及时清运，及时绿化恢复生态，达到减低生态影响、防治水土流失的目的。</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88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环境风险防范措施</w:t>
            </w:r>
          </w:p>
        </w:tc>
        <w:tc>
          <w:tcPr>
            <w:tcW w:w="4111" w:type="pct"/>
            <w:gridSpan w:val="5"/>
            <w:tcBorders>
              <w:tl2br w:val="nil"/>
              <w:tr2bl w:val="nil"/>
            </w:tcBorders>
            <w:vAlign w:val="center"/>
          </w:tcPr>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①</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制定严格的生产操作规程，加强作业工人的环境风险教育，杜绝工作失误造成的事故；</w:t>
            </w:r>
          </w:p>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②</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在车间和仓库的明显位置张贴禁用明火的告示，并在仓库地面进行硬底化，墙体设置围堰，防止原料泄露时大面积扩散；</w:t>
            </w:r>
          </w:p>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③</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车间和仓库内应加强车间通风，防止可燃气体的累积；</w:t>
            </w:r>
          </w:p>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④</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仓库和车间内应设置移动式式泡沫灭火器，仓库外设置消防沙箱；</w:t>
            </w:r>
          </w:p>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⑤</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储存辅助材料的铁桶上应注明物质的名称、危险特性、安全使用说明以及事故应对措施等内容；</w:t>
            </w:r>
          </w:p>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⑥</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搬运和装卸时，应轻拿轻放，防止撞击；</w:t>
            </w:r>
          </w:p>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⑦</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仓库应选择阴凉通风无阳光直射的位置，仓库内应设置空调设备，防止仓库温度过高；</w:t>
            </w:r>
          </w:p>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⑧</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仓库应安排专人管理，做好入库记录，并定期检查材料存储的安全状态，定期检查其包装有无破损，以防止泄漏；</w:t>
            </w:r>
          </w:p>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⑨</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雨污分流，雨污排放口设置闸门，在发生泄漏等环境风险事故时，要立即关闭闸门，防止泄漏的物质流入地表水体。</w:t>
            </w:r>
          </w:p>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cs="Times New Roman" w:eastAsiaTheme="minorEastAsia"/>
                <w:color w:val="000000" w:themeColor="text1"/>
                <w:sz w:val="24"/>
                <w:szCs w:val="24"/>
                <w:highlight w:val="none"/>
                <w:u w:val="none" w:color="auto"/>
                <w:lang w:val="en-US" w:eastAsia="zh-CN"/>
                <w14:textFill>
                  <w14:solidFill>
                    <w14:schemeClr w14:val="tx1"/>
                  </w14:solidFill>
                </w14:textFill>
              </w:rPr>
              <w:t>⑩</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当废气净化装置风机故障时，部门人员立即开启备用风机，保证废气净化装置正常运作，防止超标废气排放，同时组织相关人员对风机进行维修或更换；</w:t>
            </w:r>
          </w:p>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480" w:firstLineChars="200"/>
              <w:jc w:val="both"/>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微软雅黑" w:hAnsi="微软雅黑" w:eastAsia="微软雅黑" w:cs="微软雅黑"/>
                <w:color w:val="000000" w:themeColor="text1"/>
                <w:sz w:val="24"/>
                <w:szCs w:val="24"/>
                <w:highlight w:val="none"/>
                <w:u w:val="none" w:color="auto"/>
                <w:lang w:val="en-US" w:eastAsia="zh-CN"/>
                <w14:textFill>
                  <w14:solidFill>
                    <w14:schemeClr w14:val="tx1"/>
                  </w14:solidFill>
                </w14:textFill>
              </w:rPr>
              <w:t>⑪</w:t>
            </w: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对于废气处理设施所有的易损部件（如皮带、轴承）等，废气处理设施负责人要及时委托采购人员购买备用件，一旦发生损坏及时更换。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37" w:hRule="atLeast"/>
        </w:trPr>
        <w:tc>
          <w:tcPr>
            <w:tcW w:w="88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其他环境管理要求</w:t>
            </w:r>
          </w:p>
        </w:tc>
        <w:tc>
          <w:tcPr>
            <w:tcW w:w="4111" w:type="pct"/>
            <w:gridSpan w:val="5"/>
            <w:tcBorders>
              <w:tl2br w:val="nil"/>
              <w:tr2bl w:val="nil"/>
            </w:tcBorders>
            <w:vAlign w:val="center"/>
          </w:tcPr>
          <w:p>
            <w:pPr>
              <w:pStyle w:val="56"/>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240" w:lineRule="auto"/>
              <w:ind w:left="0" w:leftChars="0" w:right="0" w:rightChars="0" w:firstLine="0" w:firstLineChars="0"/>
              <w:jc w:val="center"/>
              <w:textAlignment w:val="auto"/>
              <w:rPr>
                <w:rFonts w:hint="default"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pPr>
            <w:r>
              <w:rPr>
                <w:rFonts w:hint="eastAsia" w:ascii="Times New Roman" w:hAnsi="Times New Roman" w:cs="Times New Roman" w:eastAsiaTheme="minorEastAsia"/>
                <w:color w:val="000000" w:themeColor="text1"/>
                <w:sz w:val="24"/>
                <w:szCs w:val="24"/>
                <w:highlight w:val="none"/>
                <w:u w:val="none" w:color="auto"/>
                <w:lang w:val="en-US" w:eastAsia="zh-CN"/>
                <w14:textFill>
                  <w14:solidFill>
                    <w14:schemeClr w14:val="tx1"/>
                  </w14:solidFill>
                </w14:textFill>
              </w:rPr>
              <w:t>/</w:t>
            </w:r>
          </w:p>
        </w:tc>
      </w:tr>
    </w:tbl>
    <w:p>
      <w:pPr>
        <w:bidi w:val="0"/>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3"/>
        <w:keepNext/>
        <w:keepLines/>
        <w:pageBreakBefore w:val="0"/>
        <w:widowControl w:val="0"/>
        <w:numPr>
          <w:ilvl w:val="0"/>
          <w:numId w:val="0"/>
        </w:numPr>
        <w:kinsoku/>
        <w:wordWrap/>
        <w:overflowPunct/>
        <w:topLinePunct w:val="0"/>
        <w:autoSpaceDE/>
        <w:autoSpaceDN/>
        <w:bidi w:val="0"/>
        <w:adjustRightInd w:val="0"/>
        <w:snapToGrid w:val="0"/>
        <w:spacing w:before="0" w:beforeLines="0" w:after="0" w:afterLines="0" w:line="240" w:lineRule="auto"/>
        <w:jc w:val="center"/>
        <w:textAlignment w:val="auto"/>
        <w:rPr>
          <w:rFonts w:hint="default" w:ascii="Times New Roman" w:hAnsi="Times New Roman" w:cs="Times New Roman" w:eastAsiaTheme="minorEastAsia"/>
          <w:b/>
          <w:color w:val="000000" w:themeColor="text1"/>
          <w:sz w:val="36"/>
          <w:szCs w:val="36"/>
          <w:highlight w:val="none"/>
          <w:u w:val="none" w:color="auto"/>
          <w:lang w:val="en-US" w:eastAsia="zh-CN"/>
          <w14:textFill>
            <w14:solidFill>
              <w14:schemeClr w14:val="tx1"/>
            </w14:solidFill>
          </w14:textFill>
        </w:rPr>
      </w:pPr>
      <w:bookmarkStart w:id="11" w:name="_Toc32418"/>
      <w:r>
        <w:rPr>
          <w:rFonts w:hint="eastAsia" w:cs="Times New Roman" w:eastAsiaTheme="minorEastAsia"/>
          <w:b/>
          <w:color w:val="000000" w:themeColor="text1"/>
          <w:sz w:val="36"/>
          <w:szCs w:val="36"/>
          <w:highlight w:val="none"/>
          <w:u w:val="none" w:color="auto"/>
          <w:lang w:val="en-US" w:eastAsia="zh-CN"/>
          <w14:textFill>
            <w14:solidFill>
              <w14:schemeClr w14:val="tx1"/>
            </w14:solidFill>
          </w14:textFill>
        </w:rPr>
        <w:t>六、</w:t>
      </w:r>
      <w:r>
        <w:rPr>
          <w:rFonts w:hint="default" w:ascii="Times New Roman" w:hAnsi="Times New Roman" w:cs="Times New Roman" w:eastAsiaTheme="minorEastAsia"/>
          <w:b/>
          <w:color w:val="000000" w:themeColor="text1"/>
          <w:sz w:val="36"/>
          <w:szCs w:val="36"/>
          <w:highlight w:val="none"/>
          <w:u w:val="none" w:color="auto"/>
          <w:lang w:val="en-US" w:eastAsia="zh-CN"/>
          <w14:textFill>
            <w14:solidFill>
              <w14:schemeClr w14:val="tx1"/>
            </w14:solidFill>
          </w14:textFill>
        </w:rPr>
        <w:t>结论</w:t>
      </w:r>
      <w:bookmarkEnd w:id="11"/>
    </w:p>
    <w:tbl>
      <w:tblPr>
        <w:tblStyle w:val="24"/>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96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000" w:type="pct"/>
            <w:tcBorders>
              <w:tl2br w:val="nil"/>
              <w:tr2bl w:val="nil"/>
            </w:tcBorders>
          </w:tcPr>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r>
              <w:rPr>
                <w:color w:val="000000"/>
                <w:szCs w:val="22"/>
              </w:rPr>
              <w:t>综上所述，本项目符合国家产业政策，选址合理</w:t>
            </w:r>
            <w:r>
              <w:rPr>
                <w:rFonts w:hint="eastAsia"/>
                <w:color w:val="000000"/>
                <w:szCs w:val="22"/>
              </w:rPr>
              <w:t>，</w:t>
            </w:r>
            <w:r>
              <w:rPr>
                <w:color w:val="000000"/>
                <w:szCs w:val="22"/>
              </w:rPr>
              <w:t>无明显制约因素,拟采取的环保措施可行</w:t>
            </w:r>
            <w:r>
              <w:rPr>
                <w:rFonts w:hint="eastAsia"/>
                <w:color w:val="000000"/>
                <w:szCs w:val="22"/>
                <w:lang w:eastAsia="zh-CN"/>
              </w:rPr>
              <w:t>，</w:t>
            </w:r>
            <w:r>
              <w:rPr>
                <w:color w:val="000000"/>
                <w:szCs w:val="22"/>
              </w:rPr>
              <w:t>废水、废气、噪声可达标排放，固废可妥善处置，环境风险可控，并将产生较好的社会效益和经济效益。因此，从环境保护角度而言，该项目的建设可行</w:t>
            </w:r>
            <w:r>
              <w:rPr>
                <w:rFonts w:hint="eastAsia"/>
                <w:color w:val="000000"/>
                <w:szCs w:val="22"/>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szCs w:val="22"/>
                <w:lang w:val="en-US" w:eastAsia="zh-CN"/>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color w:val="000000" w:themeColor="text1"/>
                <w:highlight w:val="none"/>
                <w:u w:val="none" w:color="auto"/>
                <w:lang w:val="en-US" w:eastAsia="zh-CN"/>
                <w14:textFill>
                  <w14:solidFill>
                    <w14:schemeClr w14:val="tx1"/>
                  </w14:solidFill>
                </w14:textFill>
              </w:rPr>
            </w:pPr>
            <w:r>
              <w:rPr>
                <w:rFonts w:hint="eastAsia"/>
                <w:color w:val="000000"/>
                <w:szCs w:val="22"/>
                <w:lang w:val="en-US" w:eastAsia="zh-CN"/>
              </w:rPr>
              <w:t xml:space="preserve"> </w:t>
            </w:r>
          </w:p>
        </w:tc>
      </w:tr>
    </w:tbl>
    <w:p>
      <w:pPr>
        <w:pStyle w:val="18"/>
        <w:numPr>
          <w:ilvl w:val="0"/>
          <w:numId w:val="0"/>
        </w:numPr>
        <w:rPr>
          <w:rFonts w:hint="default" w:ascii="Times New Roman" w:hAnsi="Times New Roman" w:cs="Times New Roman" w:eastAsiaTheme="minorEastAsia"/>
          <w:color w:val="000000" w:themeColor="text1"/>
          <w:highlight w:val="none"/>
          <w:u w:val="none" w:color="auto"/>
          <w:lang w:val="en-US" w:eastAsia="zh-CN"/>
          <w14:textFill>
            <w14:solidFill>
              <w14:schemeClr w14:val="tx1"/>
            </w14:solidFill>
          </w14:textFill>
        </w:rPr>
        <w:sectPr>
          <w:pgSz w:w="11906" w:h="16838"/>
          <w:pgMar w:top="1440" w:right="1080" w:bottom="1440" w:left="108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20"/>
        <w:keepNext w:val="0"/>
        <w:keepLines w:val="0"/>
        <w:pageBreakBefore w:val="0"/>
        <w:widowControl/>
        <w:kinsoku/>
        <w:wordWrap/>
        <w:overflowPunct/>
        <w:topLinePunct w:val="0"/>
        <w:autoSpaceDE/>
        <w:autoSpaceDN/>
        <w:bidi w:val="0"/>
        <w:adjustRightInd w:val="0"/>
        <w:snapToGrid w:val="0"/>
        <w:spacing w:before="0" w:beforeAutospacing="0" w:after="0" w:afterAutospacing="0" w:line="360" w:lineRule="auto"/>
        <w:textAlignment w:val="auto"/>
        <w:outlineLvl w:val="0"/>
        <w:rPr>
          <w:rFonts w:hint="default" w:ascii="Times New Roman" w:hAnsi="Times New Roman" w:cs="Times New Roman" w:eastAsiaTheme="minorEastAsia"/>
          <w:b/>
          <w:bCs/>
          <w:snapToGrid w:val="0"/>
          <w:color w:val="000000" w:themeColor="text1"/>
          <w:sz w:val="32"/>
          <w:szCs w:val="32"/>
          <w:highlight w:val="none"/>
          <w:u w:val="none" w:color="auto"/>
          <w14:textFill>
            <w14:solidFill>
              <w14:schemeClr w14:val="tx1"/>
            </w14:solidFill>
          </w14:textFill>
        </w:rPr>
      </w:pPr>
      <w:bookmarkStart w:id="12" w:name="_Toc21672"/>
      <w:r>
        <w:rPr>
          <w:rFonts w:hint="default" w:ascii="Times New Roman" w:hAnsi="Times New Roman" w:cs="Times New Roman" w:eastAsiaTheme="minorEastAsia"/>
          <w:b/>
          <w:bCs/>
          <w:snapToGrid w:val="0"/>
          <w:color w:val="000000" w:themeColor="text1"/>
          <w:sz w:val="32"/>
          <w:szCs w:val="32"/>
          <w:highlight w:val="none"/>
          <w:u w:val="none" w:color="auto"/>
          <w14:textFill>
            <w14:solidFill>
              <w14:schemeClr w14:val="tx1"/>
            </w14:solidFill>
          </w14:textFill>
        </w:rPr>
        <w:t>附表</w:t>
      </w:r>
      <w:bookmarkEnd w:id="12"/>
    </w:p>
    <w:p>
      <w:pPr>
        <w:bidi w:val="0"/>
        <w:jc w:val="center"/>
        <w:rPr>
          <w:rFonts w:hint="default" w:ascii="Times New Roman" w:hAnsi="Times New Roman" w:cs="Times New Roman" w:eastAsiaTheme="minorEastAsia"/>
          <w:b/>
          <w:bCs/>
          <w:color w:val="000000" w:themeColor="text1"/>
          <w:sz w:val="32"/>
          <w:szCs w:val="32"/>
          <w:highlight w:val="none"/>
          <w:u w:val="none" w:color="auto"/>
          <w14:textFill>
            <w14:solidFill>
              <w14:schemeClr w14:val="tx1"/>
            </w14:solidFill>
          </w14:textFill>
        </w:rPr>
      </w:pPr>
      <w:r>
        <w:rPr>
          <w:rFonts w:hint="default" w:ascii="Times New Roman" w:hAnsi="Times New Roman" w:cs="Times New Roman" w:eastAsiaTheme="minorEastAsia"/>
          <w:b/>
          <w:bCs/>
          <w:color w:val="000000" w:themeColor="text1"/>
          <w:sz w:val="32"/>
          <w:szCs w:val="32"/>
          <w:highlight w:val="none"/>
          <w:u w:val="none" w:color="auto"/>
          <w14:textFill>
            <w14:solidFill>
              <w14:schemeClr w14:val="tx1"/>
            </w14:solidFill>
          </w14:textFill>
        </w:rPr>
        <w:t>建设项目污染物排放量汇总表</w:t>
      </w:r>
    </w:p>
    <w:tbl>
      <w:tblPr>
        <w:tblStyle w:val="23"/>
        <w:tblW w:w="4995"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94"/>
        <w:gridCol w:w="1512"/>
        <w:gridCol w:w="1816"/>
        <w:gridCol w:w="1362"/>
        <w:gridCol w:w="1816"/>
        <w:gridCol w:w="1665"/>
        <w:gridCol w:w="1880"/>
        <w:gridCol w:w="1586"/>
        <w:gridCol w:w="138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575" w:type="pct"/>
            <w:tcBorders>
              <w:tl2br w:val="nil"/>
              <w:tr2bl w:val="nil"/>
            </w:tcBorders>
            <w:noWrap w:val="0"/>
            <w:tcMar>
              <w:left w:w="28" w:type="dxa"/>
              <w:right w:w="28" w:type="dxa"/>
            </w:tcMar>
            <w:vAlign w:val="center"/>
          </w:tcPr>
          <w:p>
            <w:pPr>
              <w:pStyle w:val="59"/>
              <w:bidi w:val="0"/>
              <w:rPr>
                <w:rFonts w:hint="default"/>
                <w:sz w:val="24"/>
                <w:szCs w:val="24"/>
                <w:highlight w:val="none"/>
              </w:rPr>
            </w:pPr>
            <w:r>
              <w:rPr>
                <w:rFonts w:hint="default"/>
                <w:sz w:val="24"/>
                <w:szCs w:val="24"/>
                <w:highlight w:val="none"/>
              </w:rPr>
              <w:t>项目</w:t>
            </w:r>
          </w:p>
          <w:p>
            <w:pPr>
              <w:pStyle w:val="59"/>
              <w:bidi w:val="0"/>
              <w:rPr>
                <w:rFonts w:hint="default"/>
                <w:sz w:val="24"/>
                <w:szCs w:val="24"/>
                <w:highlight w:val="none"/>
              </w:rPr>
            </w:pPr>
            <w:r>
              <w:rPr>
                <w:rFonts w:hint="default"/>
                <w:sz w:val="24"/>
                <w:szCs w:val="24"/>
                <w:highlight w:val="none"/>
              </w:rPr>
              <w:t>分类</w:t>
            </w:r>
          </w:p>
        </w:tc>
        <w:tc>
          <w:tcPr>
            <w:tcW w:w="513" w:type="pct"/>
            <w:tcBorders>
              <w:tl2br w:val="nil"/>
              <w:tr2bl w:val="nil"/>
            </w:tcBorders>
            <w:noWrap w:val="0"/>
            <w:tcMar>
              <w:left w:w="28" w:type="dxa"/>
              <w:right w:w="28" w:type="dxa"/>
            </w:tcMar>
            <w:vAlign w:val="center"/>
          </w:tcPr>
          <w:p>
            <w:pPr>
              <w:pStyle w:val="59"/>
              <w:bidi w:val="0"/>
              <w:rPr>
                <w:rFonts w:hint="default"/>
                <w:sz w:val="24"/>
                <w:szCs w:val="24"/>
                <w:highlight w:val="none"/>
              </w:rPr>
            </w:pPr>
            <w:r>
              <w:rPr>
                <w:rFonts w:hint="default"/>
                <w:sz w:val="24"/>
                <w:szCs w:val="24"/>
                <w:highlight w:val="none"/>
              </w:rPr>
              <w:t>污染物名称</w:t>
            </w:r>
          </w:p>
        </w:tc>
        <w:tc>
          <w:tcPr>
            <w:tcW w:w="616" w:type="pct"/>
            <w:tcBorders>
              <w:tl2br w:val="nil"/>
              <w:tr2bl w:val="nil"/>
            </w:tcBorders>
            <w:noWrap w:val="0"/>
            <w:tcMar>
              <w:left w:w="28" w:type="dxa"/>
              <w:right w:w="28" w:type="dxa"/>
            </w:tcMar>
            <w:vAlign w:val="center"/>
          </w:tcPr>
          <w:p>
            <w:pPr>
              <w:pStyle w:val="59"/>
              <w:bidi w:val="0"/>
              <w:rPr>
                <w:rFonts w:hint="default"/>
                <w:sz w:val="24"/>
                <w:szCs w:val="24"/>
                <w:highlight w:val="none"/>
              </w:rPr>
            </w:pPr>
            <w:r>
              <w:rPr>
                <w:rFonts w:hint="default"/>
                <w:sz w:val="24"/>
                <w:szCs w:val="24"/>
                <w:highlight w:val="none"/>
              </w:rPr>
              <w:t>现有工程</w:t>
            </w:r>
          </w:p>
          <w:p>
            <w:pPr>
              <w:pStyle w:val="59"/>
              <w:bidi w:val="0"/>
              <w:rPr>
                <w:rFonts w:hint="default"/>
                <w:sz w:val="24"/>
                <w:szCs w:val="24"/>
                <w:highlight w:val="none"/>
              </w:rPr>
            </w:pPr>
            <w:r>
              <w:rPr>
                <w:rFonts w:hint="default"/>
                <w:sz w:val="24"/>
                <w:szCs w:val="24"/>
                <w:highlight w:val="none"/>
              </w:rPr>
              <w:t>排放量（固体废物产生量）</w:t>
            </w:r>
            <w:r>
              <w:rPr>
                <w:rFonts w:hint="default"/>
                <w:sz w:val="24"/>
                <w:szCs w:val="24"/>
                <w:highlight w:val="none"/>
              </w:rPr>
              <w:fldChar w:fldCharType="begin"/>
            </w:r>
            <w:r>
              <w:rPr>
                <w:rFonts w:hint="default"/>
                <w:sz w:val="24"/>
                <w:szCs w:val="24"/>
                <w:highlight w:val="none"/>
              </w:rPr>
              <w:instrText xml:space="preserve"> = 1 \* GB3 \* MERGEFORMAT </w:instrText>
            </w:r>
            <w:r>
              <w:rPr>
                <w:rFonts w:hint="default"/>
                <w:sz w:val="24"/>
                <w:szCs w:val="24"/>
                <w:highlight w:val="none"/>
              </w:rPr>
              <w:fldChar w:fldCharType="separate"/>
            </w:r>
            <w:r>
              <w:rPr>
                <w:rFonts w:hint="default"/>
                <w:sz w:val="24"/>
                <w:szCs w:val="24"/>
                <w:highlight w:val="none"/>
              </w:rPr>
              <w:t>①</w:t>
            </w:r>
            <w:r>
              <w:rPr>
                <w:rFonts w:hint="default"/>
                <w:sz w:val="24"/>
                <w:szCs w:val="24"/>
                <w:highlight w:val="none"/>
              </w:rPr>
              <w:fldChar w:fldCharType="end"/>
            </w:r>
          </w:p>
        </w:tc>
        <w:tc>
          <w:tcPr>
            <w:tcW w:w="462" w:type="pct"/>
            <w:tcBorders>
              <w:tl2br w:val="nil"/>
              <w:tr2bl w:val="nil"/>
            </w:tcBorders>
            <w:noWrap w:val="0"/>
            <w:tcMar>
              <w:left w:w="28" w:type="dxa"/>
              <w:right w:w="28" w:type="dxa"/>
            </w:tcMar>
            <w:vAlign w:val="center"/>
          </w:tcPr>
          <w:p>
            <w:pPr>
              <w:pStyle w:val="59"/>
              <w:bidi w:val="0"/>
              <w:rPr>
                <w:rFonts w:hint="default"/>
                <w:sz w:val="24"/>
                <w:szCs w:val="24"/>
                <w:highlight w:val="none"/>
              </w:rPr>
            </w:pPr>
            <w:r>
              <w:rPr>
                <w:rFonts w:hint="default"/>
                <w:sz w:val="24"/>
                <w:szCs w:val="24"/>
                <w:highlight w:val="none"/>
              </w:rPr>
              <w:t>现有工程</w:t>
            </w:r>
          </w:p>
          <w:p>
            <w:pPr>
              <w:pStyle w:val="59"/>
              <w:bidi w:val="0"/>
              <w:rPr>
                <w:rFonts w:hint="default"/>
                <w:sz w:val="24"/>
                <w:szCs w:val="24"/>
                <w:highlight w:val="none"/>
              </w:rPr>
            </w:pPr>
            <w:r>
              <w:rPr>
                <w:rFonts w:hint="default"/>
                <w:sz w:val="24"/>
                <w:szCs w:val="24"/>
                <w:highlight w:val="none"/>
              </w:rPr>
              <w:t>许可排放量</w:t>
            </w:r>
          </w:p>
          <w:p>
            <w:pPr>
              <w:pStyle w:val="59"/>
              <w:bidi w:val="0"/>
              <w:rPr>
                <w:rFonts w:hint="default"/>
                <w:sz w:val="24"/>
                <w:szCs w:val="24"/>
                <w:highlight w:val="none"/>
              </w:rPr>
            </w:pPr>
            <w:r>
              <w:rPr>
                <w:rFonts w:hint="default"/>
                <w:sz w:val="24"/>
                <w:szCs w:val="24"/>
                <w:highlight w:val="none"/>
              </w:rPr>
              <w:fldChar w:fldCharType="begin"/>
            </w:r>
            <w:r>
              <w:rPr>
                <w:rFonts w:hint="default"/>
                <w:sz w:val="24"/>
                <w:szCs w:val="24"/>
                <w:highlight w:val="none"/>
              </w:rPr>
              <w:instrText xml:space="preserve"> = 2 \* GB3 \* MERGEFORMAT </w:instrText>
            </w:r>
            <w:r>
              <w:rPr>
                <w:rFonts w:hint="default"/>
                <w:sz w:val="24"/>
                <w:szCs w:val="24"/>
                <w:highlight w:val="none"/>
              </w:rPr>
              <w:fldChar w:fldCharType="separate"/>
            </w:r>
            <w:r>
              <w:rPr>
                <w:rFonts w:hint="default"/>
                <w:sz w:val="24"/>
                <w:szCs w:val="24"/>
                <w:highlight w:val="none"/>
              </w:rPr>
              <w:t>②</w:t>
            </w:r>
            <w:r>
              <w:rPr>
                <w:rFonts w:hint="default"/>
                <w:sz w:val="24"/>
                <w:szCs w:val="24"/>
                <w:highlight w:val="none"/>
              </w:rPr>
              <w:fldChar w:fldCharType="end"/>
            </w:r>
          </w:p>
        </w:tc>
        <w:tc>
          <w:tcPr>
            <w:tcW w:w="616" w:type="pct"/>
            <w:tcBorders>
              <w:tl2br w:val="nil"/>
              <w:tr2bl w:val="nil"/>
            </w:tcBorders>
            <w:noWrap w:val="0"/>
            <w:tcMar>
              <w:left w:w="28" w:type="dxa"/>
              <w:right w:w="28" w:type="dxa"/>
            </w:tcMar>
            <w:vAlign w:val="center"/>
          </w:tcPr>
          <w:p>
            <w:pPr>
              <w:pStyle w:val="59"/>
              <w:bidi w:val="0"/>
              <w:rPr>
                <w:rFonts w:hint="default"/>
                <w:sz w:val="24"/>
                <w:szCs w:val="24"/>
                <w:highlight w:val="none"/>
              </w:rPr>
            </w:pPr>
            <w:r>
              <w:rPr>
                <w:rFonts w:hint="default"/>
                <w:sz w:val="24"/>
                <w:szCs w:val="24"/>
                <w:highlight w:val="none"/>
              </w:rPr>
              <w:t>在建工程</w:t>
            </w:r>
          </w:p>
          <w:p>
            <w:pPr>
              <w:pStyle w:val="59"/>
              <w:bidi w:val="0"/>
              <w:rPr>
                <w:rFonts w:hint="default"/>
                <w:sz w:val="24"/>
                <w:szCs w:val="24"/>
                <w:highlight w:val="none"/>
              </w:rPr>
            </w:pPr>
            <w:r>
              <w:rPr>
                <w:rFonts w:hint="default"/>
                <w:sz w:val="24"/>
                <w:szCs w:val="24"/>
                <w:highlight w:val="none"/>
              </w:rPr>
              <w:t>排放量（固体废物产生量）</w:t>
            </w:r>
            <w:r>
              <w:rPr>
                <w:rFonts w:hint="default"/>
                <w:sz w:val="24"/>
                <w:szCs w:val="24"/>
                <w:highlight w:val="none"/>
              </w:rPr>
              <w:fldChar w:fldCharType="begin"/>
            </w:r>
            <w:r>
              <w:rPr>
                <w:rFonts w:hint="default"/>
                <w:sz w:val="24"/>
                <w:szCs w:val="24"/>
                <w:highlight w:val="none"/>
              </w:rPr>
              <w:instrText xml:space="preserve"> = 3 \* GB3 \* MERGEFORMAT </w:instrText>
            </w:r>
            <w:r>
              <w:rPr>
                <w:rFonts w:hint="default"/>
                <w:sz w:val="24"/>
                <w:szCs w:val="24"/>
                <w:highlight w:val="none"/>
              </w:rPr>
              <w:fldChar w:fldCharType="separate"/>
            </w:r>
            <w:r>
              <w:rPr>
                <w:rFonts w:hint="default"/>
                <w:sz w:val="24"/>
                <w:szCs w:val="24"/>
                <w:highlight w:val="none"/>
              </w:rPr>
              <w:t>③</w:t>
            </w:r>
            <w:r>
              <w:rPr>
                <w:rFonts w:hint="default"/>
                <w:sz w:val="24"/>
                <w:szCs w:val="24"/>
                <w:highlight w:val="none"/>
              </w:rPr>
              <w:fldChar w:fldCharType="end"/>
            </w:r>
          </w:p>
        </w:tc>
        <w:tc>
          <w:tcPr>
            <w:tcW w:w="565" w:type="pct"/>
            <w:tcBorders>
              <w:tl2br w:val="nil"/>
              <w:tr2bl w:val="nil"/>
            </w:tcBorders>
            <w:noWrap w:val="0"/>
            <w:tcMar>
              <w:left w:w="28" w:type="dxa"/>
              <w:right w:w="28" w:type="dxa"/>
            </w:tcMar>
            <w:vAlign w:val="center"/>
          </w:tcPr>
          <w:p>
            <w:pPr>
              <w:pStyle w:val="59"/>
              <w:bidi w:val="0"/>
              <w:rPr>
                <w:rFonts w:hint="default"/>
                <w:sz w:val="24"/>
                <w:szCs w:val="24"/>
                <w:highlight w:val="none"/>
              </w:rPr>
            </w:pPr>
            <w:r>
              <w:rPr>
                <w:rFonts w:hint="default"/>
                <w:sz w:val="24"/>
                <w:szCs w:val="24"/>
                <w:highlight w:val="none"/>
              </w:rPr>
              <w:t>本项目</w:t>
            </w:r>
          </w:p>
          <w:p>
            <w:pPr>
              <w:pStyle w:val="59"/>
              <w:bidi w:val="0"/>
              <w:rPr>
                <w:rFonts w:hint="default"/>
                <w:sz w:val="24"/>
                <w:szCs w:val="24"/>
                <w:highlight w:val="none"/>
              </w:rPr>
            </w:pPr>
            <w:r>
              <w:rPr>
                <w:rFonts w:hint="default"/>
                <w:sz w:val="24"/>
                <w:szCs w:val="24"/>
                <w:highlight w:val="none"/>
              </w:rPr>
              <w:t>排放量（固体废物产生量）</w:t>
            </w:r>
            <w:r>
              <w:rPr>
                <w:rFonts w:hint="default"/>
                <w:sz w:val="24"/>
                <w:szCs w:val="24"/>
                <w:highlight w:val="none"/>
              </w:rPr>
              <w:fldChar w:fldCharType="begin"/>
            </w:r>
            <w:r>
              <w:rPr>
                <w:rFonts w:hint="default"/>
                <w:sz w:val="24"/>
                <w:szCs w:val="24"/>
                <w:highlight w:val="none"/>
              </w:rPr>
              <w:instrText xml:space="preserve"> = 4 \* GB3 \* MERGEFORMAT </w:instrText>
            </w:r>
            <w:r>
              <w:rPr>
                <w:rFonts w:hint="default"/>
                <w:sz w:val="24"/>
                <w:szCs w:val="24"/>
                <w:highlight w:val="none"/>
              </w:rPr>
              <w:fldChar w:fldCharType="separate"/>
            </w:r>
            <w:r>
              <w:rPr>
                <w:rFonts w:hint="default"/>
                <w:sz w:val="24"/>
                <w:szCs w:val="24"/>
                <w:highlight w:val="none"/>
              </w:rPr>
              <w:t>④</w:t>
            </w:r>
            <w:r>
              <w:rPr>
                <w:rFonts w:hint="default"/>
                <w:sz w:val="24"/>
                <w:szCs w:val="24"/>
                <w:highlight w:val="none"/>
              </w:rPr>
              <w:fldChar w:fldCharType="end"/>
            </w:r>
          </w:p>
        </w:tc>
        <w:tc>
          <w:tcPr>
            <w:tcW w:w="638" w:type="pct"/>
            <w:tcBorders>
              <w:tl2br w:val="nil"/>
              <w:tr2bl w:val="nil"/>
            </w:tcBorders>
            <w:noWrap w:val="0"/>
            <w:tcMar>
              <w:left w:w="28" w:type="dxa"/>
              <w:right w:w="28" w:type="dxa"/>
            </w:tcMar>
            <w:vAlign w:val="center"/>
          </w:tcPr>
          <w:p>
            <w:pPr>
              <w:pStyle w:val="59"/>
              <w:bidi w:val="0"/>
              <w:rPr>
                <w:rFonts w:hint="default"/>
                <w:sz w:val="24"/>
                <w:szCs w:val="24"/>
                <w:highlight w:val="none"/>
              </w:rPr>
            </w:pPr>
            <w:r>
              <w:rPr>
                <w:rFonts w:hint="default"/>
                <w:sz w:val="24"/>
                <w:szCs w:val="24"/>
                <w:highlight w:val="none"/>
              </w:rPr>
              <w:t>以新带老削减量</w:t>
            </w:r>
          </w:p>
          <w:p>
            <w:pPr>
              <w:pStyle w:val="59"/>
              <w:bidi w:val="0"/>
              <w:rPr>
                <w:rFonts w:hint="default"/>
                <w:sz w:val="24"/>
                <w:szCs w:val="24"/>
                <w:highlight w:val="none"/>
              </w:rPr>
            </w:pPr>
            <w:r>
              <w:rPr>
                <w:rFonts w:hint="default"/>
                <w:sz w:val="24"/>
                <w:szCs w:val="24"/>
                <w:highlight w:val="none"/>
              </w:rPr>
              <w:t>（新建项目不填）</w:t>
            </w:r>
            <w:r>
              <w:rPr>
                <w:rFonts w:hint="default"/>
                <w:sz w:val="24"/>
                <w:szCs w:val="24"/>
                <w:highlight w:val="none"/>
              </w:rPr>
              <w:fldChar w:fldCharType="begin"/>
            </w:r>
            <w:r>
              <w:rPr>
                <w:rFonts w:hint="default"/>
                <w:sz w:val="24"/>
                <w:szCs w:val="24"/>
                <w:highlight w:val="none"/>
              </w:rPr>
              <w:instrText xml:space="preserve"> = 5 \* GB3 \* MERGEFORMAT </w:instrText>
            </w:r>
            <w:r>
              <w:rPr>
                <w:rFonts w:hint="default"/>
                <w:sz w:val="24"/>
                <w:szCs w:val="24"/>
                <w:highlight w:val="none"/>
              </w:rPr>
              <w:fldChar w:fldCharType="separate"/>
            </w:r>
            <w:r>
              <w:rPr>
                <w:rFonts w:hint="default"/>
                <w:sz w:val="24"/>
                <w:szCs w:val="24"/>
                <w:highlight w:val="none"/>
              </w:rPr>
              <w:t>⑤</w:t>
            </w:r>
            <w:r>
              <w:rPr>
                <w:rFonts w:hint="default"/>
                <w:sz w:val="24"/>
                <w:szCs w:val="24"/>
                <w:highlight w:val="none"/>
              </w:rPr>
              <w:fldChar w:fldCharType="end"/>
            </w:r>
          </w:p>
        </w:tc>
        <w:tc>
          <w:tcPr>
            <w:tcW w:w="538" w:type="pct"/>
            <w:tcBorders>
              <w:tl2br w:val="nil"/>
              <w:tr2bl w:val="nil"/>
            </w:tcBorders>
            <w:noWrap w:val="0"/>
            <w:tcMar>
              <w:left w:w="28" w:type="dxa"/>
              <w:right w:w="28" w:type="dxa"/>
            </w:tcMar>
            <w:vAlign w:val="center"/>
          </w:tcPr>
          <w:p>
            <w:pPr>
              <w:pStyle w:val="59"/>
              <w:bidi w:val="0"/>
              <w:rPr>
                <w:rFonts w:hint="default"/>
                <w:sz w:val="24"/>
                <w:szCs w:val="24"/>
                <w:highlight w:val="none"/>
              </w:rPr>
            </w:pPr>
            <w:r>
              <w:rPr>
                <w:rFonts w:hint="default"/>
                <w:sz w:val="24"/>
                <w:szCs w:val="24"/>
                <w:highlight w:val="none"/>
              </w:rPr>
              <w:t>本项目建成后全厂排放量（固体废物产生量）</w:t>
            </w:r>
            <w:r>
              <w:rPr>
                <w:rFonts w:hint="default"/>
                <w:sz w:val="24"/>
                <w:szCs w:val="24"/>
                <w:highlight w:val="none"/>
              </w:rPr>
              <w:fldChar w:fldCharType="begin"/>
            </w:r>
            <w:r>
              <w:rPr>
                <w:rFonts w:hint="default"/>
                <w:sz w:val="24"/>
                <w:szCs w:val="24"/>
                <w:highlight w:val="none"/>
              </w:rPr>
              <w:instrText xml:space="preserve"> = 6 \* GB3 \* MERGEFORMAT </w:instrText>
            </w:r>
            <w:r>
              <w:rPr>
                <w:rFonts w:hint="default"/>
                <w:sz w:val="24"/>
                <w:szCs w:val="24"/>
                <w:highlight w:val="none"/>
              </w:rPr>
              <w:fldChar w:fldCharType="separate"/>
            </w:r>
            <w:r>
              <w:rPr>
                <w:rFonts w:hint="default"/>
                <w:sz w:val="24"/>
                <w:szCs w:val="24"/>
                <w:highlight w:val="none"/>
              </w:rPr>
              <w:t>⑥</w:t>
            </w:r>
            <w:r>
              <w:rPr>
                <w:rFonts w:hint="default"/>
                <w:sz w:val="24"/>
                <w:szCs w:val="24"/>
                <w:highlight w:val="none"/>
              </w:rPr>
              <w:fldChar w:fldCharType="end"/>
            </w:r>
          </w:p>
        </w:tc>
        <w:tc>
          <w:tcPr>
            <w:tcW w:w="471" w:type="pct"/>
            <w:tcBorders>
              <w:tl2br w:val="nil"/>
              <w:tr2bl w:val="nil"/>
            </w:tcBorders>
            <w:noWrap w:val="0"/>
            <w:tcMar>
              <w:left w:w="28" w:type="dxa"/>
              <w:right w:w="28" w:type="dxa"/>
            </w:tcMar>
            <w:vAlign w:val="center"/>
          </w:tcPr>
          <w:p>
            <w:pPr>
              <w:pStyle w:val="59"/>
              <w:bidi w:val="0"/>
              <w:rPr>
                <w:rFonts w:hint="default"/>
                <w:sz w:val="24"/>
                <w:szCs w:val="24"/>
                <w:highlight w:val="none"/>
              </w:rPr>
            </w:pPr>
            <w:r>
              <w:rPr>
                <w:rFonts w:hint="default"/>
                <w:sz w:val="24"/>
                <w:szCs w:val="24"/>
                <w:highlight w:val="none"/>
              </w:rPr>
              <w:t>变化量</w:t>
            </w:r>
          </w:p>
          <w:p>
            <w:pPr>
              <w:pStyle w:val="59"/>
              <w:bidi w:val="0"/>
              <w:rPr>
                <w:rFonts w:hint="default"/>
                <w:sz w:val="24"/>
                <w:szCs w:val="24"/>
                <w:highlight w:val="none"/>
              </w:rPr>
            </w:pPr>
            <w:r>
              <w:rPr>
                <w:rFonts w:hint="default"/>
                <w:sz w:val="24"/>
                <w:szCs w:val="24"/>
                <w:highlight w:val="none"/>
              </w:rPr>
              <w:fldChar w:fldCharType="begin"/>
            </w:r>
            <w:r>
              <w:rPr>
                <w:rFonts w:hint="default"/>
                <w:sz w:val="24"/>
                <w:szCs w:val="24"/>
                <w:highlight w:val="none"/>
              </w:rPr>
              <w:instrText xml:space="preserve"> = 7 \* GB3 \* MERGEFORMAT </w:instrText>
            </w:r>
            <w:r>
              <w:rPr>
                <w:rFonts w:hint="default"/>
                <w:sz w:val="24"/>
                <w:szCs w:val="24"/>
                <w:highlight w:val="none"/>
              </w:rPr>
              <w:fldChar w:fldCharType="separate"/>
            </w:r>
            <w:r>
              <w:rPr>
                <w:rFonts w:hint="default"/>
                <w:sz w:val="24"/>
                <w:szCs w:val="24"/>
                <w:highlight w:val="none"/>
              </w:rPr>
              <w:t>⑦</w:t>
            </w:r>
            <w:r>
              <w:rPr>
                <w:rFonts w:hint="default"/>
                <w:sz w:val="24"/>
                <w:szCs w:val="24"/>
                <w:highlight w:val="none"/>
              </w:rPr>
              <w:fldChar w:fldCharType="end"/>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575" w:type="pct"/>
            <w:vMerge w:val="restart"/>
            <w:tcBorders>
              <w:tl2br w:val="nil"/>
              <w:tr2bl w:val="nil"/>
            </w:tcBorders>
            <w:noWrap w:val="0"/>
            <w:vAlign w:val="center"/>
          </w:tcPr>
          <w:p>
            <w:pPr>
              <w:pStyle w:val="59"/>
              <w:bidi w:val="0"/>
              <w:rPr>
                <w:rFonts w:hint="default"/>
                <w:sz w:val="24"/>
                <w:szCs w:val="24"/>
                <w:highlight w:val="none"/>
              </w:rPr>
            </w:pPr>
            <w:r>
              <w:rPr>
                <w:rFonts w:hint="default"/>
                <w:sz w:val="24"/>
                <w:szCs w:val="24"/>
                <w:highlight w:val="none"/>
              </w:rPr>
              <w:t>废气</w:t>
            </w:r>
          </w:p>
        </w:tc>
        <w:tc>
          <w:tcPr>
            <w:tcW w:w="513" w:type="pct"/>
            <w:tcBorders>
              <w:tl2br w:val="nil"/>
              <w:tr2bl w:val="nil"/>
            </w:tcBorders>
            <w:noWrap w:val="0"/>
            <w:vAlign w:val="center"/>
          </w:tcPr>
          <w:p>
            <w:pPr>
              <w:pStyle w:val="59"/>
              <w:bidi w:val="0"/>
              <w:rPr>
                <w:rFonts w:hint="default"/>
                <w:sz w:val="24"/>
                <w:szCs w:val="24"/>
                <w:highlight w:val="none"/>
                <w:lang w:val="en-US" w:eastAsia="zh-CN"/>
              </w:rPr>
            </w:pPr>
            <w:r>
              <w:rPr>
                <w:rFonts w:hint="eastAsia"/>
                <w:sz w:val="24"/>
                <w:szCs w:val="24"/>
                <w:highlight w:val="none"/>
                <w:lang w:val="en-US" w:eastAsia="zh-CN"/>
              </w:rPr>
              <w:t>颗粒物</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lang w:val="en-US" w:eastAsia="zh-CN"/>
              </w:rPr>
              <w:t>/</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rPr>
            </w:pPr>
            <w:r>
              <w:rPr>
                <w:rFonts w:hint="default"/>
                <w:sz w:val="24"/>
                <w:szCs w:val="24"/>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lang w:val="en-US" w:eastAsia="zh-CN"/>
              </w:rPr>
              <w:t>/</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575" w:type="pct"/>
            <w:vMerge w:val="continue"/>
            <w:tcBorders>
              <w:tl2br w:val="nil"/>
              <w:tr2bl w:val="nil"/>
            </w:tcBorders>
            <w:noWrap w:val="0"/>
            <w:vAlign w:val="center"/>
          </w:tcPr>
          <w:p>
            <w:pPr>
              <w:pStyle w:val="59"/>
              <w:bidi w:val="0"/>
              <w:rPr>
                <w:rFonts w:hint="default"/>
                <w:sz w:val="24"/>
                <w:szCs w:val="24"/>
                <w:highlight w:val="none"/>
              </w:rPr>
            </w:pPr>
          </w:p>
        </w:tc>
        <w:tc>
          <w:tcPr>
            <w:tcW w:w="513" w:type="pct"/>
            <w:tcBorders>
              <w:tl2br w:val="nil"/>
              <w:tr2bl w:val="nil"/>
            </w:tcBorders>
            <w:noWrap w:val="0"/>
            <w:vAlign w:val="center"/>
          </w:tcPr>
          <w:p>
            <w:pPr>
              <w:pStyle w:val="59"/>
              <w:bidi w:val="0"/>
              <w:rPr>
                <w:rFonts w:hint="default"/>
                <w:sz w:val="24"/>
                <w:szCs w:val="24"/>
                <w:highlight w:val="none"/>
              </w:rPr>
            </w:pPr>
            <w:r>
              <w:rPr>
                <w:rFonts w:hint="default"/>
                <w:sz w:val="24"/>
                <w:szCs w:val="24"/>
                <w:highlight w:val="none"/>
                <w:lang w:val="en-US" w:eastAsia="zh-CN"/>
              </w:rPr>
              <w:t>SO</w:t>
            </w:r>
            <w:r>
              <w:rPr>
                <w:rFonts w:hint="default"/>
                <w:sz w:val="24"/>
                <w:szCs w:val="24"/>
                <w:highlight w:val="none"/>
                <w:vertAlign w:val="subscript"/>
                <w:lang w:val="en-US" w:eastAsia="zh-CN"/>
              </w:rPr>
              <w:t>2</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575" w:type="pct"/>
            <w:vMerge w:val="continue"/>
            <w:tcBorders>
              <w:tl2br w:val="nil"/>
              <w:tr2bl w:val="nil"/>
            </w:tcBorders>
            <w:noWrap w:val="0"/>
            <w:vAlign w:val="center"/>
          </w:tcPr>
          <w:p>
            <w:pPr>
              <w:pStyle w:val="59"/>
              <w:bidi w:val="0"/>
              <w:rPr>
                <w:rFonts w:hint="default"/>
                <w:sz w:val="24"/>
                <w:szCs w:val="24"/>
                <w:highlight w:val="none"/>
              </w:rPr>
            </w:pPr>
          </w:p>
        </w:tc>
        <w:tc>
          <w:tcPr>
            <w:tcW w:w="513" w:type="pct"/>
            <w:tcBorders>
              <w:tl2br w:val="nil"/>
              <w:tr2bl w:val="nil"/>
            </w:tcBorders>
            <w:noWrap w:val="0"/>
            <w:vAlign w:val="center"/>
          </w:tcPr>
          <w:p>
            <w:pPr>
              <w:pStyle w:val="59"/>
              <w:bidi w:val="0"/>
              <w:rPr>
                <w:rFonts w:hint="default"/>
                <w:sz w:val="24"/>
                <w:szCs w:val="24"/>
                <w:highlight w:val="none"/>
                <w:lang w:val="en-US" w:eastAsia="zh-CN"/>
              </w:rPr>
            </w:pPr>
            <w:r>
              <w:rPr>
                <w:rFonts w:hint="default"/>
                <w:sz w:val="24"/>
                <w:szCs w:val="24"/>
                <w:highlight w:val="none"/>
                <w:lang w:val="en-US" w:eastAsia="zh-CN"/>
              </w:rPr>
              <w:t>NO</w:t>
            </w:r>
            <w:r>
              <w:rPr>
                <w:rFonts w:hint="default"/>
                <w:sz w:val="24"/>
                <w:szCs w:val="24"/>
                <w:highlight w:val="none"/>
                <w:vertAlign w:val="subscript"/>
                <w:lang w:val="en-US" w:eastAsia="zh-CN"/>
              </w:rPr>
              <w:t>X</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lang w:val="en-US" w:eastAsia="zh-CN"/>
              </w:rPr>
            </w:pPr>
            <w:r>
              <w:rPr>
                <w:rFonts w:hint="default"/>
                <w:sz w:val="24"/>
                <w:szCs w:val="24"/>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lang w:val="en-US" w:eastAsia="zh-CN"/>
              </w:rPr>
            </w:pPr>
            <w:r>
              <w:rPr>
                <w:rFonts w:hint="default"/>
                <w:sz w:val="24"/>
                <w:szCs w:val="24"/>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lang w:val="en-US" w:eastAsia="zh-CN"/>
              </w:rPr>
            </w:pPr>
            <w:r>
              <w:rPr>
                <w:rFonts w:hint="default"/>
                <w:sz w:val="24"/>
                <w:szCs w:val="24"/>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575" w:type="pct"/>
            <w:vMerge w:val="continue"/>
            <w:tcBorders>
              <w:tl2br w:val="nil"/>
              <w:tr2bl w:val="nil"/>
            </w:tcBorders>
            <w:noWrap w:val="0"/>
            <w:vAlign w:val="center"/>
          </w:tcPr>
          <w:p>
            <w:pPr>
              <w:pStyle w:val="59"/>
              <w:bidi w:val="0"/>
              <w:rPr>
                <w:rFonts w:hint="default"/>
                <w:sz w:val="24"/>
                <w:szCs w:val="24"/>
                <w:highlight w:val="none"/>
              </w:rPr>
            </w:pPr>
          </w:p>
        </w:tc>
        <w:tc>
          <w:tcPr>
            <w:tcW w:w="513" w:type="pct"/>
            <w:tcBorders>
              <w:tl2br w:val="nil"/>
              <w:tr2bl w:val="nil"/>
            </w:tcBorders>
            <w:noWrap w:val="0"/>
            <w:vAlign w:val="center"/>
          </w:tcPr>
          <w:p>
            <w:pPr>
              <w:pStyle w:val="59"/>
              <w:bidi w:val="0"/>
              <w:rPr>
                <w:rFonts w:hint="default"/>
                <w:sz w:val="24"/>
                <w:szCs w:val="24"/>
                <w:highlight w:val="none"/>
                <w:lang w:val="en-US" w:eastAsia="zh-CN"/>
              </w:rPr>
            </w:pPr>
            <w:r>
              <w:rPr>
                <w:rFonts w:hint="eastAsia"/>
                <w:sz w:val="24"/>
                <w:szCs w:val="24"/>
                <w:highlight w:val="none"/>
                <w:lang w:val="en-US" w:eastAsia="zh-CN"/>
              </w:rPr>
              <w:t>非甲烷总烃</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lang w:val="en-US" w:eastAsia="zh-CN"/>
              </w:rPr>
            </w:pPr>
            <w:r>
              <w:rPr>
                <w:rFonts w:hint="default"/>
                <w:sz w:val="24"/>
                <w:szCs w:val="24"/>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lang w:val="en-US" w:eastAsia="zh-CN"/>
              </w:rPr>
            </w:pPr>
            <w:r>
              <w:rPr>
                <w:rFonts w:hint="default"/>
                <w:sz w:val="24"/>
                <w:szCs w:val="24"/>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lang w:val="en-US" w:eastAsia="zh-CN"/>
              </w:rPr>
            </w:pPr>
            <w:r>
              <w:rPr>
                <w:rFonts w:hint="default"/>
                <w:sz w:val="24"/>
                <w:szCs w:val="24"/>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eastAsia" w:cs="Times New Roman"/>
                <w:sz w:val="24"/>
                <w:szCs w:val="24"/>
                <w:lang w:val="en-US" w:eastAsia="zh-CN"/>
              </w:rPr>
              <w:t>0.3493</w:t>
            </w:r>
            <w:r>
              <w:rPr>
                <w:rFonts w:hint="default" w:ascii="Times New Roman" w:hAnsi="Times New Roman" w:eastAsia="宋体" w:cs="Times New Roman"/>
                <w:sz w:val="24"/>
                <w:szCs w:val="24"/>
                <w:lang w:val="en-US" w:eastAsia="zh-CN"/>
              </w:rPr>
              <w:t>t/a</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0.3493t/a</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575" w:type="pct"/>
            <w:vMerge w:val="restart"/>
            <w:tcBorders>
              <w:tl2br w:val="nil"/>
              <w:tr2bl w:val="nil"/>
            </w:tcBorders>
            <w:noWrap w:val="0"/>
            <w:vAlign w:val="center"/>
          </w:tcPr>
          <w:p>
            <w:pPr>
              <w:pStyle w:val="59"/>
              <w:bidi w:val="0"/>
              <w:rPr>
                <w:rFonts w:hint="default"/>
                <w:sz w:val="24"/>
                <w:szCs w:val="24"/>
                <w:highlight w:val="none"/>
              </w:rPr>
            </w:pPr>
            <w:r>
              <w:rPr>
                <w:rFonts w:hint="default"/>
                <w:sz w:val="24"/>
                <w:szCs w:val="24"/>
                <w:highlight w:val="none"/>
              </w:rPr>
              <w:t>废水</w:t>
            </w:r>
          </w:p>
        </w:tc>
        <w:tc>
          <w:tcPr>
            <w:tcW w:w="513" w:type="pct"/>
            <w:tcBorders>
              <w:tl2br w:val="nil"/>
              <w:tr2bl w:val="nil"/>
            </w:tcBorders>
            <w:noWrap w:val="0"/>
            <w:vAlign w:val="center"/>
          </w:tcPr>
          <w:p>
            <w:pPr>
              <w:pStyle w:val="59"/>
              <w:bidi w:val="0"/>
              <w:rPr>
                <w:rFonts w:hint="default"/>
                <w:sz w:val="24"/>
                <w:szCs w:val="24"/>
                <w:highlight w:val="none"/>
              </w:rPr>
            </w:pPr>
            <w:r>
              <w:rPr>
                <w:rFonts w:hint="default"/>
                <w:sz w:val="24"/>
                <w:szCs w:val="24"/>
                <w:highlight w:val="none"/>
              </w:rPr>
              <w:t>水量</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8767.2m</w:t>
            </w:r>
            <w:r>
              <w:rPr>
                <w:rFonts w:hint="default" w:ascii="Times New Roman" w:hAnsi="Times New Roman" w:eastAsia="宋体" w:cs="Times New Roman"/>
                <w:sz w:val="24"/>
                <w:szCs w:val="24"/>
                <w:lang w:val="en-US" w:eastAsia="zh-CN"/>
              </w:rPr>
              <w:t>³</w:t>
            </w:r>
            <w:r>
              <w:rPr>
                <w:rFonts w:hint="eastAsia" w:ascii="Times New Roman" w:hAnsi="Times New Roman" w:eastAsia="宋体" w:cs="Times New Roman"/>
                <w:sz w:val="24"/>
                <w:szCs w:val="24"/>
                <w:lang w:val="en-US" w:eastAsia="zh-CN"/>
              </w:rPr>
              <w:t>/a</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8767.2m</w:t>
            </w:r>
            <w:r>
              <w:rPr>
                <w:rFonts w:hint="default" w:ascii="Times New Roman" w:hAnsi="Times New Roman" w:eastAsia="宋体" w:cs="Times New Roman"/>
                <w:sz w:val="24"/>
                <w:szCs w:val="24"/>
                <w:lang w:val="en-US" w:eastAsia="zh-CN"/>
              </w:rPr>
              <w:t>³</w:t>
            </w:r>
            <w:r>
              <w:rPr>
                <w:rFonts w:hint="eastAsia" w:ascii="Times New Roman" w:hAnsi="Times New Roman" w:eastAsia="宋体" w:cs="Times New Roman"/>
                <w:sz w:val="24"/>
                <w:szCs w:val="24"/>
                <w:lang w:val="en-US" w:eastAsia="zh-CN"/>
              </w:rPr>
              <w:t>/a</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575" w:type="pct"/>
            <w:vMerge w:val="continue"/>
            <w:tcBorders>
              <w:tl2br w:val="nil"/>
              <w:tr2bl w:val="nil"/>
            </w:tcBorders>
            <w:noWrap w:val="0"/>
            <w:vAlign w:val="center"/>
          </w:tcPr>
          <w:p>
            <w:pPr>
              <w:pStyle w:val="59"/>
              <w:bidi w:val="0"/>
              <w:rPr>
                <w:rFonts w:hint="default"/>
                <w:sz w:val="24"/>
                <w:szCs w:val="24"/>
                <w:highlight w:val="none"/>
              </w:rPr>
            </w:pPr>
          </w:p>
        </w:tc>
        <w:tc>
          <w:tcPr>
            <w:tcW w:w="513" w:type="pct"/>
            <w:tcBorders>
              <w:tl2br w:val="nil"/>
              <w:tr2bl w:val="nil"/>
            </w:tcBorders>
            <w:noWrap w:val="0"/>
            <w:vAlign w:val="center"/>
          </w:tcPr>
          <w:p>
            <w:pPr>
              <w:pStyle w:val="59"/>
              <w:bidi w:val="0"/>
              <w:rPr>
                <w:rFonts w:hint="default"/>
                <w:sz w:val="24"/>
                <w:szCs w:val="24"/>
                <w:highlight w:val="none"/>
              </w:rPr>
            </w:pPr>
            <w:r>
              <w:rPr>
                <w:rFonts w:hint="default"/>
                <w:sz w:val="24"/>
                <w:szCs w:val="24"/>
                <w:highlight w:val="none"/>
              </w:rPr>
              <w:t>COD</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3.08232t/a</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3.08232t/a</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575" w:type="pct"/>
            <w:vMerge w:val="continue"/>
            <w:tcBorders>
              <w:tl2br w:val="nil"/>
              <w:tr2bl w:val="nil"/>
            </w:tcBorders>
            <w:noWrap w:val="0"/>
            <w:vAlign w:val="center"/>
          </w:tcPr>
          <w:p>
            <w:pPr>
              <w:pStyle w:val="59"/>
              <w:bidi w:val="0"/>
              <w:rPr>
                <w:rFonts w:hint="default"/>
                <w:sz w:val="24"/>
                <w:szCs w:val="24"/>
                <w:highlight w:val="none"/>
              </w:rPr>
            </w:pPr>
          </w:p>
        </w:tc>
        <w:tc>
          <w:tcPr>
            <w:tcW w:w="513" w:type="pct"/>
            <w:tcBorders>
              <w:tl2br w:val="nil"/>
              <w:tr2bl w:val="nil"/>
            </w:tcBorders>
            <w:noWrap w:val="0"/>
            <w:vAlign w:val="center"/>
          </w:tcPr>
          <w:p>
            <w:pPr>
              <w:pStyle w:val="59"/>
              <w:bidi w:val="0"/>
              <w:rPr>
                <w:rFonts w:hint="default"/>
                <w:sz w:val="24"/>
                <w:szCs w:val="24"/>
                <w:highlight w:val="none"/>
                <w:lang w:val="en-US" w:eastAsia="zh-CN"/>
              </w:rPr>
            </w:pPr>
            <w:r>
              <w:rPr>
                <w:rFonts w:hint="default"/>
                <w:sz w:val="24"/>
                <w:szCs w:val="24"/>
                <w:highlight w:val="none"/>
              </w:rPr>
              <w:t>NH</w:t>
            </w:r>
            <w:r>
              <w:rPr>
                <w:rFonts w:hint="default"/>
                <w:sz w:val="24"/>
                <w:szCs w:val="24"/>
                <w:highlight w:val="none"/>
                <w:vertAlign w:val="subscript"/>
              </w:rPr>
              <w:t>3</w:t>
            </w:r>
            <w:r>
              <w:rPr>
                <w:rFonts w:hint="default"/>
                <w:sz w:val="24"/>
                <w:szCs w:val="24"/>
                <w:highlight w:val="none"/>
              </w:rPr>
              <w:t>-N</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0.3456t/a</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0.3456t/a</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575" w:type="pct"/>
            <w:vMerge w:val="restart"/>
            <w:tcBorders>
              <w:tl2br w:val="nil"/>
              <w:tr2bl w:val="nil"/>
            </w:tcBorders>
            <w:noWrap w:val="0"/>
            <w:vAlign w:val="center"/>
          </w:tcPr>
          <w:p>
            <w:pPr>
              <w:pStyle w:val="59"/>
              <w:bidi w:val="0"/>
              <w:rPr>
                <w:rFonts w:hint="default"/>
                <w:sz w:val="24"/>
                <w:szCs w:val="24"/>
                <w:highlight w:val="none"/>
              </w:rPr>
            </w:pPr>
            <w:r>
              <w:rPr>
                <w:rFonts w:hint="default"/>
                <w:sz w:val="24"/>
                <w:szCs w:val="24"/>
                <w:highlight w:val="none"/>
              </w:rPr>
              <w:t>一般工业</w:t>
            </w:r>
          </w:p>
          <w:p>
            <w:pPr>
              <w:pStyle w:val="59"/>
              <w:bidi w:val="0"/>
              <w:rPr>
                <w:rFonts w:hint="default"/>
                <w:sz w:val="24"/>
                <w:szCs w:val="24"/>
                <w:highlight w:val="none"/>
              </w:rPr>
            </w:pPr>
            <w:r>
              <w:rPr>
                <w:rFonts w:hint="default"/>
                <w:sz w:val="24"/>
                <w:szCs w:val="24"/>
                <w:highlight w:val="none"/>
              </w:rPr>
              <w:t>固体废物</w:t>
            </w:r>
          </w:p>
        </w:tc>
        <w:tc>
          <w:tcPr>
            <w:tcW w:w="513" w:type="pct"/>
            <w:tcBorders>
              <w:tl2br w:val="nil"/>
              <w:tr2bl w:val="nil"/>
            </w:tcBorders>
            <w:noWrap w:val="0"/>
            <w:vAlign w:val="center"/>
          </w:tcPr>
          <w:p>
            <w:pPr>
              <w:pStyle w:val="59"/>
              <w:bidi w:val="0"/>
              <w:rPr>
                <w:rFonts w:hint="eastAsia" w:eastAsia="宋体"/>
                <w:sz w:val="24"/>
                <w:szCs w:val="24"/>
                <w:highlight w:val="none"/>
                <w:lang w:val="en-US" w:eastAsia="zh-CN"/>
              </w:rPr>
            </w:pPr>
            <w:r>
              <w:rPr>
                <w:rFonts w:hint="default"/>
                <w:sz w:val="24"/>
                <w:szCs w:val="24"/>
                <w:highlight w:val="none"/>
              </w:rPr>
              <w:t>员工生活</w:t>
            </w:r>
            <w:r>
              <w:rPr>
                <w:rFonts w:hint="eastAsia"/>
                <w:sz w:val="24"/>
                <w:szCs w:val="24"/>
                <w:highlight w:val="none"/>
                <w:lang w:val="en-US" w:eastAsia="zh-CN"/>
              </w:rPr>
              <w:t>垃圾</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120t/a</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120t/a</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575" w:type="pct"/>
            <w:vMerge w:val="continue"/>
            <w:tcBorders>
              <w:tl2br w:val="nil"/>
              <w:tr2bl w:val="nil"/>
            </w:tcBorders>
            <w:noWrap w:val="0"/>
            <w:vAlign w:val="center"/>
          </w:tcPr>
          <w:p>
            <w:pPr>
              <w:pStyle w:val="59"/>
              <w:bidi w:val="0"/>
              <w:rPr>
                <w:rFonts w:hint="default"/>
                <w:sz w:val="24"/>
                <w:szCs w:val="24"/>
                <w:highlight w:val="none"/>
              </w:rPr>
            </w:pPr>
          </w:p>
        </w:tc>
        <w:tc>
          <w:tcPr>
            <w:tcW w:w="513" w:type="pct"/>
            <w:tcBorders>
              <w:tl2br w:val="nil"/>
              <w:tr2bl w:val="nil"/>
            </w:tcBorders>
            <w:noWrap w:val="0"/>
            <w:vAlign w:val="center"/>
          </w:tcPr>
          <w:p>
            <w:pPr>
              <w:pStyle w:val="59"/>
              <w:bidi w:val="0"/>
              <w:rPr>
                <w:rFonts w:hint="eastAsia"/>
                <w:sz w:val="24"/>
                <w:szCs w:val="24"/>
                <w:highlight w:val="none"/>
                <w:lang w:val="en-US" w:eastAsia="zh-CN"/>
              </w:rPr>
            </w:pPr>
            <w:r>
              <w:rPr>
                <w:rFonts w:hint="default"/>
                <w:sz w:val="24"/>
                <w:szCs w:val="24"/>
                <w:highlight w:val="none"/>
                <w:lang w:val="en-US" w:eastAsia="zh-CN"/>
              </w:rPr>
              <w:t>废隔膜</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1.0t</w:t>
            </w:r>
            <w:r>
              <w:rPr>
                <w:rFonts w:hint="default" w:ascii="Times New Roman" w:hAnsi="Times New Roman" w:eastAsia="宋体" w:cs="Times New Roman"/>
                <w:sz w:val="24"/>
                <w:szCs w:val="24"/>
                <w:lang w:val="en-US" w:eastAsia="zh-CN"/>
              </w:rPr>
              <w:t>/a</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1.0t</w:t>
            </w:r>
            <w:r>
              <w:rPr>
                <w:rFonts w:hint="default" w:ascii="Times New Roman" w:hAnsi="Times New Roman" w:eastAsia="宋体" w:cs="Times New Roman"/>
                <w:sz w:val="24"/>
                <w:szCs w:val="24"/>
                <w:lang w:val="en-US" w:eastAsia="zh-CN"/>
              </w:rPr>
              <w:t>/a</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575" w:type="pct"/>
            <w:vMerge w:val="continue"/>
            <w:tcBorders>
              <w:tl2br w:val="nil"/>
              <w:tr2bl w:val="nil"/>
            </w:tcBorders>
            <w:noWrap w:val="0"/>
            <w:vAlign w:val="center"/>
          </w:tcPr>
          <w:p>
            <w:pPr>
              <w:pStyle w:val="59"/>
              <w:bidi w:val="0"/>
              <w:rPr>
                <w:rFonts w:hint="default"/>
                <w:sz w:val="24"/>
                <w:szCs w:val="24"/>
                <w:highlight w:val="none"/>
              </w:rPr>
            </w:pPr>
          </w:p>
        </w:tc>
        <w:tc>
          <w:tcPr>
            <w:tcW w:w="513" w:type="pct"/>
            <w:tcBorders>
              <w:tl2br w:val="nil"/>
              <w:tr2bl w:val="nil"/>
            </w:tcBorders>
            <w:noWrap w:val="0"/>
            <w:vAlign w:val="center"/>
          </w:tcPr>
          <w:p>
            <w:pPr>
              <w:pStyle w:val="59"/>
              <w:bidi w:val="0"/>
              <w:rPr>
                <w:rFonts w:hint="default"/>
                <w:sz w:val="24"/>
                <w:szCs w:val="24"/>
                <w:highlight w:val="none"/>
                <w:lang w:val="en-US" w:eastAsia="zh-CN"/>
              </w:rPr>
            </w:pPr>
            <w:r>
              <w:rPr>
                <w:rFonts w:hint="eastAsia"/>
                <w:sz w:val="24"/>
                <w:szCs w:val="24"/>
                <w:highlight w:val="none"/>
                <w:lang w:val="en-US" w:eastAsia="zh-CN"/>
              </w:rPr>
              <w:t>废边角料</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2.0t/a</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2.0t/a</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575" w:type="pct"/>
            <w:vMerge w:val="continue"/>
            <w:tcBorders>
              <w:tl2br w:val="nil"/>
              <w:tr2bl w:val="nil"/>
            </w:tcBorders>
            <w:noWrap w:val="0"/>
            <w:vAlign w:val="center"/>
          </w:tcPr>
          <w:p>
            <w:pPr>
              <w:pStyle w:val="59"/>
              <w:bidi w:val="0"/>
              <w:rPr>
                <w:rFonts w:hint="default"/>
                <w:sz w:val="24"/>
                <w:szCs w:val="24"/>
                <w:highlight w:val="none"/>
              </w:rPr>
            </w:pPr>
          </w:p>
        </w:tc>
        <w:tc>
          <w:tcPr>
            <w:tcW w:w="513" w:type="pct"/>
            <w:tcBorders>
              <w:tl2br w:val="nil"/>
              <w:tr2bl w:val="nil"/>
            </w:tcBorders>
            <w:noWrap w:val="0"/>
            <w:vAlign w:val="center"/>
          </w:tcPr>
          <w:p>
            <w:pPr>
              <w:pStyle w:val="59"/>
              <w:bidi w:val="0"/>
              <w:rPr>
                <w:rFonts w:hint="default"/>
                <w:sz w:val="24"/>
                <w:szCs w:val="24"/>
                <w:highlight w:val="none"/>
              </w:rPr>
            </w:pPr>
            <w:r>
              <w:rPr>
                <w:rFonts w:hint="default"/>
                <w:sz w:val="24"/>
                <w:szCs w:val="24"/>
                <w:highlight w:val="none"/>
                <w:lang w:val="en-US" w:eastAsia="zh-CN"/>
              </w:rPr>
              <w:t>不合格电池</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150万支</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150万支</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575" w:type="pct"/>
            <w:vMerge w:val="restart"/>
            <w:tcBorders>
              <w:tl2br w:val="nil"/>
              <w:tr2bl w:val="nil"/>
            </w:tcBorders>
            <w:noWrap w:val="0"/>
            <w:vAlign w:val="center"/>
          </w:tcPr>
          <w:p>
            <w:pPr>
              <w:pStyle w:val="59"/>
              <w:bidi w:val="0"/>
              <w:rPr>
                <w:rFonts w:hint="default"/>
                <w:sz w:val="24"/>
                <w:szCs w:val="24"/>
                <w:highlight w:val="none"/>
              </w:rPr>
            </w:pPr>
            <w:r>
              <w:rPr>
                <w:rFonts w:hint="default"/>
                <w:sz w:val="24"/>
                <w:szCs w:val="24"/>
                <w:highlight w:val="none"/>
              </w:rPr>
              <w:t>危险废物</w:t>
            </w:r>
          </w:p>
        </w:tc>
        <w:tc>
          <w:tcPr>
            <w:tcW w:w="513" w:type="pct"/>
            <w:tcBorders>
              <w:tl2br w:val="nil"/>
              <w:tr2bl w:val="nil"/>
            </w:tcBorders>
            <w:noWrap w:val="0"/>
            <w:vAlign w:val="center"/>
          </w:tcPr>
          <w:p>
            <w:pPr>
              <w:pStyle w:val="59"/>
              <w:bidi w:val="0"/>
              <w:rPr>
                <w:rFonts w:hint="default"/>
                <w:sz w:val="24"/>
                <w:szCs w:val="24"/>
                <w:highlight w:val="none"/>
                <w:lang w:val="en-US" w:eastAsia="zh-CN"/>
              </w:rPr>
            </w:pPr>
            <w:r>
              <w:rPr>
                <w:rFonts w:hint="default"/>
                <w:sz w:val="24"/>
                <w:szCs w:val="24"/>
                <w:highlight w:val="none"/>
                <w:lang w:val="en-US" w:eastAsia="zh-CN"/>
              </w:rPr>
              <w:t>原辅材料废包装袋（桶）</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rPr>
            </w:pPr>
            <w:r>
              <w:rPr>
                <w:rFonts w:hint="default"/>
                <w:sz w:val="24"/>
                <w:szCs w:val="24"/>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0.4625t/a</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0.4625t/a</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575" w:type="pct"/>
            <w:vMerge w:val="continue"/>
            <w:tcBorders>
              <w:tl2br w:val="nil"/>
              <w:tr2bl w:val="nil"/>
            </w:tcBorders>
            <w:noWrap w:val="0"/>
            <w:vAlign w:val="center"/>
          </w:tcPr>
          <w:p>
            <w:pPr>
              <w:pStyle w:val="59"/>
              <w:bidi w:val="0"/>
              <w:rPr>
                <w:rFonts w:hint="default"/>
                <w:sz w:val="24"/>
                <w:szCs w:val="24"/>
                <w:highlight w:val="none"/>
              </w:rPr>
            </w:pPr>
          </w:p>
        </w:tc>
        <w:tc>
          <w:tcPr>
            <w:tcW w:w="513" w:type="pct"/>
            <w:tcBorders>
              <w:tl2br w:val="nil"/>
              <w:tr2bl w:val="nil"/>
            </w:tcBorders>
            <w:noWrap w:val="0"/>
            <w:vAlign w:val="center"/>
          </w:tcPr>
          <w:p>
            <w:pPr>
              <w:pStyle w:val="59"/>
              <w:bidi w:val="0"/>
              <w:rPr>
                <w:rFonts w:hint="default"/>
                <w:sz w:val="24"/>
                <w:szCs w:val="24"/>
                <w:highlight w:val="none"/>
                <w:lang w:val="en-US" w:eastAsia="zh-CN"/>
              </w:rPr>
            </w:pPr>
            <w:r>
              <w:rPr>
                <w:rFonts w:hint="default"/>
                <w:sz w:val="24"/>
                <w:szCs w:val="24"/>
                <w:highlight w:val="none"/>
                <w:lang w:val="en-US" w:eastAsia="zh-CN"/>
              </w:rPr>
              <w:t>废活性炭</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66.519t/a</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66.519t/a</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575" w:type="pct"/>
            <w:vMerge w:val="continue"/>
            <w:tcBorders>
              <w:tl2br w:val="nil"/>
              <w:tr2bl w:val="nil"/>
            </w:tcBorders>
            <w:noWrap w:val="0"/>
            <w:vAlign w:val="center"/>
          </w:tcPr>
          <w:p>
            <w:pPr>
              <w:pStyle w:val="59"/>
              <w:bidi w:val="0"/>
              <w:rPr>
                <w:rFonts w:hint="default"/>
                <w:sz w:val="24"/>
                <w:szCs w:val="24"/>
                <w:highlight w:val="none"/>
              </w:rPr>
            </w:pPr>
          </w:p>
        </w:tc>
        <w:tc>
          <w:tcPr>
            <w:tcW w:w="513" w:type="pct"/>
            <w:tcBorders>
              <w:tl2br w:val="nil"/>
              <w:tr2bl w:val="nil"/>
            </w:tcBorders>
            <w:noWrap w:val="0"/>
            <w:vAlign w:val="center"/>
          </w:tcPr>
          <w:p>
            <w:pPr>
              <w:pStyle w:val="59"/>
              <w:bidi w:val="0"/>
              <w:rPr>
                <w:rFonts w:hint="default"/>
                <w:sz w:val="24"/>
                <w:szCs w:val="24"/>
                <w:highlight w:val="none"/>
                <w:lang w:val="en-US" w:eastAsia="zh-CN"/>
              </w:rPr>
            </w:pPr>
            <w:r>
              <w:rPr>
                <w:rFonts w:hint="default"/>
                <w:sz w:val="24"/>
                <w:szCs w:val="24"/>
                <w:highlight w:val="none"/>
                <w:lang w:val="en-US" w:eastAsia="zh-CN"/>
              </w:rPr>
              <w:t>废电解液</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lang w:val="en-US" w:eastAsia="zh-CN"/>
              </w:rPr>
              <w:t>/</w:t>
            </w:r>
          </w:p>
        </w:tc>
        <w:tc>
          <w:tcPr>
            <w:tcW w:w="46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lang w:val="en-US" w:eastAsia="zh-CN"/>
              </w:rPr>
              <w:t>/</w:t>
            </w:r>
          </w:p>
        </w:tc>
        <w:tc>
          <w:tcPr>
            <w:tcW w:w="616"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sz w:val="24"/>
                <w:szCs w:val="24"/>
                <w:highlight w:val="none"/>
                <w:lang w:val="en-US" w:eastAsia="zh-CN"/>
              </w:rPr>
            </w:pPr>
            <w:r>
              <w:rPr>
                <w:rFonts w:hint="default"/>
                <w:sz w:val="24"/>
                <w:szCs w:val="24"/>
                <w:lang w:val="en-US" w:eastAsia="zh-CN"/>
              </w:rPr>
              <w:t>/</w:t>
            </w:r>
          </w:p>
        </w:tc>
        <w:tc>
          <w:tcPr>
            <w:tcW w:w="565"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1.05t/a</w:t>
            </w:r>
          </w:p>
        </w:tc>
        <w:tc>
          <w:tcPr>
            <w:tcW w:w="6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c>
          <w:tcPr>
            <w:tcW w:w="538"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1.05t/a</w:t>
            </w:r>
          </w:p>
        </w:tc>
        <w:tc>
          <w:tcPr>
            <w:tcW w:w="47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w:t>
            </w:r>
          </w:p>
        </w:tc>
      </w:tr>
    </w:tbl>
    <w:p>
      <w:pPr>
        <w:pStyle w:val="40"/>
        <w:keepNext w:val="0"/>
        <w:keepLines w:val="0"/>
        <w:pageBreakBefore w:val="0"/>
        <w:widowControl w:val="0"/>
        <w:kinsoku/>
        <w:wordWrap/>
        <w:overflowPunct/>
        <w:topLinePunct w:val="0"/>
        <w:autoSpaceDE/>
        <w:autoSpaceDN/>
        <w:bidi w:val="0"/>
        <w:adjustRightInd w:val="0"/>
        <w:snapToGrid w:val="0"/>
        <w:spacing w:beforeLines="0" w:afterLines="0" w:line="240" w:lineRule="auto"/>
        <w:ind w:firstLineChars="0"/>
        <w:jc w:val="left"/>
        <w:textAlignment w:val="auto"/>
        <w:rPr>
          <w:rFonts w:hint="default" w:ascii="Times New Roman" w:hAnsi="Times New Roman" w:cs="Times New Roman" w:eastAsiaTheme="minorEastAsia"/>
          <w:snapToGrid w:val="0"/>
          <w:color w:val="000000" w:themeColor="text1"/>
          <w:spacing w:val="-6"/>
          <w:kern w:val="21"/>
          <w:szCs w:val="21"/>
          <w:highlight w:val="none"/>
          <w:u w:val="none" w:color="auto"/>
          <w:lang w:val="en-US" w:eastAsia="zh-CN"/>
          <w14:textFill>
            <w14:solidFill>
              <w14:schemeClr w14:val="tx1"/>
            </w14:solidFill>
          </w14:textFill>
        </w:rPr>
      </w:pPr>
      <w:r>
        <w:rPr>
          <w:rFonts w:hint="default" w:ascii="Times New Roman" w:hAnsi="Times New Roman" w:cs="Times New Roman" w:eastAsiaTheme="minorEastAsia"/>
          <w:snapToGrid w:val="0"/>
          <w:color w:val="000000" w:themeColor="text1"/>
          <w:kern w:val="21"/>
          <w:szCs w:val="21"/>
          <w:highlight w:val="none"/>
          <w:u w:val="none" w:color="auto"/>
          <w14:textFill>
            <w14:solidFill>
              <w14:schemeClr w14:val="tx1"/>
            </w14:solidFill>
          </w14:textFill>
        </w:rPr>
        <w:t>注：</w:t>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fldChar w:fldCharType="begin"/>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instrText xml:space="preserve"> = 6 \* GB3 \* MERGEFORMAT </w:instrText>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fldChar w:fldCharType="separate"/>
      </w:r>
      <w:r>
        <w:rPr>
          <w:rFonts w:hint="default" w:ascii="Times New Roman" w:hAnsi="Times New Roman" w:cs="Times New Roman" w:eastAsiaTheme="minorEastAsia"/>
          <w:color w:val="000000" w:themeColor="text1"/>
          <w:szCs w:val="21"/>
          <w:highlight w:val="none"/>
          <w:u w:val="none" w:color="auto"/>
          <w14:textFill>
            <w14:solidFill>
              <w14:schemeClr w14:val="tx1"/>
            </w14:solidFill>
          </w14:textFill>
        </w:rPr>
        <w:t>⑥</w:t>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fldChar w:fldCharType="end"/>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t>=</w: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begin"/>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instrText xml:space="preserve"> = 1 \* GB3 \* MERGEFORMAT </w:instrTex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separate"/>
      </w:r>
      <w:r>
        <w:rPr>
          <w:rFonts w:hint="default" w:ascii="Times New Roman" w:hAnsi="Times New Roman" w:cs="Times New Roman" w:eastAsiaTheme="minorEastAsia"/>
          <w:color w:val="000000" w:themeColor="text1"/>
          <w:szCs w:val="21"/>
          <w:highlight w:val="none"/>
          <w:u w:val="none" w:color="auto"/>
          <w14:textFill>
            <w14:solidFill>
              <w14:schemeClr w14:val="tx1"/>
            </w14:solidFill>
          </w14:textFill>
        </w:rPr>
        <w:t>①</w: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end"/>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t>+</w: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begin"/>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instrText xml:space="preserve"> = 3 \* GB3 \* MERGEFORMAT </w:instrTex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separate"/>
      </w:r>
      <w:r>
        <w:rPr>
          <w:rFonts w:hint="default" w:ascii="Times New Roman" w:hAnsi="Times New Roman" w:cs="Times New Roman" w:eastAsiaTheme="minorEastAsia"/>
          <w:color w:val="000000" w:themeColor="text1"/>
          <w:szCs w:val="21"/>
          <w:highlight w:val="none"/>
          <w:u w:val="none" w:color="auto"/>
          <w14:textFill>
            <w14:solidFill>
              <w14:schemeClr w14:val="tx1"/>
            </w14:solidFill>
          </w14:textFill>
        </w:rPr>
        <w:t>③</w: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end"/>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t>+</w: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begin"/>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instrText xml:space="preserve"> = 4 \* GB3 \* MERGEFORMAT </w:instrTex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separate"/>
      </w:r>
      <w:r>
        <w:rPr>
          <w:rFonts w:hint="default" w:ascii="Times New Roman" w:hAnsi="Times New Roman" w:cs="Times New Roman" w:eastAsiaTheme="minorEastAsia"/>
          <w:color w:val="000000" w:themeColor="text1"/>
          <w:szCs w:val="21"/>
          <w:highlight w:val="none"/>
          <w:u w:val="none" w:color="auto"/>
          <w14:textFill>
            <w14:solidFill>
              <w14:schemeClr w14:val="tx1"/>
            </w14:solidFill>
          </w14:textFill>
        </w:rPr>
        <w:t>④</w: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end"/>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t>-</w:t>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fldChar w:fldCharType="begin"/>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instrText xml:space="preserve"> = 5 \* GB3 \* MERGEFORMAT </w:instrText>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fldChar w:fldCharType="separate"/>
      </w:r>
      <w:r>
        <w:rPr>
          <w:rFonts w:hint="default" w:ascii="Times New Roman" w:hAnsi="Times New Roman" w:cs="Times New Roman" w:eastAsiaTheme="minorEastAsia"/>
          <w:color w:val="000000" w:themeColor="text1"/>
          <w:szCs w:val="21"/>
          <w:highlight w:val="none"/>
          <w:u w:val="none" w:color="auto"/>
          <w14:textFill>
            <w14:solidFill>
              <w14:schemeClr w14:val="tx1"/>
            </w14:solidFill>
          </w14:textFill>
        </w:rPr>
        <w:t>⑤</w:t>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fldChar w:fldCharType="end"/>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t>；</w: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begin"/>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instrText xml:space="preserve"> = 7 \* GB3 \* MERGEFORMAT </w:instrTex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separate"/>
      </w:r>
      <w:r>
        <w:rPr>
          <w:rFonts w:hint="default" w:ascii="Times New Roman" w:hAnsi="Times New Roman" w:cs="Times New Roman" w:eastAsiaTheme="minorEastAsia"/>
          <w:color w:val="000000" w:themeColor="text1"/>
          <w:szCs w:val="21"/>
          <w:highlight w:val="none"/>
          <w:u w:val="none" w:color="auto"/>
          <w14:textFill>
            <w14:solidFill>
              <w14:schemeClr w14:val="tx1"/>
            </w14:solidFill>
          </w14:textFill>
        </w:rPr>
        <w:t>⑦</w: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end"/>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t>=</w:t>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fldChar w:fldCharType="begin"/>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instrText xml:space="preserve"> = 6 \* GB3 \* MERGEFORMAT </w:instrText>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fldChar w:fldCharType="separate"/>
      </w:r>
      <w:r>
        <w:rPr>
          <w:rFonts w:hint="default" w:ascii="Times New Roman" w:hAnsi="Times New Roman" w:cs="Times New Roman" w:eastAsiaTheme="minorEastAsia"/>
          <w:color w:val="000000" w:themeColor="text1"/>
          <w:szCs w:val="21"/>
          <w:highlight w:val="none"/>
          <w:u w:val="none" w:color="auto"/>
          <w14:textFill>
            <w14:solidFill>
              <w14:schemeClr w14:val="tx1"/>
            </w14:solidFill>
          </w14:textFill>
        </w:rPr>
        <w:t>⑥</w:t>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fldChar w:fldCharType="end"/>
      </w:r>
      <w:r>
        <w:rPr>
          <w:rFonts w:hint="default" w:ascii="Times New Roman" w:hAnsi="Times New Roman" w:cs="Times New Roman" w:eastAsiaTheme="minorEastAsia"/>
          <w:snapToGrid w:val="0"/>
          <w:color w:val="000000" w:themeColor="text1"/>
          <w:spacing w:val="-16"/>
          <w:kern w:val="21"/>
          <w:szCs w:val="21"/>
          <w:highlight w:val="none"/>
          <w:u w:val="none" w:color="auto"/>
          <w14:textFill>
            <w14:solidFill>
              <w14:schemeClr w14:val="tx1"/>
            </w14:solidFill>
          </w14:textFill>
        </w:rPr>
        <w:t>-</w: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begin"/>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instrText xml:space="preserve"> = 1 \* GB3 \* MERGEFORMAT </w:instrTex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separate"/>
      </w:r>
      <w:r>
        <w:rPr>
          <w:rFonts w:hint="default" w:ascii="Times New Roman" w:hAnsi="Times New Roman" w:cs="Times New Roman" w:eastAsiaTheme="minorEastAsia"/>
          <w:color w:val="000000" w:themeColor="text1"/>
          <w:szCs w:val="21"/>
          <w:highlight w:val="none"/>
          <w:u w:val="none" w:color="auto"/>
          <w14:textFill>
            <w14:solidFill>
              <w14:schemeClr w14:val="tx1"/>
            </w14:solidFill>
          </w14:textFill>
        </w:rPr>
        <w:t>①</w:t>
      </w:r>
      <w:r>
        <w:rPr>
          <w:rFonts w:hint="default" w:ascii="Times New Roman" w:hAnsi="Times New Roman" w:cs="Times New Roman" w:eastAsiaTheme="minorEastAsia"/>
          <w:snapToGrid w:val="0"/>
          <w:color w:val="000000" w:themeColor="text1"/>
          <w:spacing w:val="-6"/>
          <w:kern w:val="21"/>
          <w:szCs w:val="21"/>
          <w:highlight w:val="none"/>
          <w:u w:val="none" w:color="auto"/>
          <w14:textFill>
            <w14:solidFill>
              <w14:schemeClr w14:val="tx1"/>
            </w14:solidFill>
          </w14:textFill>
        </w:rPr>
        <w:fldChar w:fldCharType="end"/>
      </w:r>
    </w:p>
    <w:sectPr>
      <w:footerReference r:id="rId6" w:type="default"/>
      <w:pgSz w:w="16838" w:h="11906" w:orient="landscape"/>
      <w:pgMar w:top="1440" w:right="1080" w:bottom="1440" w:left="1080" w:header="851" w:footer="992" w:gutter="0"/>
      <w:pgBorders>
        <w:top w:val="none" w:sz="0" w:space="0"/>
        <w:left w:val="none" w:sz="0" w:space="0"/>
        <w:bottom w:val="none" w:sz="0" w:space="0"/>
        <w:right w:val="none" w:sz="0" w:space="0"/>
      </w:pgBorders>
      <w:pgNumType w:fmt="decimal"/>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新宋体-18030">
    <w:altName w:val="宋体"/>
    <w:panose1 w:val="00000000000000000000"/>
    <w:charset w:val="00"/>
    <w:family w:val="auto"/>
    <w:pitch w:val="default"/>
    <w:sig w:usb0="00000000" w:usb1="00000000" w:usb2="00000000" w:usb3="00000000" w:csb0="00040001" w:csb1="00000000"/>
  </w:font>
  <w:font w:name="Tahoma">
    <w:panose1 w:val="020B0604030504040204"/>
    <w:charset w:val="00"/>
    <w:family w:val="auto"/>
    <w:pitch w:val="default"/>
    <w:sig w:usb0="E1002EFF" w:usb1="C000605B" w:usb2="00000029" w:usb3="00000000" w:csb0="200101FF" w:csb1="20280000"/>
  </w:font>
  <w:font w:name="微软雅黑">
    <w:panose1 w:val="020B0503020204020204"/>
    <w:charset w:val="86"/>
    <w:family w:val="auto"/>
    <w:pitch w:val="default"/>
    <w:sig w:usb0="80000287" w:usb1="280F3C52" w:usb2="00000016" w:usb3="00000000" w:csb0="0004001F" w:csb1="00000000"/>
  </w:font>
  <w:font w:name="仿宋_GB2312">
    <w:altName w:val="仿宋"/>
    <w:panose1 w:val="02010609030101010101"/>
    <w:charset w:val="86"/>
    <w:family w:val="swiss"/>
    <w:pitch w:val="default"/>
    <w:sig w:usb0="00000000" w:usb1="00000000" w:usb2="00000000" w:usb3="00000000" w:csb0="00040000" w:csb1="00000000"/>
  </w:font>
  <w:font w:name="Impact">
    <w:panose1 w:val="020B0806030902050204"/>
    <w:charset w:val="00"/>
    <w:family w:val="swiss"/>
    <w:pitch w:val="default"/>
    <w:sig w:usb0="00000287" w:usb1="00000000" w:usb2="00000000" w:usb3="00000000" w:csb0="2000009F" w:csb1="DFD70000"/>
  </w:font>
  <w:font w:name="Wingdings 2">
    <w:altName w:val="Wingdings"/>
    <w:panose1 w:val="05020102010507070707"/>
    <w:charset w:val="00"/>
    <w:family w:val="auto"/>
    <w:pitch w:val="default"/>
    <w:sig w:usb0="00000000" w:usb1="00000000" w:usb2="00000000" w:usb3="00000000" w:csb0="80000000" w:csb1="00000000"/>
  </w:font>
  <w:font w:name="Wingdings">
    <w:panose1 w:val="05000000000000000000"/>
    <w:charset w:val="00"/>
    <w:family w:val="auto"/>
    <w:pitch w:val="default"/>
    <w:sig w:usb0="00000000" w:usb1="00000000" w:usb2="00000000" w:usb3="00000000" w:csb0="80000000" w:csb1="00000000"/>
  </w:font>
  <w:font w:name="MS PGothic">
    <w:panose1 w:val="020B0600070205080204"/>
    <w:charset w:val="80"/>
    <w:family w:val="auto"/>
    <w:pitch w:val="default"/>
    <w:sig w:usb0="E00002FF" w:usb1="6AC7FDFB" w:usb2="00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r>
      <w:rPr>
        <w:sz w:val="18"/>
      </w:rPr>
      <mc:AlternateContent>
        <mc:Choice Requires="wps">
          <w:drawing>
            <wp:anchor distT="0" distB="0" distL="114300" distR="114300" simplePos="0" relativeHeight="251659264" behindDoc="0" locked="0" layoutInCell="1" allowOverlap="1">
              <wp:simplePos x="0" y="0"/>
              <wp:positionH relativeFrom="margin">
                <wp:posOffset>2691130</wp:posOffset>
              </wp:positionH>
              <wp:positionV relativeFrom="paragraph">
                <wp:posOffset>-20320</wp:posOffset>
              </wp:positionV>
              <wp:extent cx="455295" cy="223520"/>
              <wp:effectExtent l="0" t="0" r="0" b="0"/>
              <wp:wrapNone/>
              <wp:docPr id="9" name="文本框 9"/>
              <wp:cNvGraphicFramePr/>
              <a:graphic xmlns:a="http://schemas.openxmlformats.org/drawingml/2006/main">
                <a:graphicData uri="http://schemas.microsoft.com/office/word/2010/wordprocessingShape">
                  <wps:wsp>
                    <wps:cNvSpPr txBox="1"/>
                    <wps:spPr>
                      <a:xfrm>
                        <a:off x="0" y="0"/>
                        <a:ext cx="455295" cy="22352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5"/>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square" lIns="0" tIns="0" rIns="0" bIns="0" numCol="1" spcCol="0" rtlCol="0" fromWordArt="0" anchor="t" anchorCtr="0" forceAA="0" upright="0" compatLnSpc="1">
                      <a:noAutofit/>
                    </wps:bodyPr>
                  </wps:wsp>
                </a:graphicData>
              </a:graphic>
            </wp:anchor>
          </w:drawing>
        </mc:Choice>
        <mc:Fallback>
          <w:pict>
            <v:shape id="_x0000_s1026" o:spid="_x0000_s1026" o:spt="202" type="#_x0000_t202" style="position:absolute;left:0pt;margin-left:211.9pt;margin-top:-1.6pt;height:17.6pt;width:35.85pt;mso-position-horizontal-relative:margin;z-index:251659264;mso-width-relative:page;mso-height-relative:page;" filled="f" stroked="f" coordsize="21600,21600" o:gfxdata="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P7bcSNgAAAAJAQAADwAAAAAAAAABACAAAAAiAAAAZHJzL2Rvd25y&#10;ZXYueG1sUEsBAhQAFAAAAAgAh07iQO1aMfU3AgAAYQQAAA4AAAAAAAAAAQAgAAAAJwEAAGRycy9l&#10;Mm9Eb2MueG1sUEsFBgAAAAAGAAYAWQEAANAFAAAAAA==&#10;">
              <v:fill on="f" focussize="0,0"/>
              <v:stroke on="f" weight="0.5pt"/>
              <v:imagedata o:title=""/>
              <o:lock v:ext="edit" aspectratio="f"/>
              <v:textbox inset="0mm,0mm,0mm,0mm">
                <w:txbxContent>
                  <w:p>
                    <w:pPr>
                      <w:pStyle w:val="15"/>
                    </w:pPr>
                    <w:r>
                      <w:fldChar w:fldCharType="begin"/>
                    </w:r>
                    <w:r>
                      <w:instrText xml:space="preserve"> PAGE  \* MERGEFORMAT </w:instrText>
                    </w:r>
                    <w:r>
                      <w:fldChar w:fldCharType="separate"/>
                    </w:r>
                    <w:r>
                      <w:t>3</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adjustRightInd w:val="0"/>
      <w:ind w:right="227" w:firstLine="0"/>
      <w:jc w:val="right"/>
      <w:rPr>
        <w:rFonts w:ascii="Times New Roman" w:hAnsi="Times New Roman" w:cs="Times New Roman"/>
        <w:kern w:val="21"/>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59620DA"/>
    <w:multiLevelType w:val="singleLevel"/>
    <w:tmpl w:val="959620DA"/>
    <w:lvl w:ilvl="0" w:tentative="0">
      <w:start w:val="1"/>
      <w:numFmt w:val="decimal"/>
      <w:suff w:val="nothing"/>
      <w:lvlText w:val="（%1）"/>
      <w:lvlJc w:val="left"/>
    </w:lvl>
  </w:abstractNum>
  <w:abstractNum w:abstractNumId="1">
    <w:nsid w:val="0F0F1429"/>
    <w:multiLevelType w:val="singleLevel"/>
    <w:tmpl w:val="0F0F1429"/>
    <w:lvl w:ilvl="0" w:tentative="0">
      <w:start w:val="3"/>
      <w:numFmt w:val="decimal"/>
      <w:suff w:val="nothing"/>
      <w:lvlText w:val="%1、"/>
      <w:lvlJc w:val="left"/>
    </w:lvl>
  </w:abstractNum>
  <w:abstractNum w:abstractNumId="2">
    <w:nsid w:val="13EC3FFE"/>
    <w:multiLevelType w:val="singleLevel"/>
    <w:tmpl w:val="13EC3FFE"/>
    <w:lvl w:ilvl="0" w:tentative="0">
      <w:start w:val="4"/>
      <w:numFmt w:val="decimal"/>
      <w:suff w:val="nothing"/>
      <w:lvlText w:val="%1、"/>
      <w:lvlJc w:val="left"/>
    </w:lvl>
  </w:abstractNum>
  <w:abstractNum w:abstractNumId="3">
    <w:nsid w:val="3F037DB4"/>
    <w:multiLevelType w:val="singleLevel"/>
    <w:tmpl w:val="3F037DB4"/>
    <w:lvl w:ilvl="0" w:tentative="0">
      <w:start w:val="1"/>
      <w:numFmt w:val="bullet"/>
      <w:pStyle w:val="12"/>
      <w:lvlText w:val=""/>
      <w:lvlJc w:val="left"/>
      <w:pPr>
        <w:tabs>
          <w:tab w:val="left" w:pos="780"/>
        </w:tabs>
        <w:ind w:left="780" w:hanging="360"/>
      </w:pPr>
      <w:rPr>
        <w:rFonts w:hint="default" w:ascii="Wingdings" w:hAnsi="Wingdings"/>
      </w:rPr>
    </w:lvl>
  </w:abstractNum>
  <w:abstractNum w:abstractNumId="4">
    <w:nsid w:val="57C91313"/>
    <w:multiLevelType w:val="multilevel"/>
    <w:tmpl w:val="57C91313"/>
    <w:lvl w:ilvl="0" w:tentative="0">
      <w:start w:val="1"/>
      <w:numFmt w:val="decimal"/>
      <w:lvlText w:val="%1."/>
      <w:lvlJc w:val="left"/>
      <w:pPr>
        <w:ind w:left="432" w:hanging="432"/>
      </w:pPr>
      <w:rPr>
        <w:rFonts w:hint="default"/>
      </w:rPr>
    </w:lvl>
    <w:lvl w:ilvl="1" w:tentative="0">
      <w:start w:val="1"/>
      <w:numFmt w:val="decimal"/>
      <w:pStyle w:val="4"/>
      <w:lvlText w:val="%1.%2."/>
      <w:lvlJc w:val="left"/>
      <w:pPr>
        <w:ind w:left="575" w:hanging="575"/>
      </w:pPr>
      <w:rPr>
        <w:rFonts w:hint="default"/>
      </w:rPr>
    </w:lvl>
    <w:lvl w:ilvl="2" w:tentative="0">
      <w:start w:val="1"/>
      <w:numFmt w:val="decimal"/>
      <w:pStyle w:val="5"/>
      <w:lvlText w:val="%1.%2.%3."/>
      <w:lvlJc w:val="left"/>
      <w:pPr>
        <w:ind w:left="1004" w:hanging="720"/>
      </w:pPr>
      <w:rPr>
        <w:rFonts w:hint="default"/>
      </w:rPr>
    </w:lvl>
    <w:lvl w:ilvl="3" w:tentative="0">
      <w:start w:val="1"/>
      <w:numFmt w:val="decimal"/>
      <w:pStyle w:val="6"/>
      <w:lvlText w:val="%1.%2.%3.%4."/>
      <w:lvlJc w:val="left"/>
      <w:pPr>
        <w:ind w:left="864" w:hanging="864"/>
      </w:pPr>
      <w:rPr>
        <w:rFonts w:hint="default"/>
      </w:rPr>
    </w:lvl>
    <w:lvl w:ilvl="4" w:tentative="0">
      <w:start w:val="1"/>
      <w:numFmt w:val="decimal"/>
      <w:lvlText w:val="%1.%2.%3.%4.%5."/>
      <w:lvlJc w:val="left"/>
      <w:pPr>
        <w:ind w:left="1008" w:hanging="1008"/>
      </w:pPr>
      <w:rPr>
        <w:rFonts w:hint="default"/>
      </w:rPr>
    </w:lvl>
    <w:lvl w:ilvl="5" w:tentative="0">
      <w:start w:val="1"/>
      <w:numFmt w:val="decimal"/>
      <w:lvlText w:val="%1.%2.%3.%4.%5.%6."/>
      <w:lvlJc w:val="left"/>
      <w:pPr>
        <w:ind w:left="1151" w:hanging="1151"/>
      </w:pPr>
      <w:rPr>
        <w:rFonts w:hint="default"/>
      </w:rPr>
    </w:lvl>
    <w:lvl w:ilvl="6" w:tentative="0">
      <w:start w:val="1"/>
      <w:numFmt w:val="decimal"/>
      <w:lvlText w:val="%1.%2.%3.%4.%5.%6.%7."/>
      <w:lvlJc w:val="left"/>
      <w:pPr>
        <w:ind w:left="1296" w:hanging="1296"/>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583" w:hanging="1583"/>
      </w:pPr>
      <w:rPr>
        <w:rFonts w:hint="default"/>
      </w:rPr>
    </w:lvl>
  </w:abstractNum>
  <w:num w:numId="1">
    <w:abstractNumId w:val="4"/>
  </w:num>
  <w:num w:numId="2">
    <w:abstractNumId w:val="3"/>
  </w:num>
  <w:num w:numId="3">
    <w:abstractNumId w:val="0"/>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Q0ZTZlNzg3ZTdlMzI2NjA4Yjk1ZTQ1MGViODEzZTEifQ=="/>
    <w:docVar w:name="KSO_WPS_MARK_KEY" w:val="7c2d7fa4-a41b-4dc7-af54-e1ff39e59908"/>
  </w:docVars>
  <w:rsids>
    <w:rsidRoot w:val="00172A27"/>
    <w:rsid w:val="00515C5E"/>
    <w:rsid w:val="012B64AF"/>
    <w:rsid w:val="01611910"/>
    <w:rsid w:val="02C95F7F"/>
    <w:rsid w:val="04444DE3"/>
    <w:rsid w:val="04596941"/>
    <w:rsid w:val="04F96FF0"/>
    <w:rsid w:val="05B7390E"/>
    <w:rsid w:val="067708AA"/>
    <w:rsid w:val="06C6290B"/>
    <w:rsid w:val="0913638B"/>
    <w:rsid w:val="09FA364B"/>
    <w:rsid w:val="0A132AF7"/>
    <w:rsid w:val="0AC97464"/>
    <w:rsid w:val="0ADB7197"/>
    <w:rsid w:val="0B5F2AD8"/>
    <w:rsid w:val="0B726AE8"/>
    <w:rsid w:val="0B81391C"/>
    <w:rsid w:val="0B9E14B9"/>
    <w:rsid w:val="0E265A9B"/>
    <w:rsid w:val="0E892C00"/>
    <w:rsid w:val="0EFB3964"/>
    <w:rsid w:val="12584AF5"/>
    <w:rsid w:val="12B31987"/>
    <w:rsid w:val="155208DB"/>
    <w:rsid w:val="161D6440"/>
    <w:rsid w:val="165F0C7D"/>
    <w:rsid w:val="17625842"/>
    <w:rsid w:val="18F2207B"/>
    <w:rsid w:val="19B40E22"/>
    <w:rsid w:val="1A4603CF"/>
    <w:rsid w:val="1AD324ED"/>
    <w:rsid w:val="1C0B572D"/>
    <w:rsid w:val="1DC30FB3"/>
    <w:rsid w:val="1E42510C"/>
    <w:rsid w:val="1EA83595"/>
    <w:rsid w:val="1ED750EE"/>
    <w:rsid w:val="1F0376D3"/>
    <w:rsid w:val="1F907F3D"/>
    <w:rsid w:val="2141475F"/>
    <w:rsid w:val="23255780"/>
    <w:rsid w:val="23754881"/>
    <w:rsid w:val="23A2296B"/>
    <w:rsid w:val="25E62821"/>
    <w:rsid w:val="25FC529D"/>
    <w:rsid w:val="266C26F1"/>
    <w:rsid w:val="26713DC1"/>
    <w:rsid w:val="27BF0E73"/>
    <w:rsid w:val="28C273E7"/>
    <w:rsid w:val="2ACA6739"/>
    <w:rsid w:val="2DD941CF"/>
    <w:rsid w:val="2F093873"/>
    <w:rsid w:val="30087837"/>
    <w:rsid w:val="300A455D"/>
    <w:rsid w:val="31781D58"/>
    <w:rsid w:val="33DC15AF"/>
    <w:rsid w:val="371D3113"/>
    <w:rsid w:val="3A683CF4"/>
    <w:rsid w:val="3A9B346C"/>
    <w:rsid w:val="3B537F7B"/>
    <w:rsid w:val="3B780251"/>
    <w:rsid w:val="3C9D24B3"/>
    <w:rsid w:val="3CB560C9"/>
    <w:rsid w:val="3DE25B6C"/>
    <w:rsid w:val="3EA7613F"/>
    <w:rsid w:val="3F5E6B71"/>
    <w:rsid w:val="40AC19E7"/>
    <w:rsid w:val="423743B7"/>
    <w:rsid w:val="43AE4585"/>
    <w:rsid w:val="449C68A9"/>
    <w:rsid w:val="479563D8"/>
    <w:rsid w:val="47DB78B4"/>
    <w:rsid w:val="48733E61"/>
    <w:rsid w:val="49EF03EB"/>
    <w:rsid w:val="4A980B2A"/>
    <w:rsid w:val="4B255FC2"/>
    <w:rsid w:val="4BCF3B3E"/>
    <w:rsid w:val="4CD32AA9"/>
    <w:rsid w:val="4DF85023"/>
    <w:rsid w:val="4E1C0E16"/>
    <w:rsid w:val="4E2D31BC"/>
    <w:rsid w:val="4E9C5433"/>
    <w:rsid w:val="4EEA363B"/>
    <w:rsid w:val="50A429EA"/>
    <w:rsid w:val="51E8700C"/>
    <w:rsid w:val="536D491A"/>
    <w:rsid w:val="53A14B90"/>
    <w:rsid w:val="53CC4AFE"/>
    <w:rsid w:val="55425416"/>
    <w:rsid w:val="58DD2056"/>
    <w:rsid w:val="59245C84"/>
    <w:rsid w:val="59351AEA"/>
    <w:rsid w:val="5A186745"/>
    <w:rsid w:val="5B0A40C7"/>
    <w:rsid w:val="5BDE576D"/>
    <w:rsid w:val="5D3F1493"/>
    <w:rsid w:val="5DBE7604"/>
    <w:rsid w:val="5E451AD3"/>
    <w:rsid w:val="5EDB41E5"/>
    <w:rsid w:val="5F335DCF"/>
    <w:rsid w:val="5F6B7317"/>
    <w:rsid w:val="5F814B9F"/>
    <w:rsid w:val="60137700"/>
    <w:rsid w:val="603D7C1F"/>
    <w:rsid w:val="608A1A1F"/>
    <w:rsid w:val="60987E01"/>
    <w:rsid w:val="60F0335E"/>
    <w:rsid w:val="6162509E"/>
    <w:rsid w:val="61F52EFD"/>
    <w:rsid w:val="61F83BB0"/>
    <w:rsid w:val="62056A62"/>
    <w:rsid w:val="63E328F0"/>
    <w:rsid w:val="6548189E"/>
    <w:rsid w:val="665D4972"/>
    <w:rsid w:val="686A13AA"/>
    <w:rsid w:val="68CF0B00"/>
    <w:rsid w:val="6AEF29F4"/>
    <w:rsid w:val="6F914B78"/>
    <w:rsid w:val="71F445C6"/>
    <w:rsid w:val="7265409A"/>
    <w:rsid w:val="72D43E51"/>
    <w:rsid w:val="74F55321"/>
    <w:rsid w:val="75A0287C"/>
    <w:rsid w:val="764A68F5"/>
    <w:rsid w:val="768F78B4"/>
    <w:rsid w:val="76FE7545"/>
    <w:rsid w:val="7718236A"/>
    <w:rsid w:val="771A482C"/>
    <w:rsid w:val="77536C55"/>
    <w:rsid w:val="77552028"/>
    <w:rsid w:val="796523E8"/>
    <w:rsid w:val="79B26B2C"/>
    <w:rsid w:val="79C45B4A"/>
    <w:rsid w:val="79F91226"/>
    <w:rsid w:val="7A6E3E85"/>
    <w:rsid w:val="7CA447A3"/>
    <w:rsid w:val="7D5E0064"/>
    <w:rsid w:val="7D827EEF"/>
    <w:rsid w:val="7DDA4D7B"/>
    <w:rsid w:val="7E5A082B"/>
    <w:rsid w:val="7EA85A3A"/>
    <w:rsid w:val="7F5E7F3E"/>
    <w:rsid w:val="7FBA476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nhideWhenUsed="0" w:uiPriority="9" w:semiHidden="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99"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qFormat="1"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iPriority="99"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99"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adjustRightInd w:val="0"/>
      <w:snapToGrid w:val="0"/>
      <w:spacing w:line="360" w:lineRule="auto"/>
      <w:ind w:firstLine="1446" w:firstLineChars="200"/>
      <w:jc w:val="both"/>
    </w:pPr>
    <w:rPr>
      <w:rFonts w:ascii="Times New Roman" w:hAnsi="Times New Roman" w:eastAsia="宋体" w:cs="Times New Roman"/>
      <w:kern w:val="2"/>
      <w:sz w:val="24"/>
      <w:szCs w:val="21"/>
      <w:lang w:val="en-US" w:eastAsia="zh-CN" w:bidi="ar-SA"/>
    </w:rPr>
  </w:style>
  <w:style w:type="paragraph" w:styleId="3">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paragraph" w:styleId="4">
    <w:name w:val="heading 2"/>
    <w:basedOn w:val="1"/>
    <w:next w:val="1"/>
    <w:qFormat/>
    <w:uiPriority w:val="9"/>
    <w:pPr>
      <w:keepNext/>
      <w:keepLines/>
      <w:widowControl w:val="0"/>
      <w:numPr>
        <w:ilvl w:val="1"/>
        <w:numId w:val="1"/>
      </w:numPr>
      <w:spacing w:line="360" w:lineRule="auto"/>
      <w:ind w:left="575" w:leftChars="0" w:right="0" w:rightChars="0" w:hanging="575" w:firstLineChars="0"/>
      <w:jc w:val="both"/>
      <w:outlineLvl w:val="1"/>
    </w:pPr>
    <w:rPr>
      <w:rFonts w:ascii="Times New Roman" w:hAnsi="Times New Roman" w:eastAsia="宋体" w:cs="Times New Roman"/>
      <w:b/>
      <w:bCs/>
      <w:kern w:val="0"/>
      <w:sz w:val="28"/>
      <w:szCs w:val="32"/>
      <w:lang w:val="en-US" w:eastAsia="zh-CN" w:bidi="ar-SA"/>
    </w:rPr>
  </w:style>
  <w:style w:type="paragraph" w:styleId="5">
    <w:name w:val="heading 3"/>
    <w:basedOn w:val="1"/>
    <w:next w:val="1"/>
    <w:qFormat/>
    <w:uiPriority w:val="9"/>
    <w:pPr>
      <w:keepNext/>
      <w:keepLines/>
      <w:widowControl w:val="0"/>
      <w:numPr>
        <w:ilvl w:val="2"/>
        <w:numId w:val="1"/>
      </w:numPr>
      <w:spacing w:line="360" w:lineRule="auto"/>
      <w:ind w:firstLine="1440" w:firstLineChars="0"/>
      <w:jc w:val="both"/>
      <w:outlineLvl w:val="2"/>
    </w:pPr>
    <w:rPr>
      <w:rFonts w:ascii="Times New Roman" w:hAnsi="Times New Roman" w:eastAsia="宋体" w:cs="Times New Roman"/>
      <w:b/>
      <w:bCs/>
      <w:kern w:val="2"/>
      <w:sz w:val="24"/>
      <w:szCs w:val="32"/>
      <w:lang w:val="en-US" w:eastAsia="zh-CN" w:bidi="ar-SA"/>
    </w:rPr>
  </w:style>
  <w:style w:type="paragraph" w:styleId="6">
    <w:name w:val="heading 4"/>
    <w:next w:val="1"/>
    <w:qFormat/>
    <w:uiPriority w:val="0"/>
    <w:pPr>
      <w:keepNext/>
      <w:keepLines/>
      <w:widowControl w:val="0"/>
      <w:numPr>
        <w:ilvl w:val="3"/>
        <w:numId w:val="1"/>
      </w:numPr>
      <w:spacing w:beforeLines="0" w:beforeAutospacing="0" w:afterLines="0" w:afterAutospacing="0" w:line="360" w:lineRule="auto"/>
      <w:ind w:left="864" w:hanging="864" w:firstLineChars="0"/>
      <w:jc w:val="both"/>
      <w:outlineLvl w:val="3"/>
    </w:pPr>
    <w:rPr>
      <w:rFonts w:ascii="Times New Roman" w:hAnsi="Times New Roman" w:eastAsia="宋体" w:cs="Times New Roman"/>
      <w:b/>
      <w:kern w:val="2"/>
      <w:sz w:val="24"/>
      <w:szCs w:val="24"/>
      <w:lang w:val="en-US" w:eastAsia="zh-CN" w:bidi="ar-SA"/>
    </w:rPr>
  </w:style>
  <w:style w:type="character" w:default="1" w:styleId="25">
    <w:name w:val="Default Paragraph Font"/>
    <w:semiHidden/>
    <w:qFormat/>
    <w:uiPriority w:val="0"/>
  </w:style>
  <w:style w:type="table" w:default="1" w:styleId="23">
    <w:name w:val="Normal Table"/>
    <w:semiHidden/>
    <w:qFormat/>
    <w:uiPriority w:val="0"/>
    <w:tblPr>
      <w:tblCellMar>
        <w:top w:w="0" w:type="dxa"/>
        <w:left w:w="108" w:type="dxa"/>
        <w:bottom w:w="0" w:type="dxa"/>
        <w:right w:w="108" w:type="dxa"/>
      </w:tblCellMar>
    </w:tblPr>
  </w:style>
  <w:style w:type="paragraph" w:styleId="2">
    <w:name w:val="header"/>
    <w:basedOn w:val="1"/>
    <w:next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7">
    <w:name w:val="caption"/>
    <w:next w:val="1"/>
    <w:qFormat/>
    <w:uiPriority w:val="0"/>
    <w:pPr>
      <w:widowControl w:val="0"/>
      <w:spacing w:beforeLines="30" w:line="240" w:lineRule="auto"/>
      <w:ind w:firstLine="0" w:firstLineChars="0"/>
      <w:jc w:val="center"/>
    </w:pPr>
    <w:rPr>
      <w:rFonts w:ascii="Times New Roman" w:hAnsi="Times New Roman" w:eastAsia="宋体" w:cs="Times New Roman"/>
      <w:b/>
      <w:color w:val="000000"/>
      <w:kern w:val="2"/>
      <w:sz w:val="24"/>
      <w:szCs w:val="21"/>
      <w:lang w:val="en-US" w:eastAsia="zh-CN" w:bidi="ar-SA"/>
    </w:rPr>
  </w:style>
  <w:style w:type="paragraph" w:styleId="8">
    <w:name w:val="annotation text"/>
    <w:basedOn w:val="1"/>
    <w:qFormat/>
    <w:uiPriority w:val="0"/>
    <w:pPr>
      <w:jc w:val="left"/>
    </w:pPr>
  </w:style>
  <w:style w:type="paragraph" w:styleId="9">
    <w:name w:val="Body Text"/>
    <w:basedOn w:val="1"/>
    <w:next w:val="10"/>
    <w:qFormat/>
    <w:uiPriority w:val="0"/>
    <w:pPr>
      <w:widowControl/>
      <w:snapToGrid w:val="0"/>
      <w:spacing w:before="60" w:after="160" w:line="259" w:lineRule="auto"/>
      <w:ind w:right="113"/>
    </w:pPr>
    <w:rPr>
      <w:kern w:val="0"/>
      <w:sz w:val="18"/>
      <w:szCs w:val="20"/>
    </w:rPr>
  </w:style>
  <w:style w:type="paragraph" w:customStyle="1" w:styleId="10">
    <w:name w:val="xl27"/>
    <w:basedOn w:val="1"/>
    <w:qFormat/>
    <w:uiPriority w:val="0"/>
    <w:pPr>
      <w:widowControl/>
      <w:pBdr>
        <w:top w:val="single" w:color="auto" w:sz="4" w:space="0"/>
        <w:left w:val="single" w:color="auto" w:sz="8" w:space="0"/>
        <w:bottom w:val="single" w:color="auto" w:sz="4" w:space="0"/>
        <w:right w:val="single" w:color="auto" w:sz="4" w:space="0"/>
      </w:pBdr>
      <w:spacing w:before="100" w:beforeLines="0" w:beforeAutospacing="1" w:after="100" w:afterLines="0" w:afterAutospacing="1"/>
      <w:jc w:val="center"/>
    </w:pPr>
    <w:rPr>
      <w:rFonts w:ascii="新宋体-18030" w:hAnsi="新宋体-18030" w:eastAsia="新宋体-18030" w:cs="新宋体-18030"/>
      <w:kern w:val="0"/>
    </w:rPr>
  </w:style>
  <w:style w:type="paragraph" w:styleId="11">
    <w:name w:val="Body Text Indent"/>
    <w:basedOn w:val="1"/>
    <w:qFormat/>
    <w:uiPriority w:val="0"/>
    <w:pPr>
      <w:widowControl w:val="0"/>
      <w:spacing w:line="640" w:lineRule="exact"/>
      <w:ind w:firstLine="567"/>
      <w:jc w:val="both"/>
    </w:pPr>
    <w:rPr>
      <w:rFonts w:ascii="Times New Roman" w:hAnsi="Times New Roman" w:eastAsia="宋体" w:cs="Times New Roman"/>
      <w:kern w:val="2"/>
      <w:sz w:val="28"/>
      <w:szCs w:val="20"/>
      <w:lang w:val="en-US" w:eastAsia="zh-CN" w:bidi="ar-SA"/>
    </w:rPr>
  </w:style>
  <w:style w:type="paragraph" w:styleId="12">
    <w:name w:val="List Bullet 2"/>
    <w:basedOn w:val="1"/>
    <w:qFormat/>
    <w:uiPriority w:val="0"/>
    <w:pPr>
      <w:numPr>
        <w:ilvl w:val="0"/>
        <w:numId w:val="2"/>
      </w:numPr>
    </w:pPr>
  </w:style>
  <w:style w:type="paragraph" w:styleId="13">
    <w:name w:val="Plain Text"/>
    <w:basedOn w:val="1"/>
    <w:next w:val="1"/>
    <w:qFormat/>
    <w:uiPriority w:val="99"/>
    <w:pPr>
      <w:widowControl w:val="0"/>
      <w:ind w:firstLine="567"/>
      <w:jc w:val="both"/>
    </w:pPr>
    <w:rPr>
      <w:rFonts w:ascii="宋体" w:hAnsi="Courier New" w:eastAsia="宋体" w:cs="Times New Roman"/>
      <w:kern w:val="2"/>
      <w:sz w:val="21"/>
      <w:szCs w:val="21"/>
      <w:lang w:val="en-US" w:eastAsia="zh-CN" w:bidi="ar-SA"/>
    </w:rPr>
  </w:style>
  <w:style w:type="paragraph" w:styleId="14">
    <w:name w:val="Body Text Indent 2"/>
    <w:basedOn w:val="1"/>
    <w:qFormat/>
    <w:uiPriority w:val="0"/>
    <w:pPr>
      <w:spacing w:after="120" w:afterLines="0" w:line="480" w:lineRule="auto"/>
      <w:ind w:left="420" w:leftChars="200"/>
    </w:pPr>
  </w:style>
  <w:style w:type="paragraph" w:styleId="15">
    <w:name w:val="footer"/>
    <w:qFormat/>
    <w:uiPriority w:val="0"/>
    <w:pPr>
      <w:widowControl w:val="0"/>
      <w:tabs>
        <w:tab w:val="center" w:pos="4153"/>
        <w:tab w:val="right" w:pos="8306"/>
      </w:tabs>
      <w:snapToGrid w:val="0"/>
      <w:spacing w:line="360" w:lineRule="auto"/>
      <w:ind w:firstLine="1440" w:firstLineChars="200"/>
      <w:jc w:val="left"/>
    </w:pPr>
    <w:rPr>
      <w:rFonts w:ascii="Times New Roman" w:hAnsi="Times New Roman" w:eastAsia="宋体" w:cs="Times New Roman"/>
      <w:kern w:val="2"/>
      <w:sz w:val="18"/>
      <w:szCs w:val="18"/>
      <w:lang w:val="en-US" w:eastAsia="zh-CN" w:bidi="ar-SA"/>
    </w:rPr>
  </w:style>
  <w:style w:type="paragraph" w:styleId="16">
    <w:name w:val="toc 1"/>
    <w:next w:val="1"/>
    <w:qFormat/>
    <w:uiPriority w:val="39"/>
    <w:pPr>
      <w:widowControl w:val="0"/>
      <w:spacing w:line="360" w:lineRule="auto"/>
      <w:ind w:firstLine="0" w:firstLineChars="0"/>
      <w:jc w:val="both"/>
    </w:pPr>
    <w:rPr>
      <w:rFonts w:ascii="Times New Roman" w:hAnsi="Times New Roman" w:eastAsia="宋体" w:cs="Times New Roman"/>
      <w:kern w:val="2"/>
      <w:sz w:val="24"/>
      <w:szCs w:val="22"/>
      <w:lang w:val="en-US" w:eastAsia="zh-CN" w:bidi="ar-SA"/>
    </w:rPr>
  </w:style>
  <w:style w:type="paragraph" w:styleId="17">
    <w:name w:val="List"/>
    <w:basedOn w:val="1"/>
    <w:next w:val="12"/>
    <w:qFormat/>
    <w:uiPriority w:val="0"/>
    <w:pPr>
      <w:widowControl w:val="0"/>
      <w:spacing w:before="0" w:after="0"/>
      <w:ind w:left="200" w:right="0" w:hanging="200" w:hangingChars="200"/>
      <w:jc w:val="both"/>
    </w:pPr>
    <w:rPr>
      <w:rFonts w:ascii="Times New Roman" w:hAnsi="Times New Roman" w:eastAsia="宋体" w:cs="Times New Roman"/>
      <w:kern w:val="2"/>
      <w:sz w:val="21"/>
      <w:szCs w:val="24"/>
      <w:lang w:val="en-US" w:eastAsia="zh-CN" w:bidi="ar-SA"/>
    </w:rPr>
  </w:style>
  <w:style w:type="paragraph" w:styleId="18">
    <w:name w:val="toc 2"/>
    <w:basedOn w:val="1"/>
    <w:next w:val="1"/>
    <w:qFormat/>
    <w:uiPriority w:val="0"/>
    <w:pPr>
      <w:widowControl w:val="0"/>
      <w:ind w:left="420" w:leftChars="200"/>
      <w:jc w:val="both"/>
    </w:pPr>
    <w:rPr>
      <w:rFonts w:ascii="Calibri" w:hAnsi="Calibri" w:eastAsia="宋体" w:cs="Times New Roman"/>
      <w:kern w:val="2"/>
      <w:sz w:val="21"/>
      <w:szCs w:val="21"/>
      <w:lang w:val="en-US" w:eastAsia="zh-CN" w:bidi="ar-SA"/>
    </w:rPr>
  </w:style>
  <w:style w:type="paragraph" w:styleId="19">
    <w:name w:val="Body Text 2"/>
    <w:qFormat/>
    <w:uiPriority w:val="0"/>
    <w:pPr>
      <w:widowControl w:val="0"/>
      <w:adjustRightInd w:val="0"/>
      <w:snapToGrid w:val="0"/>
      <w:spacing w:line="360" w:lineRule="auto"/>
      <w:jc w:val="both"/>
      <w:textAlignment w:val="baseline"/>
    </w:pPr>
    <w:rPr>
      <w:rFonts w:ascii="Times New Roman" w:hAnsi="Times New Roman" w:eastAsia="宋体" w:cs="Times New Roman"/>
      <w:kern w:val="2"/>
      <w:sz w:val="24"/>
      <w:szCs w:val="24"/>
      <w:lang w:val="en-US" w:eastAsia="zh-CN" w:bidi="ar-SA"/>
    </w:rPr>
  </w:style>
  <w:style w:type="paragraph" w:styleId="20">
    <w:name w:val="Normal (Web)"/>
    <w:basedOn w:val="1"/>
    <w:qFormat/>
    <w:uiPriority w:val="0"/>
    <w:pPr>
      <w:widowControl/>
      <w:spacing w:before="100" w:beforeAutospacing="1" w:after="100" w:afterAutospacing="1"/>
      <w:jc w:val="left"/>
    </w:pPr>
    <w:rPr>
      <w:rFonts w:ascii="宋体" w:hAnsi="宋体" w:eastAsia="宋体" w:cs="Times New Roman"/>
      <w:kern w:val="0"/>
      <w:sz w:val="24"/>
      <w:szCs w:val="20"/>
      <w:lang w:val="en-US" w:eastAsia="zh-CN" w:bidi="ar-SA"/>
    </w:rPr>
  </w:style>
  <w:style w:type="paragraph" w:styleId="21">
    <w:name w:val="Body Text First Indent"/>
    <w:basedOn w:val="1"/>
    <w:next w:val="22"/>
    <w:unhideWhenUsed/>
    <w:qFormat/>
    <w:uiPriority w:val="99"/>
    <w:pPr>
      <w:adjustRightInd w:val="0"/>
      <w:snapToGrid w:val="0"/>
      <w:spacing w:after="200" w:line="360" w:lineRule="auto"/>
      <w:ind w:firstLine="200" w:firstLineChars="200"/>
    </w:pPr>
    <w:rPr>
      <w:rFonts w:ascii="Tahoma" w:hAnsi="Tahoma" w:eastAsia="微软雅黑" w:cs="Times New Roman"/>
      <w:sz w:val="24"/>
      <w:szCs w:val="20"/>
      <w:lang w:val="en-US" w:eastAsia="zh-CN" w:bidi="ar-SA"/>
    </w:rPr>
  </w:style>
  <w:style w:type="paragraph" w:styleId="22">
    <w:name w:val="Body Text First Indent 2"/>
    <w:basedOn w:val="11"/>
    <w:next w:val="21"/>
    <w:qFormat/>
    <w:uiPriority w:val="0"/>
    <w:pPr>
      <w:widowControl w:val="0"/>
      <w:spacing w:line="640" w:lineRule="exact"/>
      <w:ind w:firstLine="420" w:firstLineChars="200"/>
      <w:jc w:val="both"/>
    </w:pPr>
    <w:rPr>
      <w:rFonts w:ascii="Times New Roman" w:hAnsi="Times New Roman" w:eastAsia="宋体" w:cs="Times New Roman"/>
      <w:kern w:val="2"/>
      <w:sz w:val="28"/>
      <w:szCs w:val="20"/>
      <w:lang w:val="en-US" w:eastAsia="zh-CN" w:bidi="ar-SA"/>
    </w:rPr>
  </w:style>
  <w:style w:type="table" w:styleId="24">
    <w:name w:val="Table Grid"/>
    <w:basedOn w:val="2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6">
    <w:name w:val="Hyperlink"/>
    <w:basedOn w:val="25"/>
    <w:qFormat/>
    <w:uiPriority w:val="0"/>
    <w:rPr>
      <w:color w:val="0000FF"/>
      <w:u w:val="single"/>
    </w:rPr>
  </w:style>
  <w:style w:type="character" w:styleId="27">
    <w:name w:val="annotation reference"/>
    <w:qFormat/>
    <w:uiPriority w:val="99"/>
    <w:rPr>
      <w:sz w:val="21"/>
      <w:szCs w:val="21"/>
    </w:rPr>
  </w:style>
  <w:style w:type="paragraph" w:customStyle="1" w:styleId="28">
    <w:name w:val="Default"/>
    <w:basedOn w:val="29"/>
    <w:next w:val="17"/>
    <w:qFormat/>
    <w:uiPriority w:val="0"/>
    <w:pPr>
      <w:widowControl w:val="0"/>
      <w:autoSpaceDE w:val="0"/>
      <w:autoSpaceDN w:val="0"/>
      <w:adjustRightInd w:val="0"/>
    </w:pPr>
    <w:rPr>
      <w:rFonts w:ascii="黑体" w:hAnsi="Calibri" w:eastAsia="黑体" w:cs="黑体"/>
      <w:color w:val="000000"/>
      <w:sz w:val="24"/>
      <w:szCs w:val="24"/>
      <w:lang w:val="en-US" w:eastAsia="zh-CN" w:bidi="ar-SA"/>
    </w:rPr>
  </w:style>
  <w:style w:type="paragraph" w:customStyle="1" w:styleId="29">
    <w:name w:val="纯文本1"/>
    <w:basedOn w:val="1"/>
    <w:qFormat/>
    <w:uiPriority w:val="0"/>
    <w:rPr>
      <w:rFonts w:hint="eastAsia" w:ascii="宋体" w:hAnsi="Courier New"/>
    </w:rPr>
  </w:style>
  <w:style w:type="paragraph" w:customStyle="1" w:styleId="30">
    <w:name w:val="Default1"/>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paragraph" w:customStyle="1" w:styleId="31">
    <w:name w:val="样式 标题 2 +"/>
    <w:qFormat/>
    <w:uiPriority w:val="0"/>
    <w:pPr>
      <w:keepNext/>
      <w:keepLines/>
      <w:widowControl w:val="0"/>
      <w:numPr>
        <w:ilvl w:val="1"/>
        <w:numId w:val="1"/>
      </w:numPr>
      <w:spacing w:line="240" w:lineRule="auto"/>
      <w:ind w:left="575" w:leftChars="0" w:right="0" w:rightChars="0" w:hanging="575" w:firstLineChars="0"/>
      <w:jc w:val="both"/>
      <w:outlineLvl w:val="1"/>
    </w:pPr>
    <w:rPr>
      <w:rFonts w:ascii="Times New Roman" w:hAnsi="Times New Roman" w:eastAsia="宋体" w:cs="Times New Roman"/>
      <w:b/>
      <w:bCs/>
      <w:kern w:val="2"/>
      <w:sz w:val="28"/>
      <w:szCs w:val="32"/>
      <w:lang w:val="en-US" w:eastAsia="zh-CN" w:bidi="ar-SA"/>
    </w:rPr>
  </w:style>
  <w:style w:type="paragraph" w:customStyle="1" w:styleId="32">
    <w:name w:val="表格内文字"/>
    <w:qFormat/>
    <w:uiPriority w:val="0"/>
    <w:pPr>
      <w:widowControl w:val="0"/>
      <w:tabs>
        <w:tab w:val="left" w:pos="0"/>
      </w:tabs>
      <w:adjustRightInd w:val="0"/>
      <w:snapToGrid w:val="0"/>
      <w:spacing w:line="240" w:lineRule="auto"/>
      <w:ind w:firstLine="0" w:firstLineChars="0"/>
      <w:jc w:val="center"/>
    </w:pPr>
    <w:rPr>
      <w:rFonts w:ascii="仿宋_GB2312" w:hAnsi="Times New Roman" w:eastAsia="仿宋_GB2312" w:cs="Times New Roman"/>
      <w:kern w:val="2"/>
      <w:sz w:val="24"/>
      <w:szCs w:val="24"/>
      <w:lang w:val="en-US" w:eastAsia="zh-CN" w:bidi="ar-SA"/>
    </w:rPr>
  </w:style>
  <w:style w:type="paragraph" w:customStyle="1" w:styleId="33">
    <w:name w:val="报告书正文"/>
    <w:qFormat/>
    <w:uiPriority w:val="0"/>
    <w:pPr>
      <w:widowControl w:val="0"/>
      <w:spacing w:line="300" w:lineRule="auto"/>
      <w:ind w:firstLine="200" w:firstLineChars="200"/>
      <w:jc w:val="both"/>
    </w:pPr>
    <w:rPr>
      <w:rFonts w:ascii="Calibri" w:hAnsi="Calibri" w:eastAsia="宋体" w:cs="Times New Roman"/>
      <w:kern w:val="2"/>
      <w:sz w:val="24"/>
      <w:szCs w:val="21"/>
      <w:lang w:val="en-US" w:eastAsia="zh-CN" w:bidi="ar-SA"/>
    </w:rPr>
  </w:style>
  <w:style w:type="paragraph" w:customStyle="1" w:styleId="34">
    <w:name w:val="aa正文aa"/>
    <w:qFormat/>
    <w:uiPriority w:val="0"/>
    <w:pPr>
      <w:widowControl w:val="0"/>
      <w:snapToGrid w:val="0"/>
      <w:spacing w:line="360" w:lineRule="auto"/>
      <w:ind w:firstLine="200" w:firstLineChars="200"/>
      <w:jc w:val="left"/>
      <w:textAlignment w:val="auto"/>
    </w:pPr>
    <w:rPr>
      <w:rFonts w:ascii="Times New Roman" w:hAnsi="Times New Roman" w:eastAsia="宋体" w:cs="Arial"/>
      <w:kern w:val="2"/>
      <w:sz w:val="24"/>
      <w:szCs w:val="24"/>
      <w:lang w:val="en-US" w:eastAsia="zh-CN" w:bidi="ar-SA"/>
    </w:rPr>
  </w:style>
  <w:style w:type="paragraph" w:customStyle="1" w:styleId="35">
    <w:name w:val="_Style 2"/>
    <w:qFormat/>
    <w:uiPriority w:val="0"/>
    <w:pPr>
      <w:widowControl w:val="0"/>
      <w:spacing w:line="380" w:lineRule="exact"/>
      <w:jc w:val="center"/>
    </w:pPr>
    <w:rPr>
      <w:rFonts w:ascii="Times New Roman" w:hAnsi="Times New Roman" w:eastAsia="宋体" w:cs="Times New Roman"/>
      <w:kern w:val="2"/>
      <w:sz w:val="21"/>
      <w:szCs w:val="22"/>
      <w:lang w:val="en-US" w:eastAsia="zh-CN" w:bidi="ar-SA"/>
    </w:rPr>
  </w:style>
  <w:style w:type="paragraph" w:customStyle="1" w:styleId="36">
    <w:name w:val="+"/>
    <w:link w:val="37"/>
    <w:qFormat/>
    <w:uiPriority w:val="0"/>
    <w:pPr>
      <w:widowControl w:val="0"/>
      <w:adjustRightInd w:val="0"/>
      <w:snapToGrid w:val="0"/>
      <w:spacing w:line="360" w:lineRule="auto"/>
      <w:ind w:firstLine="420" w:firstLineChars="200"/>
      <w:jc w:val="left"/>
    </w:pPr>
    <w:rPr>
      <w:rFonts w:ascii="Times New Roman" w:hAnsi="Times New Roman" w:eastAsia="宋体" w:cs="Times New Roman"/>
      <w:kern w:val="0"/>
      <w:sz w:val="24"/>
      <w:szCs w:val="24"/>
      <w:lang w:val="en-US" w:eastAsia="zh-CN" w:bidi="ar-SA"/>
    </w:rPr>
  </w:style>
  <w:style w:type="character" w:customStyle="1" w:styleId="37">
    <w:name w:val="+ Char"/>
    <w:link w:val="36"/>
    <w:qFormat/>
    <w:uiPriority w:val="0"/>
    <w:rPr>
      <w:rFonts w:ascii="Times New Roman" w:hAnsi="Times New Roman" w:eastAsia="宋体" w:cs="Times New Roman"/>
      <w:kern w:val="0"/>
      <w:sz w:val="24"/>
      <w:szCs w:val="24"/>
      <w:lang w:val="en-US" w:eastAsia="zh-CN" w:bidi="ar-SA"/>
    </w:rPr>
  </w:style>
  <w:style w:type="paragraph" w:customStyle="1" w:styleId="38">
    <w:name w:val="BT"/>
    <w:qFormat/>
    <w:uiPriority w:val="0"/>
    <w:pPr>
      <w:widowControl w:val="0"/>
      <w:adjustRightInd w:val="0"/>
      <w:snapToGrid w:val="0"/>
      <w:jc w:val="center"/>
    </w:pPr>
    <w:rPr>
      <w:rFonts w:ascii="Times New Roman" w:hAnsi="Times New Roman" w:eastAsia="宋体" w:cs="Times New Roman"/>
      <w:b/>
      <w:kern w:val="0"/>
      <w:sz w:val="24"/>
      <w:szCs w:val="20"/>
      <w:lang w:val="en-US" w:eastAsia="zh-CN" w:bidi="ar-SA"/>
    </w:rPr>
  </w:style>
  <w:style w:type="paragraph" w:customStyle="1" w:styleId="39">
    <w:name w:val="Table Paragraph"/>
    <w:qFormat/>
    <w:uiPriority w:val="1"/>
    <w:pPr>
      <w:widowControl w:val="0"/>
      <w:autoSpaceDE w:val="0"/>
      <w:autoSpaceDN w:val="0"/>
      <w:adjustRightInd w:val="0"/>
      <w:spacing w:line="240" w:lineRule="auto"/>
      <w:ind w:firstLine="0" w:firstLineChars="0"/>
      <w:jc w:val="left"/>
    </w:pPr>
    <w:rPr>
      <w:rFonts w:ascii="Times New Roman" w:hAnsi="Times New Roman" w:eastAsia="宋体" w:cs="Times New Roman"/>
      <w:kern w:val="0"/>
      <w:sz w:val="24"/>
      <w:szCs w:val="24"/>
      <w:lang w:val="en-US" w:eastAsia="zh-CN" w:bidi="ar-SA"/>
    </w:rPr>
  </w:style>
  <w:style w:type="paragraph" w:customStyle="1" w:styleId="40">
    <w:name w:val="表格"/>
    <w:basedOn w:val="41"/>
    <w:next w:val="1"/>
    <w:qFormat/>
    <w:uiPriority w:val="0"/>
    <w:pPr>
      <w:widowControl w:val="0"/>
      <w:tabs>
        <w:tab w:val="right" w:pos="0"/>
      </w:tabs>
      <w:adjustRightInd w:val="0"/>
      <w:snapToGrid w:val="0"/>
      <w:spacing w:beforeLines="10" w:afterLines="10" w:line="259" w:lineRule="auto"/>
      <w:jc w:val="center"/>
    </w:pPr>
    <w:rPr>
      <w:rFonts w:ascii="宋体" w:hAnsi="Times New Roman" w:eastAsia="宋体" w:cs="Times New Roman"/>
      <w:kern w:val="0"/>
      <w:sz w:val="21"/>
      <w:szCs w:val="20"/>
      <w:lang w:val="en-US" w:eastAsia="zh-CN" w:bidi="ar-SA"/>
    </w:rPr>
  </w:style>
  <w:style w:type="paragraph" w:customStyle="1" w:styleId="41">
    <w:name w:val="表题"/>
    <w:basedOn w:val="1"/>
    <w:qFormat/>
    <w:uiPriority w:val="0"/>
    <w:pPr>
      <w:tabs>
        <w:tab w:val="right" w:pos="0"/>
      </w:tabs>
      <w:adjustRightInd w:val="0"/>
      <w:snapToGrid w:val="0"/>
      <w:ind w:firstLine="0"/>
      <w:jc w:val="center"/>
    </w:pPr>
    <w:rPr>
      <w:rFonts w:ascii="宋体" w:hAnsi="宋体"/>
      <w:b/>
      <w:spacing w:val="12"/>
      <w:sz w:val="24"/>
      <w:szCs w:val="24"/>
    </w:rPr>
  </w:style>
  <w:style w:type="table" w:customStyle="1" w:styleId="42">
    <w:name w:val="网格型1"/>
    <w:qFormat/>
    <w:uiPriority w:val="39"/>
    <w:rPr>
      <w:rFonts w:ascii="Calibri" w:hAnsi="Calibri"/>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43">
    <w:name w:val="font01"/>
    <w:basedOn w:val="25"/>
    <w:qFormat/>
    <w:uiPriority w:val="0"/>
    <w:rPr>
      <w:rFonts w:hint="default" w:ascii="Times New Roman" w:hAnsi="Times New Roman" w:cs="Times New Roman"/>
      <w:color w:val="000000"/>
      <w:sz w:val="22"/>
      <w:szCs w:val="22"/>
      <w:u w:val="none"/>
      <w:vertAlign w:val="superscript"/>
    </w:rPr>
  </w:style>
  <w:style w:type="paragraph" w:customStyle="1" w:styleId="44">
    <w:name w:val="正文1"/>
    <w:qFormat/>
    <w:uiPriority w:val="0"/>
    <w:pPr>
      <w:widowControl w:val="0"/>
      <w:adjustRightInd w:val="0"/>
      <w:spacing w:line="315" w:lineRule="atLeast"/>
      <w:jc w:val="both"/>
      <w:textAlignment w:val="baseline"/>
    </w:pPr>
    <w:rPr>
      <w:rFonts w:ascii="宋体" w:hAnsi="Times New Roman" w:eastAsia="宋体" w:cs="Times New Roman"/>
      <w:sz w:val="24"/>
      <w:lang w:val="en-US" w:eastAsia="zh-CN" w:bidi="ar-SA"/>
    </w:rPr>
  </w:style>
  <w:style w:type="paragraph" w:customStyle="1" w:styleId="45">
    <w:name w:val="样式 小四 行距: 1.5 倍行距"/>
    <w:qFormat/>
    <w:uiPriority w:val="0"/>
    <w:pPr>
      <w:widowControl w:val="0"/>
      <w:ind w:firstLine="480" w:firstLineChars="200"/>
      <w:jc w:val="both"/>
    </w:pPr>
    <w:rPr>
      <w:rFonts w:hint="default" w:ascii="Times New Roman" w:hAnsi="Times New Roman" w:eastAsia="宋体" w:cs="宋体"/>
      <w:kern w:val="2"/>
      <w:sz w:val="24"/>
      <w:lang w:val="en-US" w:eastAsia="zh-CN" w:bidi="ar-SA"/>
    </w:rPr>
  </w:style>
  <w:style w:type="paragraph" w:customStyle="1" w:styleId="46">
    <w:name w:val="表标题"/>
    <w:next w:val="40"/>
    <w:qFormat/>
    <w:uiPriority w:val="0"/>
    <w:pPr>
      <w:widowControl w:val="0"/>
      <w:jc w:val="center"/>
    </w:pPr>
    <w:rPr>
      <w:rFonts w:ascii="Times New Roman" w:hAnsi="Times New Roman" w:eastAsia="宋体" w:cs="Times New Roman"/>
      <w:b/>
      <w:kern w:val="0"/>
      <w:sz w:val="20"/>
      <w:szCs w:val="20"/>
      <w:lang w:val="en-US" w:eastAsia="zh-CN" w:bidi="ar-SA"/>
    </w:rPr>
  </w:style>
  <w:style w:type="paragraph" w:customStyle="1" w:styleId="47">
    <w:name w:val="表头"/>
    <w:next w:val="40"/>
    <w:qFormat/>
    <w:uiPriority w:val="0"/>
    <w:pPr>
      <w:widowControl w:val="0"/>
      <w:adjustRightInd w:val="0"/>
      <w:snapToGrid w:val="0"/>
      <w:spacing w:line="240" w:lineRule="auto"/>
      <w:jc w:val="center"/>
      <w:textAlignment w:val="baseline"/>
    </w:pPr>
    <w:rPr>
      <w:rFonts w:ascii="Times New Roman" w:hAnsi="Times New Roman" w:eastAsia="宋体" w:cs="Times New Roman"/>
      <w:spacing w:val="-10"/>
      <w:kern w:val="0"/>
      <w:sz w:val="24"/>
      <w:szCs w:val="20"/>
      <w:lang w:val="en-US" w:eastAsia="zh-CN" w:bidi="ar-SA"/>
    </w:rPr>
  </w:style>
  <w:style w:type="paragraph" w:customStyle="1" w:styleId="48">
    <w:name w:val="样式 表格 32 + 首行缩进:  2 字符"/>
    <w:qFormat/>
    <w:uiPriority w:val="0"/>
    <w:pPr>
      <w:widowControl w:val="0"/>
      <w:autoSpaceDE w:val="0"/>
      <w:autoSpaceDN w:val="0"/>
      <w:adjustRightInd w:val="0"/>
      <w:spacing w:line="0" w:lineRule="atLeast"/>
      <w:jc w:val="center"/>
      <w:textAlignment w:val="baseline"/>
    </w:pPr>
    <w:rPr>
      <w:rFonts w:ascii="Times New Roman" w:hAnsi="Times New Roman" w:eastAsia="宋体" w:cs="宋体"/>
      <w:kern w:val="0"/>
      <w:sz w:val="21"/>
      <w:szCs w:val="21"/>
      <w:lang w:val="en-US" w:eastAsia="zh-CN" w:bidi="ar-SA"/>
    </w:rPr>
  </w:style>
  <w:style w:type="paragraph" w:customStyle="1" w:styleId="49">
    <w:name w:val="表格 32"/>
    <w:qFormat/>
    <w:uiPriority w:val="0"/>
    <w:pPr>
      <w:widowControl w:val="0"/>
      <w:autoSpaceDE w:val="0"/>
      <w:autoSpaceDN w:val="0"/>
      <w:adjustRightInd w:val="0"/>
      <w:jc w:val="center"/>
      <w:textAlignment w:val="baseline"/>
    </w:pPr>
    <w:rPr>
      <w:rFonts w:ascii="宋体" w:hAnsi="Impact" w:eastAsia="宋体" w:cs="Times New Roman"/>
      <w:kern w:val="24"/>
      <w:sz w:val="24"/>
      <w:szCs w:val="20"/>
      <w:lang w:val="en-US" w:eastAsia="zh-CN" w:bidi="ar-SA"/>
    </w:rPr>
  </w:style>
  <w:style w:type="character" w:customStyle="1" w:styleId="50">
    <w:name w:val="font31"/>
    <w:basedOn w:val="25"/>
    <w:qFormat/>
    <w:uiPriority w:val="0"/>
    <w:rPr>
      <w:rFonts w:hint="default" w:ascii="Times New Roman" w:hAnsi="Times New Roman" w:cs="Times New Roman"/>
      <w:color w:val="FF0000"/>
      <w:sz w:val="21"/>
      <w:szCs w:val="21"/>
      <w:u w:val="none"/>
      <w:vertAlign w:val="superscript"/>
    </w:rPr>
  </w:style>
  <w:style w:type="character" w:customStyle="1" w:styleId="51">
    <w:name w:val="font21"/>
    <w:basedOn w:val="25"/>
    <w:qFormat/>
    <w:uiPriority w:val="0"/>
    <w:rPr>
      <w:rFonts w:hint="default" w:ascii="Times New Roman" w:hAnsi="Times New Roman" w:cs="Times New Roman"/>
      <w:color w:val="FF0000"/>
      <w:sz w:val="21"/>
      <w:szCs w:val="21"/>
      <w:u w:val="none"/>
    </w:rPr>
  </w:style>
  <w:style w:type="character" w:customStyle="1" w:styleId="52">
    <w:name w:val="font11"/>
    <w:basedOn w:val="25"/>
    <w:qFormat/>
    <w:uiPriority w:val="0"/>
    <w:rPr>
      <w:rFonts w:hint="eastAsia" w:ascii="宋体" w:hAnsi="宋体" w:eastAsia="宋体" w:cs="宋体"/>
      <w:color w:val="FF0000"/>
      <w:sz w:val="21"/>
      <w:szCs w:val="21"/>
      <w:u w:val="none"/>
    </w:rPr>
  </w:style>
  <w:style w:type="paragraph" w:customStyle="1" w:styleId="53">
    <w:name w:val="表头 1"/>
    <w:next w:val="1"/>
    <w:qFormat/>
    <w:uiPriority w:val="0"/>
    <w:pPr>
      <w:widowControl w:val="0"/>
      <w:adjustRightInd w:val="0"/>
      <w:snapToGrid w:val="0"/>
      <w:jc w:val="center"/>
    </w:pPr>
    <w:rPr>
      <w:rFonts w:ascii="Times New Roman" w:hAnsi="Times New Roman" w:eastAsia="宋体" w:cs="Times New Roman"/>
      <w:b/>
      <w:kern w:val="2"/>
      <w:sz w:val="24"/>
      <w:szCs w:val="24"/>
      <w:lang w:val="en-US" w:eastAsia="zh-CN" w:bidi="ar-SA"/>
    </w:rPr>
  </w:style>
  <w:style w:type="paragraph" w:customStyle="1" w:styleId="54">
    <w:name w:val="表格字体"/>
    <w:qFormat/>
    <w:uiPriority w:val="0"/>
    <w:pPr>
      <w:widowControl w:val="0"/>
      <w:adjustRightInd w:val="0"/>
      <w:snapToGrid w:val="0"/>
      <w:spacing w:line="240" w:lineRule="exact"/>
      <w:jc w:val="center"/>
    </w:pPr>
    <w:rPr>
      <w:rFonts w:ascii="Times New Roman" w:hAnsi="Times New Roman" w:eastAsia="宋体" w:cs="Times New Roman"/>
      <w:kern w:val="2"/>
      <w:sz w:val="21"/>
      <w:szCs w:val="21"/>
      <w:lang w:val="en-US" w:eastAsia="zh-CN" w:bidi="ar-SA"/>
    </w:rPr>
  </w:style>
  <w:style w:type="paragraph" w:customStyle="1" w:styleId="55">
    <w:name w:val="表格字体1"/>
    <w:qFormat/>
    <w:uiPriority w:val="0"/>
    <w:pPr>
      <w:widowControl/>
      <w:adjustRightInd w:val="0"/>
      <w:snapToGrid w:val="0"/>
      <w:spacing w:before="48" w:beforeLines="20" w:after="48" w:afterLines="20"/>
      <w:jc w:val="center"/>
    </w:pPr>
    <w:rPr>
      <w:rFonts w:ascii="Times New Roman" w:hAnsi="Times New Roman" w:eastAsia="宋体" w:cs="Times New Roman"/>
      <w:color w:val="000000"/>
      <w:kern w:val="0"/>
      <w:sz w:val="21"/>
      <w:szCs w:val="21"/>
      <w:lang w:val="en-US" w:eastAsia="zh-CN" w:bidi="ar-SA"/>
    </w:rPr>
  </w:style>
  <w:style w:type="paragraph" w:customStyle="1" w:styleId="56">
    <w:name w:val="卓龙正文"/>
    <w:basedOn w:val="1"/>
    <w:qFormat/>
    <w:uiPriority w:val="0"/>
    <w:pPr>
      <w:spacing w:line="360" w:lineRule="auto"/>
      <w:ind w:firstLine="200" w:firstLineChars="200"/>
    </w:pPr>
    <w:rPr>
      <w:sz w:val="24"/>
      <w:szCs w:val="24"/>
    </w:rPr>
  </w:style>
  <w:style w:type="paragraph" w:customStyle="1" w:styleId="57">
    <w:name w:val="标准正文"/>
    <w:qFormat/>
    <w:uiPriority w:val="0"/>
    <w:pPr>
      <w:widowControl w:val="0"/>
      <w:adjustRightInd w:val="0"/>
      <w:snapToGrid w:val="0"/>
      <w:spacing w:line="540" w:lineRule="exact"/>
      <w:ind w:firstLine="480" w:firstLineChars="200"/>
      <w:jc w:val="both"/>
    </w:pPr>
    <w:rPr>
      <w:rFonts w:ascii="Times New Roman" w:hAnsi="Times New Roman" w:eastAsia="宋体" w:cs="Times New Roman"/>
      <w:bCs/>
      <w:kern w:val="2"/>
      <w:sz w:val="24"/>
      <w:szCs w:val="24"/>
      <w:lang w:val="en-US" w:eastAsia="zh-CN" w:bidi="ar-SA"/>
    </w:rPr>
  </w:style>
  <w:style w:type="paragraph" w:customStyle="1" w:styleId="58">
    <w:name w:val="ctrl+~  正文"/>
    <w:qFormat/>
    <w:uiPriority w:val="0"/>
    <w:pPr>
      <w:widowControl w:val="0"/>
      <w:spacing w:line="480" w:lineRule="exact"/>
      <w:ind w:firstLine="480" w:firstLineChars="200"/>
      <w:jc w:val="both"/>
    </w:pPr>
    <w:rPr>
      <w:rFonts w:ascii="Times New Roman" w:hAnsi="Times New Roman" w:eastAsia="Times New Roman" w:cs="Times New Roman"/>
      <w:kern w:val="2"/>
      <w:sz w:val="21"/>
      <w:szCs w:val="24"/>
      <w:lang w:val="en-US" w:eastAsia="zh-CN" w:bidi="ar-SA"/>
    </w:rPr>
  </w:style>
  <w:style w:type="paragraph" w:customStyle="1" w:styleId="59">
    <w:name w:val="表格文字"/>
    <w:basedOn w:val="1"/>
    <w:qFormat/>
    <w:uiPriority w:val="0"/>
    <w:pPr>
      <w:spacing w:line="240" w:lineRule="auto"/>
      <w:ind w:firstLine="0" w:firstLineChars="0"/>
      <w:jc w:val="center"/>
    </w:pPr>
    <w:rPr>
      <w:rFonts w:ascii="Times New Roman" w:hAnsi="Times New Roman"/>
      <w:sz w:val="21"/>
    </w:rPr>
  </w:style>
  <w:style w:type="paragraph" w:customStyle="1" w:styleId="60">
    <w:name w:val="表内-文字"/>
    <w:basedOn w:val="1"/>
    <w:qFormat/>
    <w:uiPriority w:val="99"/>
    <w:pPr>
      <w:spacing w:line="240" w:lineRule="auto"/>
      <w:ind w:firstLine="0" w:firstLineChars="0"/>
      <w:jc w:val="center"/>
    </w:pPr>
    <w:rPr>
      <w:rFonts w:ascii="Times New Roman" w:hAnsi="Times New Roman" w:cs="宋体"/>
      <w:bCs/>
      <w:color w:val="000000"/>
      <w:sz w:val="21"/>
      <w:szCs w:val="21"/>
    </w:rPr>
  </w:style>
  <w:style w:type="paragraph" w:customStyle="1" w:styleId="61">
    <w:name w:val="表格内容"/>
    <w:basedOn w:val="1"/>
    <w:qFormat/>
    <w:uiPriority w:val="0"/>
    <w:pPr>
      <w:widowControl/>
      <w:tabs>
        <w:tab w:val="left" w:pos="192"/>
      </w:tabs>
      <w:adjustRightInd w:val="0"/>
      <w:snapToGrid w:val="0"/>
      <w:spacing w:line="360" w:lineRule="exact"/>
      <w:jc w:val="center"/>
    </w:pPr>
    <w:rPr>
      <w:rFonts w:cs="宋体"/>
      <w:iCs/>
      <w:kern w:val="0"/>
      <w:sz w:val="20"/>
    </w:rPr>
  </w:style>
  <w:style w:type="paragraph" w:customStyle="1" w:styleId="62">
    <w:name w:val="表"/>
    <w:basedOn w:val="1"/>
    <w:qFormat/>
    <w:uiPriority w:val="0"/>
    <w:pPr>
      <w:snapToGrid w:val="0"/>
      <w:jc w:val="center"/>
    </w:pPr>
    <w:rPr>
      <w:spacing w:val="2"/>
      <w:szCs w:val="20"/>
    </w:rPr>
  </w:style>
  <w:style w:type="paragraph" w:customStyle="1" w:styleId="63">
    <w:name w:val="Char Char1 Char"/>
    <w:basedOn w:val="1"/>
    <w:qFormat/>
    <w:uiPriority w:val="0"/>
    <w:rPr>
      <w:sz w:val="21"/>
    </w:rPr>
  </w:style>
  <w:style w:type="paragraph" w:customStyle="1" w:styleId="64">
    <w:name w:val="报告表表内容"/>
    <w:basedOn w:val="1"/>
    <w:qFormat/>
    <w:uiPriority w:val="0"/>
    <w:pPr>
      <w:spacing w:line="300" w:lineRule="exact"/>
      <w:ind w:firstLine="0" w:firstLineChars="0"/>
      <w:jc w:val="center"/>
    </w:pPr>
    <w:rPr>
      <w:rFonts w:ascii="宋体" w:hAnsi="宋体"/>
      <w:sz w:val="21"/>
    </w:rPr>
  </w:style>
  <w:style w:type="paragraph" w:customStyle="1" w:styleId="65">
    <w:name w:val="UserStyle_0"/>
    <w:qFormat/>
    <w:uiPriority w:val="0"/>
    <w:pPr>
      <w:widowControl w:val="0"/>
      <w:snapToGrid w:val="0"/>
      <w:spacing w:line="480" w:lineRule="exact"/>
      <w:jc w:val="both"/>
    </w:pPr>
    <w:rPr>
      <w:rFonts w:ascii="Calibri" w:hAnsi="Calibri" w:eastAsia="宋体" w:cs="Times New Roman"/>
      <w:kern w:val="2"/>
      <w:sz w:val="24"/>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4" Type="http://schemas.openxmlformats.org/officeDocument/2006/relationships/fontTable" Target="fontTable.xml"/><Relationship Id="rId33" Type="http://schemas.openxmlformats.org/officeDocument/2006/relationships/numbering" Target="numbering.xml"/><Relationship Id="rId32" Type="http://schemas.openxmlformats.org/officeDocument/2006/relationships/customXml" Target="../customXml/item1.xml"/><Relationship Id="rId31" Type="http://schemas.openxmlformats.org/officeDocument/2006/relationships/image" Target="media/image19.jpeg"/><Relationship Id="rId30" Type="http://schemas.openxmlformats.org/officeDocument/2006/relationships/image" Target="media/image18.png"/><Relationship Id="rId3" Type="http://schemas.openxmlformats.org/officeDocument/2006/relationships/footnotes" Target="footnotes.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wmf"/><Relationship Id="rId22" Type="http://schemas.openxmlformats.org/officeDocument/2006/relationships/oleObject" Target="embeddings/oleObject5.bin"/><Relationship Id="rId21" Type="http://schemas.openxmlformats.org/officeDocument/2006/relationships/image" Target="media/image10.wmf"/><Relationship Id="rId20" Type="http://schemas.openxmlformats.org/officeDocument/2006/relationships/oleObject" Target="embeddings/oleObject4.bin"/><Relationship Id="rId2" Type="http://schemas.openxmlformats.org/officeDocument/2006/relationships/settings" Target="settings.xml"/><Relationship Id="rId19" Type="http://schemas.openxmlformats.org/officeDocument/2006/relationships/image" Target="media/image9.wmf"/><Relationship Id="rId18" Type="http://schemas.openxmlformats.org/officeDocument/2006/relationships/oleObject" Target="embeddings/oleObject3.bin"/><Relationship Id="rId17" Type="http://schemas.openxmlformats.org/officeDocument/2006/relationships/image" Target="media/image8.wmf"/><Relationship Id="rId16" Type="http://schemas.openxmlformats.org/officeDocument/2006/relationships/oleObject" Target="embeddings/oleObject2.bin"/><Relationship Id="rId15" Type="http://schemas.openxmlformats.org/officeDocument/2006/relationships/image" Target="media/image7.emf"/><Relationship Id="rId14" Type="http://schemas.openxmlformats.org/officeDocument/2006/relationships/oleObject" Target="embeddings/oleObject1.bin"/><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jpe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ops>
  <customShpExts>
    <customShpInfo spid="_x0000_s1026" textRotate="1"/>
  </customShpExts>
  <extobjs>
    <extobj name="ECB019B1-382A-4266-B25C-5B523AA43C14-1">
      <extobjdata type="ECB019B1-382A-4266-B25C-5B523AA43C14" data="ewoJIkZpbGVJZCIgOiAiMTY0NDI2MTkzODc0IiwKCSJHcm91cElkIiA6ICI2ODYyMTI1MTQiLAoJIkltYWdlIiA6ICJpVkJPUncwS0dnb0FBQUFOU1VoRVVnQUFBd01BQUFGWUNBWUFBQUFQOUNBK0FBQUFDWEJJV1hNQUFBc1RBQUFMRXdFQW1wd1lBQUFnQUVsRVFWUjRuT3pkZDNnVTFkNEg4Ty91SnB0azB4TklKWVFVTUlDVUpBSWlTQk0xTktueXdoVVFsQ0lvN1lxQUZNVUdxRlNSU0pQcUJTOU5DQUdrZzRKS1M4UVFXZ3BwcEdlVGJNcHV0czM3UjhqZWJCb0pMU1Q1ZnA2SHg4ek1tWFBPckxNNzg1czVCU0F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"/>
    </extobj>
    <extobj name="ECB019B1-382A-4266-B25C-5B523AA43C14-2">
      <extobjdata type="ECB019B1-382A-4266-B25C-5B523AA43C14" data="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"/>
    </extobj>
  </extobj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45</Pages>
  <Words>26937</Words>
  <Characters>30287</Characters>
  <Lines>0</Lines>
  <Paragraphs>0</Paragraphs>
  <TotalTime>2</TotalTime>
  <ScaleCrop>false</ScaleCrop>
  <LinksUpToDate>false</LinksUpToDate>
  <CharactersWithSpaces>30885</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2021-03-08T00:56:00Z</dcterms:created>
  <dc:creator>HP</dc:creator>
  <cp:lastModifiedBy>Lemo.</cp:lastModifiedBy>
  <dcterms:modified xsi:type="dcterms:W3CDTF">2025-03-25T06:28:09Z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F4EF23A7A9A645BBA337E5ED363469B6</vt:lpwstr>
  </property>
</Properties>
</file>