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before="312"/>
        <w:jc w:val="center"/>
        <w:textAlignment w:val="baseline"/>
        <w:rPr>
          <w:rFonts w:hint="default" w:ascii="Times New Roman" w:hAnsi="Times New Roman" w:cs="Times New Roman" w:eastAsiaTheme="minorEastAsia"/>
          <w:b/>
          <w:color w:val="000000" w:themeColor="text1"/>
          <w:sz w:val="72"/>
          <w:szCs w:val="72"/>
          <w:highlight w:val="none"/>
          <w:u w:val="none" w:color="auto"/>
          <w14:textFill>
            <w14:solidFill>
              <w14:schemeClr w14:val="tx1"/>
            </w14:solidFill>
          </w14:textFill>
        </w:rPr>
      </w:pPr>
    </w:p>
    <w:p>
      <w:pPr>
        <w:overflowPunct w:val="0"/>
        <w:autoSpaceDE w:val="0"/>
        <w:autoSpaceDN w:val="0"/>
        <w:adjustRightInd w:val="0"/>
        <w:spacing w:before="312"/>
        <w:ind w:left="0" w:leftChars="0" w:firstLine="0" w:firstLineChars="0"/>
        <w:jc w:val="center"/>
        <w:textAlignment w:val="baseline"/>
        <w:rPr>
          <w:rFonts w:hint="default" w:ascii="Times New Roman" w:hAnsi="Times New Roman" w:cs="Times New Roman" w:eastAsiaTheme="minorEastAsia"/>
          <w:b/>
          <w:color w:val="000000" w:themeColor="text1"/>
          <w:sz w:val="48"/>
          <w:szCs w:val="48"/>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72"/>
          <w:szCs w:val="72"/>
          <w:highlight w:val="none"/>
          <w:u w:val="none" w:color="auto"/>
          <w14:textFill>
            <w14:solidFill>
              <w14:schemeClr w14:val="tx1"/>
            </w14:solidFill>
          </w14:textFill>
        </w:rPr>
        <w:t>建设项目环境影响报告表</w:t>
      </w:r>
    </w:p>
    <w:p>
      <w:pPr>
        <w:overflowPunct w:val="0"/>
        <w:autoSpaceDE w:val="0"/>
        <w:autoSpaceDN w:val="0"/>
        <w:adjustRightInd w:val="0"/>
        <w:spacing w:before="312"/>
        <w:ind w:left="0" w:leftChars="0" w:firstLine="0" w:firstLineChars="0"/>
        <w:jc w:val="center"/>
        <w:textAlignment w:val="baseline"/>
        <w:rPr>
          <w:rFonts w:hint="default" w:ascii="Times New Roman" w:hAnsi="Times New Roman" w:cs="Times New Roman" w:eastAsiaTheme="minorEastAsia"/>
          <w:b/>
          <w:bCs/>
          <w:color w:val="000000" w:themeColor="text1"/>
          <w:sz w:val="40"/>
          <w:szCs w:val="28"/>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40"/>
          <w:szCs w:val="28"/>
          <w:highlight w:val="none"/>
          <w:u w:val="none" w:color="auto"/>
          <w14:textFill>
            <w14:solidFill>
              <w14:schemeClr w14:val="tx1"/>
            </w14:solidFill>
          </w14:textFill>
        </w:rPr>
        <w:t>（</w:t>
      </w:r>
      <w:r>
        <w:rPr>
          <w:rFonts w:hint="default" w:ascii="Times New Roman" w:hAnsi="Times New Roman" w:cs="Times New Roman" w:eastAsiaTheme="minorEastAsia"/>
          <w:b/>
          <w:bCs/>
          <w:color w:val="000000" w:themeColor="text1"/>
          <w:sz w:val="40"/>
          <w:szCs w:val="28"/>
          <w:highlight w:val="none"/>
          <w:u w:val="none" w:color="auto"/>
          <w:lang w:val="en-US" w:eastAsia="zh-CN"/>
          <w14:textFill>
            <w14:solidFill>
              <w14:schemeClr w14:val="tx1"/>
            </w14:solidFill>
          </w14:textFill>
        </w:rPr>
        <w:t>污染影响类</w:t>
      </w:r>
      <w:r>
        <w:rPr>
          <w:rFonts w:hint="default" w:ascii="Times New Roman" w:hAnsi="Times New Roman" w:cs="Times New Roman" w:eastAsiaTheme="minorEastAsia"/>
          <w:b/>
          <w:bCs/>
          <w:color w:val="000000" w:themeColor="text1"/>
          <w:sz w:val="40"/>
          <w:szCs w:val="28"/>
          <w:highlight w:val="none"/>
          <w:u w:val="none" w:color="auto"/>
          <w14:textFill>
            <w14:solidFill>
              <w14:schemeClr w14:val="tx1"/>
            </w14:solidFill>
          </w14:textFill>
        </w:rPr>
        <w:t>）</w:t>
      </w:r>
    </w:p>
    <w:p>
      <w:pPr>
        <w:spacing w:line="360" w:lineRule="auto"/>
        <w:ind w:left="180"/>
        <w:jc w:val="center"/>
        <w:rPr>
          <w:rFonts w:hint="default" w:ascii="Times New Roman" w:hAnsi="Times New Roman" w:cs="Times New Roman" w:eastAsiaTheme="minorEastAsia"/>
          <w:b/>
          <w:color w:val="000000" w:themeColor="text1"/>
          <w:w w:val="110"/>
          <w:kern w:val="0"/>
          <w:sz w:val="44"/>
          <w:szCs w:val="44"/>
          <w:highlight w:val="none"/>
          <w:u w:val="none" w:color="auto"/>
          <w14:textFill>
            <w14:solidFill>
              <w14:schemeClr w14:val="tx1"/>
            </w14:solidFill>
          </w14:textFill>
        </w:rPr>
      </w:pPr>
    </w:p>
    <w:p>
      <w:pPr>
        <w:jc w:val="center"/>
        <w:rPr>
          <w:rFonts w:hint="default" w:ascii="Times New Roman" w:hAnsi="Times New Roman" w:cs="Times New Roman" w:eastAsiaTheme="minorEastAsia"/>
          <w:color w:val="000000" w:themeColor="text1"/>
          <w:sz w:val="28"/>
          <w:szCs w:val="20"/>
          <w:highlight w:val="none"/>
          <w:u w:val="none" w:color="auto"/>
          <w14:textFill>
            <w14:solidFill>
              <w14:schemeClr w14:val="tx1"/>
            </w14:solidFill>
          </w14:textFill>
        </w:rPr>
      </w:pPr>
    </w:p>
    <w:p>
      <w:pPr>
        <w:widowControl w:val="0"/>
        <w:autoSpaceDE w:val="0"/>
        <w:autoSpaceDN w:val="0"/>
        <w:ind w:firstLine="560"/>
        <w:jc w:val="left"/>
        <w:rPr>
          <w:rFonts w:hint="default" w:ascii="Times New Roman" w:hAnsi="Times New Roman" w:cs="Times New Roman" w:eastAsiaTheme="minorEastAsia"/>
          <w:color w:val="000000" w:themeColor="text1"/>
          <w:kern w:val="0"/>
          <w:sz w:val="28"/>
          <w:szCs w:val="24"/>
          <w:highlight w:val="none"/>
          <w:u w:val="none" w:color="auto"/>
          <w:lang w:val="en-US" w:eastAsia="zh-CN" w:bidi="ar-SA"/>
          <w14:textFill>
            <w14:solidFill>
              <w14:schemeClr w14:val="tx1"/>
            </w14:solidFill>
          </w14:textFill>
        </w:rPr>
      </w:pPr>
    </w:p>
    <w:p>
      <w:pPr>
        <w:widowControl w:val="0"/>
        <w:autoSpaceDE w:val="0"/>
        <w:autoSpaceDN w:val="0"/>
        <w:ind w:firstLine="560"/>
        <w:jc w:val="left"/>
        <w:rPr>
          <w:rFonts w:hint="default" w:ascii="Times New Roman" w:hAnsi="Times New Roman" w:cs="Times New Roman" w:eastAsiaTheme="minorEastAsia"/>
          <w:color w:val="000000" w:themeColor="text1"/>
          <w:kern w:val="0"/>
          <w:sz w:val="28"/>
          <w:szCs w:val="24"/>
          <w:highlight w:val="none"/>
          <w:u w:val="none" w:color="auto"/>
          <w:lang w:val="en-US" w:eastAsia="zh-CN" w:bidi="ar-SA"/>
          <w14:textFill>
            <w14:solidFill>
              <w14:schemeClr w14:val="tx1"/>
            </w14:solidFill>
          </w14:textFill>
        </w:rPr>
      </w:pPr>
    </w:p>
    <w:p>
      <w:pPr>
        <w:pStyle w:val="5"/>
        <w:numPr>
          <w:ilvl w:val="2"/>
          <w:numId w:val="0"/>
        </w:numPr>
        <w:ind w:left="2444" w:leftChars="0"/>
        <w:rPr>
          <w:rFonts w:hint="default"/>
          <w:u w:val="none" w:color="auto"/>
          <w:lang w:val="en-US" w:eastAsia="zh-CN"/>
        </w:rPr>
      </w:pPr>
    </w:p>
    <w:p>
      <w:pPr>
        <w:rPr>
          <w:rFonts w:hint="default"/>
          <w:u w:val="none" w:color="auto"/>
          <w:lang w:val="en-US" w:eastAsia="zh-CN"/>
        </w:rPr>
      </w:pPr>
    </w:p>
    <w:p>
      <w:pPr>
        <w:pStyle w:val="22"/>
        <w:rPr>
          <w:rFonts w:hint="default"/>
          <w:u w:val="none" w:color="auto"/>
          <w:lang w:val="en-US" w:eastAsia="zh-CN"/>
        </w:rPr>
      </w:pPr>
    </w:p>
    <w:p>
      <w:pPr>
        <w:pStyle w:val="22"/>
        <w:ind w:left="0" w:leftChars="0" w:firstLine="0" w:firstLineChars="0"/>
        <w:rPr>
          <w:rFonts w:hint="default"/>
          <w:lang w:val="en-US" w:eastAsia="zh-CN"/>
        </w:rPr>
      </w:pPr>
    </w:p>
    <w:p>
      <w:pPr>
        <w:jc w:val="center"/>
        <w:rPr>
          <w:rFonts w:hint="default" w:ascii="Times New Roman" w:hAnsi="Times New Roman" w:cs="Times New Roman" w:eastAsiaTheme="minorEastAsia"/>
          <w:color w:val="000000" w:themeColor="text1"/>
          <w:sz w:val="28"/>
          <w:szCs w:val="20"/>
          <w:highlight w:val="none"/>
          <w:u w:val="none" w:color="auto"/>
          <w14:textFill>
            <w14:solidFill>
              <w14:schemeClr w14:val="tx1"/>
            </w14:solidFill>
          </w14:textFill>
        </w:rPr>
      </w:pPr>
    </w:p>
    <w:p>
      <w:pPr>
        <w:pStyle w:val="12"/>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afterLines="0" w:afterAutospacing="0" w:line="360" w:lineRule="auto"/>
        <w:ind w:left="0" w:firstLine="0" w:firstLineChars="0"/>
        <w:jc w:val="center"/>
        <w:textAlignment w:val="auto"/>
        <w:rPr>
          <w:rFonts w:hint="default" w:ascii="Times New Roman" w:hAnsi="Times New Roman" w:cs="Times New Roman" w:eastAsiaTheme="minorEastAsia"/>
          <w:b w:val="0"/>
          <w:bCs w:val="0"/>
          <w:color w:val="000000" w:themeColor="text1"/>
          <w:sz w:val="28"/>
          <w:szCs w:val="28"/>
          <w:highlight w:val="none"/>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u w:val="none" w:color="auto"/>
          <w:lang w:val="en-US" w:eastAsia="zh-CN" w:bidi="ar-SA"/>
          <w14:textFill>
            <w14:solidFill>
              <w14:schemeClr w14:val="tx1"/>
            </w14:solidFill>
          </w14:textFill>
        </w:rPr>
        <w:t>项目名称：</w:t>
      </w:r>
      <w:r>
        <w:rPr>
          <w:rFonts w:hint="eastAsia" w:ascii="Times New Roman" w:hAnsi="Times New Roman" w:cs="Times New Roman" w:eastAsiaTheme="minorEastAsia"/>
          <w:b w:val="0"/>
          <w:bCs w:val="0"/>
          <w:color w:val="000000" w:themeColor="text1"/>
          <w:kern w:val="2"/>
          <w:sz w:val="28"/>
          <w:szCs w:val="28"/>
          <w:highlight w:val="none"/>
          <w:u w:val="single" w:color="auto"/>
          <w:lang w:val="en-US" w:eastAsia="zh-CN" w:bidi="ar-SA"/>
          <w14:textFill>
            <w14:solidFill>
              <w14:schemeClr w14:val="tx1"/>
            </w14:solidFill>
          </w14:textFill>
        </w:rPr>
        <w:t xml:space="preserve"> </w:t>
      </w:r>
      <w:r>
        <w:rPr>
          <w:rFonts w:hint="eastAsia" w:ascii="Times New Roman" w:hAnsi="Times New Roman" w:cs="Times New Roman" w:eastAsiaTheme="minorEastAsia"/>
          <w:b w:val="0"/>
          <w:bCs w:val="0"/>
          <w:color w:val="000000" w:themeColor="text1"/>
          <w:sz w:val="28"/>
          <w:szCs w:val="28"/>
          <w:highlight w:val="none"/>
          <w:u w:val="single" w:color="auto"/>
          <w:lang w:val="en-US" w:eastAsia="zh-CN"/>
          <w14:textFill>
            <w14:solidFill>
              <w14:schemeClr w14:val="tx1"/>
            </w14:solidFill>
          </w14:textFill>
        </w:rPr>
        <w:t xml:space="preserve">S345新田田家至二广高速宁远互通公路工程配套工程建设项目 </w:t>
      </w:r>
    </w:p>
    <w:p>
      <w:pPr>
        <w:keepNext w:val="0"/>
        <w:keepLines w:val="0"/>
        <w:pageBreakBefore w:val="0"/>
        <w:widowControl w:val="0"/>
        <w:kinsoku/>
        <w:wordWrap/>
        <w:overflowPunct/>
        <w:topLinePunct w:val="0"/>
        <w:autoSpaceDE/>
        <w:autoSpaceDN/>
        <w:bidi w:val="0"/>
        <w:adjustRightInd w:val="0"/>
        <w:snapToGrid w:val="0"/>
        <w:spacing w:after="120" w:afterLines="0" w:afterAutospacing="0" w:line="360" w:lineRule="auto"/>
        <w:ind w:left="0" w:firstLine="0" w:firstLineChars="0"/>
        <w:jc w:val="both"/>
        <w:textAlignment w:val="auto"/>
        <w:rPr>
          <w:rFonts w:hint="default" w:ascii="Times New Roman" w:hAnsi="Times New Roman" w:cs="Times New Roman" w:eastAsiaTheme="minorEastAsia"/>
          <w:b w:val="0"/>
          <w:bCs w:val="0"/>
          <w:color w:val="000000" w:themeColor="text1"/>
          <w:kern w:val="2"/>
          <w:sz w:val="28"/>
          <w:szCs w:val="28"/>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8"/>
          <w:szCs w:val="28"/>
          <w:highlight w:val="none"/>
          <w:u w:val="none" w:color="auto"/>
          <w14:textFill>
            <w14:solidFill>
              <w14:schemeClr w14:val="tx1"/>
            </w14:solidFill>
          </w14:textFill>
        </w:rPr>
        <w:t>建设单位</w:t>
      </w:r>
      <w:r>
        <w:rPr>
          <w:rFonts w:hint="default" w:ascii="Times New Roman" w:hAnsi="Times New Roman" w:cs="Times New Roman" w:eastAsiaTheme="minorEastAsia"/>
          <w:b w:val="0"/>
          <w:bCs w:val="0"/>
          <w:color w:val="000000" w:themeColor="text1"/>
          <w:sz w:val="28"/>
          <w:szCs w:val="28"/>
          <w:highlight w:val="none"/>
          <w:u w:val="none" w:color="auto"/>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8"/>
          <w:szCs w:val="28"/>
          <w:highlight w:val="none"/>
          <w:u w:val="none" w:color="auto"/>
          <w:lang w:val="en-US" w:eastAsia="zh-CN"/>
          <w14:textFill>
            <w14:solidFill>
              <w14:schemeClr w14:val="tx1"/>
            </w14:solidFill>
          </w14:textFill>
        </w:rPr>
        <w:t>盖章）</w:t>
      </w:r>
      <w:r>
        <w:rPr>
          <w:rFonts w:hint="default" w:ascii="Times New Roman" w:hAnsi="Times New Roman" w:cs="Times New Roman" w:eastAsiaTheme="minorEastAsia"/>
          <w:b w:val="0"/>
          <w:bCs w:val="0"/>
          <w:color w:val="000000" w:themeColor="text1"/>
          <w:sz w:val="28"/>
          <w:szCs w:val="28"/>
          <w:highlight w:val="none"/>
          <w:u w:val="none" w:color="auto"/>
          <w14:textFill>
            <w14:solidFill>
              <w14:schemeClr w14:val="tx1"/>
            </w14:solidFill>
          </w14:textFill>
        </w:rPr>
        <w:t>：</w:t>
      </w:r>
      <w:r>
        <w:rPr>
          <w:rFonts w:hint="default" w:ascii="Times New Roman" w:hAnsi="Times New Roman" w:cs="Times New Roman" w:eastAsiaTheme="minorEastAsia"/>
          <w:b w:val="0"/>
          <w:bCs w:val="0"/>
          <w:color w:val="000000" w:themeColor="text1"/>
          <w:sz w:val="28"/>
          <w:szCs w:val="28"/>
          <w:highlight w:val="none"/>
          <w:u w:val="single" w:color="auto"/>
          <w:lang w:val="en-US" w:eastAsia="zh-CN"/>
          <w14:textFill>
            <w14:solidFill>
              <w14:schemeClr w14:val="tx1"/>
            </w14:solidFill>
          </w14:textFill>
        </w:rPr>
        <w:t xml:space="preserve"> </w:t>
      </w:r>
      <w:r>
        <w:rPr>
          <w:rFonts w:hint="eastAsia" w:ascii="Times New Roman" w:hAnsi="Times New Roman" w:cs="Times New Roman" w:eastAsiaTheme="minorEastAsia"/>
          <w:b w:val="0"/>
          <w:bCs w:val="0"/>
          <w:color w:val="000000" w:themeColor="text1"/>
          <w:sz w:val="28"/>
          <w:szCs w:val="28"/>
          <w:highlight w:val="none"/>
          <w:u w:val="single" w:color="auto"/>
          <w:lang w:val="en-US" w:eastAsia="zh-CN"/>
          <w14:textFill>
            <w14:solidFill>
              <w14:schemeClr w14:val="tx1"/>
            </w14:solidFill>
          </w14:textFill>
        </w:rPr>
        <w:t>湖南省高速公路集团有限公司</w:t>
      </w:r>
      <w:r>
        <w:rPr>
          <w:rFonts w:hint="default" w:ascii="Times New Roman" w:hAnsi="Times New Roman" w:cs="Times New Roman" w:eastAsiaTheme="minorEastAsia"/>
          <w:b w:val="0"/>
          <w:bCs w:val="0"/>
          <w:color w:val="000000" w:themeColor="text1"/>
          <w:kern w:val="2"/>
          <w:sz w:val="28"/>
          <w:szCs w:val="28"/>
          <w:highlight w:val="none"/>
          <w:u w:val="single" w:color="auto"/>
          <w:lang w:val="en-US" w:eastAsia="zh-CN" w:bidi="ar-SA"/>
          <w14:textFill>
            <w14:solidFill>
              <w14:schemeClr w14:val="tx1"/>
            </w14:solidFill>
          </w14:textFill>
        </w:rPr>
        <w:t xml:space="preserve">      </w:t>
      </w:r>
      <w:r>
        <w:rPr>
          <w:rFonts w:hint="eastAsia" w:ascii="Times New Roman" w:hAnsi="Times New Roman" w:cs="Times New Roman" w:eastAsiaTheme="minorEastAsia"/>
          <w:b w:val="0"/>
          <w:bCs w:val="0"/>
          <w:color w:val="000000" w:themeColor="text1"/>
          <w:kern w:val="2"/>
          <w:sz w:val="28"/>
          <w:szCs w:val="28"/>
          <w:highlight w:val="none"/>
          <w:u w:val="single" w:color="auto"/>
          <w:lang w:val="en-US" w:eastAsia="zh-CN" w:bidi="ar-SA"/>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kern w:val="2"/>
          <w:sz w:val="28"/>
          <w:szCs w:val="28"/>
          <w:highlight w:val="none"/>
          <w:u w:val="single" w:color="auto"/>
          <w:lang w:val="en-US" w:eastAsia="zh-CN" w:bidi="ar-SA"/>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after="120" w:afterLines="0" w:afterAutospacing="0" w:line="360" w:lineRule="auto"/>
        <w:ind w:left="0" w:firstLine="0" w:firstLineChars="0"/>
        <w:jc w:val="both"/>
        <w:textAlignment w:val="auto"/>
        <w:rPr>
          <w:rFonts w:hint="default" w:ascii="Times New Roman" w:hAnsi="Times New Roman" w:cs="Times New Roman" w:eastAsiaTheme="minorEastAsia"/>
          <w:b w:val="0"/>
          <w:bCs w:val="0"/>
          <w:color w:val="000000" w:themeColor="text1"/>
          <w:sz w:val="28"/>
          <w:szCs w:val="28"/>
          <w:highlight w:val="none"/>
          <w:u w:val="none" w:color="auto"/>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8"/>
          <w:szCs w:val="28"/>
          <w:highlight w:val="none"/>
          <w:u w:val="none" w:color="auto"/>
          <w:lang w:val="en-US" w:eastAsia="zh-CN"/>
          <w14:textFill>
            <w14:solidFill>
              <w14:schemeClr w14:val="tx1"/>
            </w14:solidFill>
          </w14:textFill>
        </w:rPr>
        <w:t>编制日期：</w:t>
      </w:r>
      <w:r>
        <w:rPr>
          <w:rFonts w:hint="default" w:ascii="Times New Roman" w:hAnsi="Times New Roman" w:cs="Times New Roman" w:eastAsiaTheme="minorEastAsia"/>
          <w:b w:val="0"/>
          <w:bCs w:val="0"/>
          <w:color w:val="000000" w:themeColor="text1"/>
          <w:sz w:val="28"/>
          <w:szCs w:val="28"/>
          <w:highlight w:val="none"/>
          <w:u w:val="single" w:color="auto"/>
          <w:lang w:val="en-US" w:eastAsia="zh-CN"/>
          <w14:textFill>
            <w14:solidFill>
              <w14:schemeClr w14:val="tx1"/>
            </w14:solidFill>
          </w14:textFill>
        </w:rPr>
        <w:t xml:space="preserve"> </w:t>
      </w:r>
      <w:r>
        <w:rPr>
          <w:rFonts w:hint="eastAsia" w:ascii="Times New Roman" w:hAnsi="Times New Roman" w:cs="Times New Roman" w:eastAsiaTheme="minorEastAsia"/>
          <w:b w:val="0"/>
          <w:bCs w:val="0"/>
          <w:color w:val="000000" w:themeColor="text1"/>
          <w:sz w:val="28"/>
          <w:szCs w:val="28"/>
          <w:highlight w:val="none"/>
          <w:u w:val="single" w:color="auto"/>
          <w:lang w:val="en-US" w:eastAsia="zh-CN"/>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sz w:val="28"/>
          <w:szCs w:val="28"/>
          <w:highlight w:val="none"/>
          <w:u w:val="single" w:color="auto"/>
          <w:lang w:val="en-US" w:eastAsia="zh-CN"/>
          <w14:textFill>
            <w14:solidFill>
              <w14:schemeClr w14:val="tx1"/>
            </w14:solidFill>
          </w14:textFill>
        </w:rPr>
        <w:t>2021年</w:t>
      </w:r>
      <w:r>
        <w:rPr>
          <w:rFonts w:hint="eastAsia" w:ascii="Times New Roman" w:hAnsi="Times New Roman" w:cs="Times New Roman" w:eastAsiaTheme="minorEastAsia"/>
          <w:b w:val="0"/>
          <w:bCs w:val="0"/>
          <w:color w:val="000000" w:themeColor="text1"/>
          <w:sz w:val="28"/>
          <w:szCs w:val="28"/>
          <w:highlight w:val="none"/>
          <w:u w:val="single" w:color="auto"/>
          <w:lang w:val="en-US" w:eastAsia="zh-CN"/>
          <w14:textFill>
            <w14:solidFill>
              <w14:schemeClr w14:val="tx1"/>
            </w14:solidFill>
          </w14:textFill>
        </w:rPr>
        <w:t>9</w:t>
      </w:r>
      <w:r>
        <w:rPr>
          <w:rFonts w:hint="default" w:ascii="Times New Roman" w:hAnsi="Times New Roman" w:cs="Times New Roman" w:eastAsiaTheme="minorEastAsia"/>
          <w:b w:val="0"/>
          <w:bCs w:val="0"/>
          <w:color w:val="000000" w:themeColor="text1"/>
          <w:sz w:val="28"/>
          <w:szCs w:val="28"/>
          <w:highlight w:val="none"/>
          <w:u w:val="single" w:color="auto"/>
          <w:lang w:val="en-US" w:eastAsia="zh-CN"/>
          <w14:textFill>
            <w14:solidFill>
              <w14:schemeClr w14:val="tx1"/>
            </w14:solidFill>
          </w14:textFill>
        </w:rPr>
        <w:t xml:space="preserve">月                        </w:t>
      </w:r>
    </w:p>
    <w:p>
      <w:pPr>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p>
      <w:pPr>
        <w:pStyle w:val="18"/>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p>
      <w:pPr>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p>
      <w:pPr>
        <w:pStyle w:val="18"/>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p>
      <w:pPr>
        <w:spacing w:line="480" w:lineRule="auto"/>
        <w:jc w:val="center"/>
        <w:rPr>
          <w:rFonts w:hint="default" w:ascii="Times New Roman" w:hAnsi="Times New Roman" w:cs="Times New Roman" w:eastAsiaTheme="minorEastAsia"/>
          <w:b/>
          <w:color w:val="000000" w:themeColor="text1"/>
          <w:sz w:val="32"/>
          <w:szCs w:val="32"/>
          <w:highlight w:val="none"/>
          <w:u w:val="none" w:color="auto"/>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ascii="Times New Roman" w:hAnsi="Times New Roman" w:cs="Times New Roman" w:eastAsiaTheme="minorEastAsia"/>
          <w:b/>
          <w:color w:val="000000" w:themeColor="text1"/>
          <w:sz w:val="32"/>
          <w:szCs w:val="32"/>
          <w:highlight w:val="none"/>
          <w:u w:val="none" w:color="auto"/>
          <w:lang w:val="en-US" w:eastAsia="zh-CN"/>
          <w14:textFill>
            <w14:solidFill>
              <w14:schemeClr w14:val="tx1"/>
            </w14:solidFill>
          </w14:textFill>
        </w:rPr>
        <w:t>中华人民共和国生态环境部制</w:t>
      </w:r>
    </w:p>
    <w:p>
      <w:pPr>
        <w:pStyle w:val="2"/>
        <w:jc w:val="center"/>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lang w:val="en-US" w:eastAsia="zh-CN"/>
        </w:rPr>
        <w:drawing>
          <wp:inline distT="0" distB="0" distL="114300" distR="114300">
            <wp:extent cx="7231380" cy="5207635"/>
            <wp:effectExtent l="0" t="0" r="7620" b="1206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8"/>
                    <a:stretch>
                      <a:fillRect/>
                    </a:stretch>
                  </pic:blipFill>
                  <pic:spPr>
                    <a:xfrm>
                      <a:off x="0" y="0"/>
                      <a:ext cx="7231380" cy="5207635"/>
                    </a:xfrm>
                    <a:prstGeom prst="rect">
                      <a:avLst/>
                    </a:prstGeom>
                    <a:noFill/>
                    <a:ln>
                      <a:noFill/>
                    </a:ln>
                  </pic:spPr>
                </pic:pic>
              </a:graphicData>
            </a:graphic>
          </wp:inline>
        </w:drawing>
      </w:r>
    </w:p>
    <w:p>
      <w:pPr>
        <w:pStyle w:val="2"/>
        <w:jc w:val="cente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lang w:val="en-US" w:eastAsia="zh-CN"/>
        </w:rPr>
        <w:drawing>
          <wp:inline distT="0" distB="0" distL="114300" distR="114300">
            <wp:extent cx="4886325" cy="6915150"/>
            <wp:effectExtent l="0" t="0" r="9525"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9"/>
                    <a:stretch>
                      <a:fillRect/>
                    </a:stretch>
                  </pic:blipFill>
                  <pic:spPr>
                    <a:xfrm>
                      <a:off x="0" y="0"/>
                      <a:ext cx="4886325" cy="6915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center"/>
        <w:textAlignment w:val="auto"/>
        <w:rPr>
          <w:rFonts w:hint="default" w:ascii="Times New Roman" w:hAnsi="Times New Roman" w:cs="Times New Roman" w:eastAsiaTheme="minorEastAsia"/>
          <w:b/>
          <w:bCs/>
          <w:color w:val="000000" w:themeColor="text1"/>
          <w:sz w:val="28"/>
          <w:szCs w:val="22"/>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8"/>
          <w:szCs w:val="22"/>
          <w:highlight w:val="none"/>
          <w:u w:val="none" w:color="auto"/>
          <w14:textFill>
            <w14:solidFill>
              <w14:schemeClr w14:val="tx1"/>
            </w14:solidFill>
          </w14:textFill>
        </w:rPr>
        <w:t>目录</w:t>
      </w:r>
    </w:p>
    <w:p>
      <w:pPr>
        <w:pStyle w:val="16"/>
        <w:tabs>
          <w:tab w:val="right" w:leader="dot" w:pos="8306"/>
        </w:tabs>
        <w:rPr>
          <w:highlight w:val="none"/>
          <w:u w:val="none" w:color="auto"/>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instrText xml:space="preserve">TOC \o "1-1" \h \u </w:instrTex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fldChar w:fldCharType="begin"/>
      </w:r>
      <w:r>
        <w:rPr>
          <w:rFonts w:hint="default" w:ascii="Times New Roman" w:hAnsi="Times New Roman" w:cs="Times New Roman" w:eastAsiaTheme="minorEastAsia"/>
          <w:szCs w:val="24"/>
          <w:highlight w:val="none"/>
          <w:u w:val="none" w:color="auto"/>
        </w:rPr>
        <w:instrText xml:space="preserve"> HYPERLINK \l _Toc9575 </w:instrText>
      </w:r>
      <w:r>
        <w:rPr>
          <w:rFonts w:hint="default" w:ascii="Times New Roman" w:hAnsi="Times New Roman" w:cs="Times New Roman" w:eastAsiaTheme="minorEastAsia"/>
          <w:szCs w:val="24"/>
          <w:highlight w:val="none"/>
          <w:u w:val="none" w:color="auto"/>
        </w:rPr>
        <w:fldChar w:fldCharType="separate"/>
      </w:r>
      <w:r>
        <w:rPr>
          <w:rFonts w:hint="eastAsia" w:ascii="Times New Roman" w:hAnsi="Times New Roman" w:cs="Times New Roman" w:eastAsiaTheme="minorEastAsia"/>
          <w:szCs w:val="36"/>
          <w:highlight w:val="none"/>
          <w:u w:val="none" w:color="auto"/>
          <w:lang w:val="en-US" w:eastAsia="zh-CN"/>
        </w:rPr>
        <w:t>一、</w:t>
      </w:r>
      <w:r>
        <w:rPr>
          <w:rFonts w:hint="default" w:ascii="Times New Roman" w:hAnsi="Times New Roman" w:cs="Times New Roman" w:eastAsiaTheme="minorEastAsia"/>
          <w:szCs w:val="36"/>
          <w:highlight w:val="none"/>
          <w:u w:val="none" w:color="auto"/>
          <w:lang w:val="en-US" w:eastAsia="zh-CN"/>
        </w:rPr>
        <w:t>建设项目基本情况</w:t>
      </w:r>
      <w:r>
        <w:rPr>
          <w:highlight w:val="none"/>
          <w:u w:val="none" w:color="auto"/>
        </w:rPr>
        <w:tab/>
      </w:r>
      <w:r>
        <w:rPr>
          <w:highlight w:val="none"/>
          <w:u w:val="none" w:color="auto"/>
        </w:rPr>
        <w:fldChar w:fldCharType="begin"/>
      </w:r>
      <w:r>
        <w:rPr>
          <w:highlight w:val="none"/>
          <w:u w:val="none" w:color="auto"/>
        </w:rPr>
        <w:instrText xml:space="preserve"> PAGEREF _Toc9575 \h </w:instrText>
      </w:r>
      <w:r>
        <w:rPr>
          <w:highlight w:val="none"/>
          <w:u w:val="none" w:color="auto"/>
        </w:rPr>
        <w:fldChar w:fldCharType="separate"/>
      </w:r>
      <w:r>
        <w:rPr>
          <w:highlight w:val="none"/>
          <w:u w:val="none" w:color="auto"/>
        </w:rPr>
        <w:t>1</w:t>
      </w:r>
      <w:r>
        <w:rPr>
          <w:highlight w:val="none"/>
          <w:u w:val="none" w:color="auto"/>
        </w:rPr>
        <w:fldChar w:fldCharType="end"/>
      </w:r>
      <w:r>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fldChar w:fldCharType="end"/>
      </w:r>
    </w:p>
    <w:p>
      <w:pPr>
        <w:pStyle w:val="16"/>
        <w:tabs>
          <w:tab w:val="right" w:leader="dot" w:pos="8306"/>
        </w:tabs>
        <w:rPr>
          <w:highlight w:val="none"/>
          <w:u w:val="none" w:color="auto"/>
        </w:rPr>
      </w:pPr>
      <w:r>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fldChar w:fldCharType="begin"/>
      </w:r>
      <w:r>
        <w:rPr>
          <w:rFonts w:hint="default" w:ascii="Times New Roman" w:hAnsi="Times New Roman" w:cs="Times New Roman" w:eastAsiaTheme="minorEastAsia"/>
          <w:szCs w:val="24"/>
          <w:highlight w:val="none"/>
          <w:u w:val="none" w:color="auto"/>
        </w:rPr>
        <w:instrText xml:space="preserve"> HYPERLINK \l _Toc9658 </w:instrText>
      </w:r>
      <w:r>
        <w:rPr>
          <w:rFonts w:hint="default" w:ascii="Times New Roman" w:hAnsi="Times New Roman" w:cs="Times New Roman" w:eastAsiaTheme="minorEastAsia"/>
          <w:szCs w:val="24"/>
          <w:highlight w:val="none"/>
          <w:u w:val="none" w:color="auto"/>
        </w:rPr>
        <w:fldChar w:fldCharType="separate"/>
      </w:r>
      <w:r>
        <w:rPr>
          <w:rFonts w:hint="default" w:ascii="Times New Roman" w:hAnsi="Times New Roman" w:cs="Times New Roman" w:eastAsiaTheme="minorEastAsia"/>
          <w:szCs w:val="36"/>
          <w:highlight w:val="none"/>
          <w:u w:val="none" w:color="auto"/>
          <w:lang w:val="en-US" w:eastAsia="zh-CN"/>
        </w:rPr>
        <w:t>二、建设项目工程分析</w:t>
      </w:r>
      <w:r>
        <w:rPr>
          <w:highlight w:val="none"/>
          <w:u w:val="none" w:color="auto"/>
        </w:rPr>
        <w:tab/>
      </w:r>
      <w:r>
        <w:rPr>
          <w:highlight w:val="none"/>
          <w:u w:val="none" w:color="auto"/>
        </w:rPr>
        <w:fldChar w:fldCharType="begin"/>
      </w:r>
      <w:r>
        <w:rPr>
          <w:highlight w:val="none"/>
          <w:u w:val="none" w:color="auto"/>
        </w:rPr>
        <w:instrText xml:space="preserve"> PAGEREF _Toc9658 \h </w:instrText>
      </w:r>
      <w:r>
        <w:rPr>
          <w:highlight w:val="none"/>
          <w:u w:val="none" w:color="auto"/>
        </w:rPr>
        <w:fldChar w:fldCharType="separate"/>
      </w:r>
      <w:r>
        <w:rPr>
          <w:highlight w:val="none"/>
          <w:u w:val="none" w:color="auto"/>
        </w:rPr>
        <w:t>4</w:t>
      </w:r>
      <w:r>
        <w:rPr>
          <w:highlight w:val="none"/>
          <w:u w:val="none" w:color="auto"/>
        </w:rPr>
        <w:fldChar w:fldCharType="end"/>
      </w:r>
      <w:r>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fldChar w:fldCharType="end"/>
      </w:r>
    </w:p>
    <w:p>
      <w:pPr>
        <w:pStyle w:val="16"/>
        <w:tabs>
          <w:tab w:val="right" w:leader="dot" w:pos="8306"/>
        </w:tabs>
        <w:rPr>
          <w:highlight w:val="none"/>
          <w:u w:val="none" w:color="auto"/>
        </w:rPr>
      </w:pPr>
      <w:r>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fldChar w:fldCharType="begin"/>
      </w:r>
      <w:r>
        <w:rPr>
          <w:rFonts w:hint="default" w:ascii="Times New Roman" w:hAnsi="Times New Roman" w:cs="Times New Roman" w:eastAsiaTheme="minorEastAsia"/>
          <w:szCs w:val="24"/>
          <w:highlight w:val="none"/>
          <w:u w:val="none" w:color="auto"/>
        </w:rPr>
        <w:instrText xml:space="preserve"> HYPERLINK \l _Toc23196 </w:instrText>
      </w:r>
      <w:r>
        <w:rPr>
          <w:rFonts w:hint="default" w:ascii="Times New Roman" w:hAnsi="Times New Roman" w:cs="Times New Roman" w:eastAsiaTheme="minorEastAsia"/>
          <w:szCs w:val="24"/>
          <w:highlight w:val="none"/>
          <w:u w:val="none" w:color="auto"/>
        </w:rPr>
        <w:fldChar w:fldCharType="separate"/>
      </w:r>
      <w:r>
        <w:rPr>
          <w:rFonts w:hint="default" w:ascii="Times New Roman" w:hAnsi="Times New Roman" w:cs="Times New Roman" w:eastAsiaTheme="minorEastAsia"/>
          <w:szCs w:val="36"/>
          <w:highlight w:val="none"/>
          <w:u w:val="none" w:color="auto"/>
          <w:lang w:val="en-US" w:eastAsia="zh-CN"/>
        </w:rPr>
        <w:t>三、区域环境质量现状、环境保护目标及评价标准</w:t>
      </w:r>
      <w:r>
        <w:rPr>
          <w:highlight w:val="none"/>
          <w:u w:val="none" w:color="auto"/>
        </w:rPr>
        <w:tab/>
      </w:r>
      <w:r>
        <w:rPr>
          <w:highlight w:val="none"/>
          <w:u w:val="none" w:color="auto"/>
        </w:rPr>
        <w:fldChar w:fldCharType="begin"/>
      </w:r>
      <w:r>
        <w:rPr>
          <w:highlight w:val="none"/>
          <w:u w:val="none" w:color="auto"/>
        </w:rPr>
        <w:instrText xml:space="preserve"> PAGEREF _Toc23196 \h </w:instrText>
      </w:r>
      <w:r>
        <w:rPr>
          <w:highlight w:val="none"/>
          <w:u w:val="none" w:color="auto"/>
        </w:rPr>
        <w:fldChar w:fldCharType="separate"/>
      </w:r>
      <w:r>
        <w:rPr>
          <w:highlight w:val="none"/>
          <w:u w:val="none" w:color="auto"/>
        </w:rPr>
        <w:t>17</w:t>
      </w:r>
      <w:r>
        <w:rPr>
          <w:highlight w:val="none"/>
          <w:u w:val="none" w:color="auto"/>
        </w:rPr>
        <w:fldChar w:fldCharType="end"/>
      </w:r>
      <w:r>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fldChar w:fldCharType="end"/>
      </w:r>
    </w:p>
    <w:p>
      <w:pPr>
        <w:pStyle w:val="16"/>
        <w:tabs>
          <w:tab w:val="right" w:leader="dot" w:pos="8306"/>
        </w:tabs>
        <w:rPr>
          <w:highlight w:val="none"/>
          <w:u w:val="none" w:color="auto"/>
        </w:rPr>
      </w:pPr>
      <w:r>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fldChar w:fldCharType="begin"/>
      </w:r>
      <w:r>
        <w:rPr>
          <w:rFonts w:hint="default" w:ascii="Times New Roman" w:hAnsi="Times New Roman" w:cs="Times New Roman" w:eastAsiaTheme="minorEastAsia"/>
          <w:szCs w:val="24"/>
          <w:highlight w:val="none"/>
          <w:u w:val="none" w:color="auto"/>
        </w:rPr>
        <w:instrText xml:space="preserve"> HYPERLINK \l _Toc2643 </w:instrText>
      </w:r>
      <w:r>
        <w:rPr>
          <w:rFonts w:hint="default" w:ascii="Times New Roman" w:hAnsi="Times New Roman" w:cs="Times New Roman" w:eastAsiaTheme="minorEastAsia"/>
          <w:szCs w:val="24"/>
          <w:highlight w:val="none"/>
          <w:u w:val="none" w:color="auto"/>
        </w:rPr>
        <w:fldChar w:fldCharType="separate"/>
      </w:r>
      <w:r>
        <w:rPr>
          <w:rFonts w:hint="default" w:ascii="Times New Roman" w:hAnsi="Times New Roman" w:cs="Times New Roman" w:eastAsiaTheme="minorEastAsia"/>
          <w:szCs w:val="36"/>
          <w:highlight w:val="none"/>
          <w:u w:val="none" w:color="auto"/>
          <w:lang w:val="en-US" w:eastAsia="zh-CN"/>
        </w:rPr>
        <w:t>四、主要环境影响和保护措施</w:t>
      </w:r>
      <w:r>
        <w:rPr>
          <w:highlight w:val="none"/>
          <w:u w:val="none" w:color="auto"/>
        </w:rPr>
        <w:tab/>
      </w:r>
      <w:r>
        <w:rPr>
          <w:highlight w:val="none"/>
          <w:u w:val="none" w:color="auto"/>
        </w:rPr>
        <w:fldChar w:fldCharType="begin"/>
      </w:r>
      <w:r>
        <w:rPr>
          <w:highlight w:val="none"/>
          <w:u w:val="none" w:color="auto"/>
        </w:rPr>
        <w:instrText xml:space="preserve"> PAGEREF _Toc2643 \h </w:instrText>
      </w:r>
      <w:r>
        <w:rPr>
          <w:highlight w:val="none"/>
          <w:u w:val="none" w:color="auto"/>
        </w:rPr>
        <w:fldChar w:fldCharType="separate"/>
      </w:r>
      <w:r>
        <w:rPr>
          <w:highlight w:val="none"/>
          <w:u w:val="none" w:color="auto"/>
        </w:rPr>
        <w:t>22</w:t>
      </w:r>
      <w:r>
        <w:rPr>
          <w:highlight w:val="none"/>
          <w:u w:val="none" w:color="auto"/>
        </w:rPr>
        <w:fldChar w:fldCharType="end"/>
      </w:r>
      <w:r>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fldChar w:fldCharType="end"/>
      </w:r>
    </w:p>
    <w:p>
      <w:pPr>
        <w:pStyle w:val="16"/>
        <w:tabs>
          <w:tab w:val="right" w:leader="dot" w:pos="8306"/>
        </w:tabs>
        <w:rPr>
          <w:highlight w:val="none"/>
          <w:u w:val="none" w:color="auto"/>
        </w:rPr>
      </w:pPr>
      <w:r>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fldChar w:fldCharType="begin"/>
      </w:r>
      <w:r>
        <w:rPr>
          <w:rFonts w:hint="default" w:ascii="Times New Roman" w:hAnsi="Times New Roman" w:cs="Times New Roman" w:eastAsiaTheme="minorEastAsia"/>
          <w:szCs w:val="24"/>
          <w:highlight w:val="none"/>
          <w:u w:val="none" w:color="auto"/>
        </w:rPr>
        <w:instrText xml:space="preserve"> HYPERLINK \l _Toc68 </w:instrText>
      </w:r>
      <w:r>
        <w:rPr>
          <w:rFonts w:hint="default" w:ascii="Times New Roman" w:hAnsi="Times New Roman" w:cs="Times New Roman" w:eastAsiaTheme="minorEastAsia"/>
          <w:szCs w:val="24"/>
          <w:highlight w:val="none"/>
          <w:u w:val="none" w:color="auto"/>
        </w:rPr>
        <w:fldChar w:fldCharType="separate"/>
      </w:r>
      <w:r>
        <w:rPr>
          <w:rFonts w:hint="default" w:ascii="Times New Roman" w:hAnsi="Times New Roman" w:cs="Times New Roman" w:eastAsiaTheme="minorEastAsia"/>
          <w:szCs w:val="36"/>
          <w:highlight w:val="none"/>
          <w:u w:val="none" w:color="auto"/>
          <w:lang w:val="en-US" w:eastAsia="zh-CN"/>
        </w:rPr>
        <w:t>五、环境保护措施监督检查清单</w:t>
      </w:r>
      <w:r>
        <w:rPr>
          <w:highlight w:val="none"/>
          <w:u w:val="none" w:color="auto"/>
        </w:rPr>
        <w:tab/>
      </w:r>
      <w:r>
        <w:rPr>
          <w:highlight w:val="none"/>
          <w:u w:val="none" w:color="auto"/>
        </w:rPr>
        <w:fldChar w:fldCharType="begin"/>
      </w:r>
      <w:r>
        <w:rPr>
          <w:highlight w:val="none"/>
          <w:u w:val="none" w:color="auto"/>
        </w:rPr>
        <w:instrText xml:space="preserve"> PAGEREF _Toc68 \h </w:instrText>
      </w:r>
      <w:r>
        <w:rPr>
          <w:highlight w:val="none"/>
          <w:u w:val="none" w:color="auto"/>
        </w:rPr>
        <w:fldChar w:fldCharType="separate"/>
      </w:r>
      <w:r>
        <w:rPr>
          <w:highlight w:val="none"/>
          <w:u w:val="none" w:color="auto"/>
        </w:rPr>
        <w:t>57</w:t>
      </w:r>
      <w:r>
        <w:rPr>
          <w:highlight w:val="none"/>
          <w:u w:val="none" w:color="auto"/>
        </w:rPr>
        <w:fldChar w:fldCharType="end"/>
      </w:r>
      <w:r>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fldChar w:fldCharType="end"/>
      </w:r>
    </w:p>
    <w:p>
      <w:pPr>
        <w:pStyle w:val="16"/>
        <w:tabs>
          <w:tab w:val="right" w:leader="dot" w:pos="8306"/>
        </w:tabs>
        <w:rPr>
          <w:highlight w:val="none"/>
          <w:u w:val="none" w:color="auto"/>
        </w:rPr>
      </w:pPr>
      <w:r>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fldChar w:fldCharType="begin"/>
      </w:r>
      <w:r>
        <w:rPr>
          <w:rFonts w:hint="default" w:ascii="Times New Roman" w:hAnsi="Times New Roman" w:cs="Times New Roman" w:eastAsiaTheme="minorEastAsia"/>
          <w:szCs w:val="24"/>
          <w:highlight w:val="none"/>
          <w:u w:val="none" w:color="auto"/>
        </w:rPr>
        <w:instrText xml:space="preserve"> HYPERLINK \l _Toc32418 </w:instrText>
      </w:r>
      <w:r>
        <w:rPr>
          <w:rFonts w:hint="default" w:ascii="Times New Roman" w:hAnsi="Times New Roman" w:cs="Times New Roman" w:eastAsiaTheme="minorEastAsia"/>
          <w:szCs w:val="24"/>
          <w:highlight w:val="none"/>
          <w:u w:val="none" w:color="auto"/>
        </w:rPr>
        <w:fldChar w:fldCharType="separate"/>
      </w:r>
      <w:r>
        <w:rPr>
          <w:rFonts w:hint="eastAsia" w:ascii="Times New Roman" w:hAnsi="Times New Roman" w:cs="Times New Roman" w:eastAsiaTheme="minorEastAsia"/>
          <w:szCs w:val="36"/>
          <w:highlight w:val="none"/>
          <w:u w:val="none" w:color="auto"/>
          <w:lang w:val="en-US" w:eastAsia="zh-CN"/>
        </w:rPr>
        <w:t>六、</w:t>
      </w:r>
      <w:r>
        <w:rPr>
          <w:rFonts w:hint="default" w:ascii="Times New Roman" w:hAnsi="Times New Roman" w:cs="Times New Roman" w:eastAsiaTheme="minorEastAsia"/>
          <w:szCs w:val="36"/>
          <w:highlight w:val="none"/>
          <w:u w:val="none" w:color="auto"/>
          <w:lang w:val="en-US" w:eastAsia="zh-CN"/>
        </w:rPr>
        <w:t>结论</w:t>
      </w:r>
      <w:r>
        <w:rPr>
          <w:highlight w:val="none"/>
          <w:u w:val="none" w:color="auto"/>
        </w:rPr>
        <w:tab/>
      </w:r>
      <w:r>
        <w:rPr>
          <w:highlight w:val="none"/>
          <w:u w:val="none" w:color="auto"/>
        </w:rPr>
        <w:fldChar w:fldCharType="begin"/>
      </w:r>
      <w:r>
        <w:rPr>
          <w:highlight w:val="none"/>
          <w:u w:val="none" w:color="auto"/>
        </w:rPr>
        <w:instrText xml:space="preserve"> PAGEREF _Toc32418 \h </w:instrText>
      </w:r>
      <w:r>
        <w:rPr>
          <w:highlight w:val="none"/>
          <w:u w:val="none" w:color="auto"/>
        </w:rPr>
        <w:fldChar w:fldCharType="separate"/>
      </w:r>
      <w:r>
        <w:rPr>
          <w:highlight w:val="none"/>
          <w:u w:val="none" w:color="auto"/>
        </w:rPr>
        <w:t>61</w:t>
      </w:r>
      <w:r>
        <w:rPr>
          <w:highlight w:val="none"/>
          <w:u w:val="none" w:color="auto"/>
        </w:rPr>
        <w:fldChar w:fldCharType="end"/>
      </w:r>
      <w:r>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fldChar w:fldCharType="end"/>
      </w:r>
    </w:p>
    <w:p>
      <w:pPr>
        <w:pStyle w:val="16"/>
        <w:tabs>
          <w:tab w:val="right" w:leader="dot" w:pos="8306"/>
        </w:tabs>
        <w:rPr>
          <w:highlight w:val="none"/>
          <w:u w:val="none" w:color="auto"/>
        </w:rPr>
      </w:pPr>
      <w:r>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fldChar w:fldCharType="begin"/>
      </w:r>
      <w:r>
        <w:rPr>
          <w:rFonts w:hint="default" w:ascii="Times New Roman" w:hAnsi="Times New Roman" w:cs="Times New Roman" w:eastAsiaTheme="minorEastAsia"/>
          <w:szCs w:val="24"/>
          <w:highlight w:val="none"/>
          <w:u w:val="none" w:color="auto"/>
        </w:rPr>
        <w:instrText xml:space="preserve"> HYPERLINK \l _Toc21672 </w:instrText>
      </w:r>
      <w:r>
        <w:rPr>
          <w:rFonts w:hint="default" w:ascii="Times New Roman" w:hAnsi="Times New Roman" w:cs="Times New Roman" w:eastAsiaTheme="minorEastAsia"/>
          <w:szCs w:val="24"/>
          <w:highlight w:val="none"/>
          <w:u w:val="none" w:color="auto"/>
        </w:rPr>
        <w:fldChar w:fldCharType="separate"/>
      </w:r>
      <w:r>
        <w:rPr>
          <w:rFonts w:hint="default" w:ascii="Times New Roman" w:hAnsi="Times New Roman" w:cs="Times New Roman" w:eastAsiaTheme="minorEastAsia"/>
          <w:bCs/>
          <w:snapToGrid w:val="0"/>
          <w:szCs w:val="32"/>
          <w:highlight w:val="none"/>
          <w:u w:val="none" w:color="auto"/>
        </w:rPr>
        <w:t>附表</w:t>
      </w:r>
      <w:r>
        <w:rPr>
          <w:highlight w:val="none"/>
          <w:u w:val="none" w:color="auto"/>
        </w:rPr>
        <w:tab/>
      </w:r>
      <w:r>
        <w:rPr>
          <w:highlight w:val="none"/>
          <w:u w:val="none" w:color="auto"/>
        </w:rPr>
        <w:fldChar w:fldCharType="begin"/>
      </w:r>
      <w:r>
        <w:rPr>
          <w:highlight w:val="none"/>
          <w:u w:val="none" w:color="auto"/>
        </w:rPr>
        <w:instrText xml:space="preserve"> PAGEREF _Toc21672 \h </w:instrText>
      </w:r>
      <w:r>
        <w:rPr>
          <w:highlight w:val="none"/>
          <w:u w:val="none" w:color="auto"/>
        </w:rPr>
        <w:fldChar w:fldCharType="separate"/>
      </w:r>
      <w:r>
        <w:rPr>
          <w:highlight w:val="none"/>
          <w:u w:val="none" w:color="auto"/>
        </w:rPr>
        <w:t>62</w:t>
      </w:r>
      <w:r>
        <w:rPr>
          <w:highlight w:val="none"/>
          <w:u w:val="none" w:color="auto"/>
        </w:rPr>
        <w:fldChar w:fldCharType="end"/>
      </w:r>
      <w:r>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jc w:val="left"/>
        <w:textAlignment w:val="auto"/>
        <w:rPr>
          <w:rFonts w:hint="default"/>
          <w:highlight w:val="none"/>
          <w:u w:val="none" w:color="auto"/>
          <w:lang w:val="en-US" w:eastAsia="zh-CN"/>
        </w:rPr>
      </w:pPr>
      <w:r>
        <w:rPr>
          <w:rFonts w:hint="default" w:ascii="Times New Roman" w:hAnsi="Times New Roman" w:cs="Times New Roman" w:eastAsiaTheme="minorEastAsia"/>
          <w:color w:val="000000" w:themeColor="text1"/>
          <w:szCs w:val="24"/>
          <w:highlight w:val="none"/>
          <w:u w:val="none" w:color="auto"/>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b w:val="0"/>
          <w:bCs w:val="0"/>
          <w:color w:val="000000" w:themeColor="text1"/>
          <w:highlight w:val="none"/>
          <w:u w:val="none" w:color="auto"/>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bookmarkStart w:id="0" w:name="_Toc9575"/>
      <w:r>
        <w:rPr>
          <w:rFonts w:hint="eastAsia" w:ascii="Times New Roman" w:hAnsi="Times New Roman" w:cs="Times New Roman" w:eastAsiaTheme="minorEastAsia"/>
          <w:color w:val="000000" w:themeColor="text1"/>
          <w:sz w:val="36"/>
          <w:szCs w:val="36"/>
          <w:highlight w:val="none"/>
          <w:u w:val="none" w:color="auto"/>
          <w:lang w:val="en-US" w:eastAsia="zh-CN"/>
          <w14:textFill>
            <w14:solidFill>
              <w14:schemeClr w14:val="tx1"/>
            </w14:solidFill>
          </w14:textFill>
        </w:rPr>
        <w:t>一、</w:t>
      </w:r>
      <w:r>
        <w:rPr>
          <w:rFonts w:hint="default" w:ascii="Times New Roman" w:hAnsi="Times New Roman" w:cs="Times New Roman" w:eastAsiaTheme="minorEastAsia"/>
          <w:color w:val="000000" w:themeColor="text1"/>
          <w:sz w:val="36"/>
          <w:szCs w:val="36"/>
          <w:highlight w:val="none"/>
          <w:u w:val="none" w:color="auto"/>
          <w:lang w:val="en-US" w:eastAsia="zh-CN"/>
          <w14:textFill>
            <w14:solidFill>
              <w14:schemeClr w14:val="tx1"/>
            </w14:solidFill>
          </w14:textFill>
        </w:rPr>
        <w:t>建设项目基本情况</w:t>
      </w:r>
      <w:bookmarkEnd w:id="0"/>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1987"/>
        <w:gridCol w:w="1625"/>
        <w:gridCol w:w="36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建设项目名称</w:t>
            </w:r>
          </w:p>
        </w:tc>
        <w:tc>
          <w:tcPr>
            <w:tcW w:w="724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S345新田田家至二广高速宁远互通公路工程配套工程建设项目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项目代码</w:t>
            </w:r>
          </w:p>
        </w:tc>
        <w:tc>
          <w:tcPr>
            <w:tcW w:w="724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建设单位联系人</w:t>
            </w:r>
          </w:p>
        </w:tc>
        <w:tc>
          <w:tcPr>
            <w:tcW w:w="19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何</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真</w:t>
            </w:r>
          </w:p>
        </w:tc>
        <w:tc>
          <w:tcPr>
            <w:tcW w:w="16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联系方式</w:t>
            </w:r>
          </w:p>
        </w:tc>
        <w:tc>
          <w:tcPr>
            <w:tcW w:w="36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15700755087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建设地点</w:t>
            </w:r>
          </w:p>
        </w:tc>
        <w:tc>
          <w:tcPr>
            <w:tcW w:w="724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湖南省</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（自治区）</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 永州 </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市</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 新田 </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县（区）</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枧头</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/龙泉 </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镇（街道）</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（具体地址）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地理坐标</w:t>
            </w:r>
          </w:p>
        </w:tc>
        <w:tc>
          <w:tcPr>
            <w:tcW w:w="724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11</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2 </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度</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 09 </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分</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34.676</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秒，</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5 </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度</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 47 </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分</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53.186</w:t>
            </w:r>
            <w:r>
              <w:rPr>
                <w:rFonts w:hint="eastAsia" w:ascii="Times New Roman" w:hAnsi="Times New Roman" w:cs="Times New Roman" w:eastAsiaTheme="minorEastAsia"/>
                <w:color w:val="000000" w:themeColor="text1"/>
                <w:sz w:val="24"/>
                <w:szCs w:val="24"/>
                <w:highlight w:val="none"/>
                <w:u w:val="single" w:color="auto"/>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国民经济</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行业类别</w:t>
            </w:r>
          </w:p>
        </w:tc>
        <w:tc>
          <w:tcPr>
            <w:tcW w:w="19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C3021水泥制品制造、C3039其他建筑材料制造</w:t>
            </w:r>
          </w:p>
        </w:tc>
        <w:tc>
          <w:tcPr>
            <w:tcW w:w="16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建设项目</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行业类别</w:t>
            </w:r>
          </w:p>
        </w:tc>
        <w:tc>
          <w:tcPr>
            <w:tcW w:w="36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二十七、55 石膏、水泥制品及类似制品制造、56砖瓦、石材等建筑材料制造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建设性质</w:t>
            </w:r>
          </w:p>
        </w:tc>
        <w:tc>
          <w:tcPr>
            <w:tcW w:w="19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sym w:font="Wingdings 2" w:char="0052"/>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新建（迁建）</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sym w:font="Wingdings 2" w:char="00A3"/>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改建</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sym w:font="Wingdings 2" w:char="00A3"/>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扩建</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sym w:font="Wingdings 2" w:char="00A3"/>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技术改造</w:t>
            </w:r>
          </w:p>
        </w:tc>
        <w:tc>
          <w:tcPr>
            <w:tcW w:w="16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建设项目申报情形</w:t>
            </w:r>
          </w:p>
        </w:tc>
        <w:tc>
          <w:tcPr>
            <w:tcW w:w="36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sym w:font="Wingdings 2" w:char="0052"/>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首次申报项目</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sym w:font="Wingdings 2" w:char="00A3"/>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不予批准后再次申报项目</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sym w:font="Wingdings 2" w:char="00A3"/>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超五年重新审核项目</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sym w:font="Wingdings 2" w:char="00A3"/>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项目审批（核准/备案）部门（选填）</w:t>
            </w:r>
          </w:p>
        </w:tc>
        <w:tc>
          <w:tcPr>
            <w:tcW w:w="19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w:t>
            </w:r>
          </w:p>
        </w:tc>
        <w:tc>
          <w:tcPr>
            <w:tcW w:w="16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项目审批（核准/备案）文号（选填）</w:t>
            </w:r>
          </w:p>
        </w:tc>
        <w:tc>
          <w:tcPr>
            <w:tcW w:w="36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总投资（万元）</w:t>
            </w:r>
          </w:p>
        </w:tc>
        <w:tc>
          <w:tcPr>
            <w:tcW w:w="19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200</w:t>
            </w:r>
          </w:p>
        </w:tc>
        <w:tc>
          <w:tcPr>
            <w:tcW w:w="16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环保投资（万元）</w:t>
            </w:r>
          </w:p>
        </w:tc>
        <w:tc>
          <w:tcPr>
            <w:tcW w:w="36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环保投资占比（%）</w:t>
            </w:r>
          </w:p>
        </w:tc>
        <w:tc>
          <w:tcPr>
            <w:tcW w:w="19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38.5</w:t>
            </w:r>
          </w:p>
        </w:tc>
        <w:tc>
          <w:tcPr>
            <w:tcW w:w="16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施工工期</w:t>
            </w:r>
          </w:p>
        </w:tc>
        <w:tc>
          <w:tcPr>
            <w:tcW w:w="36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预计202</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月投产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是否开工建设</w:t>
            </w:r>
          </w:p>
        </w:tc>
        <w:tc>
          <w:tcPr>
            <w:tcW w:w="19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sym w:font="Wingdings 2" w:char="00A3"/>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否</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sym w:font="Wingdings 2" w:char="0052"/>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是</w:t>
            </w:r>
          </w:p>
        </w:tc>
        <w:tc>
          <w:tcPr>
            <w:tcW w:w="16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用地（用海）面积（m</w:t>
            </w:r>
            <w:r>
              <w:rPr>
                <w:rFonts w:hint="default" w:ascii="Times New Roman" w:hAnsi="Times New Roman" w:cs="Times New Roman" w:eastAsiaTheme="minorEastAsia"/>
                <w:color w:val="000000" w:themeColor="text1"/>
                <w:sz w:val="24"/>
                <w:szCs w:val="24"/>
                <w:highlight w:val="none"/>
                <w:u w:val="none" w:color="auto"/>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w:t>
            </w:r>
          </w:p>
        </w:tc>
        <w:tc>
          <w:tcPr>
            <w:tcW w:w="36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一号站：26700</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highlight w:val="none"/>
                <w:u w:val="none" w:color="auto"/>
                <w:vertAlign w:val="superscript"/>
                <w:lang w:val="en-US" w:eastAsia="zh-CN"/>
                <w14:textFill>
                  <w14:solidFill>
                    <w14:schemeClr w14:val="tx1"/>
                  </w14:solidFill>
                </w14:textFill>
              </w:rPr>
              <w:t>2</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lang w:val="en-US" w:eastAsia="zh-CN"/>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二号站：7800</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highlight w:val="none"/>
                <w:u w:val="none" w:color="auto"/>
                <w:vertAlign w:val="superscript"/>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专项评价设置情况</w:t>
            </w:r>
          </w:p>
        </w:tc>
        <w:tc>
          <w:tcPr>
            <w:tcW w:w="7246" w:type="dxa"/>
            <w:gridSpan w:val="3"/>
            <w:tcBorders>
              <w:tl2br w:val="nil"/>
              <w:tr2bl w:val="nil"/>
            </w:tcBorders>
            <w:vAlign w:val="center"/>
          </w:tcPr>
          <w:p>
            <w:pPr>
              <w:jc w:val="cente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规划情况</w:t>
            </w:r>
          </w:p>
        </w:tc>
        <w:tc>
          <w:tcPr>
            <w:tcW w:w="7246"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规划环境影响评价情况</w:t>
            </w:r>
          </w:p>
        </w:tc>
        <w:tc>
          <w:tcPr>
            <w:tcW w:w="7246"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规划及规划环境影响评价符合性分析</w:t>
            </w:r>
          </w:p>
        </w:tc>
        <w:tc>
          <w:tcPr>
            <w:tcW w:w="724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i w:val="0"/>
                <w:iCs w:val="0"/>
                <w:color w:val="000000"/>
                <w:sz w:val="24"/>
                <w:szCs w:val="24"/>
                <w:lang w:val="en-US" w:eastAsia="zh-CN"/>
              </w:rPr>
            </w:pPr>
            <w:r>
              <w:rPr>
                <w:rFonts w:hint="default" w:ascii="Times New Roman" w:hAnsi="Times New Roman" w:eastAsia="宋体" w:cs="Times New Roman"/>
                <w:b/>
                <w:bCs/>
                <w:i w:val="0"/>
                <w:iCs w:val="0"/>
                <w:color w:val="000000"/>
                <w:sz w:val="24"/>
                <w:szCs w:val="24"/>
                <w:lang w:val="en-US" w:eastAsia="zh-CN"/>
              </w:rPr>
              <w:t>1、选址合理性分析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（1）规划符合性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本项目位于</w:t>
            </w:r>
            <w:r>
              <w:rPr>
                <w:rFonts w:hint="eastAsia" w:ascii="Times New Roman" w:hAnsi="Times New Roman" w:cs="Times New Roman"/>
                <w:color w:val="000000"/>
                <w:sz w:val="24"/>
                <w:szCs w:val="24"/>
                <w:lang w:val="en-US" w:eastAsia="zh-CN"/>
              </w:rPr>
              <w:t>湖</w:t>
            </w:r>
            <w:r>
              <w:rPr>
                <w:rFonts w:hint="eastAsia" w:ascii="Times New Roman" w:hAnsi="Times New Roman" w:cs="Times New Roman"/>
                <w:color w:val="000000" w:themeColor="text1"/>
                <w:sz w:val="24"/>
                <w:szCs w:val="24"/>
                <w:lang w:val="en-US" w:eastAsia="zh-CN"/>
                <w14:textFill>
                  <w14:solidFill>
                    <w14:schemeClr w14:val="tx1"/>
                  </w14:solidFill>
                </w14:textFill>
              </w:rPr>
              <w:t>南省永州市新田县枧头镇、龙泉镇</w:t>
            </w:r>
            <w:r>
              <w:rPr>
                <w:rFonts w:hint="default" w:ascii="Times New Roman" w:hAnsi="Times New Roman" w:eastAsia="宋体" w:cs="Times New Roman"/>
                <w:color w:val="000000" w:themeColor="text1"/>
                <w:sz w:val="24"/>
                <w:szCs w:val="24"/>
                <w14:textFill>
                  <w14:solidFill>
                    <w14:schemeClr w14:val="tx1"/>
                  </w14:solidFill>
                </w14:textFill>
              </w:rPr>
              <w:t>，本项目用地不在城区规划范围内，附近区域无自然保护区、世界文化和自然遗产及等需要特殊保护的生态敏感区，无风景名胜区、森林公园、地质公园、重要湿地等重要生态敏感区</w:t>
            </w:r>
            <w:r>
              <w:rPr>
                <w:rFonts w:hint="default" w:ascii="Times New Roman" w:hAnsi="Times New Roman" w:eastAsia="宋体" w:cs="Times New Roman"/>
                <w:color w:val="000000"/>
                <w:sz w:val="24"/>
                <w:szCs w:val="24"/>
              </w:rPr>
              <w:t>，因此选址合理。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（2）周边环境功能区划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拟建区域环境质量现状良好，有较大的环境容量；各污废物均得到妥善处理，做到达标排放或综合利用，排放的污染物符合区域总量控制要求；环境影响预测分析表明，本工程实施后，正常生产情况下项目对地表水环境、环境空气和声环境影响不大，满足相应的环境质量要求；且项目从生产原料到生产工艺潜在的环境风险小。</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cs="Times New Roman"/>
                <w:b/>
                <w:bCs/>
                <w:color w:val="000000"/>
                <w:sz w:val="24"/>
                <w:szCs w:val="24"/>
                <w:lang w:val="en-US" w:eastAsia="zh-CN"/>
              </w:rPr>
              <w:t>2</w:t>
            </w:r>
            <w:r>
              <w:rPr>
                <w:rFonts w:hint="default" w:ascii="Times New Roman" w:hAnsi="Times New Roman" w:eastAsia="宋体" w:cs="Times New Roman"/>
                <w:b/>
                <w:bCs/>
                <w:color w:val="000000"/>
                <w:sz w:val="24"/>
                <w:szCs w:val="24"/>
                <w:lang w:val="en-US" w:eastAsia="zh-CN"/>
              </w:rPr>
              <w:t>、产业政策符合性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中华人民共和国发展和改革委员会第9号令《产业结构调整指导目录</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2019年本</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》由鼓励、限制和淘汰三类目录组成。经查询，本项目不属于鼓励类、限制类和淘汰类，且符合国家有关法律、法规和政策规定，属于允许类，所以本项目符合国家产业政策。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sz w:val="24"/>
                <w:szCs w:val="24"/>
              </w:rPr>
              <w:t>项目用地不属于《禁止用地项目目录（2012年本）》和《限制用地项目目录（2012年本）》所规定的用地类型，因此项目建设符合国家产业政策</w:t>
            </w:r>
            <w:r>
              <w:rPr>
                <w:rFonts w:hint="eastAsia" w:ascii="Times New Roman" w:hAnsi="Times New Roman" w:cs="Times New Roman"/>
                <w:color w:val="000000"/>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其他符合性分析</w:t>
            </w:r>
          </w:p>
        </w:tc>
        <w:tc>
          <w:tcPr>
            <w:tcW w:w="724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sz w:val="24"/>
                <w:szCs w:val="22"/>
              </w:rPr>
            </w:pPr>
            <w:r>
              <w:rPr>
                <w:rFonts w:hint="eastAsia" w:ascii="Times New Roman" w:hAnsi="Times New Roman" w:cs="Times New Roman"/>
                <w:b/>
                <w:bCs/>
                <w:color w:val="000000"/>
                <w:sz w:val="24"/>
                <w:szCs w:val="22"/>
                <w:lang w:val="en-US" w:eastAsia="zh-CN"/>
              </w:rPr>
              <w:t>1、</w:t>
            </w:r>
            <w:r>
              <w:rPr>
                <w:rFonts w:hint="default" w:ascii="Times New Roman" w:hAnsi="Times New Roman" w:eastAsia="宋体" w:cs="Times New Roman"/>
                <w:b/>
                <w:bCs/>
                <w:color w:val="000000"/>
                <w:sz w:val="24"/>
                <w:szCs w:val="22"/>
              </w:rPr>
              <w:t>与“三线一单”相符性分析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根据《关于以改善环境质量为核心加强环境影响评价管理的通知》（环评[2016]150号）：“为适应以改善环境质量为核心的环境管理要求”，切实加强环境影响评价（以下简称环评）管理，落实“生态保护红线、环境质量底线、资源利用上线和环境准入负面清单”（以下简称三线一单）约束。</w:t>
            </w:r>
          </w:p>
          <w:p>
            <w:pPr>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表</w:t>
            </w:r>
            <w:r>
              <w:rPr>
                <w:rFonts w:hint="eastAsia" w:ascii="Times New Roman" w:hAnsi="Times New Roman" w:eastAsia="宋体" w:cs="Times New Roman"/>
                <w:b/>
                <w:color w:val="000000"/>
                <w:kern w:val="2"/>
                <w:sz w:val="21"/>
                <w:szCs w:val="21"/>
                <w:lang w:val="en-US" w:eastAsia="zh-CN" w:bidi="ar-SA"/>
              </w:rPr>
              <w:t>1</w:t>
            </w:r>
            <w:r>
              <w:rPr>
                <w:rFonts w:hint="default" w:ascii="Times New Roman" w:hAnsi="Times New Roman" w:eastAsia="宋体" w:cs="Times New Roman"/>
                <w:b/>
                <w:color w:val="000000"/>
                <w:kern w:val="2"/>
                <w:sz w:val="21"/>
                <w:szCs w:val="21"/>
                <w:lang w:val="en-US" w:eastAsia="zh-CN" w:bidi="ar-SA"/>
              </w:rPr>
              <w:t>-</w:t>
            </w:r>
            <w:r>
              <w:rPr>
                <w:rFonts w:hint="eastAsia" w:ascii="Times New Roman" w:hAnsi="Times New Roman" w:cs="Times New Roman"/>
                <w:b/>
                <w:color w:val="000000"/>
                <w:kern w:val="2"/>
                <w:sz w:val="21"/>
                <w:szCs w:val="21"/>
                <w:lang w:val="en-US" w:eastAsia="zh-CN" w:bidi="ar-SA"/>
              </w:rPr>
              <w:t>1</w:t>
            </w:r>
            <w:r>
              <w:rPr>
                <w:rFonts w:hint="default" w:ascii="Times New Roman" w:hAnsi="Times New Roman" w:eastAsia="宋体" w:cs="Times New Roman"/>
                <w:b/>
                <w:color w:val="000000"/>
                <w:kern w:val="2"/>
                <w:sz w:val="21"/>
                <w:szCs w:val="21"/>
                <w:lang w:val="en-US" w:eastAsia="zh-CN" w:bidi="ar-SA"/>
              </w:rPr>
              <w:t xml:space="preserve"> 项目与“三线一单”相符性分析</w:t>
            </w: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382"/>
              <w:gridCol w:w="1515"/>
              <w:gridCol w:w="5123"/>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382" w:type="dxa"/>
                  <w:tcBorders>
                    <w:top w:val="single" w:color="000000" w:sz="4" w:space="0"/>
                    <w:left w:val="single" w:color="000000" w:sz="4"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序号</w:t>
                  </w:r>
                </w:p>
              </w:tc>
              <w:tc>
                <w:tcPr>
                  <w:tcW w:w="1515" w:type="dxa"/>
                  <w:tcBorders>
                    <w:top w:val="single" w:color="000000" w:sz="4"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三线一单</w:t>
                  </w:r>
                </w:p>
              </w:tc>
              <w:tc>
                <w:tcPr>
                  <w:tcW w:w="5123" w:type="dxa"/>
                  <w:tcBorders>
                    <w:top w:val="single" w:color="000000" w:sz="4" w:space="0"/>
                    <w:left w:val="single" w:color="000000" w:sz="6" w:space="0"/>
                    <w:bottom w:val="single" w:color="000000" w:sz="6" w:space="0"/>
                    <w:right w:val="single" w:color="000000" w:sz="4"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相符性分析</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382" w:type="dxa"/>
                  <w:tcBorders>
                    <w:top w:val="single" w:color="000000" w:sz="6" w:space="0"/>
                    <w:left w:val="single" w:color="000000" w:sz="4"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w:t>
                  </w:r>
                </w:p>
              </w:tc>
              <w:tc>
                <w:tcPr>
                  <w:tcW w:w="1515"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生态保护红线</w:t>
                  </w:r>
                </w:p>
              </w:tc>
              <w:tc>
                <w:tcPr>
                  <w:tcW w:w="5123" w:type="dxa"/>
                  <w:tcBorders>
                    <w:top w:val="single" w:color="000000" w:sz="6" w:space="0"/>
                    <w:left w:val="single" w:color="000000" w:sz="6" w:space="0"/>
                    <w:bottom w:val="single" w:color="000000" w:sz="6" w:space="0"/>
                    <w:right w:val="single" w:color="000000" w:sz="4"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本项目不位于</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新田</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县</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生态保护红线范围内</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382" w:type="dxa"/>
                  <w:tcBorders>
                    <w:top w:val="single" w:color="000000" w:sz="6" w:space="0"/>
                    <w:left w:val="single" w:color="000000" w:sz="4"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w:t>
                  </w:r>
                </w:p>
              </w:tc>
              <w:tc>
                <w:tcPr>
                  <w:tcW w:w="1515"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环境质量底线</w:t>
                  </w:r>
                </w:p>
              </w:tc>
              <w:tc>
                <w:tcPr>
                  <w:tcW w:w="5123" w:type="dxa"/>
                  <w:tcBorders>
                    <w:top w:val="single" w:color="000000" w:sz="6" w:space="0"/>
                    <w:left w:val="single" w:color="000000" w:sz="6" w:space="0"/>
                    <w:bottom w:val="single" w:color="000000" w:sz="6" w:space="0"/>
                    <w:right w:val="single" w:color="000000" w:sz="4"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根据现状监测结果可知，项目所在区域大气、地表水、声等环境质量能够满足相应功能区划要求。在严格落实各项污染防治措施的前提下，本项目的建设对周边环境影响较小，建成后不会突破当地环境质量底线</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ascii="Times New Roman" w:hAnsi="Times New Roman" w:cs="Times New Roman"/>
                      <w:color w:val="000000" w:themeColor="text1"/>
                      <w:kern w:val="0"/>
                      <w:sz w:val="21"/>
                      <w:szCs w:val="21"/>
                      <w:lang w:val="en-US" w:eastAsia="zh-CN"/>
                      <w14:textFill>
                        <w14:solidFill>
                          <w14:schemeClr w14:val="tx1"/>
                        </w14:solidFill>
                      </w14:textFill>
                    </w:rPr>
                    <w:t>且本项目在公路修建完毕后进行拆除，并将周边生态环境进行恢复</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382" w:type="dxa"/>
                  <w:tcBorders>
                    <w:top w:val="single" w:color="000000" w:sz="6" w:space="0"/>
                    <w:left w:val="single" w:color="000000" w:sz="4"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w:t>
                  </w:r>
                </w:p>
              </w:tc>
              <w:tc>
                <w:tcPr>
                  <w:tcW w:w="1515"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资源利用上线</w:t>
                  </w:r>
                </w:p>
              </w:tc>
              <w:tc>
                <w:tcPr>
                  <w:tcW w:w="5123" w:type="dxa"/>
                  <w:tcBorders>
                    <w:top w:val="single" w:color="000000" w:sz="6" w:space="0"/>
                    <w:left w:val="single" w:color="000000" w:sz="6" w:space="0"/>
                    <w:bottom w:val="single" w:color="000000" w:sz="6" w:space="0"/>
                    <w:right w:val="single" w:color="000000" w:sz="4"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项目所在地不属于资源、能源紧缺区域，不会超过资源利用上线</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382" w:type="dxa"/>
                  <w:tcBorders>
                    <w:top w:val="single" w:color="000000" w:sz="6" w:space="0"/>
                    <w:left w:val="single" w:color="000000" w:sz="4" w:space="0"/>
                    <w:bottom w:val="single" w:color="000000" w:sz="4"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w:t>
                  </w:r>
                </w:p>
              </w:tc>
              <w:tc>
                <w:tcPr>
                  <w:tcW w:w="1515" w:type="dxa"/>
                  <w:tcBorders>
                    <w:top w:val="single" w:color="000000" w:sz="6" w:space="0"/>
                    <w:left w:val="single" w:color="000000" w:sz="6" w:space="0"/>
                    <w:bottom w:val="single" w:color="000000" w:sz="4"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环境准入负面清单</w:t>
                  </w:r>
                </w:p>
              </w:tc>
              <w:tc>
                <w:tcPr>
                  <w:tcW w:w="5123" w:type="dxa"/>
                  <w:tcBorders>
                    <w:top w:val="single" w:color="000000" w:sz="6" w:space="0"/>
                    <w:left w:val="single" w:color="000000" w:sz="6" w:space="0"/>
                    <w:bottom w:val="single" w:color="000000" w:sz="4" w:space="0"/>
                    <w:right w:val="single" w:color="000000" w:sz="4"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该行业不属于当地环境准入负面清单行业内容</w:t>
                  </w:r>
                </w:p>
              </w:tc>
            </w:tr>
          </w:tbl>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r>
              <w:rPr>
                <w:rFonts w:hint="default" w:ascii="Times New Roman" w:hAnsi="Times New Roman" w:eastAsia="宋体" w:cs="Times New Roman"/>
                <w:color w:val="000000"/>
                <w:sz w:val="24"/>
                <w:szCs w:val="22"/>
              </w:rPr>
              <w:t>由上表可知，本项目不在生态敏感区保护范围内，符合《关于以改善环境质量为核心加强</w:t>
            </w:r>
            <w:r>
              <w:rPr>
                <w:rFonts w:hint="default" w:ascii="Times New Roman" w:hAnsi="Times New Roman" w:eastAsia="宋体" w:cs="Times New Roman"/>
                <w:color w:val="000000"/>
                <w:sz w:val="24"/>
                <w:szCs w:val="22"/>
                <w:u w:val="none"/>
              </w:rPr>
              <w:t>环境影响评价管理的通知》（环评[2016]150号）。</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sz w:val="24"/>
                <w:szCs w:val="22"/>
                <w:u w:val="none"/>
              </w:rPr>
              <w:t>综上，项目建设不存在明显限制因素，选址合理</w:t>
            </w:r>
            <w:r>
              <w:rPr>
                <w:rFonts w:hint="eastAsia" w:ascii="Times New Roman" w:hAnsi="Times New Roman" w:cs="Times New Roman"/>
                <w:color w:val="000000"/>
                <w:sz w:val="24"/>
                <w:szCs w:val="22"/>
                <w:u w:val="none"/>
                <w:lang w:eastAsia="zh-CN"/>
              </w:rPr>
              <w:t>。</w:t>
            </w:r>
          </w:p>
        </w:tc>
      </w:tr>
    </w:tbl>
    <w:p>
      <w:pPr>
        <w:bidi w:val="0"/>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sectPr>
          <w:footerReference r:id="rId5" w:type="default"/>
          <w:pgSz w:w="11906" w:h="16838"/>
          <w:pgMar w:top="1803" w:right="1440" w:bottom="1803" w:left="144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bookmarkStart w:id="1" w:name="_Toc9658"/>
      <w:r>
        <w:rPr>
          <w:rFonts w:hint="default" w:ascii="Times New Roman" w:hAnsi="Times New Roman" w:cs="Times New Roman" w:eastAsiaTheme="minorEastAsia"/>
          <w:b/>
          <w:color w:val="000000" w:themeColor="text1"/>
          <w:sz w:val="36"/>
          <w:szCs w:val="36"/>
          <w:highlight w:val="none"/>
          <w:u w:val="none" w:color="auto"/>
          <w:lang w:val="en-US" w:eastAsia="zh-CN"/>
          <w14:textFill>
            <w14:solidFill>
              <w14:schemeClr w14:val="tx1"/>
            </w14:solidFill>
          </w14:textFill>
        </w:rPr>
        <w:t>二、建设项目工程分析</w:t>
      </w:r>
      <w:bookmarkEnd w:id="1"/>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0"/>
        <w:gridCol w:w="84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建设内容</w:t>
            </w:r>
          </w:p>
        </w:tc>
        <w:tc>
          <w:tcPr>
            <w:tcW w:w="8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b/>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b/>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b/>
                <w:color w:val="000000" w:themeColor="text1"/>
                <w:sz w:val="24"/>
                <w:szCs w:val="24"/>
                <w:highlight w:val="none"/>
                <w:u w:val="none" w:color="auto"/>
                <w:lang w:val="en-US" w:eastAsia="zh-CN"/>
                <w14:textFill>
                  <w14:solidFill>
                    <w14:schemeClr w14:val="tx1"/>
                  </w14:solidFill>
                </w14:textFill>
              </w:rPr>
              <w:t>、项目工程概况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eastAsiaTheme="minorEastAsia"/>
                <w:b/>
                <w:bCs/>
                <w:color w:val="000000" w:themeColor="text1"/>
                <w:sz w:val="24"/>
                <w:szCs w:val="24"/>
                <w:highlight w:val="none"/>
                <w:u w:val="none" w:color="auto"/>
                <w14:textFill>
                  <w14:solidFill>
                    <w14:schemeClr w14:val="tx1"/>
                  </w14:solidFill>
                </w14:textFill>
              </w:rPr>
            </w:pPr>
            <w:r>
              <w:rPr>
                <w:rFonts w:hint="eastAsia"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highlight w:val="none"/>
                <w:u w:val="none" w:color="auto"/>
                <w14:textFill>
                  <w14:solidFill>
                    <w14:schemeClr w14:val="tx1"/>
                  </w14:solidFill>
                </w14:textFill>
              </w:rPr>
              <w:t>工程概况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0" w:firstLineChars="196"/>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项目名称：</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S345新田田家至二广高速宁远互通公路工程配套工程建设项目</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0" w:firstLineChars="196"/>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建设性质：</w:t>
            </w:r>
            <w:r>
              <w:rPr>
                <w:rFonts w:hint="eastAsia"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新建</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建设单位：</w:t>
            </w:r>
            <w:r>
              <w:rPr>
                <w:rFonts w:hint="eastAsia"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湖南省高速公路集团有限公司</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建设地点：</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永州市新田县枧头镇、永州市新田县龙泉镇</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，项目地理位置详见附图1；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投资总额：</w:t>
            </w:r>
            <w:r>
              <w:rPr>
                <w:rFonts w:hint="default" w:ascii="Times New Roman" w:hAnsi="Times New Roman" w:cs="Times New Roman" w:eastAsiaTheme="minorEastAsia"/>
                <w:i w:val="0"/>
                <w:iCs w:val="0"/>
                <w:color w:val="000000" w:themeColor="text1"/>
                <w:sz w:val="24"/>
                <w:szCs w:val="24"/>
                <w:highlight w:val="none"/>
                <w:u w:val="none" w:color="auto"/>
                <w14:textFill>
                  <w14:solidFill>
                    <w14:schemeClr w14:val="tx1"/>
                  </w14:solidFill>
                </w14:textFill>
              </w:rPr>
              <w:t>总投资</w:t>
            </w:r>
            <w:r>
              <w:rPr>
                <w:rFonts w:hint="eastAsia" w:ascii="Times New Roman" w:hAnsi="Times New Roman" w:cs="Times New Roman" w:eastAsiaTheme="minorEastAsia"/>
                <w:i w:val="0"/>
                <w:iCs w:val="0"/>
                <w:color w:val="000000" w:themeColor="text1"/>
                <w:sz w:val="24"/>
                <w:szCs w:val="24"/>
                <w:highlight w:val="none"/>
                <w:u w:val="none" w:color="auto"/>
                <w:lang w:val="en-US" w:eastAsia="zh-CN"/>
                <w14:textFill>
                  <w14:solidFill>
                    <w14:schemeClr w14:val="tx1"/>
                  </w14:solidFill>
                </w14:textFill>
              </w:rPr>
              <w:t>200</w:t>
            </w:r>
            <w:r>
              <w:rPr>
                <w:rFonts w:hint="default" w:ascii="Times New Roman" w:hAnsi="Times New Roman" w:cs="Times New Roman" w:eastAsiaTheme="minorEastAsia"/>
                <w:i w:val="0"/>
                <w:iCs w:val="0"/>
                <w:color w:val="000000" w:themeColor="text1"/>
                <w:sz w:val="24"/>
                <w:szCs w:val="24"/>
                <w:highlight w:val="none"/>
                <w:u w:val="none" w:color="auto"/>
                <w14:textFill>
                  <w14:solidFill>
                    <w14:schemeClr w14:val="tx1"/>
                  </w14:solidFill>
                </w14:textFill>
              </w:rPr>
              <w:t>万元，</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其中环保投资</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77.0</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万元，占总投资的</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38.5</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pPr>
            <w:r>
              <w:rPr>
                <w:rFonts w:hint="eastAsia" w:ascii="Times New Roman" w:hAnsi="Times New Roman" w:cs="Times New Roman" w:eastAsiaTheme="minorEastAsia"/>
                <w:b/>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b/>
                <w:color w:val="000000" w:themeColor="text1"/>
                <w:sz w:val="24"/>
                <w:szCs w:val="24"/>
                <w:highlight w:val="none"/>
                <w:u w:val="none" w:color="auto"/>
                <w:lang w:val="en-US" w:eastAsia="zh-CN"/>
                <w14:textFill>
                  <w14:solidFill>
                    <w14:schemeClr w14:val="tx1"/>
                  </w14:solidFill>
                </w14:textFill>
              </w:rPr>
              <w:t>.</w:t>
            </w:r>
            <w:r>
              <w:rPr>
                <w:rFonts w:hint="eastAsia" w:ascii="Times New Roman" w:hAnsi="Times New Roman" w:cs="Times New Roman" w:eastAsiaTheme="minorEastAsia"/>
                <w:b/>
                <w:color w:val="000000" w:themeColor="text1"/>
                <w:sz w:val="24"/>
                <w:szCs w:val="24"/>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b/>
                <w:color w:val="000000" w:themeColor="text1"/>
                <w:sz w:val="24"/>
                <w:szCs w:val="24"/>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z w:val="24"/>
                <w:szCs w:val="24"/>
                <w:highlight w:val="none"/>
                <w:u w:val="none" w:color="auto"/>
                <w14:textFill>
                  <w14:solidFill>
                    <w14:schemeClr w14:val="tx1"/>
                  </w14:solidFill>
                </w14:textFill>
              </w:rPr>
              <w:t>工程内容及规模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bCs/>
                <w:color w:val="auto"/>
                <w:sz w:val="24"/>
                <w:szCs w:val="24"/>
                <w:highlight w:val="none"/>
                <w:lang w:val="en-US" w:eastAsia="zh-CN"/>
              </w:rPr>
              <w:t>一号站位于永州市新田县枧头镇，占地面积</w:t>
            </w:r>
            <w:r>
              <w:rPr>
                <w:rFonts w:hint="default" w:ascii="Times New Roman" w:hAnsi="Times New Roman" w:cs="Times New Roman"/>
                <w:bCs/>
                <w:color w:val="auto"/>
                <w:sz w:val="24"/>
                <w:szCs w:val="24"/>
                <w:highlight w:val="none"/>
                <w:lang w:val="en-US" w:eastAsia="zh-CN"/>
              </w:rPr>
              <w:t>2.67</w:t>
            </w:r>
            <w:r>
              <w:rPr>
                <w:rFonts w:hint="eastAsia" w:ascii="Times New Roman" w:hAnsi="Times New Roman" w:cs="Times New Roman"/>
                <w:bCs/>
                <w:color w:val="auto"/>
                <w:sz w:val="24"/>
                <w:szCs w:val="24"/>
                <w:highlight w:val="none"/>
                <w:lang w:val="en-US" w:eastAsia="zh-CN"/>
              </w:rPr>
              <w:t>h</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主要建设内容包括1条年产6万立方混凝土生产线、1条年产21万吨沥青混凝土生产线</w:t>
            </w:r>
            <w:r>
              <w:rPr>
                <w:rFonts w:hint="eastAsia" w:ascii="Times New Roman" w:hAnsi="Times New Roman" w:cs="Times New Roman"/>
                <w:color w:val="auto"/>
                <w:sz w:val="24"/>
                <w:szCs w:val="24"/>
                <w:highlight w:val="none"/>
                <w:lang w:val="en-US" w:eastAsia="zh-CN"/>
              </w:rPr>
              <w:t>、1条年产81.5万吨稳定土生产线</w:t>
            </w:r>
            <w:r>
              <w:rPr>
                <w:rFonts w:hint="default" w:ascii="Times New Roman" w:hAnsi="Times New Roman" w:eastAsia="宋体" w:cs="Times New Roman"/>
                <w:color w:val="auto"/>
                <w:sz w:val="24"/>
                <w:szCs w:val="24"/>
                <w:highlight w:val="none"/>
                <w:lang w:val="en-US" w:eastAsia="zh-CN"/>
              </w:rPr>
              <w:t>及配套装备设施，办公楼及相关辅助配套设施</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二号站位于永州市新田县龙泉镇</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占地面积</w:t>
            </w:r>
            <w:r>
              <w:rPr>
                <w:rFonts w:hint="default" w:ascii="Times New Roman" w:hAnsi="Times New Roman" w:cs="Times New Roman"/>
                <w:bCs/>
                <w:color w:val="auto"/>
                <w:sz w:val="24"/>
                <w:szCs w:val="24"/>
                <w:highlight w:val="none"/>
                <w:lang w:val="en-US" w:eastAsia="zh-CN"/>
              </w:rPr>
              <w:t>0.78</w:t>
            </w:r>
            <w:r>
              <w:rPr>
                <w:rFonts w:hint="eastAsia" w:ascii="Times New Roman" w:hAnsi="Times New Roman" w:cs="Times New Roman"/>
                <w:bCs/>
                <w:color w:val="auto"/>
                <w:sz w:val="24"/>
                <w:szCs w:val="24"/>
                <w:highlight w:val="none"/>
                <w:lang w:val="en-US" w:eastAsia="zh-CN"/>
              </w:rPr>
              <w:t>h</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主要建设内容包括1条年产6万立方混凝土生产线及配套装备设施，办公楼及相关辅助配套设施。</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p>
          <w:p>
            <w:pPr>
              <w:pStyle w:val="13"/>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p>
          <w:p>
            <w:pPr>
              <w:pStyle w:val="13"/>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p>
          <w:p>
            <w:pPr>
              <w:pStyle w:val="13"/>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p>
          <w:p>
            <w:pPr>
              <w:pStyle w:val="13"/>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p>
          <w:p>
            <w:pPr>
              <w:pStyle w:val="13"/>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p>
          <w:p>
            <w:pPr>
              <w:pStyle w:val="13"/>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p>
          <w:p>
            <w:pPr>
              <w:pStyle w:val="13"/>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2-</w:t>
            </w:r>
            <w:r>
              <w:rPr>
                <w:rFonts w:hint="eastAsia"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一号站</w:t>
            </w: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主要建设内容一览表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435"/>
              <w:gridCol w:w="1336"/>
              <w:gridCol w:w="5300"/>
              <w:gridCol w:w="1172"/>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74" w:type="pct"/>
                  <w:gridSpan w:val="2"/>
                  <w:noWrap w:val="0"/>
                  <w:vAlign w:val="center"/>
                </w:tcPr>
                <w:p>
                  <w:pPr>
                    <w:pStyle w:val="57"/>
                    <w:bidi w:val="0"/>
                    <w:rPr>
                      <w:rFonts w:hint="default"/>
                    </w:rPr>
                  </w:pPr>
                  <w:r>
                    <w:rPr>
                      <w:rFonts w:hint="default"/>
                    </w:rPr>
                    <w:t>建设内容</w:t>
                  </w:r>
                </w:p>
              </w:tc>
              <w:tc>
                <w:tcPr>
                  <w:tcW w:w="3214" w:type="pct"/>
                  <w:noWrap w:val="0"/>
                  <w:vAlign w:val="center"/>
                </w:tcPr>
                <w:p>
                  <w:pPr>
                    <w:pStyle w:val="57"/>
                    <w:bidi w:val="0"/>
                    <w:rPr>
                      <w:rFonts w:hint="default"/>
                    </w:rPr>
                  </w:pPr>
                  <w:r>
                    <w:rPr>
                      <w:rFonts w:hint="default"/>
                    </w:rPr>
                    <w:t>规模</w:t>
                  </w:r>
                </w:p>
              </w:tc>
              <w:tc>
                <w:tcPr>
                  <w:tcW w:w="711" w:type="pct"/>
                  <w:noWrap w:val="0"/>
                  <w:vAlign w:val="center"/>
                </w:tcPr>
                <w:p>
                  <w:pPr>
                    <w:pStyle w:val="57"/>
                    <w:bidi w:val="0"/>
                    <w:rPr>
                      <w:rFonts w:hint="default"/>
                    </w:rPr>
                  </w:pPr>
                  <w:r>
                    <w:rPr>
                      <w:rFonts w:hint="default"/>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4" w:type="pct"/>
                  <w:vMerge w:val="restart"/>
                  <w:noWrap w:val="0"/>
                  <w:vAlign w:val="center"/>
                </w:tcPr>
                <w:p>
                  <w:pPr>
                    <w:pStyle w:val="57"/>
                    <w:bidi w:val="0"/>
                    <w:rPr>
                      <w:rFonts w:hint="default"/>
                    </w:rPr>
                  </w:pPr>
                  <w:r>
                    <w:rPr>
                      <w:rFonts w:hint="default"/>
                    </w:rPr>
                    <w:t>主体工程</w:t>
                  </w:r>
                </w:p>
              </w:tc>
              <w:tc>
                <w:tcPr>
                  <w:tcW w:w="809" w:type="pct"/>
                  <w:vMerge w:val="restart"/>
                  <w:noWrap w:val="0"/>
                  <w:vAlign w:val="center"/>
                </w:tcPr>
                <w:p>
                  <w:pPr>
                    <w:pStyle w:val="57"/>
                    <w:bidi w:val="0"/>
                    <w:rPr>
                      <w:rFonts w:hint="default"/>
                    </w:rPr>
                  </w:pPr>
                  <w:r>
                    <w:rPr>
                      <w:rFonts w:hint="default"/>
                      <w:lang w:val="en-US" w:eastAsia="zh-CN"/>
                    </w:rPr>
                    <w:t>生产区</w:t>
                  </w:r>
                </w:p>
              </w:tc>
              <w:tc>
                <w:tcPr>
                  <w:tcW w:w="3214" w:type="pct"/>
                  <w:noWrap w:val="0"/>
                  <w:vAlign w:val="center"/>
                </w:tcPr>
                <w:p>
                  <w:pPr>
                    <w:pStyle w:val="57"/>
                    <w:bidi w:val="0"/>
                    <w:jc w:val="both"/>
                    <w:rPr>
                      <w:rFonts w:hint="default"/>
                    </w:rPr>
                  </w:pPr>
                  <w:r>
                    <w:rPr>
                      <w:rFonts w:hint="eastAsia"/>
                      <w:lang w:val="en-US" w:eastAsia="zh-CN"/>
                    </w:rPr>
                    <w:t>混凝土搅拌线1条，占地面积为1000</w:t>
                  </w:r>
                  <w:r>
                    <w:rPr>
                      <w:rFonts w:hint="default"/>
                    </w:rPr>
                    <w:t>m</w:t>
                  </w:r>
                  <w:r>
                    <w:rPr>
                      <w:rFonts w:hint="default" w:ascii="Times New Roman" w:hAnsi="Times New Roman" w:eastAsia="宋体" w:cs="Times New Roman"/>
                      <w:vertAlign w:val="superscript"/>
                    </w:rPr>
                    <w:t>2</w:t>
                  </w:r>
                  <w:r>
                    <w:rPr>
                      <w:rFonts w:hint="eastAsia"/>
                      <w:lang w:val="en-US" w:eastAsia="zh-CN"/>
                    </w:rPr>
                    <w:t>，</w:t>
                  </w:r>
                  <w:r>
                    <w:rPr>
                      <w:rFonts w:hint="default"/>
                      <w:lang w:val="en-US" w:eastAsia="zh-CN"/>
                    </w:rPr>
                    <w:t>建设内容</w:t>
                  </w:r>
                  <w:r>
                    <w:rPr>
                      <w:rFonts w:hint="eastAsia"/>
                      <w:lang w:val="en-US" w:eastAsia="zh-CN"/>
                    </w:rPr>
                    <w:t>：</w:t>
                  </w:r>
                  <w:r>
                    <w:rPr>
                      <w:rFonts w:hint="default"/>
                      <w:lang w:val="en-US" w:eastAsia="zh-CN"/>
                    </w:rPr>
                    <w:t>混凝土</w:t>
                  </w:r>
                  <w:r>
                    <w:rPr>
                      <w:rFonts w:hint="default"/>
                      <w:lang w:eastAsia="zh-CN"/>
                    </w:rPr>
                    <w:t>搅拌站（钢结构、全密封）一座，</w:t>
                  </w:r>
                  <w:r>
                    <w:rPr>
                      <w:rFonts w:hint="eastAsia"/>
                      <w:lang w:val="en-US" w:eastAsia="zh-CN"/>
                    </w:rPr>
                    <w:t>3个水泥筒仓（90t）、1</w:t>
                  </w:r>
                  <w:r>
                    <w:rPr>
                      <w:rFonts w:hint="default"/>
                      <w:lang w:val="en-US" w:eastAsia="zh-CN"/>
                    </w:rPr>
                    <w:t>个</w:t>
                  </w:r>
                  <w:r>
                    <w:rPr>
                      <w:rFonts w:hint="default"/>
                    </w:rPr>
                    <w:t>粉</w:t>
                  </w:r>
                  <w:r>
                    <w:rPr>
                      <w:rFonts w:hint="eastAsia"/>
                      <w:lang w:val="en-US" w:eastAsia="zh-CN"/>
                    </w:rPr>
                    <w:t>煤灰</w:t>
                  </w:r>
                  <w:r>
                    <w:rPr>
                      <w:rFonts w:hint="default"/>
                      <w:lang w:eastAsia="zh-CN"/>
                    </w:rPr>
                    <w:t>筒仓</w:t>
                  </w:r>
                  <w:r>
                    <w:rPr>
                      <w:rFonts w:hint="eastAsia"/>
                      <w:lang w:eastAsia="zh-CN"/>
                    </w:rPr>
                    <w:t>（</w:t>
                  </w:r>
                  <w:r>
                    <w:rPr>
                      <w:rFonts w:hint="eastAsia"/>
                      <w:lang w:val="en-US" w:eastAsia="zh-CN"/>
                    </w:rPr>
                    <w:t>90t</w:t>
                  </w:r>
                  <w:r>
                    <w:rPr>
                      <w:rFonts w:hint="eastAsia"/>
                      <w:lang w:eastAsia="zh-CN"/>
                    </w:rPr>
                    <w:t>）</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4" w:type="pct"/>
                  <w:vMerge w:val="continue"/>
                  <w:noWrap w:val="0"/>
                  <w:vAlign w:val="center"/>
                </w:tcPr>
                <w:p>
                  <w:pPr>
                    <w:pStyle w:val="57"/>
                    <w:bidi w:val="0"/>
                    <w:rPr>
                      <w:rFonts w:hint="default"/>
                    </w:rPr>
                  </w:pPr>
                </w:p>
              </w:tc>
              <w:tc>
                <w:tcPr>
                  <w:tcW w:w="809" w:type="pct"/>
                  <w:vMerge w:val="continue"/>
                  <w:noWrap w:val="0"/>
                  <w:vAlign w:val="center"/>
                </w:tcPr>
                <w:p>
                  <w:pPr>
                    <w:pStyle w:val="57"/>
                    <w:bidi w:val="0"/>
                    <w:rPr>
                      <w:rFonts w:hint="default"/>
                      <w:lang w:val="en-US" w:eastAsia="zh-CN"/>
                    </w:rPr>
                  </w:pPr>
                </w:p>
              </w:tc>
              <w:tc>
                <w:tcPr>
                  <w:tcW w:w="3214" w:type="pct"/>
                  <w:noWrap w:val="0"/>
                  <w:vAlign w:val="center"/>
                </w:tcPr>
                <w:p>
                  <w:pPr>
                    <w:pStyle w:val="57"/>
                    <w:bidi w:val="0"/>
                    <w:jc w:val="both"/>
                    <w:rPr>
                      <w:rFonts w:hint="eastAsia"/>
                      <w:lang w:val="en-US" w:eastAsia="zh-CN"/>
                    </w:rPr>
                  </w:pPr>
                  <w:r>
                    <w:rPr>
                      <w:rFonts w:hint="eastAsia"/>
                      <w:lang w:val="en-US" w:eastAsia="zh-CN"/>
                    </w:rPr>
                    <w:t>稳定土搅拌线1条，占地面积为1000</w:t>
                  </w:r>
                  <w:r>
                    <w:rPr>
                      <w:rFonts w:hint="default"/>
                    </w:rPr>
                    <w:t>m</w:t>
                  </w:r>
                  <w:r>
                    <w:rPr>
                      <w:rFonts w:hint="default" w:ascii="Times New Roman" w:hAnsi="Times New Roman" w:eastAsia="宋体" w:cs="Times New Roman"/>
                      <w:vertAlign w:val="superscript"/>
                    </w:rPr>
                    <w:t>2</w:t>
                  </w:r>
                  <w:r>
                    <w:rPr>
                      <w:rFonts w:hint="eastAsia"/>
                      <w:lang w:val="en-US" w:eastAsia="zh-CN"/>
                    </w:rPr>
                    <w:t>，</w:t>
                  </w:r>
                  <w:r>
                    <w:rPr>
                      <w:rFonts w:hint="default"/>
                      <w:lang w:val="en-US" w:eastAsia="zh-CN"/>
                    </w:rPr>
                    <w:t>建设内容</w:t>
                  </w:r>
                  <w:r>
                    <w:rPr>
                      <w:rFonts w:hint="eastAsia"/>
                      <w:lang w:val="en-US" w:eastAsia="zh-CN"/>
                    </w:rPr>
                    <w:t>：</w:t>
                  </w:r>
                  <w:r>
                    <w:rPr>
                      <w:rFonts w:hint="default"/>
                      <w:lang w:val="en-US" w:eastAsia="zh-CN"/>
                    </w:rPr>
                    <w:t>稳定土</w:t>
                  </w:r>
                  <w:r>
                    <w:rPr>
                      <w:rFonts w:hint="default"/>
                      <w:lang w:eastAsia="zh-CN"/>
                    </w:rPr>
                    <w:t>搅拌站（钢结构、全密封）一座，</w:t>
                  </w:r>
                  <w:r>
                    <w:rPr>
                      <w:rFonts w:hint="eastAsia"/>
                      <w:lang w:val="en-US" w:eastAsia="zh-CN"/>
                    </w:rPr>
                    <w:t>3个原料筒仓（其中2个筒仓的规格为95t，1个筒仓的规格为80t）</w:t>
                  </w:r>
                </w:p>
              </w:tc>
              <w:tc>
                <w:tcPr>
                  <w:tcW w:w="711" w:type="pct"/>
                  <w:noWrap w:val="0"/>
                  <w:vAlign w:val="center"/>
                </w:tcPr>
                <w:p>
                  <w:pPr>
                    <w:pStyle w:val="57"/>
                    <w:bidi w:val="0"/>
                    <w:rPr>
                      <w:rFonts w:hint="default"/>
                      <w:lang w:val="en-US" w:eastAsia="zh-CN"/>
                    </w:rPr>
                  </w:pPr>
                  <w:r>
                    <w:rPr>
                      <w:rFonts w:hint="default"/>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4" w:type="pct"/>
                  <w:vMerge w:val="continue"/>
                  <w:noWrap w:val="0"/>
                  <w:vAlign w:val="center"/>
                </w:tcPr>
                <w:p>
                  <w:pPr>
                    <w:pStyle w:val="57"/>
                    <w:bidi w:val="0"/>
                    <w:rPr>
                      <w:rFonts w:hint="default"/>
                    </w:rPr>
                  </w:pPr>
                </w:p>
              </w:tc>
              <w:tc>
                <w:tcPr>
                  <w:tcW w:w="809" w:type="pct"/>
                  <w:vMerge w:val="continue"/>
                  <w:noWrap w:val="0"/>
                  <w:vAlign w:val="center"/>
                </w:tcPr>
                <w:p>
                  <w:pPr>
                    <w:pStyle w:val="57"/>
                    <w:bidi w:val="0"/>
                    <w:rPr>
                      <w:rFonts w:hint="default"/>
                      <w:lang w:val="en-US" w:eastAsia="zh-CN"/>
                    </w:rPr>
                  </w:pPr>
                </w:p>
              </w:tc>
              <w:tc>
                <w:tcPr>
                  <w:tcW w:w="3214" w:type="pct"/>
                  <w:noWrap w:val="0"/>
                  <w:vAlign w:val="center"/>
                </w:tcPr>
                <w:p>
                  <w:pPr>
                    <w:pStyle w:val="57"/>
                    <w:bidi w:val="0"/>
                    <w:jc w:val="both"/>
                    <w:rPr>
                      <w:rFonts w:hint="eastAsia"/>
                      <w:lang w:val="en-US" w:eastAsia="zh-CN"/>
                    </w:rPr>
                  </w:pPr>
                  <w:r>
                    <w:rPr>
                      <w:rFonts w:hint="eastAsia"/>
                      <w:lang w:val="en-US" w:eastAsia="zh-CN"/>
                    </w:rPr>
                    <w:t>沥青混凝土搅拌线1条，占地面积为1000</w:t>
                  </w:r>
                  <w:r>
                    <w:rPr>
                      <w:rFonts w:hint="default"/>
                    </w:rPr>
                    <w:t>m</w:t>
                  </w:r>
                  <w:r>
                    <w:rPr>
                      <w:rFonts w:hint="default" w:ascii="Times New Roman" w:hAnsi="Times New Roman" w:eastAsia="宋体" w:cs="Times New Roman"/>
                      <w:vertAlign w:val="superscript"/>
                    </w:rPr>
                    <w:t>2</w:t>
                  </w:r>
                  <w:r>
                    <w:rPr>
                      <w:rFonts w:hint="eastAsia"/>
                      <w:lang w:eastAsia="zh-CN"/>
                    </w:rPr>
                    <w:t>，</w:t>
                  </w:r>
                  <w:r>
                    <w:rPr>
                      <w:rFonts w:hint="default"/>
                      <w:lang w:val="en-US" w:eastAsia="zh-CN"/>
                    </w:rPr>
                    <w:t>建设内容</w:t>
                  </w:r>
                  <w:r>
                    <w:rPr>
                      <w:rFonts w:hint="eastAsia"/>
                      <w:lang w:val="en-US" w:eastAsia="zh-CN"/>
                    </w:rPr>
                    <w:t>：</w:t>
                  </w:r>
                  <w:r>
                    <w:rPr>
                      <w:rFonts w:hint="default"/>
                      <w:lang w:val="en-US" w:eastAsia="zh-CN"/>
                    </w:rPr>
                    <w:t>沥青混凝土</w:t>
                  </w:r>
                  <w:r>
                    <w:rPr>
                      <w:rFonts w:hint="default"/>
                      <w:lang w:eastAsia="zh-CN"/>
                    </w:rPr>
                    <w:t>搅拌站（钢结构、全密封）一座，</w:t>
                  </w:r>
                  <w:r>
                    <w:rPr>
                      <w:rFonts w:hint="eastAsia"/>
                      <w:lang w:val="en-US" w:eastAsia="zh-CN"/>
                    </w:rPr>
                    <w:t>3个粉料筒仓（80t）</w:t>
                  </w:r>
                </w:p>
              </w:tc>
              <w:tc>
                <w:tcPr>
                  <w:tcW w:w="711" w:type="pct"/>
                  <w:noWrap w:val="0"/>
                  <w:vAlign w:val="center"/>
                </w:tcPr>
                <w:p>
                  <w:pPr>
                    <w:pStyle w:val="57"/>
                    <w:bidi w:val="0"/>
                    <w:rPr>
                      <w:rFonts w:hint="default"/>
                      <w:lang w:val="en-US" w:eastAsia="zh-CN"/>
                    </w:rPr>
                  </w:pPr>
                  <w:r>
                    <w:rPr>
                      <w:rFonts w:hint="default"/>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4" w:type="pct"/>
                  <w:vMerge w:val="restart"/>
                  <w:noWrap w:val="0"/>
                  <w:vAlign w:val="center"/>
                </w:tcPr>
                <w:p>
                  <w:pPr>
                    <w:pStyle w:val="57"/>
                    <w:bidi w:val="0"/>
                    <w:rPr>
                      <w:rFonts w:hint="default"/>
                    </w:rPr>
                  </w:pPr>
                  <w:r>
                    <w:rPr>
                      <w:rFonts w:hint="default"/>
                    </w:rPr>
                    <w:t>配套工程</w:t>
                  </w:r>
                </w:p>
              </w:tc>
              <w:tc>
                <w:tcPr>
                  <w:tcW w:w="809" w:type="pct"/>
                  <w:noWrap w:val="0"/>
                  <w:vAlign w:val="center"/>
                </w:tcPr>
                <w:p>
                  <w:pPr>
                    <w:pStyle w:val="57"/>
                    <w:bidi w:val="0"/>
                    <w:rPr>
                      <w:rFonts w:hint="default"/>
                    </w:rPr>
                  </w:pPr>
                  <w:r>
                    <w:rPr>
                      <w:rFonts w:hint="default"/>
                    </w:rPr>
                    <w:t>办公楼</w:t>
                  </w:r>
                </w:p>
              </w:tc>
              <w:tc>
                <w:tcPr>
                  <w:tcW w:w="3214" w:type="pct"/>
                  <w:noWrap w:val="0"/>
                  <w:vAlign w:val="center"/>
                </w:tcPr>
                <w:p>
                  <w:pPr>
                    <w:pStyle w:val="57"/>
                    <w:bidi w:val="0"/>
                    <w:jc w:val="both"/>
                    <w:rPr>
                      <w:rFonts w:hint="default"/>
                    </w:rPr>
                  </w:pPr>
                  <w:r>
                    <w:rPr>
                      <w:rFonts w:hint="default"/>
                    </w:rPr>
                    <w:t>包含办公楼、厕所等，</w:t>
                  </w:r>
                  <w:r>
                    <w:rPr>
                      <w:rFonts w:hint="eastAsia"/>
                      <w:lang w:val="en-US" w:eastAsia="zh-CN"/>
                    </w:rPr>
                    <w:t>2F</w:t>
                  </w:r>
                  <w:r>
                    <w:rPr>
                      <w:rFonts w:hint="default"/>
                    </w:rPr>
                    <w:t>砖混结构，占地面积</w:t>
                  </w:r>
                  <w:r>
                    <w:rPr>
                      <w:rFonts w:hint="eastAsia"/>
                      <w:lang w:val="en-US" w:eastAsia="zh-CN"/>
                    </w:rPr>
                    <w:t>20</w:t>
                  </w:r>
                  <w:r>
                    <w:rPr>
                      <w:rFonts w:hint="default"/>
                    </w:rPr>
                    <w:t>0m</w:t>
                  </w:r>
                  <w:r>
                    <w:rPr>
                      <w:rFonts w:hint="default" w:ascii="Times New Roman" w:hAnsi="Times New Roman" w:eastAsia="宋体" w:cs="Times New Roman"/>
                      <w:vertAlign w:val="superscript"/>
                    </w:rPr>
                    <w:t>2</w:t>
                  </w:r>
                  <w:r>
                    <w:rPr>
                      <w:rFonts w:hint="eastAsia"/>
                      <w:lang w:eastAsia="zh-CN"/>
                    </w:rPr>
                    <w:t>，</w:t>
                  </w:r>
                  <w:r>
                    <w:rPr>
                      <w:rFonts w:hint="eastAsia"/>
                      <w:lang w:val="en-US" w:eastAsia="zh-CN"/>
                    </w:rPr>
                    <w:t>高度为6m</w:t>
                  </w:r>
                </w:p>
              </w:tc>
              <w:tc>
                <w:tcPr>
                  <w:tcW w:w="711" w:type="pct"/>
                  <w:noWrap w:val="0"/>
                  <w:vAlign w:val="center"/>
                </w:tcPr>
                <w:p>
                  <w:pPr>
                    <w:pStyle w:val="57"/>
                    <w:bidi w:val="0"/>
                    <w:rPr>
                      <w:rFonts w:hint="default"/>
                    </w:rPr>
                  </w:pPr>
                  <w:r>
                    <w:rPr>
                      <w:rFonts w:hint="default"/>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rPr>
                  </w:pPr>
                  <w:r>
                    <w:rPr>
                      <w:rFonts w:hint="default"/>
                    </w:rPr>
                    <w:t>门卫室</w:t>
                  </w:r>
                </w:p>
              </w:tc>
              <w:tc>
                <w:tcPr>
                  <w:tcW w:w="3214" w:type="pct"/>
                  <w:noWrap w:val="0"/>
                  <w:vAlign w:val="center"/>
                </w:tcPr>
                <w:p>
                  <w:pPr>
                    <w:pStyle w:val="57"/>
                    <w:bidi w:val="0"/>
                    <w:jc w:val="both"/>
                    <w:rPr>
                      <w:rFonts w:hint="default"/>
                    </w:rPr>
                  </w:pPr>
                  <w:r>
                    <w:rPr>
                      <w:rFonts w:hint="default"/>
                    </w:rPr>
                    <w:t>1F/1栋，</w:t>
                  </w:r>
                  <w:r>
                    <w:rPr>
                      <w:rFonts w:hint="default"/>
                      <w:lang w:val="en-US" w:eastAsia="zh-CN"/>
                    </w:rPr>
                    <w:t>钢架结构</w:t>
                  </w:r>
                  <w:r>
                    <w:rPr>
                      <w:rFonts w:hint="default"/>
                    </w:rPr>
                    <w:t>，占地面积20m</w:t>
                  </w:r>
                  <w:r>
                    <w:rPr>
                      <w:rFonts w:hint="default" w:ascii="Times New Roman" w:hAnsi="Times New Roman" w:eastAsia="宋体" w:cs="Times New Roman"/>
                      <w:vertAlign w:val="superscript"/>
                    </w:rPr>
                    <w:t>2</w:t>
                  </w:r>
                </w:p>
              </w:tc>
              <w:tc>
                <w:tcPr>
                  <w:tcW w:w="711" w:type="pct"/>
                  <w:noWrap w:val="0"/>
                  <w:vAlign w:val="center"/>
                </w:tcPr>
                <w:p>
                  <w:pPr>
                    <w:pStyle w:val="57"/>
                    <w:bidi w:val="0"/>
                    <w:rPr>
                      <w:rFonts w:hint="default"/>
                      <w:lang w:val="en-US" w:eastAsia="zh-CN"/>
                    </w:rPr>
                  </w:pPr>
                  <w:r>
                    <w:rPr>
                      <w:rFonts w:hint="default"/>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rPr>
                  </w:pPr>
                  <w:r>
                    <w:rPr>
                      <w:rFonts w:hint="default"/>
                    </w:rPr>
                    <w:t>洗车台</w:t>
                  </w:r>
                </w:p>
              </w:tc>
              <w:tc>
                <w:tcPr>
                  <w:tcW w:w="3214" w:type="pct"/>
                  <w:noWrap w:val="0"/>
                  <w:vAlign w:val="center"/>
                </w:tcPr>
                <w:p>
                  <w:pPr>
                    <w:pStyle w:val="57"/>
                    <w:bidi w:val="0"/>
                    <w:jc w:val="both"/>
                    <w:rPr>
                      <w:rFonts w:hint="default"/>
                    </w:rPr>
                  </w:pPr>
                  <w:r>
                    <w:rPr>
                      <w:rFonts w:hint="default"/>
                    </w:rPr>
                    <w:t>占地面积</w:t>
                  </w:r>
                  <w:r>
                    <w:rPr>
                      <w:rFonts w:hint="eastAsia"/>
                      <w:lang w:val="en-US" w:eastAsia="zh-CN"/>
                    </w:rPr>
                    <w:t>25</w:t>
                  </w:r>
                  <w:r>
                    <w:rPr>
                      <w:rFonts w:hint="default"/>
                    </w:rPr>
                    <w:t>m</w:t>
                  </w:r>
                  <w:r>
                    <w:rPr>
                      <w:rFonts w:hint="default" w:ascii="Times New Roman" w:hAnsi="Times New Roman" w:eastAsia="宋体" w:cs="Times New Roman"/>
                      <w:vertAlign w:val="superscript"/>
                    </w:rPr>
                    <w:t>2</w:t>
                  </w:r>
                  <w:r>
                    <w:rPr>
                      <w:rFonts w:hint="default"/>
                    </w:rPr>
                    <w:t>，布置在物料装卸出入口</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eastAsia"/>
                      <w:lang w:val="en-US" w:eastAsia="zh-CN"/>
                    </w:rPr>
                  </w:pPr>
                  <w:r>
                    <w:rPr>
                      <w:rFonts w:hint="eastAsia"/>
                      <w:lang w:val="en-US" w:eastAsia="zh-CN"/>
                    </w:rPr>
                    <w:t>实验室</w:t>
                  </w:r>
                </w:p>
              </w:tc>
              <w:tc>
                <w:tcPr>
                  <w:tcW w:w="3214" w:type="pct"/>
                  <w:noWrap w:val="0"/>
                  <w:vAlign w:val="center"/>
                </w:tcPr>
                <w:p>
                  <w:pPr>
                    <w:pStyle w:val="57"/>
                    <w:bidi w:val="0"/>
                    <w:jc w:val="both"/>
                    <w:rPr>
                      <w:rFonts w:hint="eastAsia"/>
                      <w:lang w:val="en-US" w:eastAsia="zh-CN"/>
                    </w:rPr>
                  </w:pPr>
                  <w:r>
                    <w:rPr>
                      <w:rFonts w:hint="default"/>
                    </w:rPr>
                    <w:t>占地面积</w:t>
                  </w:r>
                  <w:r>
                    <w:rPr>
                      <w:rFonts w:hint="eastAsia"/>
                      <w:lang w:val="en-US" w:eastAsia="zh-CN"/>
                    </w:rPr>
                    <w:t>100</w:t>
                  </w:r>
                  <w:r>
                    <w:rPr>
                      <w:rFonts w:hint="default"/>
                    </w:rPr>
                    <w:t>m</w:t>
                  </w:r>
                  <w:r>
                    <w:rPr>
                      <w:rFonts w:hint="default" w:ascii="Times New Roman" w:hAnsi="Times New Roman" w:eastAsia="宋体" w:cs="Times New Roman"/>
                      <w:vertAlign w:val="superscript"/>
                    </w:rPr>
                    <w:t>2</w:t>
                  </w:r>
                  <w:r>
                    <w:rPr>
                      <w:rFonts w:hint="default"/>
                    </w:rPr>
                    <w:t>，</w:t>
                  </w:r>
                  <w:r>
                    <w:rPr>
                      <w:rFonts w:hint="eastAsia"/>
                      <w:lang w:val="en-US" w:eastAsia="zh-CN"/>
                    </w:rPr>
                    <w:t>钢架结构</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64" w:type="pct"/>
                  <w:vMerge w:val="restart"/>
                  <w:noWrap w:val="0"/>
                  <w:vAlign w:val="center"/>
                </w:tcPr>
                <w:p>
                  <w:pPr>
                    <w:pStyle w:val="57"/>
                    <w:bidi w:val="0"/>
                    <w:rPr>
                      <w:rFonts w:hint="default"/>
                    </w:rPr>
                  </w:pPr>
                  <w:r>
                    <w:rPr>
                      <w:rFonts w:hint="default"/>
                    </w:rPr>
                    <w:t>储运工程</w:t>
                  </w:r>
                </w:p>
              </w:tc>
              <w:tc>
                <w:tcPr>
                  <w:tcW w:w="809" w:type="pct"/>
                  <w:noWrap w:val="0"/>
                  <w:vAlign w:val="center"/>
                </w:tcPr>
                <w:p>
                  <w:pPr>
                    <w:pStyle w:val="57"/>
                    <w:bidi w:val="0"/>
                    <w:rPr>
                      <w:rFonts w:hint="default"/>
                    </w:rPr>
                  </w:pPr>
                  <w:r>
                    <w:rPr>
                      <w:rFonts w:hint="eastAsia"/>
                      <w:lang w:val="en-US" w:eastAsia="zh-CN"/>
                    </w:rPr>
                    <w:t>原料堆场</w:t>
                  </w:r>
                </w:p>
              </w:tc>
              <w:tc>
                <w:tcPr>
                  <w:tcW w:w="3214" w:type="pct"/>
                  <w:noWrap w:val="0"/>
                  <w:vAlign w:val="center"/>
                </w:tcPr>
                <w:p>
                  <w:pPr>
                    <w:pStyle w:val="57"/>
                    <w:bidi w:val="0"/>
                    <w:jc w:val="both"/>
                    <w:rPr>
                      <w:rFonts w:hint="eastAsia"/>
                      <w:lang w:eastAsia="zh-CN"/>
                    </w:rPr>
                  </w:pPr>
                  <w:r>
                    <w:rPr>
                      <w:rFonts w:hint="eastAsia"/>
                      <w:lang w:val="en-US" w:eastAsia="zh-CN"/>
                    </w:rPr>
                    <w:t>半</w:t>
                  </w:r>
                  <w:r>
                    <w:rPr>
                      <w:rFonts w:hint="default"/>
                    </w:rPr>
                    <w:t>封闭式钢构结构厂房</w:t>
                  </w:r>
                  <w:r>
                    <w:rPr>
                      <w:rFonts w:hint="eastAsia"/>
                      <w:lang w:eastAsia="zh-CN"/>
                    </w:rPr>
                    <w:t>，</w:t>
                  </w:r>
                  <w:r>
                    <w:rPr>
                      <w:rFonts w:hint="default"/>
                    </w:rPr>
                    <w:t>厂区地面硬化，1栋</w:t>
                  </w:r>
                  <w:r>
                    <w:rPr>
                      <w:rFonts w:hint="default"/>
                      <w:lang w:val="en-US" w:eastAsia="zh-CN"/>
                    </w:rPr>
                    <w:t>1</w:t>
                  </w:r>
                  <w:r>
                    <w:rPr>
                      <w:rFonts w:hint="default"/>
                    </w:rPr>
                    <w:t>F</w:t>
                  </w:r>
                  <w:r>
                    <w:rPr>
                      <w:rFonts w:hint="default"/>
                      <w:lang w:eastAsia="zh-CN"/>
                    </w:rPr>
                    <w:t>，</w:t>
                  </w:r>
                  <w:r>
                    <w:rPr>
                      <w:rFonts w:hint="default"/>
                    </w:rPr>
                    <w:t>占地面积</w:t>
                  </w:r>
                  <w:r>
                    <w:rPr>
                      <w:rFonts w:hint="eastAsia"/>
                      <w:lang w:val="en-US" w:eastAsia="zh-CN"/>
                    </w:rPr>
                    <w:t>50</w:t>
                  </w:r>
                  <w:r>
                    <w:rPr>
                      <w:rFonts w:hint="default"/>
                      <w:lang w:val="en-US" w:eastAsia="zh-CN"/>
                    </w:rPr>
                    <w:t>0</w:t>
                  </w:r>
                  <w:r>
                    <w:rPr>
                      <w:rFonts w:hint="default"/>
                    </w:rPr>
                    <w:t>m</w:t>
                  </w:r>
                  <w:r>
                    <w:rPr>
                      <w:rFonts w:hint="default" w:ascii="Times New Roman" w:hAnsi="Times New Roman" w:eastAsia="宋体" w:cs="Times New Roman"/>
                      <w:vertAlign w:val="superscript"/>
                    </w:rPr>
                    <w:t>2</w:t>
                  </w:r>
                  <w:r>
                    <w:rPr>
                      <w:rFonts w:hint="eastAsia"/>
                      <w:lang w:eastAsia="zh-CN"/>
                    </w:rPr>
                    <w:t>，</w:t>
                  </w:r>
                  <w:r>
                    <w:rPr>
                      <w:rFonts w:hint="eastAsia"/>
                      <w:lang w:val="en-US" w:eastAsia="zh-CN"/>
                    </w:rPr>
                    <w:t>高度为8m</w:t>
                  </w:r>
                </w:p>
              </w:tc>
              <w:tc>
                <w:tcPr>
                  <w:tcW w:w="711" w:type="pct"/>
                  <w:noWrap w:val="0"/>
                  <w:vAlign w:val="center"/>
                </w:tcPr>
                <w:p>
                  <w:pPr>
                    <w:pStyle w:val="57"/>
                    <w:bidi w:val="0"/>
                    <w:rPr>
                      <w:rFonts w:hint="default"/>
                      <w:lang w:val="en-US" w:eastAsia="zh-CN"/>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lang w:val="en-US" w:eastAsia="zh-CN"/>
                    </w:rPr>
                  </w:pPr>
                  <w:r>
                    <w:rPr>
                      <w:rFonts w:hint="default"/>
                      <w:lang w:val="en-US" w:eastAsia="zh-CN"/>
                    </w:rPr>
                    <w:t>油库</w:t>
                  </w:r>
                </w:p>
              </w:tc>
              <w:tc>
                <w:tcPr>
                  <w:tcW w:w="3214" w:type="pct"/>
                  <w:noWrap w:val="0"/>
                  <w:vAlign w:val="center"/>
                </w:tcPr>
                <w:p>
                  <w:pPr>
                    <w:pStyle w:val="57"/>
                    <w:bidi w:val="0"/>
                    <w:jc w:val="both"/>
                    <w:rPr>
                      <w:rFonts w:hint="default"/>
                      <w:lang w:val="en-US"/>
                    </w:rPr>
                  </w:pPr>
                  <w:r>
                    <w:rPr>
                      <w:rFonts w:hint="default"/>
                    </w:rPr>
                    <w:t>占地面积</w:t>
                  </w:r>
                  <w:r>
                    <w:rPr>
                      <w:rFonts w:hint="eastAsia"/>
                      <w:lang w:val="en-US" w:eastAsia="zh-CN"/>
                    </w:rPr>
                    <w:t>5</w:t>
                  </w:r>
                  <w:r>
                    <w:rPr>
                      <w:rFonts w:hint="default"/>
                      <w:lang w:val="en-US" w:eastAsia="zh-CN"/>
                    </w:rPr>
                    <w:t>0</w:t>
                  </w:r>
                  <w:r>
                    <w:rPr>
                      <w:rFonts w:hint="default"/>
                    </w:rPr>
                    <w:t>m</w:t>
                  </w:r>
                  <w:r>
                    <w:rPr>
                      <w:rFonts w:hint="default" w:ascii="Times New Roman" w:hAnsi="Times New Roman" w:eastAsia="宋体" w:cs="Times New Roman"/>
                      <w:vertAlign w:val="superscript"/>
                    </w:rPr>
                    <w:t>2</w:t>
                  </w:r>
                  <w:r>
                    <w:rPr>
                      <w:rFonts w:hint="eastAsia"/>
                      <w:lang w:eastAsia="zh-CN"/>
                    </w:rPr>
                    <w:t>，钢构结构，</w:t>
                  </w:r>
                  <w:r>
                    <w:rPr>
                      <w:rFonts w:hint="eastAsia"/>
                      <w:lang w:val="en-US" w:eastAsia="zh-CN"/>
                    </w:rPr>
                    <w:t>内含1座29吨油罐</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highlight w:val="none"/>
                    </w:rPr>
                  </w:pPr>
                  <w:r>
                    <w:rPr>
                      <w:rFonts w:hint="default"/>
                      <w:highlight w:val="none"/>
                    </w:rPr>
                    <w:t>清水池</w:t>
                  </w:r>
                </w:p>
              </w:tc>
              <w:tc>
                <w:tcPr>
                  <w:tcW w:w="3214" w:type="pct"/>
                  <w:noWrap w:val="0"/>
                  <w:vAlign w:val="center"/>
                </w:tcPr>
                <w:p>
                  <w:pPr>
                    <w:pStyle w:val="57"/>
                    <w:bidi w:val="0"/>
                    <w:jc w:val="both"/>
                    <w:rPr>
                      <w:rFonts w:hint="default"/>
                      <w:highlight w:val="none"/>
                    </w:rPr>
                  </w:pPr>
                  <w:r>
                    <w:rPr>
                      <w:rFonts w:hint="default"/>
                      <w:highlight w:val="none"/>
                    </w:rPr>
                    <w:t>容积为100m</w:t>
                  </w:r>
                  <w:r>
                    <w:rPr>
                      <w:rFonts w:hint="default" w:ascii="Times New Roman" w:hAnsi="Times New Roman" w:eastAsia="宋体" w:cs="Times New Roman"/>
                      <w:highlight w:val="none"/>
                      <w:vertAlign w:val="superscript"/>
                    </w:rPr>
                    <w:t>3</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highlight w:val="none"/>
                    </w:rPr>
                  </w:pPr>
                  <w:r>
                    <w:rPr>
                      <w:rFonts w:hint="eastAsia"/>
                      <w:highlight w:val="none"/>
                      <w:lang w:val="en-US" w:eastAsia="zh-CN"/>
                    </w:rPr>
                    <w:t>生产废水</w:t>
                  </w:r>
                  <w:r>
                    <w:rPr>
                      <w:rFonts w:hint="default"/>
                      <w:highlight w:val="none"/>
                    </w:rPr>
                    <w:t>沉淀池</w:t>
                  </w:r>
                </w:p>
              </w:tc>
              <w:tc>
                <w:tcPr>
                  <w:tcW w:w="3214" w:type="pct"/>
                  <w:noWrap w:val="0"/>
                  <w:vAlign w:val="center"/>
                </w:tcPr>
                <w:p>
                  <w:pPr>
                    <w:pStyle w:val="57"/>
                    <w:bidi w:val="0"/>
                    <w:jc w:val="both"/>
                    <w:rPr>
                      <w:rFonts w:hint="default"/>
                      <w:highlight w:val="none"/>
                    </w:rPr>
                  </w:pPr>
                  <w:r>
                    <w:rPr>
                      <w:rFonts w:hint="default"/>
                      <w:highlight w:val="none"/>
                    </w:rPr>
                    <w:t>容积为</w:t>
                  </w:r>
                  <w:r>
                    <w:rPr>
                      <w:rFonts w:hint="eastAsia"/>
                      <w:highlight w:val="none"/>
                      <w:lang w:val="en-US" w:eastAsia="zh-CN"/>
                    </w:rPr>
                    <w:t>75</w:t>
                  </w:r>
                  <w:r>
                    <w:rPr>
                      <w:rFonts w:hint="default"/>
                      <w:highlight w:val="none"/>
                    </w:rPr>
                    <w:t>m</w:t>
                  </w:r>
                  <w:r>
                    <w:rPr>
                      <w:rFonts w:hint="default"/>
                      <w:highlight w:val="none"/>
                      <w:vertAlign w:val="superscript"/>
                    </w:rPr>
                    <w:t>3</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highlight w:val="none"/>
                      <w:lang w:val="en-US" w:eastAsia="zh-CN"/>
                    </w:rPr>
                  </w:pPr>
                  <w:r>
                    <w:rPr>
                      <w:rFonts w:hint="eastAsia"/>
                      <w:highlight w:val="none"/>
                      <w:lang w:val="en-US" w:eastAsia="zh-CN"/>
                    </w:rPr>
                    <w:t>雨水沉淀池</w:t>
                  </w:r>
                </w:p>
              </w:tc>
              <w:tc>
                <w:tcPr>
                  <w:tcW w:w="3214" w:type="pct"/>
                  <w:noWrap w:val="0"/>
                  <w:vAlign w:val="center"/>
                </w:tcPr>
                <w:p>
                  <w:pPr>
                    <w:pStyle w:val="57"/>
                    <w:bidi w:val="0"/>
                    <w:jc w:val="both"/>
                    <w:rPr>
                      <w:rFonts w:hint="default"/>
                      <w:highlight w:val="none"/>
                    </w:rPr>
                  </w:pPr>
                  <w:r>
                    <w:rPr>
                      <w:rFonts w:hint="default"/>
                      <w:highlight w:val="none"/>
                    </w:rPr>
                    <w:t>容积为</w:t>
                  </w:r>
                  <w:r>
                    <w:rPr>
                      <w:rFonts w:hint="eastAsia"/>
                      <w:highlight w:val="none"/>
                      <w:lang w:val="en-US" w:eastAsia="zh-CN"/>
                    </w:rPr>
                    <w:t>60</w:t>
                  </w:r>
                  <w:r>
                    <w:rPr>
                      <w:rFonts w:hint="default"/>
                      <w:highlight w:val="none"/>
                    </w:rPr>
                    <w:t>m</w:t>
                  </w:r>
                  <w:r>
                    <w:rPr>
                      <w:rFonts w:hint="default" w:ascii="Times New Roman" w:hAnsi="Times New Roman" w:eastAsia="宋体" w:cs="Times New Roman"/>
                      <w:highlight w:val="none"/>
                      <w:vertAlign w:val="superscript"/>
                    </w:rPr>
                    <w:t>3</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264" w:type="pct"/>
                  <w:vMerge w:val="restart"/>
                  <w:noWrap w:val="0"/>
                  <w:vAlign w:val="center"/>
                </w:tcPr>
                <w:p>
                  <w:pPr>
                    <w:pStyle w:val="57"/>
                    <w:bidi w:val="0"/>
                    <w:rPr>
                      <w:rFonts w:hint="default"/>
                    </w:rPr>
                  </w:pPr>
                  <w:r>
                    <w:rPr>
                      <w:rFonts w:hint="default"/>
                    </w:rPr>
                    <w:t>公用工程</w:t>
                  </w:r>
                </w:p>
              </w:tc>
              <w:tc>
                <w:tcPr>
                  <w:tcW w:w="809" w:type="pct"/>
                  <w:noWrap w:val="0"/>
                  <w:vAlign w:val="center"/>
                </w:tcPr>
                <w:p>
                  <w:pPr>
                    <w:pStyle w:val="57"/>
                    <w:bidi w:val="0"/>
                    <w:rPr>
                      <w:rFonts w:hint="default"/>
                    </w:rPr>
                  </w:pPr>
                  <w:r>
                    <w:rPr>
                      <w:rFonts w:hint="default"/>
                      <w:lang w:val="en-US" w:eastAsia="zh-CN"/>
                    </w:rPr>
                    <w:t>供</w:t>
                  </w:r>
                  <w:r>
                    <w:rPr>
                      <w:rFonts w:hint="default"/>
                    </w:rPr>
                    <w:t>水</w:t>
                  </w:r>
                </w:p>
              </w:tc>
              <w:tc>
                <w:tcPr>
                  <w:tcW w:w="3214" w:type="pct"/>
                  <w:noWrap w:val="0"/>
                  <w:vAlign w:val="center"/>
                </w:tcPr>
                <w:p>
                  <w:pPr>
                    <w:pStyle w:val="57"/>
                    <w:bidi w:val="0"/>
                    <w:jc w:val="both"/>
                    <w:rPr>
                      <w:rFonts w:hint="default" w:eastAsia="宋体"/>
                      <w:lang w:val="en-US" w:eastAsia="zh-CN"/>
                    </w:rPr>
                  </w:pPr>
                  <w:r>
                    <w:rPr>
                      <w:rFonts w:hint="eastAsia"/>
                      <w:lang w:val="en-US" w:eastAsia="zh-CN"/>
                    </w:rPr>
                    <w:t>井水供给</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rPr>
                  </w:pPr>
                  <w:r>
                    <w:rPr>
                      <w:rFonts w:hint="default"/>
                    </w:rPr>
                    <w:t>供电</w:t>
                  </w:r>
                </w:p>
              </w:tc>
              <w:tc>
                <w:tcPr>
                  <w:tcW w:w="3214" w:type="pct"/>
                  <w:noWrap w:val="0"/>
                  <w:vAlign w:val="center"/>
                </w:tcPr>
                <w:p>
                  <w:pPr>
                    <w:pStyle w:val="57"/>
                    <w:bidi w:val="0"/>
                    <w:jc w:val="both"/>
                    <w:rPr>
                      <w:rFonts w:hint="default"/>
                    </w:rPr>
                  </w:pPr>
                  <w:r>
                    <w:rPr>
                      <w:rFonts w:hint="default"/>
                    </w:rPr>
                    <w:t>当地电网供给</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4" w:type="pct"/>
                  <w:vMerge w:val="restart"/>
                  <w:noWrap w:val="0"/>
                  <w:vAlign w:val="center"/>
                </w:tcPr>
                <w:p>
                  <w:pPr>
                    <w:pStyle w:val="57"/>
                    <w:bidi w:val="0"/>
                    <w:rPr>
                      <w:rFonts w:hint="default"/>
                    </w:rPr>
                  </w:pPr>
                  <w:r>
                    <w:rPr>
                      <w:rFonts w:hint="default"/>
                    </w:rPr>
                    <w:t>环保工程</w:t>
                  </w:r>
                </w:p>
              </w:tc>
              <w:tc>
                <w:tcPr>
                  <w:tcW w:w="809" w:type="pct"/>
                  <w:noWrap w:val="0"/>
                  <w:vAlign w:val="center"/>
                </w:tcPr>
                <w:p>
                  <w:pPr>
                    <w:pStyle w:val="57"/>
                    <w:bidi w:val="0"/>
                    <w:rPr>
                      <w:rFonts w:hint="default"/>
                    </w:rPr>
                  </w:pPr>
                  <w:r>
                    <w:rPr>
                      <w:rFonts w:hint="default"/>
                    </w:rPr>
                    <w:t>废水处理</w:t>
                  </w:r>
                </w:p>
              </w:tc>
              <w:tc>
                <w:tcPr>
                  <w:tcW w:w="3214" w:type="pct"/>
                  <w:noWrap w:val="0"/>
                  <w:vAlign w:val="center"/>
                </w:tcPr>
                <w:p>
                  <w:pPr>
                    <w:pStyle w:val="57"/>
                    <w:bidi w:val="0"/>
                    <w:jc w:val="both"/>
                    <w:rPr>
                      <w:rFonts w:hint="default"/>
                    </w:rPr>
                  </w:pPr>
                  <w:r>
                    <w:rPr>
                      <w:rFonts w:hint="default"/>
                    </w:rPr>
                    <w:t>生活污水经</w:t>
                  </w:r>
                  <w:r>
                    <w:rPr>
                      <w:rFonts w:hint="default"/>
                      <w:lang w:val="en-US" w:eastAsia="zh-CN"/>
                    </w:rPr>
                    <w:t>隔油池+</w:t>
                  </w:r>
                  <w:r>
                    <w:rPr>
                      <w:rFonts w:hint="default"/>
                    </w:rPr>
                    <w:t>化粪池处理后用作农田施肥。搅拌机清洗废水、车辆清洗废水、场地冲洗废水经导排沟进入三级</w:t>
                  </w:r>
                  <w:r>
                    <w:rPr>
                      <w:rFonts w:hint="default"/>
                      <w:highlight w:val="none"/>
                    </w:rPr>
                    <w:t>沉淀池（</w:t>
                  </w:r>
                  <w:r>
                    <w:rPr>
                      <w:rFonts w:hint="eastAsia"/>
                      <w:highlight w:val="none"/>
                      <w:lang w:val="en-US" w:eastAsia="zh-CN"/>
                    </w:rPr>
                    <w:t>75</w:t>
                  </w:r>
                  <w:r>
                    <w:rPr>
                      <w:rFonts w:hint="default"/>
                      <w:highlight w:val="none"/>
                    </w:rPr>
                    <w:t>m</w:t>
                  </w:r>
                  <w:r>
                    <w:rPr>
                      <w:rFonts w:hint="default"/>
                      <w:highlight w:val="none"/>
                      <w:vertAlign w:val="superscript"/>
                      <w:lang w:val="en-US" w:eastAsia="zh-CN"/>
                    </w:rPr>
                    <w:t>3</w:t>
                  </w:r>
                  <w:r>
                    <w:rPr>
                      <w:rFonts w:hint="default"/>
                      <w:highlight w:val="none"/>
                    </w:rPr>
                    <w:t>）处理后回用于设备、车辆、地面的清洗或回用于生产。初期雨水经导排沟后经</w:t>
                  </w:r>
                  <w:r>
                    <w:rPr>
                      <w:rFonts w:hint="default"/>
                      <w:highlight w:val="none"/>
                      <w:lang w:val="en-US" w:eastAsia="zh-CN"/>
                    </w:rPr>
                    <w:t>雨水</w:t>
                  </w:r>
                  <w:r>
                    <w:rPr>
                      <w:rFonts w:hint="default"/>
                      <w:highlight w:val="none"/>
                    </w:rPr>
                    <w:t>沉淀池</w:t>
                  </w:r>
                  <w:r>
                    <w:rPr>
                      <w:rFonts w:hint="default"/>
                      <w:highlight w:val="none"/>
                      <w:lang w:val="en-US" w:eastAsia="zh-CN"/>
                    </w:rPr>
                    <w:t>（</w:t>
                  </w:r>
                  <w:r>
                    <w:rPr>
                      <w:rFonts w:hint="eastAsia"/>
                      <w:highlight w:val="none"/>
                      <w:lang w:val="en-US" w:eastAsia="zh-CN"/>
                    </w:rPr>
                    <w:t>6</w:t>
                  </w:r>
                  <w:r>
                    <w:rPr>
                      <w:rFonts w:hint="default"/>
                      <w:highlight w:val="none"/>
                      <w:lang w:val="en-US" w:eastAsia="zh-CN"/>
                    </w:rPr>
                    <w:t>0</w:t>
                  </w:r>
                  <w:r>
                    <w:rPr>
                      <w:rFonts w:hint="default"/>
                      <w:highlight w:val="none"/>
                    </w:rPr>
                    <w:t>m</w:t>
                  </w:r>
                  <w:r>
                    <w:rPr>
                      <w:rFonts w:hint="default"/>
                      <w:highlight w:val="none"/>
                      <w:vertAlign w:val="superscript"/>
                      <w:lang w:val="en-US" w:eastAsia="zh-CN"/>
                    </w:rPr>
                    <w:t>3</w:t>
                  </w:r>
                  <w:r>
                    <w:rPr>
                      <w:rFonts w:hint="default"/>
                      <w:highlight w:val="none"/>
                      <w:lang w:val="en-US" w:eastAsia="zh-CN"/>
                    </w:rPr>
                    <w:t>）</w:t>
                  </w:r>
                  <w:r>
                    <w:rPr>
                      <w:rFonts w:hint="default"/>
                      <w:highlight w:val="none"/>
                    </w:rPr>
                    <w:t>处理后回用于生</w:t>
                  </w:r>
                  <w:r>
                    <w:rPr>
                      <w:rFonts w:hint="default"/>
                    </w:rPr>
                    <w:t>产</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highlight w:val="none"/>
                    </w:rPr>
                  </w:pPr>
                  <w:r>
                    <w:rPr>
                      <w:rFonts w:hint="default"/>
                      <w:highlight w:val="none"/>
                    </w:rPr>
                    <w:t>废气处理</w:t>
                  </w:r>
                </w:p>
              </w:tc>
              <w:tc>
                <w:tcPr>
                  <w:tcW w:w="3214" w:type="pct"/>
                  <w:noWrap w:val="0"/>
                  <w:vAlign w:val="center"/>
                </w:tcPr>
                <w:p>
                  <w:pPr>
                    <w:pStyle w:val="57"/>
                    <w:bidi w:val="0"/>
                    <w:jc w:val="both"/>
                    <w:rPr>
                      <w:rFonts w:hint="default"/>
                      <w:highlight w:val="none"/>
                      <w:lang w:val="en-US"/>
                    </w:rPr>
                  </w:pPr>
                  <w:r>
                    <w:rPr>
                      <w:rFonts w:hint="default"/>
                      <w:highlight w:val="none"/>
                    </w:rPr>
                    <w:t>搅拌混合粉尘经标准化厂房内沉降+密闭搅拌＋</w:t>
                  </w:r>
                  <w:r>
                    <w:rPr>
                      <w:rFonts w:hint="default"/>
                      <w:highlight w:val="none"/>
                      <w:lang w:val="en-US" w:eastAsia="zh-CN"/>
                    </w:rPr>
                    <w:t>脉冲布袋除尘</w:t>
                  </w:r>
                  <w:r>
                    <w:rPr>
                      <w:rFonts w:hint="default"/>
                      <w:highlight w:val="none"/>
                    </w:rPr>
                    <w:t>处理少量粉尘</w:t>
                  </w:r>
                  <w:r>
                    <w:rPr>
                      <w:rFonts w:hint="default"/>
                      <w:highlight w:val="none"/>
                      <w:lang w:val="en-US" w:eastAsia="zh-CN"/>
                    </w:rPr>
                    <w:t>后高空排放</w:t>
                  </w:r>
                  <w:r>
                    <w:rPr>
                      <w:rFonts w:hint="default"/>
                      <w:highlight w:val="none"/>
                    </w:rPr>
                    <w:t>；</w:t>
                  </w:r>
                  <w:r>
                    <w:rPr>
                      <w:rFonts w:hint="eastAsia"/>
                      <w:highlight w:val="none"/>
                      <w:lang w:val="en-US" w:eastAsia="zh-CN"/>
                    </w:rPr>
                    <w:t>10</w:t>
                  </w:r>
                  <w:r>
                    <w:rPr>
                      <w:rFonts w:hint="default"/>
                      <w:highlight w:val="none"/>
                      <w:lang w:val="en-US" w:eastAsia="zh-CN"/>
                    </w:rPr>
                    <w:t>个</w:t>
                  </w:r>
                  <w:r>
                    <w:rPr>
                      <w:rFonts w:hint="default"/>
                      <w:highlight w:val="none"/>
                    </w:rPr>
                    <w:t>筒仓粉尘</w:t>
                  </w:r>
                  <w:r>
                    <w:rPr>
                      <w:rFonts w:hint="default"/>
                      <w:highlight w:val="none"/>
                      <w:lang w:val="en-US" w:eastAsia="zh-CN"/>
                    </w:rPr>
                    <w:t>分别</w:t>
                  </w:r>
                  <w:r>
                    <w:rPr>
                      <w:rFonts w:hint="default"/>
                      <w:highlight w:val="none"/>
                    </w:rPr>
                    <w:t>经</w:t>
                  </w:r>
                  <w:r>
                    <w:rPr>
                      <w:rFonts w:hint="eastAsia"/>
                      <w:highlight w:val="none"/>
                      <w:lang w:val="en-US" w:eastAsia="zh-CN"/>
                    </w:rPr>
                    <w:t>10</w:t>
                  </w:r>
                  <w:r>
                    <w:rPr>
                      <w:rFonts w:hint="default"/>
                      <w:highlight w:val="none"/>
                      <w:lang w:val="en-US" w:eastAsia="zh-CN"/>
                    </w:rPr>
                    <w:t>套脉冲布袋除尘处理后通过仓顶</w:t>
                  </w:r>
                  <w:r>
                    <w:rPr>
                      <w:rFonts w:hint="eastAsia"/>
                      <w:highlight w:val="none"/>
                      <w:lang w:val="en-US" w:eastAsia="zh-CN"/>
                    </w:rPr>
                    <w:t>高空</w:t>
                  </w:r>
                  <w:r>
                    <w:rPr>
                      <w:rFonts w:hint="default"/>
                      <w:highlight w:val="none"/>
                      <w:lang w:val="en-US" w:eastAsia="zh-CN"/>
                    </w:rPr>
                    <w:t>排放；筒仓卸料口粉尘通过卸料口与输送皮带密闭衔接措施处理后无组织排放；原料堆场</w:t>
                  </w:r>
                  <w:r>
                    <w:rPr>
                      <w:rFonts w:hint="default"/>
                      <w:highlight w:val="none"/>
                    </w:rPr>
                    <w:t>经厂房</w:t>
                  </w:r>
                  <w:r>
                    <w:rPr>
                      <w:rFonts w:hint="eastAsia"/>
                      <w:highlight w:val="none"/>
                      <w:lang w:val="en-US" w:eastAsia="zh-CN"/>
                    </w:rPr>
                    <w:t>遮挡</w:t>
                  </w:r>
                  <w:r>
                    <w:rPr>
                      <w:rFonts w:hint="default"/>
                      <w:highlight w:val="none"/>
                    </w:rPr>
                    <w:t>+水雾除尘</w:t>
                  </w:r>
                  <w:r>
                    <w:rPr>
                      <w:rFonts w:hint="default"/>
                      <w:highlight w:val="none"/>
                      <w:lang w:val="en-US" w:eastAsia="zh-CN"/>
                    </w:rPr>
                    <w:t>后无组织排放</w:t>
                  </w:r>
                  <w:r>
                    <w:rPr>
                      <w:rFonts w:hint="default"/>
                      <w:highlight w:val="none"/>
                    </w:rPr>
                    <w:t>；车辆道路扬尘通过加盖篷布、限制车速</w:t>
                  </w:r>
                  <w:r>
                    <w:rPr>
                      <w:rFonts w:hint="default"/>
                      <w:highlight w:val="none"/>
                      <w:lang w:val="en-US" w:eastAsia="zh-CN"/>
                    </w:rPr>
                    <w:t>后无组织排放</w:t>
                  </w:r>
                  <w:r>
                    <w:rPr>
                      <w:rFonts w:hint="eastAsia"/>
                      <w:highlight w:val="none"/>
                      <w:lang w:val="en-US" w:eastAsia="zh-CN"/>
                    </w:rPr>
                    <w:t>；导热油锅炉燃油烟气收集后经15m高的排气筒外排；搅拌楼沥青烟气收集后经活性炭吸附装置进行净化，由15m高的排气筒外排；油烟废气经油烟净化机处理后通过排气管引至食堂屋顶排放</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0" w:hRule="atLeast"/>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rPr>
                  </w:pPr>
                  <w:r>
                    <w:rPr>
                      <w:rFonts w:hint="default"/>
                    </w:rPr>
                    <w:t>噪声控制</w:t>
                  </w:r>
                </w:p>
              </w:tc>
              <w:tc>
                <w:tcPr>
                  <w:tcW w:w="3214" w:type="pct"/>
                  <w:noWrap w:val="0"/>
                  <w:vAlign w:val="center"/>
                </w:tcPr>
                <w:p>
                  <w:pPr>
                    <w:pStyle w:val="57"/>
                    <w:bidi w:val="0"/>
                    <w:jc w:val="both"/>
                    <w:rPr>
                      <w:rFonts w:hint="default"/>
                    </w:rPr>
                  </w:pPr>
                  <w:r>
                    <w:rPr>
                      <w:rFonts w:hint="default"/>
                    </w:rPr>
                    <w:t>设备采取隔声、消声措施，对设备基础进行减振；机械设备合理布局，加强维护</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rPr>
                  </w:pPr>
                  <w:r>
                    <w:rPr>
                      <w:rFonts w:hint="default"/>
                    </w:rPr>
                    <w:t>固废处置</w:t>
                  </w:r>
                </w:p>
              </w:tc>
              <w:tc>
                <w:tcPr>
                  <w:tcW w:w="3214" w:type="pct"/>
                  <w:noWrap w:val="0"/>
                  <w:vAlign w:val="center"/>
                </w:tcPr>
                <w:p>
                  <w:pPr>
                    <w:pStyle w:val="57"/>
                    <w:bidi w:val="0"/>
                    <w:jc w:val="both"/>
                    <w:rPr>
                      <w:rFonts w:hint="default"/>
                    </w:rPr>
                  </w:pPr>
                  <w:r>
                    <w:rPr>
                      <w:rFonts w:hint="default"/>
                    </w:rPr>
                    <w:t>设置生活垃圾收集箱，定期清理；沉淀池沉渣</w:t>
                  </w:r>
                  <w:r>
                    <w:rPr>
                      <w:rFonts w:hint="eastAsia"/>
                      <w:lang w:eastAsia="zh-CN"/>
                    </w:rPr>
                    <w:t>、</w:t>
                  </w:r>
                  <w:r>
                    <w:rPr>
                      <w:rFonts w:hint="eastAsia"/>
                      <w:lang w:val="en-US" w:eastAsia="zh-CN"/>
                    </w:rPr>
                    <w:t>废混凝土</w:t>
                  </w:r>
                  <w:r>
                    <w:rPr>
                      <w:rFonts w:hint="default"/>
                    </w:rPr>
                    <w:t>收集至</w:t>
                  </w:r>
                  <w:r>
                    <w:rPr>
                      <w:rFonts w:hint="default"/>
                      <w:lang w:val="en-US" w:eastAsia="zh-CN"/>
                    </w:rPr>
                    <w:t>一般固废暂存间</w:t>
                  </w:r>
                  <w:r>
                    <w:rPr>
                      <w:rFonts w:hint="eastAsia"/>
                      <w:lang w:val="en-US" w:eastAsia="zh-CN"/>
                    </w:rPr>
                    <w:t>回用于建设项目</w:t>
                  </w:r>
                  <w:r>
                    <w:rPr>
                      <w:rFonts w:hint="default"/>
                    </w:rPr>
                    <w:t>作道路建设；除尘器</w:t>
                  </w:r>
                  <w:r>
                    <w:rPr>
                      <w:rFonts w:hint="eastAsia"/>
                      <w:lang w:val="en-US" w:eastAsia="zh-CN"/>
                    </w:rPr>
                    <w:t>收集的粉尘</w:t>
                  </w:r>
                  <w:r>
                    <w:rPr>
                      <w:rFonts w:hint="default"/>
                    </w:rPr>
                    <w:t>收集至</w:t>
                  </w:r>
                  <w:r>
                    <w:rPr>
                      <w:rFonts w:hint="default"/>
                      <w:lang w:val="en-US" w:eastAsia="zh-CN"/>
                    </w:rPr>
                    <w:t>一般固废暂存间</w:t>
                  </w:r>
                  <w:r>
                    <w:rPr>
                      <w:rFonts w:hint="default"/>
                    </w:rPr>
                    <w:t>回用于生产</w:t>
                  </w:r>
                </w:p>
              </w:tc>
              <w:tc>
                <w:tcPr>
                  <w:tcW w:w="711" w:type="pct"/>
                  <w:noWrap w:val="0"/>
                  <w:vAlign w:val="center"/>
                </w:tcPr>
                <w:p>
                  <w:pPr>
                    <w:pStyle w:val="57"/>
                    <w:bidi w:val="0"/>
                    <w:rPr>
                      <w:rFonts w:hint="default"/>
                    </w:rPr>
                  </w:pPr>
                  <w:r>
                    <w:rPr>
                      <w:rFonts w:hint="eastAsia"/>
                      <w:lang w:val="en-US" w:eastAsia="zh-CN"/>
                    </w:rPr>
                    <w:t>已建</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2-</w:t>
            </w:r>
            <w:r>
              <w:rPr>
                <w:rFonts w:hint="eastAsia"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 xml:space="preserve"> </w:t>
            </w:r>
            <w:r>
              <w:rPr>
                <w:rFonts w:hint="eastAsia"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二</w:t>
            </w:r>
            <w:r>
              <w:rPr>
                <w:rFonts w:hint="default"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号站</w:t>
            </w: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主要建设内容一览表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435"/>
              <w:gridCol w:w="1336"/>
              <w:gridCol w:w="5300"/>
              <w:gridCol w:w="1172"/>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74" w:type="pct"/>
                  <w:gridSpan w:val="2"/>
                  <w:noWrap w:val="0"/>
                  <w:vAlign w:val="center"/>
                </w:tcPr>
                <w:p>
                  <w:pPr>
                    <w:pStyle w:val="57"/>
                    <w:bidi w:val="0"/>
                    <w:rPr>
                      <w:rFonts w:hint="default"/>
                    </w:rPr>
                  </w:pPr>
                  <w:r>
                    <w:rPr>
                      <w:rFonts w:hint="default"/>
                    </w:rPr>
                    <w:t>建设内容</w:t>
                  </w:r>
                </w:p>
              </w:tc>
              <w:tc>
                <w:tcPr>
                  <w:tcW w:w="3214" w:type="pct"/>
                  <w:noWrap w:val="0"/>
                  <w:vAlign w:val="center"/>
                </w:tcPr>
                <w:p>
                  <w:pPr>
                    <w:pStyle w:val="57"/>
                    <w:bidi w:val="0"/>
                    <w:rPr>
                      <w:rFonts w:hint="default"/>
                    </w:rPr>
                  </w:pPr>
                  <w:r>
                    <w:rPr>
                      <w:rFonts w:hint="default"/>
                    </w:rPr>
                    <w:t>规模</w:t>
                  </w:r>
                </w:p>
              </w:tc>
              <w:tc>
                <w:tcPr>
                  <w:tcW w:w="711" w:type="pct"/>
                  <w:noWrap w:val="0"/>
                  <w:vAlign w:val="center"/>
                </w:tcPr>
                <w:p>
                  <w:pPr>
                    <w:pStyle w:val="57"/>
                    <w:bidi w:val="0"/>
                    <w:rPr>
                      <w:rFonts w:hint="default"/>
                    </w:rPr>
                  </w:pPr>
                  <w:r>
                    <w:rPr>
                      <w:rFonts w:hint="default"/>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4" w:type="pct"/>
                  <w:noWrap w:val="0"/>
                  <w:vAlign w:val="center"/>
                </w:tcPr>
                <w:p>
                  <w:pPr>
                    <w:pStyle w:val="57"/>
                    <w:bidi w:val="0"/>
                    <w:rPr>
                      <w:rFonts w:hint="default"/>
                    </w:rPr>
                  </w:pPr>
                  <w:r>
                    <w:rPr>
                      <w:rFonts w:hint="default"/>
                    </w:rPr>
                    <w:t>主体工程</w:t>
                  </w:r>
                </w:p>
              </w:tc>
              <w:tc>
                <w:tcPr>
                  <w:tcW w:w="809" w:type="pct"/>
                  <w:noWrap w:val="0"/>
                  <w:vAlign w:val="center"/>
                </w:tcPr>
                <w:p>
                  <w:pPr>
                    <w:pStyle w:val="57"/>
                    <w:bidi w:val="0"/>
                    <w:rPr>
                      <w:rFonts w:hint="default"/>
                    </w:rPr>
                  </w:pPr>
                  <w:r>
                    <w:rPr>
                      <w:rFonts w:hint="default"/>
                      <w:lang w:val="en-US" w:eastAsia="zh-CN"/>
                    </w:rPr>
                    <w:t>生产区</w:t>
                  </w:r>
                </w:p>
              </w:tc>
              <w:tc>
                <w:tcPr>
                  <w:tcW w:w="3214" w:type="pct"/>
                  <w:noWrap w:val="0"/>
                  <w:vAlign w:val="center"/>
                </w:tcPr>
                <w:p>
                  <w:pPr>
                    <w:pStyle w:val="57"/>
                    <w:bidi w:val="0"/>
                    <w:jc w:val="both"/>
                    <w:rPr>
                      <w:rFonts w:hint="default"/>
                    </w:rPr>
                  </w:pPr>
                  <w:r>
                    <w:rPr>
                      <w:rFonts w:hint="eastAsia"/>
                      <w:lang w:val="en-US" w:eastAsia="zh-CN"/>
                    </w:rPr>
                    <w:t>混凝土搅拌线1条，占地面积为1000</w:t>
                  </w:r>
                  <w:r>
                    <w:rPr>
                      <w:rFonts w:hint="default"/>
                    </w:rPr>
                    <w:t>m</w:t>
                  </w:r>
                  <w:r>
                    <w:rPr>
                      <w:rFonts w:hint="default" w:ascii="Times New Roman" w:hAnsi="Times New Roman" w:eastAsia="宋体" w:cs="Times New Roman"/>
                      <w:vertAlign w:val="superscript"/>
                    </w:rPr>
                    <w:t>2</w:t>
                  </w:r>
                  <w:r>
                    <w:rPr>
                      <w:rFonts w:hint="eastAsia"/>
                      <w:lang w:val="en-US" w:eastAsia="zh-CN"/>
                    </w:rPr>
                    <w:t>，</w:t>
                  </w:r>
                  <w:r>
                    <w:rPr>
                      <w:rFonts w:hint="default"/>
                      <w:lang w:val="en-US" w:eastAsia="zh-CN"/>
                    </w:rPr>
                    <w:t>建设内容</w:t>
                  </w:r>
                  <w:r>
                    <w:rPr>
                      <w:rFonts w:hint="eastAsia"/>
                      <w:lang w:val="en-US" w:eastAsia="zh-CN"/>
                    </w:rPr>
                    <w:t>：</w:t>
                  </w:r>
                  <w:r>
                    <w:rPr>
                      <w:rFonts w:hint="default"/>
                      <w:lang w:val="en-US" w:eastAsia="zh-CN"/>
                    </w:rPr>
                    <w:t>混凝土</w:t>
                  </w:r>
                  <w:r>
                    <w:rPr>
                      <w:rFonts w:hint="default"/>
                      <w:lang w:eastAsia="zh-CN"/>
                    </w:rPr>
                    <w:t>搅拌站（钢结构、全密封）一座，</w:t>
                  </w:r>
                  <w:r>
                    <w:rPr>
                      <w:rFonts w:hint="eastAsia"/>
                      <w:lang w:val="en-US" w:eastAsia="zh-CN"/>
                    </w:rPr>
                    <w:t>2个水泥筒仓（90t）、1</w:t>
                  </w:r>
                  <w:r>
                    <w:rPr>
                      <w:rFonts w:hint="default"/>
                      <w:lang w:val="en-US" w:eastAsia="zh-CN"/>
                    </w:rPr>
                    <w:t>个</w:t>
                  </w:r>
                  <w:r>
                    <w:rPr>
                      <w:rFonts w:hint="default"/>
                    </w:rPr>
                    <w:t>粉</w:t>
                  </w:r>
                  <w:r>
                    <w:rPr>
                      <w:rFonts w:hint="eastAsia"/>
                      <w:lang w:val="en-US" w:eastAsia="zh-CN"/>
                    </w:rPr>
                    <w:t>煤灰</w:t>
                  </w:r>
                  <w:r>
                    <w:rPr>
                      <w:rFonts w:hint="default"/>
                      <w:lang w:eastAsia="zh-CN"/>
                    </w:rPr>
                    <w:t>筒仓</w:t>
                  </w:r>
                  <w:r>
                    <w:rPr>
                      <w:rFonts w:hint="eastAsia"/>
                      <w:lang w:eastAsia="zh-CN"/>
                    </w:rPr>
                    <w:t>（</w:t>
                  </w:r>
                  <w:r>
                    <w:rPr>
                      <w:rFonts w:hint="eastAsia"/>
                      <w:lang w:val="en-US" w:eastAsia="zh-CN"/>
                    </w:rPr>
                    <w:t>90t</w:t>
                  </w:r>
                  <w:r>
                    <w:rPr>
                      <w:rFonts w:hint="eastAsia"/>
                      <w:lang w:eastAsia="zh-CN"/>
                    </w:rPr>
                    <w:t>）</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4" w:type="pct"/>
                  <w:vMerge w:val="restart"/>
                  <w:noWrap w:val="0"/>
                  <w:vAlign w:val="center"/>
                </w:tcPr>
                <w:p>
                  <w:pPr>
                    <w:pStyle w:val="57"/>
                    <w:bidi w:val="0"/>
                    <w:rPr>
                      <w:rFonts w:hint="default"/>
                    </w:rPr>
                  </w:pPr>
                  <w:r>
                    <w:rPr>
                      <w:rFonts w:hint="default"/>
                    </w:rPr>
                    <w:t>配套工程</w:t>
                  </w:r>
                </w:p>
              </w:tc>
              <w:tc>
                <w:tcPr>
                  <w:tcW w:w="809" w:type="pct"/>
                  <w:noWrap w:val="0"/>
                  <w:vAlign w:val="center"/>
                </w:tcPr>
                <w:p>
                  <w:pPr>
                    <w:pStyle w:val="57"/>
                    <w:bidi w:val="0"/>
                    <w:rPr>
                      <w:rFonts w:hint="eastAsia" w:eastAsia="宋体"/>
                      <w:lang w:eastAsia="zh-CN"/>
                    </w:rPr>
                  </w:pPr>
                  <w:r>
                    <w:rPr>
                      <w:rFonts w:hint="default"/>
                    </w:rPr>
                    <w:t>办公</w:t>
                  </w:r>
                  <w:r>
                    <w:rPr>
                      <w:rFonts w:hint="eastAsia"/>
                      <w:lang w:val="en-US" w:eastAsia="zh-CN"/>
                    </w:rPr>
                    <w:t>用房</w:t>
                  </w:r>
                </w:p>
              </w:tc>
              <w:tc>
                <w:tcPr>
                  <w:tcW w:w="3214" w:type="pct"/>
                  <w:noWrap w:val="0"/>
                  <w:vAlign w:val="center"/>
                </w:tcPr>
                <w:p>
                  <w:pPr>
                    <w:pStyle w:val="57"/>
                    <w:bidi w:val="0"/>
                    <w:jc w:val="both"/>
                    <w:rPr>
                      <w:rFonts w:hint="default"/>
                    </w:rPr>
                  </w:pPr>
                  <w:r>
                    <w:rPr>
                      <w:rFonts w:hint="default"/>
                    </w:rPr>
                    <w:t>包含</w:t>
                  </w:r>
                  <w:r>
                    <w:rPr>
                      <w:rFonts w:hint="eastAsia"/>
                      <w:lang w:val="en-US" w:eastAsia="zh-CN"/>
                    </w:rPr>
                    <w:t>门卫室、</w:t>
                  </w:r>
                  <w:r>
                    <w:rPr>
                      <w:rFonts w:hint="default"/>
                    </w:rPr>
                    <w:t>办公楼、厕所等，</w:t>
                  </w:r>
                  <w:r>
                    <w:rPr>
                      <w:rFonts w:hint="eastAsia"/>
                      <w:lang w:val="en-US" w:eastAsia="zh-CN"/>
                    </w:rPr>
                    <w:t>1F</w:t>
                  </w:r>
                  <w:r>
                    <w:rPr>
                      <w:rFonts w:hint="default"/>
                      <w:lang w:val="en-US" w:eastAsia="zh-CN"/>
                    </w:rPr>
                    <w:t>钢架结构</w:t>
                  </w:r>
                  <w:r>
                    <w:rPr>
                      <w:rFonts w:hint="default"/>
                    </w:rPr>
                    <w:t>，占地面积</w:t>
                  </w:r>
                  <w:r>
                    <w:rPr>
                      <w:rFonts w:hint="eastAsia"/>
                      <w:lang w:val="en-US" w:eastAsia="zh-CN"/>
                    </w:rPr>
                    <w:t>200</w:t>
                  </w:r>
                  <w:r>
                    <w:rPr>
                      <w:rFonts w:hint="default"/>
                    </w:rPr>
                    <w:t>m</w:t>
                  </w:r>
                  <w:r>
                    <w:rPr>
                      <w:rFonts w:hint="default" w:ascii="Times New Roman" w:hAnsi="Times New Roman" w:eastAsia="宋体" w:cs="Times New Roman"/>
                      <w:vertAlign w:val="superscript"/>
                    </w:rPr>
                    <w:t>2</w:t>
                  </w:r>
                  <w:r>
                    <w:rPr>
                      <w:rFonts w:hint="eastAsia"/>
                      <w:lang w:eastAsia="zh-CN"/>
                    </w:rPr>
                    <w:t>，</w:t>
                  </w:r>
                  <w:r>
                    <w:rPr>
                      <w:rFonts w:hint="eastAsia"/>
                      <w:lang w:val="en-US" w:eastAsia="zh-CN"/>
                    </w:rPr>
                    <w:t>高度为4m</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rPr>
                  </w:pPr>
                  <w:r>
                    <w:rPr>
                      <w:rFonts w:hint="default"/>
                    </w:rPr>
                    <w:t>洗车台</w:t>
                  </w:r>
                </w:p>
              </w:tc>
              <w:tc>
                <w:tcPr>
                  <w:tcW w:w="3214" w:type="pct"/>
                  <w:noWrap w:val="0"/>
                  <w:vAlign w:val="center"/>
                </w:tcPr>
                <w:p>
                  <w:pPr>
                    <w:pStyle w:val="57"/>
                    <w:bidi w:val="0"/>
                    <w:jc w:val="both"/>
                    <w:rPr>
                      <w:rFonts w:hint="default"/>
                    </w:rPr>
                  </w:pPr>
                  <w:r>
                    <w:rPr>
                      <w:rFonts w:hint="default"/>
                    </w:rPr>
                    <w:t>占地面积</w:t>
                  </w:r>
                  <w:r>
                    <w:rPr>
                      <w:rFonts w:hint="eastAsia"/>
                      <w:lang w:val="en-US" w:eastAsia="zh-CN"/>
                    </w:rPr>
                    <w:t>1</w:t>
                  </w:r>
                  <w:r>
                    <w:rPr>
                      <w:rFonts w:hint="default"/>
                    </w:rPr>
                    <w:t>0m</w:t>
                  </w:r>
                  <w:r>
                    <w:rPr>
                      <w:rFonts w:hint="default" w:ascii="Times New Roman" w:hAnsi="Times New Roman" w:eastAsia="宋体" w:cs="Times New Roman"/>
                      <w:vertAlign w:val="superscript"/>
                    </w:rPr>
                    <w:t>2</w:t>
                  </w:r>
                  <w:r>
                    <w:rPr>
                      <w:rFonts w:hint="default"/>
                    </w:rPr>
                    <w:t>，布置在物料装卸出入口</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264" w:type="pct"/>
                  <w:vMerge w:val="restart"/>
                  <w:noWrap w:val="0"/>
                  <w:vAlign w:val="center"/>
                </w:tcPr>
                <w:p>
                  <w:pPr>
                    <w:pStyle w:val="57"/>
                    <w:bidi w:val="0"/>
                    <w:rPr>
                      <w:rFonts w:hint="default"/>
                    </w:rPr>
                  </w:pPr>
                  <w:r>
                    <w:rPr>
                      <w:rFonts w:hint="default"/>
                    </w:rPr>
                    <w:t>储运工程</w:t>
                  </w:r>
                </w:p>
              </w:tc>
              <w:tc>
                <w:tcPr>
                  <w:tcW w:w="809" w:type="pct"/>
                  <w:noWrap w:val="0"/>
                  <w:vAlign w:val="center"/>
                </w:tcPr>
                <w:p>
                  <w:pPr>
                    <w:pStyle w:val="57"/>
                    <w:bidi w:val="0"/>
                    <w:rPr>
                      <w:rFonts w:hint="default"/>
                    </w:rPr>
                  </w:pPr>
                  <w:r>
                    <w:rPr>
                      <w:rFonts w:hint="default"/>
                      <w:lang w:val="en-US" w:eastAsia="zh-CN"/>
                    </w:rPr>
                    <w:t>原料</w:t>
                  </w:r>
                  <w:r>
                    <w:rPr>
                      <w:rFonts w:hint="eastAsia"/>
                      <w:lang w:val="en-US" w:eastAsia="zh-CN"/>
                    </w:rPr>
                    <w:t>库房</w:t>
                  </w:r>
                </w:p>
              </w:tc>
              <w:tc>
                <w:tcPr>
                  <w:tcW w:w="3214" w:type="pct"/>
                  <w:noWrap w:val="0"/>
                  <w:vAlign w:val="center"/>
                </w:tcPr>
                <w:p>
                  <w:pPr>
                    <w:pStyle w:val="57"/>
                    <w:bidi w:val="0"/>
                    <w:jc w:val="both"/>
                    <w:rPr>
                      <w:rFonts w:hint="default"/>
                    </w:rPr>
                  </w:pPr>
                  <w:r>
                    <w:rPr>
                      <w:rFonts w:hint="default"/>
                    </w:rPr>
                    <w:t>全封闭式钢构结构厂房；厂区地面硬化，1栋</w:t>
                  </w:r>
                  <w:r>
                    <w:rPr>
                      <w:rFonts w:hint="default"/>
                      <w:lang w:val="en-US" w:eastAsia="zh-CN"/>
                    </w:rPr>
                    <w:t>1</w:t>
                  </w:r>
                  <w:r>
                    <w:rPr>
                      <w:rFonts w:hint="default"/>
                    </w:rPr>
                    <w:t>F</w:t>
                  </w:r>
                  <w:r>
                    <w:rPr>
                      <w:rFonts w:hint="default"/>
                      <w:lang w:eastAsia="zh-CN"/>
                    </w:rPr>
                    <w:t>，</w:t>
                  </w:r>
                  <w:r>
                    <w:rPr>
                      <w:rFonts w:hint="default"/>
                    </w:rPr>
                    <w:t>占地面积2</w:t>
                  </w:r>
                  <w:r>
                    <w:rPr>
                      <w:rFonts w:hint="eastAsia"/>
                      <w:lang w:val="en-US" w:eastAsia="zh-CN"/>
                    </w:rPr>
                    <w:t>0</w:t>
                  </w:r>
                  <w:r>
                    <w:rPr>
                      <w:rFonts w:hint="default"/>
                      <w:lang w:val="en-US" w:eastAsia="zh-CN"/>
                    </w:rPr>
                    <w:t>0</w:t>
                  </w:r>
                  <w:r>
                    <w:rPr>
                      <w:rFonts w:hint="default"/>
                    </w:rPr>
                    <w:t>m</w:t>
                  </w:r>
                  <w:r>
                    <w:rPr>
                      <w:rFonts w:hint="default" w:ascii="Times New Roman" w:hAnsi="Times New Roman" w:eastAsia="宋体" w:cs="Times New Roman"/>
                      <w:vertAlign w:val="superscript"/>
                    </w:rPr>
                    <w:t>2</w:t>
                  </w:r>
                  <w:r>
                    <w:rPr>
                      <w:rFonts w:hint="eastAsia"/>
                      <w:lang w:eastAsia="zh-CN"/>
                    </w:rPr>
                    <w:t>，</w:t>
                  </w:r>
                  <w:r>
                    <w:rPr>
                      <w:rFonts w:hint="eastAsia"/>
                      <w:lang w:val="en-US" w:eastAsia="zh-CN"/>
                    </w:rPr>
                    <w:t>高度为15m</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highlight w:val="none"/>
                    </w:rPr>
                  </w:pPr>
                  <w:r>
                    <w:rPr>
                      <w:rFonts w:hint="default"/>
                      <w:highlight w:val="none"/>
                    </w:rPr>
                    <w:t>清水池</w:t>
                  </w:r>
                </w:p>
              </w:tc>
              <w:tc>
                <w:tcPr>
                  <w:tcW w:w="3214" w:type="pct"/>
                  <w:noWrap w:val="0"/>
                  <w:vAlign w:val="center"/>
                </w:tcPr>
                <w:p>
                  <w:pPr>
                    <w:pStyle w:val="57"/>
                    <w:bidi w:val="0"/>
                    <w:jc w:val="both"/>
                    <w:rPr>
                      <w:rFonts w:hint="default"/>
                      <w:highlight w:val="none"/>
                    </w:rPr>
                  </w:pPr>
                  <w:r>
                    <w:rPr>
                      <w:rFonts w:hint="default"/>
                      <w:highlight w:val="none"/>
                    </w:rPr>
                    <w:t>容积为</w:t>
                  </w:r>
                  <w:r>
                    <w:rPr>
                      <w:rFonts w:hint="eastAsia"/>
                      <w:highlight w:val="none"/>
                      <w:lang w:val="en-US" w:eastAsia="zh-CN"/>
                    </w:rPr>
                    <w:t>5</w:t>
                  </w:r>
                  <w:r>
                    <w:rPr>
                      <w:rFonts w:hint="default"/>
                      <w:highlight w:val="none"/>
                    </w:rPr>
                    <w:t>0m</w:t>
                  </w:r>
                  <w:r>
                    <w:rPr>
                      <w:rFonts w:hint="default" w:ascii="Times New Roman" w:hAnsi="Times New Roman" w:eastAsia="宋体" w:cs="Times New Roman"/>
                      <w:highlight w:val="none"/>
                      <w:vertAlign w:val="superscript"/>
                    </w:rPr>
                    <w:t>3</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highlight w:val="none"/>
                    </w:rPr>
                  </w:pPr>
                  <w:r>
                    <w:rPr>
                      <w:rFonts w:hint="eastAsia"/>
                      <w:highlight w:val="none"/>
                      <w:lang w:val="en-US" w:eastAsia="zh-CN"/>
                    </w:rPr>
                    <w:t>生产废水</w:t>
                  </w:r>
                  <w:r>
                    <w:rPr>
                      <w:rFonts w:hint="default"/>
                      <w:highlight w:val="none"/>
                    </w:rPr>
                    <w:t>沉淀池</w:t>
                  </w:r>
                </w:p>
              </w:tc>
              <w:tc>
                <w:tcPr>
                  <w:tcW w:w="3214" w:type="pct"/>
                  <w:noWrap w:val="0"/>
                  <w:vAlign w:val="center"/>
                </w:tcPr>
                <w:p>
                  <w:pPr>
                    <w:pStyle w:val="57"/>
                    <w:bidi w:val="0"/>
                    <w:jc w:val="both"/>
                    <w:rPr>
                      <w:rFonts w:hint="default"/>
                      <w:highlight w:val="none"/>
                    </w:rPr>
                  </w:pPr>
                  <w:r>
                    <w:rPr>
                      <w:rFonts w:hint="default"/>
                      <w:highlight w:val="none"/>
                    </w:rPr>
                    <w:t>容积为</w:t>
                  </w:r>
                  <w:r>
                    <w:rPr>
                      <w:rFonts w:hint="eastAsia"/>
                      <w:highlight w:val="none"/>
                      <w:lang w:val="en-US" w:eastAsia="zh-CN"/>
                    </w:rPr>
                    <w:t>15</w:t>
                  </w:r>
                  <w:r>
                    <w:rPr>
                      <w:rFonts w:hint="default"/>
                      <w:highlight w:val="none"/>
                    </w:rPr>
                    <w:t>m</w:t>
                  </w:r>
                  <w:r>
                    <w:rPr>
                      <w:rFonts w:hint="default" w:ascii="Times New Roman" w:hAnsi="Times New Roman" w:eastAsia="宋体" w:cs="Times New Roman"/>
                      <w:highlight w:val="none"/>
                      <w:vertAlign w:val="superscript"/>
                    </w:rPr>
                    <w:t>3</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highlight w:val="none"/>
                      <w:lang w:val="en-US" w:eastAsia="zh-CN"/>
                    </w:rPr>
                  </w:pPr>
                  <w:r>
                    <w:rPr>
                      <w:rFonts w:hint="eastAsia"/>
                      <w:highlight w:val="none"/>
                      <w:lang w:val="en-US" w:eastAsia="zh-CN"/>
                    </w:rPr>
                    <w:t>雨水沉淀池</w:t>
                  </w:r>
                </w:p>
              </w:tc>
              <w:tc>
                <w:tcPr>
                  <w:tcW w:w="3214" w:type="pct"/>
                  <w:noWrap w:val="0"/>
                  <w:vAlign w:val="center"/>
                </w:tcPr>
                <w:p>
                  <w:pPr>
                    <w:pStyle w:val="57"/>
                    <w:bidi w:val="0"/>
                    <w:jc w:val="both"/>
                    <w:rPr>
                      <w:rFonts w:hint="default"/>
                      <w:highlight w:val="none"/>
                    </w:rPr>
                  </w:pPr>
                  <w:r>
                    <w:rPr>
                      <w:rFonts w:hint="default"/>
                      <w:highlight w:val="none"/>
                    </w:rPr>
                    <w:t>容积为</w:t>
                  </w:r>
                  <w:r>
                    <w:rPr>
                      <w:rFonts w:hint="eastAsia"/>
                      <w:highlight w:val="none"/>
                      <w:lang w:val="en-US" w:eastAsia="zh-CN"/>
                    </w:rPr>
                    <w:t>20</w:t>
                  </w:r>
                  <w:r>
                    <w:rPr>
                      <w:rFonts w:hint="default"/>
                      <w:highlight w:val="none"/>
                    </w:rPr>
                    <w:t>m</w:t>
                  </w:r>
                  <w:r>
                    <w:rPr>
                      <w:rFonts w:hint="default" w:ascii="Times New Roman" w:hAnsi="Times New Roman" w:eastAsia="宋体" w:cs="Times New Roman"/>
                      <w:highlight w:val="none"/>
                      <w:vertAlign w:val="superscript"/>
                    </w:rPr>
                    <w:t>3</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593" w:hRule="atLeast"/>
                <w:jc w:val="center"/>
              </w:trPr>
              <w:tc>
                <w:tcPr>
                  <w:tcW w:w="264" w:type="pct"/>
                  <w:vMerge w:val="restart"/>
                  <w:noWrap w:val="0"/>
                  <w:vAlign w:val="center"/>
                </w:tcPr>
                <w:p>
                  <w:pPr>
                    <w:pStyle w:val="57"/>
                    <w:bidi w:val="0"/>
                    <w:rPr>
                      <w:rFonts w:hint="default"/>
                    </w:rPr>
                  </w:pPr>
                  <w:r>
                    <w:rPr>
                      <w:rFonts w:hint="default"/>
                    </w:rPr>
                    <w:t>公用工程</w:t>
                  </w:r>
                </w:p>
              </w:tc>
              <w:tc>
                <w:tcPr>
                  <w:tcW w:w="809" w:type="pct"/>
                  <w:noWrap w:val="0"/>
                  <w:vAlign w:val="center"/>
                </w:tcPr>
                <w:p>
                  <w:pPr>
                    <w:pStyle w:val="57"/>
                    <w:bidi w:val="0"/>
                    <w:rPr>
                      <w:rFonts w:hint="default"/>
                    </w:rPr>
                  </w:pPr>
                  <w:r>
                    <w:rPr>
                      <w:rFonts w:hint="default"/>
                      <w:lang w:val="en-US" w:eastAsia="zh-CN"/>
                    </w:rPr>
                    <w:t>供</w:t>
                  </w:r>
                  <w:r>
                    <w:rPr>
                      <w:rFonts w:hint="default"/>
                    </w:rPr>
                    <w:t>水</w:t>
                  </w:r>
                </w:p>
              </w:tc>
              <w:tc>
                <w:tcPr>
                  <w:tcW w:w="3214" w:type="pct"/>
                  <w:noWrap w:val="0"/>
                  <w:vAlign w:val="center"/>
                </w:tcPr>
                <w:p>
                  <w:pPr>
                    <w:pStyle w:val="57"/>
                    <w:bidi w:val="0"/>
                    <w:jc w:val="both"/>
                    <w:rPr>
                      <w:rFonts w:hint="default"/>
                      <w:lang w:val="en-US" w:eastAsia="zh-CN"/>
                    </w:rPr>
                  </w:pPr>
                  <w:r>
                    <w:rPr>
                      <w:rFonts w:hint="eastAsia"/>
                      <w:lang w:val="en-US" w:eastAsia="zh-CN"/>
                    </w:rPr>
                    <w:t>井水供给</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rPr>
                  </w:pPr>
                  <w:r>
                    <w:rPr>
                      <w:rFonts w:hint="default"/>
                    </w:rPr>
                    <w:t>供电</w:t>
                  </w:r>
                </w:p>
              </w:tc>
              <w:tc>
                <w:tcPr>
                  <w:tcW w:w="3214" w:type="pct"/>
                  <w:noWrap w:val="0"/>
                  <w:vAlign w:val="center"/>
                </w:tcPr>
                <w:p>
                  <w:pPr>
                    <w:pStyle w:val="57"/>
                    <w:bidi w:val="0"/>
                    <w:jc w:val="both"/>
                    <w:rPr>
                      <w:rFonts w:hint="default"/>
                    </w:rPr>
                  </w:pPr>
                  <w:r>
                    <w:rPr>
                      <w:rFonts w:hint="default"/>
                    </w:rPr>
                    <w:t>当地电网供给</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90" w:hRule="atLeast"/>
                <w:jc w:val="center"/>
              </w:trPr>
              <w:tc>
                <w:tcPr>
                  <w:tcW w:w="264" w:type="pct"/>
                  <w:vMerge w:val="restart"/>
                  <w:noWrap w:val="0"/>
                  <w:vAlign w:val="center"/>
                </w:tcPr>
                <w:p>
                  <w:pPr>
                    <w:pStyle w:val="57"/>
                    <w:bidi w:val="0"/>
                    <w:rPr>
                      <w:rFonts w:hint="default"/>
                    </w:rPr>
                  </w:pPr>
                  <w:r>
                    <w:rPr>
                      <w:rFonts w:hint="default"/>
                    </w:rPr>
                    <w:t>环保工程</w:t>
                  </w:r>
                </w:p>
              </w:tc>
              <w:tc>
                <w:tcPr>
                  <w:tcW w:w="809" w:type="pct"/>
                  <w:noWrap w:val="0"/>
                  <w:vAlign w:val="center"/>
                </w:tcPr>
                <w:p>
                  <w:pPr>
                    <w:pStyle w:val="57"/>
                    <w:bidi w:val="0"/>
                    <w:rPr>
                      <w:rFonts w:hint="default"/>
                    </w:rPr>
                  </w:pPr>
                  <w:r>
                    <w:rPr>
                      <w:rFonts w:hint="default"/>
                    </w:rPr>
                    <w:t>废水处理</w:t>
                  </w:r>
                </w:p>
              </w:tc>
              <w:tc>
                <w:tcPr>
                  <w:tcW w:w="3214" w:type="pct"/>
                  <w:noWrap w:val="0"/>
                  <w:vAlign w:val="center"/>
                </w:tcPr>
                <w:p>
                  <w:pPr>
                    <w:pStyle w:val="57"/>
                    <w:bidi w:val="0"/>
                    <w:jc w:val="both"/>
                    <w:rPr>
                      <w:rFonts w:hint="default"/>
                    </w:rPr>
                  </w:pPr>
                  <w:r>
                    <w:rPr>
                      <w:rFonts w:hint="default"/>
                    </w:rPr>
                    <w:t>生活污水经</w:t>
                  </w:r>
                  <w:r>
                    <w:rPr>
                      <w:rFonts w:hint="eastAsia"/>
                      <w:lang w:val="en-US" w:eastAsia="zh-CN"/>
                    </w:rPr>
                    <w:t>隔油池+</w:t>
                  </w:r>
                  <w:r>
                    <w:rPr>
                      <w:rFonts w:hint="default"/>
                    </w:rPr>
                    <w:t>化粪池处理后用作农田施肥。搅拌机清洗废水、车辆清洗废水、场地冲洗废水经导排沟进入三级沉淀池（</w:t>
                  </w:r>
                  <w:r>
                    <w:rPr>
                      <w:rFonts w:hint="eastAsia"/>
                      <w:lang w:val="en-US" w:eastAsia="zh-CN"/>
                    </w:rPr>
                    <w:t>75</w:t>
                  </w:r>
                  <w:r>
                    <w:rPr>
                      <w:rFonts w:hint="default"/>
                    </w:rPr>
                    <w:t>m</w:t>
                  </w:r>
                  <w:r>
                    <w:rPr>
                      <w:rFonts w:hint="default" w:ascii="Times New Roman" w:hAnsi="Times New Roman" w:eastAsia="宋体" w:cs="Times New Roman"/>
                      <w:vertAlign w:val="superscript"/>
                      <w:lang w:val="en-US" w:eastAsia="zh-CN"/>
                    </w:rPr>
                    <w:t>3</w:t>
                  </w:r>
                  <w:r>
                    <w:rPr>
                      <w:rFonts w:hint="default"/>
                    </w:rPr>
                    <w:t>）处理后回用于设备、车辆、地面的清洗或回用于生产。初期雨水经导排沟后经</w:t>
                  </w:r>
                  <w:r>
                    <w:rPr>
                      <w:rFonts w:hint="default"/>
                      <w:lang w:val="en-US" w:eastAsia="zh-CN"/>
                    </w:rPr>
                    <w:t>雨水</w:t>
                  </w:r>
                  <w:r>
                    <w:rPr>
                      <w:rFonts w:hint="default"/>
                    </w:rPr>
                    <w:t>沉淀池</w:t>
                  </w:r>
                  <w:r>
                    <w:rPr>
                      <w:rFonts w:hint="default"/>
                      <w:lang w:val="en-US" w:eastAsia="zh-CN"/>
                    </w:rPr>
                    <w:t>（200</w:t>
                  </w:r>
                  <w:r>
                    <w:rPr>
                      <w:rFonts w:hint="default"/>
                    </w:rPr>
                    <w:t>m</w:t>
                  </w:r>
                  <w:r>
                    <w:rPr>
                      <w:rFonts w:hint="default" w:ascii="Times New Roman" w:hAnsi="Times New Roman" w:eastAsia="宋体" w:cs="Times New Roman"/>
                      <w:vertAlign w:val="superscript"/>
                      <w:lang w:val="en-US" w:eastAsia="zh-CN"/>
                    </w:rPr>
                    <w:t>3</w:t>
                  </w:r>
                  <w:r>
                    <w:rPr>
                      <w:rFonts w:hint="default"/>
                      <w:lang w:val="en-US" w:eastAsia="zh-CN"/>
                    </w:rPr>
                    <w:t>）</w:t>
                  </w:r>
                  <w:r>
                    <w:rPr>
                      <w:rFonts w:hint="default"/>
                    </w:rPr>
                    <w:t>处理后回用于生产</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rPr>
                  </w:pPr>
                  <w:r>
                    <w:rPr>
                      <w:rFonts w:hint="default"/>
                    </w:rPr>
                    <w:t>废气处理</w:t>
                  </w:r>
                </w:p>
              </w:tc>
              <w:tc>
                <w:tcPr>
                  <w:tcW w:w="3214" w:type="pct"/>
                  <w:noWrap w:val="0"/>
                  <w:vAlign w:val="center"/>
                </w:tcPr>
                <w:p>
                  <w:pPr>
                    <w:pStyle w:val="57"/>
                    <w:bidi w:val="0"/>
                    <w:jc w:val="both"/>
                    <w:rPr>
                      <w:rFonts w:hint="default"/>
                    </w:rPr>
                  </w:pPr>
                  <w:r>
                    <w:rPr>
                      <w:rFonts w:hint="default"/>
                    </w:rPr>
                    <w:t>搅拌混合粉尘经标准化厂房内沉降+密闭搅拌＋</w:t>
                  </w:r>
                  <w:r>
                    <w:rPr>
                      <w:rFonts w:hint="default"/>
                      <w:lang w:val="en-US" w:eastAsia="zh-CN"/>
                    </w:rPr>
                    <w:t>脉冲布袋除尘</w:t>
                  </w:r>
                  <w:r>
                    <w:rPr>
                      <w:rFonts w:hint="default"/>
                    </w:rPr>
                    <w:t>处理少量粉尘</w:t>
                  </w:r>
                  <w:r>
                    <w:rPr>
                      <w:rFonts w:hint="default"/>
                      <w:lang w:val="en-US" w:eastAsia="zh-CN"/>
                    </w:rPr>
                    <w:t>后高空排放</w:t>
                  </w:r>
                  <w:r>
                    <w:rPr>
                      <w:rFonts w:hint="default"/>
                    </w:rPr>
                    <w:t>；</w:t>
                  </w:r>
                  <w:r>
                    <w:rPr>
                      <w:rFonts w:hint="eastAsia"/>
                      <w:lang w:val="en-US" w:eastAsia="zh-CN"/>
                    </w:rPr>
                    <w:t>3</w:t>
                  </w:r>
                  <w:r>
                    <w:rPr>
                      <w:rFonts w:hint="default"/>
                      <w:lang w:val="en-US" w:eastAsia="zh-CN"/>
                    </w:rPr>
                    <w:t>个</w:t>
                  </w:r>
                  <w:r>
                    <w:rPr>
                      <w:rFonts w:hint="default"/>
                    </w:rPr>
                    <w:t>筒仓粉尘</w:t>
                  </w:r>
                  <w:r>
                    <w:rPr>
                      <w:rFonts w:hint="default"/>
                      <w:lang w:val="en-US" w:eastAsia="zh-CN"/>
                    </w:rPr>
                    <w:t>分别</w:t>
                  </w:r>
                  <w:r>
                    <w:rPr>
                      <w:rFonts w:hint="default"/>
                    </w:rPr>
                    <w:t>经</w:t>
                  </w:r>
                  <w:r>
                    <w:rPr>
                      <w:rFonts w:hint="eastAsia"/>
                      <w:lang w:val="en-US" w:eastAsia="zh-CN"/>
                    </w:rPr>
                    <w:t>3</w:t>
                  </w:r>
                  <w:r>
                    <w:rPr>
                      <w:rFonts w:hint="default"/>
                      <w:lang w:val="en-US" w:eastAsia="zh-CN"/>
                    </w:rPr>
                    <w:t>套脉冲布袋除尘处理后通过仓顶</w:t>
                  </w:r>
                  <w:r>
                    <w:rPr>
                      <w:rFonts w:hint="eastAsia"/>
                      <w:lang w:val="en-US" w:eastAsia="zh-CN"/>
                    </w:rPr>
                    <w:t>高空</w:t>
                  </w:r>
                  <w:r>
                    <w:rPr>
                      <w:rFonts w:hint="default"/>
                      <w:lang w:val="en-US" w:eastAsia="zh-CN"/>
                    </w:rPr>
                    <w:t>排放；筒仓卸料口粉尘通过卸料口与输送皮带密闭衔接措施处理后无组织排放；原料库房</w:t>
                  </w:r>
                  <w:r>
                    <w:rPr>
                      <w:rFonts w:hint="default"/>
                    </w:rPr>
                    <w:t>经厂房沉降+水雾除尘</w:t>
                  </w:r>
                  <w:r>
                    <w:rPr>
                      <w:rFonts w:hint="default"/>
                      <w:lang w:val="en-US" w:eastAsia="zh-CN"/>
                    </w:rPr>
                    <w:t>后无组织排放</w:t>
                  </w:r>
                  <w:r>
                    <w:rPr>
                      <w:rFonts w:hint="default"/>
                    </w:rPr>
                    <w:t>；车辆道路扬尘通过加盖篷布、限制车速</w:t>
                  </w:r>
                  <w:r>
                    <w:rPr>
                      <w:rFonts w:hint="default"/>
                      <w:lang w:val="en-US" w:eastAsia="zh-CN"/>
                    </w:rPr>
                    <w:t>后无组织排放；油烟废气经油烟净化机处理后通过排气管引至食堂屋顶排放</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0" w:hRule="atLeast"/>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rPr>
                  </w:pPr>
                  <w:r>
                    <w:rPr>
                      <w:rFonts w:hint="default"/>
                    </w:rPr>
                    <w:t>噪声控制</w:t>
                  </w:r>
                </w:p>
              </w:tc>
              <w:tc>
                <w:tcPr>
                  <w:tcW w:w="3214" w:type="pct"/>
                  <w:noWrap w:val="0"/>
                  <w:vAlign w:val="center"/>
                </w:tcPr>
                <w:p>
                  <w:pPr>
                    <w:pStyle w:val="57"/>
                    <w:bidi w:val="0"/>
                    <w:jc w:val="both"/>
                    <w:rPr>
                      <w:rFonts w:hint="default"/>
                    </w:rPr>
                  </w:pPr>
                  <w:r>
                    <w:rPr>
                      <w:rFonts w:hint="default"/>
                    </w:rPr>
                    <w:t>设备采取隔声、消声措施，对设备基础进行减振；机械设备合理布局，加强维护</w:t>
                  </w:r>
                </w:p>
              </w:tc>
              <w:tc>
                <w:tcPr>
                  <w:tcW w:w="711" w:type="pct"/>
                  <w:noWrap w:val="0"/>
                  <w:vAlign w:val="center"/>
                </w:tcPr>
                <w:p>
                  <w:pPr>
                    <w:pStyle w:val="57"/>
                    <w:bidi w:val="0"/>
                    <w:rPr>
                      <w:rFonts w:hint="default"/>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4" w:type="pct"/>
                  <w:vMerge w:val="continue"/>
                  <w:noWrap w:val="0"/>
                  <w:vAlign w:val="center"/>
                </w:tcPr>
                <w:p>
                  <w:pPr>
                    <w:pStyle w:val="57"/>
                    <w:bidi w:val="0"/>
                    <w:rPr>
                      <w:rFonts w:hint="default"/>
                    </w:rPr>
                  </w:pPr>
                </w:p>
              </w:tc>
              <w:tc>
                <w:tcPr>
                  <w:tcW w:w="809" w:type="pct"/>
                  <w:noWrap w:val="0"/>
                  <w:vAlign w:val="center"/>
                </w:tcPr>
                <w:p>
                  <w:pPr>
                    <w:pStyle w:val="57"/>
                    <w:bidi w:val="0"/>
                    <w:rPr>
                      <w:rFonts w:hint="default"/>
                    </w:rPr>
                  </w:pPr>
                  <w:r>
                    <w:rPr>
                      <w:rFonts w:hint="default"/>
                    </w:rPr>
                    <w:t>固废处置</w:t>
                  </w:r>
                </w:p>
              </w:tc>
              <w:tc>
                <w:tcPr>
                  <w:tcW w:w="3214" w:type="pct"/>
                  <w:noWrap w:val="0"/>
                  <w:vAlign w:val="center"/>
                </w:tcPr>
                <w:p>
                  <w:pPr>
                    <w:pStyle w:val="57"/>
                    <w:bidi w:val="0"/>
                    <w:jc w:val="both"/>
                    <w:rPr>
                      <w:rFonts w:hint="default"/>
                    </w:rPr>
                  </w:pPr>
                  <w:r>
                    <w:rPr>
                      <w:rFonts w:hint="default"/>
                    </w:rPr>
                    <w:t>设置生活垃圾收集箱，定期清理；沉淀池沉渣收集至</w:t>
                  </w:r>
                  <w:r>
                    <w:rPr>
                      <w:rFonts w:hint="default"/>
                      <w:lang w:val="en-US" w:eastAsia="zh-CN"/>
                    </w:rPr>
                    <w:t>一般固废暂存间</w:t>
                  </w:r>
                  <w:r>
                    <w:rPr>
                      <w:rFonts w:hint="eastAsia"/>
                      <w:lang w:val="en-US" w:eastAsia="zh-CN"/>
                    </w:rPr>
                    <w:t>回用于建设项目</w:t>
                  </w:r>
                  <w:r>
                    <w:rPr>
                      <w:rFonts w:hint="default"/>
                    </w:rPr>
                    <w:t>作道路建设；除尘器</w:t>
                  </w:r>
                  <w:r>
                    <w:rPr>
                      <w:rFonts w:hint="eastAsia"/>
                      <w:lang w:val="en-US" w:eastAsia="zh-CN"/>
                    </w:rPr>
                    <w:t>收集的粉尘</w:t>
                  </w:r>
                  <w:r>
                    <w:rPr>
                      <w:rFonts w:hint="default"/>
                    </w:rPr>
                    <w:t>收集至</w:t>
                  </w:r>
                  <w:r>
                    <w:rPr>
                      <w:rFonts w:hint="default"/>
                      <w:lang w:val="en-US" w:eastAsia="zh-CN"/>
                    </w:rPr>
                    <w:t>一般固废暂存间</w:t>
                  </w:r>
                  <w:r>
                    <w:rPr>
                      <w:rFonts w:hint="default"/>
                    </w:rPr>
                    <w:t>回用于生产</w:t>
                  </w:r>
                </w:p>
              </w:tc>
              <w:tc>
                <w:tcPr>
                  <w:tcW w:w="711" w:type="pct"/>
                  <w:noWrap w:val="0"/>
                  <w:vAlign w:val="center"/>
                </w:tcPr>
                <w:p>
                  <w:pPr>
                    <w:pStyle w:val="57"/>
                    <w:bidi w:val="0"/>
                    <w:rPr>
                      <w:rFonts w:hint="default"/>
                    </w:rPr>
                  </w:pPr>
                  <w:r>
                    <w:rPr>
                      <w:rFonts w:hint="eastAsia"/>
                      <w:lang w:val="en-US" w:eastAsia="zh-CN"/>
                    </w:rPr>
                    <w:t>已建</w:t>
                  </w:r>
                </w:p>
              </w:tc>
            </w:tr>
          </w:tbl>
          <w:p>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82" w:firstLineChars="200"/>
              <w:jc w:val="both"/>
              <w:textAlignment w:val="auto"/>
              <w:rPr>
                <w:rFonts w:hint="default" w:ascii="Times New Roman" w:hAnsi="Times New Roman" w:cs="Times New Roman" w:eastAsiaTheme="minorEastAsia"/>
                <w:b/>
                <w:color w:val="000000" w:themeColor="text1"/>
                <w:kern w:val="0"/>
                <w:sz w:val="21"/>
                <w:szCs w:val="21"/>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t>2.</w:t>
            </w:r>
            <w:r>
              <w:rPr>
                <w:rFonts w:hint="eastAsia" w:ascii="Times New Roman" w:hAnsi="Times New Roman"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t>3</w:t>
            </w:r>
            <w:r>
              <w:rPr>
                <w:rFonts w:hint="default" w:ascii="Times New Roman" w:hAnsi="Times New Roman"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t>主要产品方案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bCs/>
                <w:color w:val="000000" w:themeColor="text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项目产品主要为商品混凝土，具体产品方案见表</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eastAsia" w:ascii="Times New Roman" w:hAnsi="Times New Roman" w:cs="Times New Roman" w:eastAsiaTheme="minorEastAsia"/>
                <w:b/>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b/>
                <w:color w:val="000000" w:themeColor="text1"/>
                <w:kern w:val="0"/>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color w:val="000000" w:themeColor="text1"/>
                <w:kern w:val="0"/>
                <w:sz w:val="21"/>
                <w:szCs w:val="21"/>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b/>
                <w:color w:val="000000" w:themeColor="text1"/>
                <w:kern w:val="0"/>
                <w:sz w:val="21"/>
                <w:szCs w:val="21"/>
                <w:highlight w:val="none"/>
                <w:u w:val="none" w:color="auto"/>
                <w14:textFill>
                  <w14:solidFill>
                    <w14:schemeClr w14:val="tx1"/>
                  </w14:solidFill>
                </w14:textFill>
              </w:rPr>
              <w:t>-</w:t>
            </w:r>
            <w:r>
              <w:rPr>
                <w:rFonts w:hint="eastAsia" w:ascii="Times New Roman" w:hAnsi="Times New Roman" w:cs="Times New Roman" w:eastAsiaTheme="minorEastAsia"/>
                <w:b/>
                <w:color w:val="000000" w:themeColor="text1"/>
                <w:kern w:val="0"/>
                <w:sz w:val="21"/>
                <w:szCs w:val="21"/>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b/>
                <w:color w:val="000000" w:themeColor="text1"/>
                <w:kern w:val="0"/>
                <w:sz w:val="21"/>
                <w:szCs w:val="21"/>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kern w:val="0"/>
                <w:sz w:val="21"/>
                <w:szCs w:val="21"/>
                <w:highlight w:val="none"/>
                <w:u w:val="none" w:color="auto"/>
                <w14:textFill>
                  <w14:solidFill>
                    <w14:schemeClr w14:val="tx1"/>
                  </w14:solidFill>
                </w14:textFill>
              </w:rPr>
              <w:t>项目主要产品及产量</w:t>
            </w:r>
            <w:r>
              <w:rPr>
                <w:rFonts w:hint="eastAsia" w:ascii="Times New Roman" w:hAnsi="Times New Roman" w:cs="Times New Roman" w:eastAsiaTheme="minorEastAsia"/>
                <w:b/>
                <w:color w:val="000000" w:themeColor="text1"/>
                <w:kern w:val="0"/>
                <w:sz w:val="21"/>
                <w:szCs w:val="21"/>
                <w:highlight w:val="none"/>
                <w:u w:val="none" w:color="auto"/>
                <w:lang w:val="en-US" w:eastAsia="zh-CN"/>
                <w14:textFill>
                  <w14:solidFill>
                    <w14:schemeClr w14:val="tx1"/>
                  </w14:solidFill>
                </w14:textFill>
              </w:rPr>
              <w:t>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2414"/>
              <w:gridCol w:w="3236"/>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5" w:type="pct"/>
                  <w:noWrap w:val="0"/>
                  <w:vAlign w:val="center"/>
                </w:tcPr>
                <w:p>
                  <w:pPr>
                    <w:pStyle w:val="57"/>
                    <w:bidi w:val="0"/>
                    <w:rPr>
                      <w:rFonts w:hint="default"/>
                    </w:rPr>
                  </w:pPr>
                  <w:r>
                    <w:rPr>
                      <w:rFonts w:hint="default"/>
                    </w:rPr>
                    <w:t>序号</w:t>
                  </w:r>
                </w:p>
              </w:tc>
              <w:tc>
                <w:tcPr>
                  <w:tcW w:w="1464" w:type="pct"/>
                  <w:noWrap w:val="0"/>
                  <w:vAlign w:val="center"/>
                </w:tcPr>
                <w:p>
                  <w:pPr>
                    <w:pStyle w:val="57"/>
                    <w:bidi w:val="0"/>
                    <w:rPr>
                      <w:rFonts w:hint="default"/>
                      <w:lang w:val="en-US" w:eastAsia="zh-CN"/>
                    </w:rPr>
                  </w:pPr>
                  <w:r>
                    <w:rPr>
                      <w:rFonts w:hint="default"/>
                      <w:lang w:val="en-US" w:eastAsia="zh-CN"/>
                    </w:rPr>
                    <w:t>产品种类</w:t>
                  </w:r>
                </w:p>
              </w:tc>
              <w:tc>
                <w:tcPr>
                  <w:tcW w:w="1962" w:type="pct"/>
                  <w:noWrap w:val="0"/>
                  <w:vAlign w:val="center"/>
                </w:tcPr>
                <w:p>
                  <w:pPr>
                    <w:pStyle w:val="57"/>
                    <w:bidi w:val="0"/>
                    <w:rPr>
                      <w:rFonts w:hint="default"/>
                      <w:lang w:val="en-US" w:eastAsia="zh-CN"/>
                    </w:rPr>
                  </w:pPr>
                  <w:r>
                    <w:rPr>
                      <w:rFonts w:hint="default"/>
                    </w:rPr>
                    <w:t>产品产量</w:t>
                  </w:r>
                </w:p>
              </w:tc>
              <w:tc>
                <w:tcPr>
                  <w:tcW w:w="827" w:type="pct"/>
                  <w:noWrap w:val="0"/>
                  <w:vAlign w:val="center"/>
                </w:tcPr>
                <w:p>
                  <w:pPr>
                    <w:pStyle w:val="57"/>
                    <w:bidi w:val="0"/>
                    <w:rPr>
                      <w:rFonts w:hint="eastAsia"/>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5" w:type="pct"/>
                  <w:noWrap w:val="0"/>
                  <w:vAlign w:val="center"/>
                </w:tcPr>
                <w:p>
                  <w:pPr>
                    <w:pStyle w:val="57"/>
                    <w:bidi w:val="0"/>
                    <w:rPr>
                      <w:rFonts w:hint="default"/>
                    </w:rPr>
                  </w:pPr>
                  <w:r>
                    <w:rPr>
                      <w:rFonts w:hint="default"/>
                    </w:rPr>
                    <w:t>1</w:t>
                  </w:r>
                </w:p>
              </w:tc>
              <w:tc>
                <w:tcPr>
                  <w:tcW w:w="1464" w:type="pct"/>
                  <w:noWrap w:val="0"/>
                  <w:vAlign w:val="center"/>
                </w:tcPr>
                <w:p>
                  <w:pPr>
                    <w:pStyle w:val="57"/>
                    <w:bidi w:val="0"/>
                    <w:rPr>
                      <w:rFonts w:hint="eastAsia"/>
                      <w:lang w:val="en-US" w:eastAsia="zh-CN"/>
                    </w:rPr>
                  </w:pPr>
                  <w:r>
                    <w:rPr>
                      <w:rFonts w:hint="eastAsia"/>
                      <w:lang w:val="en-US" w:eastAsia="zh-CN"/>
                    </w:rPr>
                    <w:t>混凝土</w:t>
                  </w:r>
                </w:p>
              </w:tc>
              <w:tc>
                <w:tcPr>
                  <w:tcW w:w="1962" w:type="pct"/>
                  <w:noWrap w:val="0"/>
                  <w:vAlign w:val="center"/>
                </w:tcPr>
                <w:p>
                  <w:pPr>
                    <w:pStyle w:val="57"/>
                    <w:bidi w:val="0"/>
                    <w:rPr>
                      <w:rFonts w:hint="eastAsia"/>
                      <w:lang w:val="en-US" w:eastAsia="zh-CN"/>
                    </w:rPr>
                  </w:pPr>
                  <w:r>
                    <w:rPr>
                      <w:rFonts w:hint="eastAsia"/>
                      <w:lang w:val="en-US" w:eastAsia="zh-CN"/>
                    </w:rPr>
                    <w:t>6</w:t>
                  </w:r>
                  <w:r>
                    <w:rPr>
                      <w:rFonts w:hint="default"/>
                    </w:rPr>
                    <w:t>万m</w:t>
                  </w:r>
                  <w:r>
                    <w:rPr>
                      <w:rFonts w:hint="default" w:ascii="Times New Roman" w:hAnsi="Times New Roman" w:eastAsia="宋体" w:cs="Times New Roman"/>
                      <w:vertAlign w:val="superscript"/>
                    </w:rPr>
                    <w:t>3</w:t>
                  </w:r>
                </w:p>
              </w:tc>
              <w:tc>
                <w:tcPr>
                  <w:tcW w:w="827" w:type="pct"/>
                  <w:vMerge w:val="restart"/>
                  <w:noWrap w:val="0"/>
                  <w:vAlign w:val="center"/>
                </w:tcPr>
                <w:p>
                  <w:pPr>
                    <w:pStyle w:val="57"/>
                    <w:bidi w:val="0"/>
                    <w:rPr>
                      <w:rFonts w:hint="default"/>
                      <w:lang w:val="en-US" w:eastAsia="zh-CN"/>
                    </w:rPr>
                  </w:pPr>
                  <w:r>
                    <w:rPr>
                      <w:rFonts w:hint="eastAsia"/>
                      <w:lang w:val="en-US" w:eastAsia="zh-CN"/>
                    </w:rPr>
                    <w:t>一号站产品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5" w:type="pct"/>
                  <w:noWrap w:val="0"/>
                  <w:vAlign w:val="center"/>
                </w:tcPr>
                <w:p>
                  <w:pPr>
                    <w:pStyle w:val="57"/>
                    <w:bidi w:val="0"/>
                    <w:rPr>
                      <w:rFonts w:hint="eastAsia"/>
                      <w:lang w:val="en-US" w:eastAsia="zh-CN"/>
                    </w:rPr>
                  </w:pPr>
                  <w:r>
                    <w:rPr>
                      <w:rFonts w:hint="eastAsia"/>
                      <w:lang w:val="en-US" w:eastAsia="zh-CN"/>
                    </w:rPr>
                    <w:t>2</w:t>
                  </w:r>
                </w:p>
              </w:tc>
              <w:tc>
                <w:tcPr>
                  <w:tcW w:w="1464" w:type="pct"/>
                  <w:noWrap w:val="0"/>
                  <w:vAlign w:val="center"/>
                </w:tcPr>
                <w:p>
                  <w:pPr>
                    <w:pStyle w:val="57"/>
                    <w:bidi w:val="0"/>
                    <w:rPr>
                      <w:rFonts w:hint="eastAsia"/>
                      <w:lang w:val="en-US" w:eastAsia="zh-CN"/>
                    </w:rPr>
                  </w:pPr>
                  <w:r>
                    <w:rPr>
                      <w:rFonts w:hint="eastAsia"/>
                      <w:lang w:val="en-US" w:eastAsia="zh-CN"/>
                    </w:rPr>
                    <w:t>稳定土</w:t>
                  </w:r>
                </w:p>
              </w:tc>
              <w:tc>
                <w:tcPr>
                  <w:tcW w:w="1962" w:type="pct"/>
                  <w:noWrap w:val="0"/>
                  <w:vAlign w:val="center"/>
                </w:tcPr>
                <w:p>
                  <w:pPr>
                    <w:pStyle w:val="57"/>
                    <w:bidi w:val="0"/>
                    <w:rPr>
                      <w:rFonts w:hint="default"/>
                      <w:lang w:val="en-US" w:eastAsia="zh-CN"/>
                    </w:rPr>
                  </w:pPr>
                  <w:r>
                    <w:rPr>
                      <w:rFonts w:hint="default"/>
                      <w:lang w:val="en-US" w:eastAsia="zh-CN"/>
                    </w:rPr>
                    <w:t>81.5万吨</w:t>
                  </w:r>
                </w:p>
              </w:tc>
              <w:tc>
                <w:tcPr>
                  <w:tcW w:w="827" w:type="pct"/>
                  <w:vMerge w:val="continue"/>
                  <w:noWrap w:val="0"/>
                  <w:vAlign w:val="center"/>
                </w:tcPr>
                <w:p>
                  <w:pPr>
                    <w:pStyle w:val="5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5" w:type="pct"/>
                  <w:noWrap w:val="0"/>
                  <w:vAlign w:val="center"/>
                </w:tcPr>
                <w:p>
                  <w:pPr>
                    <w:pStyle w:val="57"/>
                    <w:bidi w:val="0"/>
                    <w:rPr>
                      <w:rFonts w:hint="default"/>
                      <w:lang w:val="en-US" w:eastAsia="zh-CN"/>
                    </w:rPr>
                  </w:pPr>
                  <w:r>
                    <w:rPr>
                      <w:rFonts w:hint="eastAsia"/>
                      <w:lang w:val="en-US" w:eastAsia="zh-CN"/>
                    </w:rPr>
                    <w:t>3</w:t>
                  </w:r>
                </w:p>
              </w:tc>
              <w:tc>
                <w:tcPr>
                  <w:tcW w:w="1464" w:type="pct"/>
                  <w:noWrap w:val="0"/>
                  <w:vAlign w:val="center"/>
                </w:tcPr>
                <w:p>
                  <w:pPr>
                    <w:pStyle w:val="57"/>
                    <w:bidi w:val="0"/>
                    <w:rPr>
                      <w:rFonts w:hint="default"/>
                      <w:lang w:val="en-US" w:eastAsia="zh-CN"/>
                    </w:rPr>
                  </w:pPr>
                  <w:r>
                    <w:rPr>
                      <w:rFonts w:hint="eastAsia"/>
                      <w:lang w:val="en-US" w:eastAsia="zh-CN"/>
                    </w:rPr>
                    <w:t>沥青混凝土</w:t>
                  </w:r>
                </w:p>
              </w:tc>
              <w:tc>
                <w:tcPr>
                  <w:tcW w:w="1962" w:type="pct"/>
                  <w:noWrap w:val="0"/>
                  <w:vAlign w:val="center"/>
                </w:tcPr>
                <w:p>
                  <w:pPr>
                    <w:pStyle w:val="57"/>
                    <w:bidi w:val="0"/>
                    <w:rPr>
                      <w:rFonts w:hint="eastAsia"/>
                      <w:lang w:val="en-US" w:eastAsia="zh-CN"/>
                    </w:rPr>
                  </w:pPr>
                  <w:r>
                    <w:rPr>
                      <w:rFonts w:hint="eastAsia"/>
                      <w:lang w:val="en-US" w:eastAsia="zh-CN"/>
                    </w:rPr>
                    <w:t>21万吨</w:t>
                  </w:r>
                </w:p>
              </w:tc>
              <w:tc>
                <w:tcPr>
                  <w:tcW w:w="827" w:type="pct"/>
                  <w:vMerge w:val="continue"/>
                  <w:noWrap w:val="0"/>
                  <w:vAlign w:val="center"/>
                </w:tcPr>
                <w:p>
                  <w:pPr>
                    <w:pStyle w:val="5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5" w:type="pct"/>
                  <w:noWrap w:val="0"/>
                  <w:vAlign w:val="center"/>
                </w:tcPr>
                <w:p>
                  <w:pPr>
                    <w:pStyle w:val="57"/>
                    <w:bidi w:val="0"/>
                    <w:rPr>
                      <w:rFonts w:hint="default"/>
                      <w:lang w:val="en-US" w:eastAsia="zh-CN"/>
                    </w:rPr>
                  </w:pPr>
                  <w:r>
                    <w:rPr>
                      <w:rFonts w:hint="eastAsia"/>
                      <w:lang w:val="en-US" w:eastAsia="zh-CN"/>
                    </w:rPr>
                    <w:t>4</w:t>
                  </w:r>
                </w:p>
              </w:tc>
              <w:tc>
                <w:tcPr>
                  <w:tcW w:w="1464" w:type="pct"/>
                  <w:noWrap w:val="0"/>
                  <w:vAlign w:val="center"/>
                </w:tcPr>
                <w:p>
                  <w:pPr>
                    <w:pStyle w:val="57"/>
                    <w:bidi w:val="0"/>
                    <w:rPr>
                      <w:rFonts w:hint="eastAsia"/>
                      <w:lang w:val="en-US" w:eastAsia="zh-CN"/>
                    </w:rPr>
                  </w:pPr>
                  <w:r>
                    <w:rPr>
                      <w:rFonts w:hint="eastAsia"/>
                      <w:lang w:val="en-US" w:eastAsia="zh-CN"/>
                    </w:rPr>
                    <w:t>混凝土</w:t>
                  </w:r>
                </w:p>
              </w:tc>
              <w:tc>
                <w:tcPr>
                  <w:tcW w:w="1962" w:type="pct"/>
                  <w:noWrap w:val="0"/>
                  <w:vAlign w:val="center"/>
                </w:tcPr>
                <w:p>
                  <w:pPr>
                    <w:pStyle w:val="57"/>
                    <w:bidi w:val="0"/>
                    <w:rPr>
                      <w:rFonts w:hint="eastAsia"/>
                      <w:lang w:val="en-US" w:eastAsia="zh-CN"/>
                    </w:rPr>
                  </w:pPr>
                  <w:r>
                    <w:rPr>
                      <w:rFonts w:hint="eastAsia"/>
                      <w:lang w:val="en-US" w:eastAsia="zh-CN"/>
                    </w:rPr>
                    <w:t>6</w:t>
                  </w:r>
                  <w:r>
                    <w:rPr>
                      <w:rFonts w:hint="default"/>
                    </w:rPr>
                    <w:t>万m</w:t>
                  </w:r>
                  <w:r>
                    <w:rPr>
                      <w:rFonts w:hint="default" w:ascii="Times New Roman" w:hAnsi="Times New Roman" w:eastAsia="宋体" w:cs="Times New Roman"/>
                      <w:vertAlign w:val="superscript"/>
                    </w:rPr>
                    <w:t>3</w:t>
                  </w:r>
                </w:p>
              </w:tc>
              <w:tc>
                <w:tcPr>
                  <w:tcW w:w="827" w:type="pct"/>
                  <w:noWrap w:val="0"/>
                  <w:vAlign w:val="center"/>
                </w:tcPr>
                <w:p>
                  <w:pPr>
                    <w:pStyle w:val="57"/>
                    <w:bidi w:val="0"/>
                    <w:rPr>
                      <w:rFonts w:hint="eastAsia"/>
                      <w:lang w:val="en-US" w:eastAsia="zh-CN"/>
                    </w:rPr>
                  </w:pPr>
                  <w:r>
                    <w:rPr>
                      <w:rFonts w:hint="eastAsia"/>
                      <w:lang w:val="en-US" w:eastAsia="zh-CN"/>
                    </w:rPr>
                    <w:t>二号站产品</w:t>
                  </w:r>
                </w:p>
              </w:tc>
            </w:tr>
          </w:tbl>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2.</w:t>
            </w:r>
            <w:r>
              <w:rPr>
                <w:rFonts w:hint="eastAsia"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4</w:t>
            </w: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主要原辅材料及能源动力</w:t>
            </w:r>
          </w:p>
          <w:p>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baseline"/>
              <w:rPr>
                <w:rFonts w:hint="default" w:ascii="Times New Roman" w:hAnsi="Times New Roman" w:cs="Times New Roman" w:eastAsiaTheme="minorEastAsia"/>
                <w:b/>
                <w:bCs/>
                <w:color w:val="000000" w:themeColor="text1"/>
                <w:spacing w:val="4"/>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项目主要原辅材料及能源消耗见表</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2-4</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p>
          <w:p>
            <w:pPr>
              <w:spacing w:line="240" w:lineRule="auto"/>
              <w:jc w:val="cente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2-</w:t>
            </w:r>
            <w:r>
              <w:rPr>
                <w:rFonts w:hint="eastAsia"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4 项目</w:t>
            </w: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主要原辅材料及能源消耗一览表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728"/>
              <w:gridCol w:w="1728"/>
              <w:gridCol w:w="1731"/>
              <w:gridCol w:w="2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center"/>
                </w:tcPr>
                <w:p>
                  <w:pPr>
                    <w:pStyle w:val="57"/>
                    <w:bidi w:val="0"/>
                    <w:rPr>
                      <w:rFonts w:hint="default"/>
                      <w:lang w:val="en-US" w:eastAsia="zh-CN"/>
                    </w:rPr>
                  </w:pPr>
                  <w:r>
                    <w:rPr>
                      <w:rFonts w:hint="default"/>
                      <w:lang w:val="en-US" w:eastAsia="zh-CN"/>
                    </w:rPr>
                    <w:t>类别</w:t>
                  </w:r>
                </w:p>
              </w:tc>
              <w:tc>
                <w:tcPr>
                  <w:tcW w:w="1048" w:type="pct"/>
                  <w:noWrap w:val="0"/>
                  <w:vAlign w:val="center"/>
                </w:tcPr>
                <w:p>
                  <w:pPr>
                    <w:pStyle w:val="57"/>
                    <w:bidi w:val="0"/>
                    <w:rPr>
                      <w:rFonts w:hint="default"/>
                      <w:lang w:val="en-US" w:eastAsia="zh-CN"/>
                    </w:rPr>
                  </w:pPr>
                  <w:r>
                    <w:rPr>
                      <w:rFonts w:hint="default"/>
                      <w:lang w:val="en-US" w:eastAsia="zh-CN"/>
                    </w:rPr>
                    <w:t>原辅材料</w:t>
                  </w:r>
                </w:p>
              </w:tc>
              <w:tc>
                <w:tcPr>
                  <w:tcW w:w="1048" w:type="pct"/>
                  <w:noWrap w:val="0"/>
                  <w:vAlign w:val="center"/>
                </w:tcPr>
                <w:p>
                  <w:pPr>
                    <w:pStyle w:val="57"/>
                    <w:bidi w:val="0"/>
                    <w:rPr>
                      <w:rFonts w:hint="default"/>
                      <w:lang w:val="en-US" w:eastAsia="zh-CN"/>
                    </w:rPr>
                  </w:pPr>
                  <w:r>
                    <w:rPr>
                      <w:rFonts w:hint="default"/>
                      <w:lang w:val="en-US" w:eastAsia="zh-CN"/>
                    </w:rPr>
                    <w:t>单位</w:t>
                  </w:r>
                </w:p>
              </w:tc>
              <w:tc>
                <w:tcPr>
                  <w:tcW w:w="1049" w:type="pct"/>
                  <w:noWrap w:val="0"/>
                  <w:vAlign w:val="center"/>
                </w:tcPr>
                <w:p>
                  <w:pPr>
                    <w:pStyle w:val="57"/>
                    <w:bidi w:val="0"/>
                    <w:rPr>
                      <w:rFonts w:hint="default"/>
                      <w:lang w:val="en-US" w:eastAsia="zh-CN"/>
                    </w:rPr>
                  </w:pPr>
                  <w:r>
                    <w:rPr>
                      <w:rFonts w:hint="default"/>
                      <w:lang w:val="en-US" w:eastAsia="zh-CN"/>
                    </w:rPr>
                    <w:t>年消耗量</w:t>
                  </w:r>
                </w:p>
              </w:tc>
              <w:tc>
                <w:tcPr>
                  <w:tcW w:w="1398" w:type="pct"/>
                  <w:noWrap w:val="0"/>
                  <w:vAlign w:val="center"/>
                </w:tcPr>
                <w:p>
                  <w:pPr>
                    <w:pStyle w:val="57"/>
                    <w:bidi w:val="0"/>
                    <w:rPr>
                      <w:rFonts w:hint="default"/>
                      <w:lang w:val="en-US" w:eastAsia="zh-CN"/>
                    </w:rPr>
                  </w:pPr>
                  <w:r>
                    <w:rPr>
                      <w:rFonts w:hint="default"/>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pPr>
                    <w:pStyle w:val="57"/>
                    <w:bidi w:val="0"/>
                    <w:rPr>
                      <w:rFonts w:hint="default"/>
                      <w:lang w:val="en-US" w:eastAsia="zh-CN"/>
                    </w:rPr>
                  </w:pPr>
                  <w:r>
                    <w:rPr>
                      <w:rFonts w:hint="eastAsia"/>
                      <w:lang w:val="en-US" w:eastAsia="zh-CN"/>
                    </w:rPr>
                    <w:t>一号站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pPr>
                    <w:pStyle w:val="57"/>
                    <w:bidi w:val="0"/>
                    <w:rPr>
                      <w:rFonts w:hint="default"/>
                      <w:lang w:val="en-US" w:eastAsia="zh-CN"/>
                    </w:rPr>
                  </w:pPr>
                  <w:r>
                    <w:rPr>
                      <w:rFonts w:hint="eastAsia"/>
                      <w:lang w:val="en-US" w:eastAsia="zh-CN"/>
                    </w:rPr>
                    <w:t>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noWrap w:val="0"/>
                  <w:vAlign w:val="center"/>
                </w:tcPr>
                <w:p>
                  <w:pPr>
                    <w:pStyle w:val="57"/>
                    <w:bidi w:val="0"/>
                    <w:rPr>
                      <w:rFonts w:hint="default"/>
                      <w:lang w:val="en-US" w:eastAsia="zh-CN"/>
                    </w:rPr>
                  </w:pPr>
                  <w:r>
                    <w:rPr>
                      <w:rFonts w:hint="default"/>
                      <w:lang w:val="en-US" w:eastAsia="zh-CN"/>
                    </w:rPr>
                    <w:t>原辅料</w:t>
                  </w:r>
                </w:p>
              </w:tc>
              <w:tc>
                <w:tcPr>
                  <w:tcW w:w="1048" w:type="pct"/>
                  <w:noWrap w:val="0"/>
                  <w:vAlign w:val="center"/>
                </w:tcPr>
                <w:p>
                  <w:pPr>
                    <w:pStyle w:val="57"/>
                    <w:bidi w:val="0"/>
                    <w:rPr>
                      <w:rFonts w:hint="default"/>
                      <w:lang w:val="en-US" w:eastAsia="zh-CN"/>
                    </w:rPr>
                  </w:pPr>
                  <w:r>
                    <w:rPr>
                      <w:rFonts w:hint="default"/>
                      <w:lang w:val="en-US" w:eastAsia="zh-CN"/>
                    </w:rPr>
                    <w:t>水泥</w:t>
                  </w:r>
                </w:p>
              </w:tc>
              <w:tc>
                <w:tcPr>
                  <w:tcW w:w="1048" w:type="pct"/>
                  <w:noWrap w:val="0"/>
                  <w:vAlign w:val="center"/>
                </w:tcPr>
                <w:p>
                  <w:pPr>
                    <w:pStyle w:val="57"/>
                    <w:bidi w:val="0"/>
                    <w:rPr>
                      <w:rFonts w:hint="default"/>
                      <w:lang w:val="en-US" w:eastAsia="zh-CN"/>
                    </w:rPr>
                  </w:pPr>
                  <w:r>
                    <w:rPr>
                      <w:rFonts w:hint="default"/>
                      <w:lang w:val="en-US" w:eastAsia="zh-CN"/>
                    </w:rPr>
                    <w:t>t/a</w:t>
                  </w:r>
                </w:p>
              </w:tc>
              <w:tc>
                <w:tcPr>
                  <w:tcW w:w="1049" w:type="pct"/>
                  <w:noWrap w:val="0"/>
                  <w:vAlign w:val="center"/>
                </w:tcPr>
                <w:p>
                  <w:pPr>
                    <w:pStyle w:val="57"/>
                    <w:bidi w:val="0"/>
                    <w:rPr>
                      <w:rFonts w:hint="default"/>
                      <w:lang w:val="en-US" w:eastAsia="zh-CN"/>
                    </w:rPr>
                  </w:pPr>
                  <w:r>
                    <w:rPr>
                      <w:rFonts w:hint="eastAsia"/>
                      <w:lang w:val="en-US" w:eastAsia="zh-CN"/>
                    </w:rPr>
                    <w:t>28020</w:t>
                  </w:r>
                </w:p>
              </w:tc>
              <w:tc>
                <w:tcPr>
                  <w:tcW w:w="1398" w:type="pct"/>
                  <w:noWrap w:val="0"/>
                  <w:vAlign w:val="center"/>
                </w:tcPr>
                <w:p>
                  <w:pPr>
                    <w:pStyle w:val="57"/>
                    <w:bidi w:val="0"/>
                    <w:rPr>
                      <w:rFonts w:hint="default"/>
                      <w:lang w:val="en-US" w:eastAsia="zh-CN"/>
                    </w:rPr>
                  </w:pPr>
                  <w:r>
                    <w:rPr>
                      <w:rFonts w:hint="default"/>
                      <w:lang w:val="en-US" w:eastAsia="zh-CN"/>
                    </w:rPr>
                    <w:t>外购，罐车运输、存放于筒仓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pStyle w:val="57"/>
                    <w:bidi w:val="0"/>
                    <w:rPr>
                      <w:rFonts w:hint="default"/>
                    </w:rPr>
                  </w:pPr>
                </w:p>
              </w:tc>
              <w:tc>
                <w:tcPr>
                  <w:tcW w:w="1048" w:type="pct"/>
                  <w:noWrap w:val="0"/>
                  <w:vAlign w:val="center"/>
                </w:tcPr>
                <w:p>
                  <w:pPr>
                    <w:pStyle w:val="57"/>
                    <w:bidi w:val="0"/>
                    <w:rPr>
                      <w:rFonts w:hint="default"/>
                      <w:lang w:val="en-US" w:eastAsia="zh-CN"/>
                    </w:rPr>
                  </w:pPr>
                  <w:r>
                    <w:rPr>
                      <w:rFonts w:hint="default"/>
                      <w:lang w:val="en-US" w:eastAsia="zh-CN"/>
                    </w:rPr>
                    <w:t>砂石</w:t>
                  </w:r>
                </w:p>
              </w:tc>
              <w:tc>
                <w:tcPr>
                  <w:tcW w:w="1048" w:type="pct"/>
                  <w:noWrap w:val="0"/>
                  <w:vAlign w:val="center"/>
                </w:tcPr>
                <w:p>
                  <w:pPr>
                    <w:pStyle w:val="57"/>
                    <w:bidi w:val="0"/>
                    <w:rPr>
                      <w:rFonts w:hint="default"/>
                      <w:lang w:val="en-US" w:eastAsia="zh-CN"/>
                    </w:rPr>
                  </w:pPr>
                  <w:r>
                    <w:rPr>
                      <w:rFonts w:hint="default"/>
                      <w:lang w:val="en-US" w:eastAsia="zh-CN"/>
                    </w:rPr>
                    <w:t>t/a</w:t>
                  </w:r>
                </w:p>
              </w:tc>
              <w:tc>
                <w:tcPr>
                  <w:tcW w:w="1049" w:type="pct"/>
                  <w:noWrap w:val="0"/>
                  <w:vAlign w:val="center"/>
                </w:tcPr>
                <w:p>
                  <w:pPr>
                    <w:pStyle w:val="57"/>
                    <w:bidi w:val="0"/>
                    <w:rPr>
                      <w:rFonts w:hint="default"/>
                      <w:lang w:val="en-US" w:eastAsia="zh-CN"/>
                    </w:rPr>
                  </w:pPr>
                  <w:r>
                    <w:rPr>
                      <w:rFonts w:hint="eastAsia"/>
                      <w:lang w:val="en-US" w:eastAsia="zh-CN"/>
                    </w:rPr>
                    <w:t>100860</w:t>
                  </w:r>
                </w:p>
              </w:tc>
              <w:tc>
                <w:tcPr>
                  <w:tcW w:w="1398" w:type="pct"/>
                  <w:noWrap w:val="0"/>
                  <w:vAlign w:val="center"/>
                </w:tcPr>
                <w:p>
                  <w:pPr>
                    <w:pStyle w:val="57"/>
                    <w:bidi w:val="0"/>
                    <w:rPr>
                      <w:rFonts w:hint="default"/>
                      <w:lang w:val="en-US" w:eastAsia="zh-CN"/>
                    </w:rPr>
                  </w:pPr>
                  <w:r>
                    <w:rPr>
                      <w:rFonts w:hint="default"/>
                      <w:lang w:val="en-US" w:eastAsia="zh-CN"/>
                    </w:rPr>
                    <w:t>外购，存放于原料堆场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5" w:type="pct"/>
                  <w:vMerge w:val="continue"/>
                  <w:noWrap w:val="0"/>
                  <w:vAlign w:val="center"/>
                </w:tcPr>
                <w:p>
                  <w:pPr>
                    <w:pStyle w:val="57"/>
                    <w:bidi w:val="0"/>
                    <w:rPr>
                      <w:rFonts w:hint="default"/>
                    </w:rPr>
                  </w:pPr>
                </w:p>
              </w:tc>
              <w:tc>
                <w:tcPr>
                  <w:tcW w:w="1048" w:type="pct"/>
                  <w:noWrap w:val="0"/>
                  <w:vAlign w:val="center"/>
                </w:tcPr>
                <w:p>
                  <w:pPr>
                    <w:pStyle w:val="57"/>
                    <w:bidi w:val="0"/>
                    <w:rPr>
                      <w:rFonts w:hint="default"/>
                      <w:lang w:val="en-US" w:eastAsia="zh-CN"/>
                    </w:rPr>
                  </w:pPr>
                  <w:r>
                    <w:rPr>
                      <w:rFonts w:hint="default"/>
                      <w:lang w:val="en-US" w:eastAsia="zh-CN"/>
                    </w:rPr>
                    <w:t>粉煤灰</w:t>
                  </w:r>
                </w:p>
              </w:tc>
              <w:tc>
                <w:tcPr>
                  <w:tcW w:w="1048" w:type="pct"/>
                  <w:noWrap w:val="0"/>
                  <w:vAlign w:val="center"/>
                </w:tcPr>
                <w:p>
                  <w:pPr>
                    <w:pStyle w:val="57"/>
                    <w:bidi w:val="0"/>
                    <w:rPr>
                      <w:rFonts w:hint="default"/>
                      <w:lang w:val="en-US" w:eastAsia="zh-CN"/>
                    </w:rPr>
                  </w:pPr>
                  <w:r>
                    <w:rPr>
                      <w:rFonts w:hint="default"/>
                      <w:lang w:val="en-US" w:eastAsia="zh-CN"/>
                    </w:rPr>
                    <w:t>t/a</w:t>
                  </w:r>
                </w:p>
              </w:tc>
              <w:tc>
                <w:tcPr>
                  <w:tcW w:w="1049" w:type="pct"/>
                  <w:noWrap w:val="0"/>
                  <w:vAlign w:val="center"/>
                </w:tcPr>
                <w:p>
                  <w:pPr>
                    <w:pStyle w:val="57"/>
                    <w:bidi w:val="0"/>
                    <w:rPr>
                      <w:rFonts w:hint="default"/>
                      <w:lang w:val="en-US" w:eastAsia="zh-CN"/>
                    </w:rPr>
                  </w:pPr>
                  <w:r>
                    <w:rPr>
                      <w:rFonts w:hint="eastAsia"/>
                      <w:lang w:val="en-US" w:eastAsia="zh-CN"/>
                    </w:rPr>
                    <w:t>8400</w:t>
                  </w:r>
                </w:p>
              </w:tc>
              <w:tc>
                <w:tcPr>
                  <w:tcW w:w="1398" w:type="pct"/>
                  <w:noWrap w:val="0"/>
                  <w:vAlign w:val="center"/>
                </w:tcPr>
                <w:p>
                  <w:pPr>
                    <w:pStyle w:val="57"/>
                    <w:bidi w:val="0"/>
                    <w:rPr>
                      <w:rFonts w:hint="default"/>
                      <w:lang w:val="en-US" w:eastAsia="zh-CN"/>
                    </w:rPr>
                  </w:pPr>
                  <w:r>
                    <w:rPr>
                      <w:rFonts w:hint="default"/>
                      <w:lang w:val="en-US" w:eastAsia="zh-CN"/>
                    </w:rPr>
                    <w:t>外购，罐车运输、存放于筒仓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pStyle w:val="57"/>
                    <w:bidi w:val="0"/>
                    <w:rPr>
                      <w:rFonts w:hint="default"/>
                    </w:rPr>
                  </w:pPr>
                </w:p>
              </w:tc>
              <w:tc>
                <w:tcPr>
                  <w:tcW w:w="1048" w:type="pct"/>
                  <w:noWrap w:val="0"/>
                  <w:vAlign w:val="center"/>
                </w:tcPr>
                <w:p>
                  <w:pPr>
                    <w:pStyle w:val="57"/>
                    <w:bidi w:val="0"/>
                    <w:rPr>
                      <w:rFonts w:hint="default"/>
                      <w:lang w:val="en-US" w:eastAsia="zh-CN"/>
                    </w:rPr>
                  </w:pPr>
                  <w:r>
                    <w:rPr>
                      <w:rFonts w:hint="default"/>
                      <w:lang w:val="en-US" w:eastAsia="zh-CN"/>
                    </w:rPr>
                    <w:t>外加剂</w:t>
                  </w:r>
                </w:p>
              </w:tc>
              <w:tc>
                <w:tcPr>
                  <w:tcW w:w="1048" w:type="pct"/>
                  <w:noWrap w:val="0"/>
                  <w:vAlign w:val="center"/>
                </w:tcPr>
                <w:p>
                  <w:pPr>
                    <w:pStyle w:val="57"/>
                    <w:bidi w:val="0"/>
                    <w:rPr>
                      <w:rFonts w:hint="default"/>
                      <w:lang w:val="en-US" w:eastAsia="zh-CN"/>
                    </w:rPr>
                  </w:pPr>
                  <w:r>
                    <w:rPr>
                      <w:rFonts w:hint="default"/>
                      <w:lang w:val="en-US" w:eastAsia="zh-CN"/>
                    </w:rPr>
                    <w:t>t/a</w:t>
                  </w:r>
                </w:p>
              </w:tc>
              <w:tc>
                <w:tcPr>
                  <w:tcW w:w="1049" w:type="pct"/>
                  <w:noWrap w:val="0"/>
                  <w:vAlign w:val="center"/>
                </w:tcPr>
                <w:p>
                  <w:pPr>
                    <w:pStyle w:val="57"/>
                    <w:bidi w:val="0"/>
                    <w:rPr>
                      <w:rFonts w:hint="default"/>
                      <w:lang w:val="en-US" w:eastAsia="zh-CN"/>
                    </w:rPr>
                  </w:pPr>
                  <w:r>
                    <w:rPr>
                      <w:rFonts w:hint="eastAsia"/>
                      <w:lang w:val="en-US" w:eastAsia="zh-CN"/>
                    </w:rPr>
                    <w:t>720</w:t>
                  </w:r>
                </w:p>
              </w:tc>
              <w:tc>
                <w:tcPr>
                  <w:tcW w:w="1398" w:type="pct"/>
                  <w:noWrap w:val="0"/>
                  <w:vAlign w:val="center"/>
                </w:tcPr>
                <w:p>
                  <w:pPr>
                    <w:pStyle w:val="57"/>
                    <w:bidi w:val="0"/>
                    <w:rPr>
                      <w:rFonts w:hint="default"/>
                      <w:lang w:val="en-US" w:eastAsia="zh-CN"/>
                    </w:rPr>
                  </w:pPr>
                  <w:r>
                    <w:rPr>
                      <w:rFonts w:hint="default"/>
                      <w:lang w:val="en-US" w:eastAsia="zh-CN"/>
                    </w:rPr>
                    <w:t>外购，罐车运输、存放于储料仓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pPr>
                    <w:pStyle w:val="57"/>
                    <w:bidi w:val="0"/>
                    <w:rPr>
                      <w:rFonts w:hint="default"/>
                      <w:lang w:val="en-US" w:eastAsia="zh-CN"/>
                    </w:rPr>
                  </w:pPr>
                  <w:r>
                    <w:rPr>
                      <w:rFonts w:hint="eastAsia"/>
                      <w:lang w:val="en-US" w:eastAsia="zh-CN"/>
                    </w:rPr>
                    <w:t>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noWrap w:val="0"/>
                  <w:vAlign w:val="center"/>
                </w:tcPr>
                <w:p>
                  <w:pPr>
                    <w:pStyle w:val="57"/>
                    <w:bidi w:val="0"/>
                    <w:rPr>
                      <w:rFonts w:hint="default"/>
                    </w:rPr>
                  </w:pPr>
                  <w:r>
                    <w:rPr>
                      <w:rFonts w:hint="default"/>
                      <w:lang w:val="en-US" w:eastAsia="zh-CN"/>
                    </w:rPr>
                    <w:t>原辅料</w:t>
                  </w:r>
                </w:p>
              </w:tc>
              <w:tc>
                <w:tcPr>
                  <w:tcW w:w="1048" w:type="pct"/>
                  <w:noWrap w:val="0"/>
                  <w:vAlign w:val="center"/>
                </w:tcPr>
                <w:p>
                  <w:pPr>
                    <w:pStyle w:val="57"/>
                    <w:bidi w:val="0"/>
                    <w:rPr>
                      <w:rFonts w:hint="eastAsia"/>
                      <w:lang w:val="en-US" w:eastAsia="zh-CN"/>
                    </w:rPr>
                  </w:pPr>
                  <w:r>
                    <w:rPr>
                      <w:rFonts w:hint="eastAsia"/>
                      <w:lang w:val="en-US" w:eastAsia="zh-CN"/>
                    </w:rPr>
                    <w:t>水泥</w:t>
                  </w:r>
                </w:p>
              </w:tc>
              <w:tc>
                <w:tcPr>
                  <w:tcW w:w="1048" w:type="pct"/>
                  <w:noWrap w:val="0"/>
                  <w:vAlign w:val="center"/>
                </w:tcPr>
                <w:p>
                  <w:pPr>
                    <w:pStyle w:val="57"/>
                    <w:bidi w:val="0"/>
                    <w:rPr>
                      <w:rFonts w:hint="default"/>
                      <w:lang w:val="en-US" w:eastAsia="zh-CN"/>
                    </w:rPr>
                  </w:pPr>
                  <w:r>
                    <w:rPr>
                      <w:rFonts w:hint="default"/>
                      <w:lang w:val="en-US" w:eastAsia="zh-CN"/>
                    </w:rPr>
                    <w:t>t/a</w:t>
                  </w:r>
                </w:p>
              </w:tc>
              <w:tc>
                <w:tcPr>
                  <w:tcW w:w="1049" w:type="pct"/>
                  <w:noWrap w:val="0"/>
                  <w:vAlign w:val="center"/>
                </w:tcPr>
                <w:p>
                  <w:pPr>
                    <w:pStyle w:val="57"/>
                    <w:bidi w:val="0"/>
                    <w:rPr>
                      <w:rFonts w:hint="default"/>
                      <w:lang w:val="en-US" w:eastAsia="zh-CN"/>
                    </w:rPr>
                  </w:pPr>
                  <w:r>
                    <w:rPr>
                      <w:rFonts w:hint="eastAsia"/>
                      <w:lang w:val="en-US" w:eastAsia="zh-CN"/>
                    </w:rPr>
                    <w:t>40750</w:t>
                  </w:r>
                </w:p>
              </w:tc>
              <w:tc>
                <w:tcPr>
                  <w:tcW w:w="1398" w:type="pct"/>
                  <w:noWrap w:val="0"/>
                  <w:vAlign w:val="center"/>
                </w:tcPr>
                <w:p>
                  <w:pPr>
                    <w:pStyle w:val="57"/>
                    <w:bidi w:val="0"/>
                    <w:rPr>
                      <w:rFonts w:hint="default"/>
                      <w:lang w:val="en-US" w:eastAsia="zh-CN"/>
                    </w:rPr>
                  </w:pPr>
                  <w:r>
                    <w:rPr>
                      <w:rFonts w:hint="default"/>
                      <w:lang w:val="en-US" w:eastAsia="zh-CN"/>
                    </w:rPr>
                    <w:t>外购，罐车运输、存放于筒仓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pStyle w:val="57"/>
                    <w:bidi w:val="0"/>
                    <w:rPr>
                      <w:rFonts w:hint="default"/>
                    </w:rPr>
                  </w:pPr>
                </w:p>
              </w:tc>
              <w:tc>
                <w:tcPr>
                  <w:tcW w:w="1048" w:type="pct"/>
                  <w:noWrap w:val="0"/>
                  <w:vAlign w:val="center"/>
                </w:tcPr>
                <w:p>
                  <w:pPr>
                    <w:pStyle w:val="57"/>
                    <w:bidi w:val="0"/>
                    <w:rPr>
                      <w:rFonts w:hint="default"/>
                      <w:lang w:val="en-US" w:eastAsia="zh-CN"/>
                    </w:rPr>
                  </w:pPr>
                  <w:r>
                    <w:rPr>
                      <w:rFonts w:hint="eastAsia"/>
                      <w:lang w:val="en-US" w:eastAsia="zh-CN"/>
                    </w:rPr>
                    <w:t>细沙</w:t>
                  </w:r>
                </w:p>
              </w:tc>
              <w:tc>
                <w:tcPr>
                  <w:tcW w:w="1048" w:type="pct"/>
                  <w:noWrap w:val="0"/>
                  <w:vAlign w:val="center"/>
                </w:tcPr>
                <w:p>
                  <w:pPr>
                    <w:pStyle w:val="57"/>
                    <w:bidi w:val="0"/>
                    <w:rPr>
                      <w:rFonts w:hint="default"/>
                      <w:lang w:val="en-US" w:eastAsia="zh-CN"/>
                    </w:rPr>
                  </w:pPr>
                  <w:r>
                    <w:rPr>
                      <w:rFonts w:hint="default"/>
                      <w:lang w:val="en-US" w:eastAsia="zh-CN"/>
                    </w:rPr>
                    <w:t>t/a</w:t>
                  </w:r>
                </w:p>
              </w:tc>
              <w:tc>
                <w:tcPr>
                  <w:tcW w:w="1049" w:type="pct"/>
                  <w:noWrap w:val="0"/>
                  <w:vAlign w:val="center"/>
                </w:tcPr>
                <w:p>
                  <w:pPr>
                    <w:pStyle w:val="57"/>
                    <w:bidi w:val="0"/>
                    <w:rPr>
                      <w:rFonts w:hint="default"/>
                      <w:lang w:val="en-US" w:eastAsia="zh-CN"/>
                    </w:rPr>
                  </w:pPr>
                  <w:r>
                    <w:rPr>
                      <w:rFonts w:hint="eastAsia"/>
                      <w:lang w:val="en-US" w:eastAsia="zh-CN"/>
                    </w:rPr>
                    <w:t>183465.7</w:t>
                  </w:r>
                </w:p>
              </w:tc>
              <w:tc>
                <w:tcPr>
                  <w:tcW w:w="1398" w:type="pct"/>
                  <w:noWrap w:val="0"/>
                  <w:vAlign w:val="center"/>
                </w:tcPr>
                <w:p>
                  <w:pPr>
                    <w:pStyle w:val="57"/>
                    <w:bidi w:val="0"/>
                    <w:rPr>
                      <w:rFonts w:hint="default"/>
                      <w:lang w:val="en-US" w:eastAsia="zh-CN"/>
                    </w:rPr>
                  </w:pPr>
                  <w:r>
                    <w:rPr>
                      <w:rFonts w:hint="default"/>
                      <w:lang w:val="en-US" w:eastAsia="zh-CN"/>
                    </w:rPr>
                    <w:t>外购，存放于原料堆场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pStyle w:val="57"/>
                    <w:bidi w:val="0"/>
                    <w:rPr>
                      <w:rFonts w:hint="default"/>
                    </w:rPr>
                  </w:pPr>
                </w:p>
              </w:tc>
              <w:tc>
                <w:tcPr>
                  <w:tcW w:w="1048" w:type="pct"/>
                  <w:noWrap w:val="0"/>
                  <w:vAlign w:val="center"/>
                </w:tcPr>
                <w:p>
                  <w:pPr>
                    <w:pStyle w:val="57"/>
                    <w:bidi w:val="0"/>
                    <w:rPr>
                      <w:rFonts w:hint="default"/>
                      <w:lang w:val="en-US" w:eastAsia="zh-CN"/>
                    </w:rPr>
                  </w:pPr>
                  <w:r>
                    <w:rPr>
                      <w:rFonts w:hint="eastAsia"/>
                      <w:lang w:val="en-US" w:eastAsia="zh-CN"/>
                    </w:rPr>
                    <w:t>碎石</w:t>
                  </w:r>
                </w:p>
              </w:tc>
              <w:tc>
                <w:tcPr>
                  <w:tcW w:w="1048" w:type="pct"/>
                  <w:noWrap w:val="0"/>
                  <w:vAlign w:val="center"/>
                </w:tcPr>
                <w:p>
                  <w:pPr>
                    <w:pStyle w:val="57"/>
                    <w:bidi w:val="0"/>
                    <w:rPr>
                      <w:rFonts w:hint="default"/>
                      <w:lang w:val="en-US" w:eastAsia="zh-CN"/>
                    </w:rPr>
                  </w:pPr>
                  <w:r>
                    <w:rPr>
                      <w:rFonts w:hint="default"/>
                      <w:lang w:val="en-US" w:eastAsia="zh-CN"/>
                    </w:rPr>
                    <w:t>t/a</w:t>
                  </w:r>
                </w:p>
              </w:tc>
              <w:tc>
                <w:tcPr>
                  <w:tcW w:w="1049" w:type="pct"/>
                  <w:noWrap w:val="0"/>
                  <w:vAlign w:val="center"/>
                </w:tcPr>
                <w:p>
                  <w:pPr>
                    <w:pStyle w:val="57"/>
                    <w:bidi w:val="0"/>
                    <w:rPr>
                      <w:rFonts w:hint="default"/>
                      <w:lang w:val="en-US" w:eastAsia="zh-CN"/>
                    </w:rPr>
                  </w:pPr>
                  <w:r>
                    <w:rPr>
                      <w:rFonts w:hint="eastAsia"/>
                      <w:lang w:val="en-US" w:eastAsia="zh-CN"/>
                    </w:rPr>
                    <w:t>550035.35</w:t>
                  </w:r>
                </w:p>
              </w:tc>
              <w:tc>
                <w:tcPr>
                  <w:tcW w:w="1398" w:type="pct"/>
                  <w:noWrap w:val="0"/>
                  <w:vAlign w:val="center"/>
                </w:tcPr>
                <w:p>
                  <w:pPr>
                    <w:pStyle w:val="57"/>
                    <w:bidi w:val="0"/>
                    <w:rPr>
                      <w:rFonts w:hint="default"/>
                      <w:lang w:val="en-US" w:eastAsia="zh-CN"/>
                    </w:rPr>
                  </w:pPr>
                  <w:r>
                    <w:rPr>
                      <w:rFonts w:hint="default"/>
                      <w:lang w:val="en-US" w:eastAsia="zh-CN"/>
                    </w:rPr>
                    <w:t>外购，存放于原料堆场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5000" w:type="pct"/>
                  <w:gridSpan w:val="5"/>
                  <w:noWrap w:val="0"/>
                  <w:vAlign w:val="center"/>
                </w:tcPr>
                <w:p>
                  <w:pPr>
                    <w:pStyle w:val="57"/>
                    <w:bidi w:val="0"/>
                    <w:rPr>
                      <w:rFonts w:hint="default"/>
                      <w:lang w:val="en-US" w:eastAsia="zh-CN"/>
                    </w:rPr>
                  </w:pPr>
                  <w:r>
                    <w:rPr>
                      <w:rFonts w:hint="default"/>
                      <w:lang w:val="en-US" w:eastAsia="zh-CN"/>
                    </w:rPr>
                    <w:t>沥青混凝土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noWrap w:val="0"/>
                  <w:vAlign w:val="center"/>
                </w:tcPr>
                <w:p>
                  <w:pPr>
                    <w:pStyle w:val="57"/>
                    <w:bidi w:val="0"/>
                    <w:rPr>
                      <w:rFonts w:hint="default"/>
                    </w:rPr>
                  </w:pPr>
                  <w:r>
                    <w:rPr>
                      <w:rFonts w:hint="default"/>
                      <w:lang w:val="en-US" w:eastAsia="zh-CN"/>
                    </w:rPr>
                    <w:t>原辅料</w:t>
                  </w:r>
                </w:p>
              </w:tc>
              <w:tc>
                <w:tcPr>
                  <w:tcW w:w="1048" w:type="pct"/>
                  <w:noWrap w:val="0"/>
                  <w:vAlign w:val="center"/>
                </w:tcPr>
                <w:p>
                  <w:pPr>
                    <w:pStyle w:val="57"/>
                    <w:bidi w:val="0"/>
                    <w:rPr>
                      <w:rFonts w:hint="eastAsia"/>
                      <w:lang w:val="en-US" w:eastAsia="zh-CN"/>
                    </w:rPr>
                  </w:pPr>
                  <w:r>
                    <w:rPr>
                      <w:rFonts w:hint="eastAsia"/>
                      <w:lang w:val="en-US" w:eastAsia="zh-CN"/>
                    </w:rPr>
                    <w:t>石油沥青</w:t>
                  </w:r>
                </w:p>
              </w:tc>
              <w:tc>
                <w:tcPr>
                  <w:tcW w:w="1048" w:type="pct"/>
                  <w:noWrap w:val="0"/>
                  <w:vAlign w:val="center"/>
                </w:tcPr>
                <w:p>
                  <w:pPr>
                    <w:pStyle w:val="57"/>
                    <w:bidi w:val="0"/>
                    <w:rPr>
                      <w:rFonts w:hint="default"/>
                      <w:lang w:val="en-US" w:eastAsia="zh-CN"/>
                    </w:rPr>
                  </w:pPr>
                  <w:r>
                    <w:rPr>
                      <w:rFonts w:hint="default"/>
                      <w:lang w:val="en-US" w:eastAsia="zh-CN"/>
                    </w:rPr>
                    <w:t>t/a</w:t>
                  </w:r>
                </w:p>
              </w:tc>
              <w:tc>
                <w:tcPr>
                  <w:tcW w:w="1049" w:type="pct"/>
                  <w:noWrap w:val="0"/>
                  <w:vAlign w:val="center"/>
                </w:tcPr>
                <w:p>
                  <w:pPr>
                    <w:pStyle w:val="57"/>
                    <w:bidi w:val="0"/>
                    <w:rPr>
                      <w:rFonts w:hint="default"/>
                      <w:lang w:val="en-US" w:eastAsia="zh-CN"/>
                    </w:rPr>
                  </w:pPr>
                  <w:r>
                    <w:rPr>
                      <w:rFonts w:hint="eastAsia"/>
                      <w:lang w:val="en-US" w:eastAsia="zh-CN"/>
                    </w:rPr>
                    <w:t>8400</w:t>
                  </w:r>
                </w:p>
              </w:tc>
              <w:tc>
                <w:tcPr>
                  <w:tcW w:w="1398" w:type="pct"/>
                  <w:noWrap w:val="0"/>
                  <w:vAlign w:val="center"/>
                </w:tcPr>
                <w:p>
                  <w:pPr>
                    <w:pStyle w:val="57"/>
                    <w:bidi w:val="0"/>
                    <w:rPr>
                      <w:rFonts w:hint="default"/>
                      <w:lang w:val="en-US" w:eastAsia="zh-CN"/>
                    </w:rPr>
                  </w:pPr>
                  <w:r>
                    <w:rPr>
                      <w:rFonts w:hint="default"/>
                      <w:lang w:val="en-US" w:eastAsia="zh-CN"/>
                    </w:rPr>
                    <w:t>外购，罐车运输、存放于</w:t>
                  </w:r>
                  <w:r>
                    <w:rPr>
                      <w:rFonts w:hint="eastAsia"/>
                      <w:lang w:val="en-US" w:eastAsia="zh-CN"/>
                    </w:rPr>
                    <w:t>沥青罐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pStyle w:val="57"/>
                    <w:bidi w:val="0"/>
                    <w:rPr>
                      <w:rFonts w:hint="default"/>
                    </w:rPr>
                  </w:pPr>
                </w:p>
              </w:tc>
              <w:tc>
                <w:tcPr>
                  <w:tcW w:w="1048" w:type="pct"/>
                  <w:noWrap w:val="0"/>
                  <w:vAlign w:val="center"/>
                </w:tcPr>
                <w:p>
                  <w:pPr>
                    <w:pStyle w:val="57"/>
                    <w:bidi w:val="0"/>
                    <w:rPr>
                      <w:rFonts w:hint="eastAsia"/>
                      <w:lang w:val="en-US" w:eastAsia="zh-CN"/>
                    </w:rPr>
                  </w:pPr>
                  <w:r>
                    <w:rPr>
                      <w:rFonts w:hint="default"/>
                    </w:rPr>
                    <w:t>石料</w:t>
                  </w:r>
                </w:p>
              </w:tc>
              <w:tc>
                <w:tcPr>
                  <w:tcW w:w="1048" w:type="pct"/>
                  <w:noWrap w:val="0"/>
                  <w:vAlign w:val="center"/>
                </w:tcPr>
                <w:p>
                  <w:pPr>
                    <w:pStyle w:val="57"/>
                    <w:bidi w:val="0"/>
                    <w:rPr>
                      <w:rFonts w:hint="default"/>
                      <w:lang w:val="en-US" w:eastAsia="zh-CN"/>
                    </w:rPr>
                  </w:pPr>
                  <w:r>
                    <w:rPr>
                      <w:rFonts w:hint="default"/>
                      <w:lang w:val="en-US" w:eastAsia="zh-CN"/>
                    </w:rPr>
                    <w:t>t/a</w:t>
                  </w:r>
                </w:p>
              </w:tc>
              <w:tc>
                <w:tcPr>
                  <w:tcW w:w="1049" w:type="pct"/>
                  <w:noWrap w:val="0"/>
                  <w:vAlign w:val="center"/>
                </w:tcPr>
                <w:p>
                  <w:pPr>
                    <w:pStyle w:val="57"/>
                    <w:bidi w:val="0"/>
                    <w:rPr>
                      <w:rFonts w:hint="default"/>
                      <w:lang w:val="en-US" w:eastAsia="zh-CN"/>
                    </w:rPr>
                  </w:pPr>
                  <w:r>
                    <w:rPr>
                      <w:rFonts w:hint="eastAsia"/>
                      <w:lang w:val="en-US" w:eastAsia="zh-CN"/>
                    </w:rPr>
                    <w:t>195300</w:t>
                  </w:r>
                </w:p>
              </w:tc>
              <w:tc>
                <w:tcPr>
                  <w:tcW w:w="1398" w:type="pct"/>
                  <w:noWrap w:val="0"/>
                  <w:vAlign w:val="center"/>
                </w:tcPr>
                <w:p>
                  <w:pPr>
                    <w:pStyle w:val="57"/>
                    <w:bidi w:val="0"/>
                    <w:rPr>
                      <w:rFonts w:hint="default"/>
                      <w:lang w:val="en-US" w:eastAsia="zh-CN"/>
                    </w:rPr>
                  </w:pPr>
                  <w:r>
                    <w:rPr>
                      <w:rFonts w:hint="default"/>
                      <w:lang w:val="en-US" w:eastAsia="zh-CN"/>
                    </w:rPr>
                    <w:t>外购，存放于原料堆场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5" w:type="pct"/>
                  <w:vMerge w:val="continue"/>
                  <w:noWrap w:val="0"/>
                  <w:vAlign w:val="center"/>
                </w:tcPr>
                <w:p>
                  <w:pPr>
                    <w:pStyle w:val="57"/>
                    <w:bidi w:val="0"/>
                    <w:rPr>
                      <w:rFonts w:hint="default"/>
                    </w:rPr>
                  </w:pPr>
                </w:p>
              </w:tc>
              <w:tc>
                <w:tcPr>
                  <w:tcW w:w="1048" w:type="pct"/>
                  <w:noWrap w:val="0"/>
                  <w:vAlign w:val="center"/>
                </w:tcPr>
                <w:p>
                  <w:pPr>
                    <w:pStyle w:val="57"/>
                    <w:bidi w:val="0"/>
                    <w:rPr>
                      <w:rFonts w:hint="eastAsia"/>
                      <w:lang w:val="en-US" w:eastAsia="zh-CN"/>
                    </w:rPr>
                  </w:pPr>
                  <w:r>
                    <w:rPr>
                      <w:rFonts w:hint="default"/>
                    </w:rPr>
                    <w:t>矿粉</w:t>
                  </w:r>
                </w:p>
              </w:tc>
              <w:tc>
                <w:tcPr>
                  <w:tcW w:w="1048" w:type="pct"/>
                  <w:noWrap w:val="0"/>
                  <w:vAlign w:val="center"/>
                </w:tcPr>
                <w:p>
                  <w:pPr>
                    <w:pStyle w:val="57"/>
                    <w:bidi w:val="0"/>
                    <w:rPr>
                      <w:rFonts w:hint="default"/>
                      <w:lang w:val="en-US" w:eastAsia="zh-CN"/>
                    </w:rPr>
                  </w:pPr>
                  <w:r>
                    <w:rPr>
                      <w:rFonts w:hint="default"/>
                      <w:lang w:val="en-US" w:eastAsia="zh-CN"/>
                    </w:rPr>
                    <w:t>t/a</w:t>
                  </w:r>
                </w:p>
              </w:tc>
              <w:tc>
                <w:tcPr>
                  <w:tcW w:w="1049" w:type="pct"/>
                  <w:noWrap w:val="0"/>
                  <w:vAlign w:val="center"/>
                </w:tcPr>
                <w:p>
                  <w:pPr>
                    <w:pStyle w:val="57"/>
                    <w:bidi w:val="0"/>
                    <w:rPr>
                      <w:rFonts w:hint="default"/>
                      <w:lang w:val="en-US" w:eastAsia="zh-CN"/>
                    </w:rPr>
                  </w:pPr>
                  <w:r>
                    <w:rPr>
                      <w:rFonts w:hint="eastAsia"/>
                      <w:lang w:val="en-US" w:eastAsia="zh-CN"/>
                    </w:rPr>
                    <w:t>6300</w:t>
                  </w:r>
                </w:p>
              </w:tc>
              <w:tc>
                <w:tcPr>
                  <w:tcW w:w="1398" w:type="pct"/>
                  <w:noWrap w:val="0"/>
                  <w:vAlign w:val="center"/>
                </w:tcPr>
                <w:p>
                  <w:pPr>
                    <w:pStyle w:val="57"/>
                    <w:bidi w:val="0"/>
                    <w:rPr>
                      <w:rFonts w:hint="default"/>
                      <w:lang w:val="en-US" w:eastAsia="zh-CN"/>
                    </w:rPr>
                  </w:pPr>
                  <w:r>
                    <w:rPr>
                      <w:rFonts w:hint="default"/>
                      <w:lang w:val="en-US" w:eastAsia="zh-CN"/>
                    </w:rPr>
                    <w:t>外购，罐车运输、存放于筒仓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pStyle w:val="57"/>
                    <w:bidi w:val="0"/>
                    <w:rPr>
                      <w:rFonts w:hint="default"/>
                    </w:rPr>
                  </w:pPr>
                </w:p>
              </w:tc>
              <w:tc>
                <w:tcPr>
                  <w:tcW w:w="1048" w:type="pct"/>
                  <w:noWrap w:val="0"/>
                  <w:vAlign w:val="center"/>
                </w:tcPr>
                <w:p>
                  <w:pPr>
                    <w:pStyle w:val="57"/>
                    <w:bidi w:val="0"/>
                    <w:rPr>
                      <w:rFonts w:hint="eastAsia" w:eastAsia="宋体"/>
                      <w:lang w:val="en-US" w:eastAsia="zh-CN"/>
                    </w:rPr>
                  </w:pPr>
                  <w:r>
                    <w:rPr>
                      <w:rFonts w:hint="eastAsia"/>
                      <w:lang w:val="en-US" w:eastAsia="zh-CN"/>
                    </w:rPr>
                    <w:t>导热油</w:t>
                  </w:r>
                </w:p>
              </w:tc>
              <w:tc>
                <w:tcPr>
                  <w:tcW w:w="1048" w:type="pct"/>
                  <w:noWrap w:val="0"/>
                  <w:vAlign w:val="center"/>
                </w:tcPr>
                <w:p>
                  <w:pPr>
                    <w:pStyle w:val="57"/>
                    <w:bidi w:val="0"/>
                    <w:rPr>
                      <w:rFonts w:hint="default"/>
                      <w:lang w:val="en-US" w:eastAsia="zh-CN"/>
                    </w:rPr>
                  </w:pPr>
                  <w:r>
                    <w:rPr>
                      <w:rFonts w:hint="default"/>
                      <w:lang w:val="en-US" w:eastAsia="zh-CN"/>
                    </w:rPr>
                    <w:t>t/a</w:t>
                  </w:r>
                </w:p>
              </w:tc>
              <w:tc>
                <w:tcPr>
                  <w:tcW w:w="1049" w:type="pct"/>
                  <w:noWrap w:val="0"/>
                  <w:vAlign w:val="center"/>
                </w:tcPr>
                <w:p>
                  <w:pPr>
                    <w:pStyle w:val="57"/>
                    <w:bidi w:val="0"/>
                    <w:rPr>
                      <w:rFonts w:hint="default"/>
                      <w:lang w:val="en-US" w:eastAsia="zh-CN"/>
                    </w:rPr>
                  </w:pPr>
                  <w:r>
                    <w:rPr>
                      <w:rFonts w:hint="eastAsia"/>
                      <w:lang w:val="en-US" w:eastAsia="zh-CN"/>
                    </w:rPr>
                    <w:t>0.2</w:t>
                  </w:r>
                </w:p>
              </w:tc>
              <w:tc>
                <w:tcPr>
                  <w:tcW w:w="1398" w:type="pct"/>
                  <w:noWrap w:val="0"/>
                  <w:vAlign w:val="center"/>
                </w:tcPr>
                <w:p>
                  <w:pPr>
                    <w:pStyle w:val="57"/>
                    <w:bidi w:val="0"/>
                    <w:rPr>
                      <w:rFonts w:hint="default"/>
                      <w:lang w:val="en-US" w:eastAsia="zh-CN"/>
                    </w:rPr>
                  </w:pPr>
                  <w:r>
                    <w:rPr>
                      <w:rFonts w:hint="default"/>
                      <w:lang w:val="en-US" w:eastAsia="zh-CN"/>
                    </w:rPr>
                    <w:t>外购，仅存在于锅炉和管道内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5" w:type="pct"/>
                  <w:vMerge w:val="restart"/>
                  <w:noWrap w:val="0"/>
                  <w:vAlign w:val="center"/>
                </w:tcPr>
                <w:p>
                  <w:pPr>
                    <w:pStyle w:val="57"/>
                    <w:bidi w:val="0"/>
                    <w:rPr>
                      <w:rFonts w:hint="default"/>
                      <w:lang w:val="en-US" w:eastAsia="zh-CN"/>
                    </w:rPr>
                  </w:pPr>
                  <w:r>
                    <w:rPr>
                      <w:rFonts w:hint="default"/>
                      <w:lang w:val="en-US" w:eastAsia="zh-CN"/>
                    </w:rPr>
                    <w:t>能耗</w:t>
                  </w:r>
                </w:p>
              </w:tc>
              <w:tc>
                <w:tcPr>
                  <w:tcW w:w="1048" w:type="pct"/>
                  <w:noWrap w:val="0"/>
                  <w:vAlign w:val="center"/>
                </w:tcPr>
                <w:p>
                  <w:pPr>
                    <w:pStyle w:val="57"/>
                    <w:bidi w:val="0"/>
                    <w:rPr>
                      <w:rFonts w:hint="default"/>
                      <w:highlight w:val="none"/>
                      <w:lang w:val="en-US" w:eastAsia="zh-CN"/>
                    </w:rPr>
                  </w:pPr>
                  <w:r>
                    <w:rPr>
                      <w:rFonts w:hint="default"/>
                      <w:highlight w:val="none"/>
                      <w:lang w:val="en-US" w:eastAsia="zh-CN"/>
                    </w:rPr>
                    <w:t>水</w:t>
                  </w:r>
                </w:p>
              </w:tc>
              <w:tc>
                <w:tcPr>
                  <w:tcW w:w="1048" w:type="pct"/>
                  <w:noWrap w:val="0"/>
                  <w:vAlign w:val="center"/>
                </w:tcPr>
                <w:p>
                  <w:pPr>
                    <w:pStyle w:val="57"/>
                    <w:bidi w:val="0"/>
                    <w:rPr>
                      <w:rFonts w:hint="default"/>
                      <w:highlight w:val="none"/>
                      <w:lang w:val="en-US" w:eastAsia="zh-CN"/>
                    </w:rPr>
                  </w:pPr>
                  <w:r>
                    <w:rPr>
                      <w:rFonts w:hint="default" w:ascii="Times New Roman" w:hAnsi="Times New Roman" w:cs="Times New Roman"/>
                      <w:highlight w:val="none"/>
                      <w:lang w:val="en-US" w:eastAsia="zh-CN"/>
                    </w:rPr>
                    <w:t>m³</w:t>
                  </w:r>
                  <w:r>
                    <w:rPr>
                      <w:rFonts w:hint="default"/>
                      <w:highlight w:val="none"/>
                      <w:lang w:val="en-US" w:eastAsia="zh-CN"/>
                    </w:rPr>
                    <w:t>/a</w:t>
                  </w:r>
                </w:p>
              </w:tc>
              <w:tc>
                <w:tcPr>
                  <w:tcW w:w="1049" w:type="pct"/>
                  <w:noWrap w:val="0"/>
                  <w:vAlign w:val="center"/>
                </w:tcPr>
                <w:p>
                  <w:pPr>
                    <w:pStyle w:val="57"/>
                    <w:bidi w:val="0"/>
                    <w:rPr>
                      <w:rFonts w:hint="default"/>
                      <w:highlight w:val="none"/>
                      <w:lang w:val="en-US" w:eastAsia="zh-CN"/>
                    </w:rPr>
                  </w:pPr>
                  <w:r>
                    <w:rPr>
                      <w:rFonts w:hint="default"/>
                      <w:highlight w:val="none"/>
                      <w:lang w:val="en-US" w:eastAsia="zh-CN"/>
                    </w:rPr>
                    <w:t>94620.374</w:t>
                  </w:r>
                </w:p>
              </w:tc>
              <w:tc>
                <w:tcPr>
                  <w:tcW w:w="1398" w:type="pct"/>
                  <w:noWrap w:val="0"/>
                  <w:vAlign w:val="center"/>
                </w:tcPr>
                <w:p>
                  <w:pPr>
                    <w:pStyle w:val="57"/>
                    <w:bidi w:val="0"/>
                    <w:rPr>
                      <w:rFonts w:hint="default"/>
                      <w:highlight w:val="none"/>
                      <w:lang w:val="en-US" w:eastAsia="zh-CN"/>
                    </w:rPr>
                  </w:pPr>
                  <w:r>
                    <w:rPr>
                      <w:rFonts w:hint="default"/>
                      <w:highlight w:val="none"/>
                      <w:lang w:val="en-US" w:eastAsia="zh-CN"/>
                    </w:rPr>
                    <w:t>井水供给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pStyle w:val="57"/>
                    <w:bidi w:val="0"/>
                    <w:rPr>
                      <w:rFonts w:hint="default"/>
                      <w:lang w:val="en-US" w:eastAsia="zh-CN"/>
                    </w:rPr>
                  </w:pPr>
                </w:p>
              </w:tc>
              <w:tc>
                <w:tcPr>
                  <w:tcW w:w="1048" w:type="pct"/>
                  <w:noWrap w:val="0"/>
                  <w:vAlign w:val="center"/>
                </w:tcPr>
                <w:p>
                  <w:pPr>
                    <w:pStyle w:val="57"/>
                    <w:bidi w:val="0"/>
                    <w:rPr>
                      <w:rFonts w:hint="default"/>
                      <w:lang w:val="en-US" w:eastAsia="zh-CN"/>
                    </w:rPr>
                  </w:pPr>
                  <w:r>
                    <w:rPr>
                      <w:rFonts w:hint="default"/>
                      <w:lang w:val="en-US" w:eastAsia="zh-CN"/>
                    </w:rPr>
                    <w:t>电</w:t>
                  </w:r>
                </w:p>
              </w:tc>
              <w:tc>
                <w:tcPr>
                  <w:tcW w:w="1048" w:type="pct"/>
                  <w:noWrap w:val="0"/>
                  <w:vAlign w:val="center"/>
                </w:tcPr>
                <w:p>
                  <w:pPr>
                    <w:pStyle w:val="57"/>
                    <w:bidi w:val="0"/>
                    <w:rPr>
                      <w:rFonts w:hint="default"/>
                      <w:lang w:val="en-US" w:eastAsia="zh-CN"/>
                    </w:rPr>
                  </w:pPr>
                  <w:r>
                    <w:rPr>
                      <w:rFonts w:hint="default"/>
                      <w:lang w:val="en-US" w:eastAsia="zh-CN"/>
                    </w:rPr>
                    <w:t>度/年</w:t>
                  </w:r>
                </w:p>
              </w:tc>
              <w:tc>
                <w:tcPr>
                  <w:tcW w:w="1049" w:type="pct"/>
                  <w:noWrap w:val="0"/>
                  <w:vAlign w:val="center"/>
                </w:tcPr>
                <w:p>
                  <w:pPr>
                    <w:pStyle w:val="57"/>
                    <w:bidi w:val="0"/>
                    <w:rPr>
                      <w:rFonts w:hint="default"/>
                      <w:lang w:val="en-US" w:eastAsia="zh-CN"/>
                    </w:rPr>
                  </w:pPr>
                  <w:r>
                    <w:rPr>
                      <w:rFonts w:hint="eastAsia"/>
                      <w:lang w:val="en-US" w:eastAsia="zh-CN"/>
                    </w:rPr>
                    <w:t>50</w:t>
                  </w:r>
                  <w:r>
                    <w:rPr>
                      <w:rFonts w:hint="default"/>
                      <w:lang w:val="en-US" w:eastAsia="zh-CN"/>
                    </w:rPr>
                    <w:t>万</w:t>
                  </w:r>
                </w:p>
              </w:tc>
              <w:tc>
                <w:tcPr>
                  <w:tcW w:w="1398" w:type="pct"/>
                  <w:noWrap w:val="0"/>
                  <w:vAlign w:val="center"/>
                </w:tcPr>
                <w:p>
                  <w:pPr>
                    <w:pStyle w:val="57"/>
                    <w:bidi w:val="0"/>
                    <w:rPr>
                      <w:rFonts w:hint="default"/>
                      <w:lang w:val="en-US" w:eastAsia="zh-CN"/>
                    </w:rPr>
                  </w:pPr>
                  <w:r>
                    <w:rPr>
                      <w:rFonts w:hint="default"/>
                      <w:lang w:val="en-US" w:eastAsia="zh-CN"/>
                    </w:rPr>
                    <w:t>当地电网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center"/>
                </w:tcPr>
                <w:p>
                  <w:pPr>
                    <w:pStyle w:val="57"/>
                    <w:bidi w:val="0"/>
                    <w:rPr>
                      <w:rFonts w:hint="default"/>
                      <w:lang w:val="en-US" w:eastAsia="zh-CN"/>
                    </w:rPr>
                  </w:pPr>
                  <w:r>
                    <w:rPr>
                      <w:rFonts w:hint="eastAsia"/>
                      <w:lang w:val="en-US" w:eastAsia="zh-CN"/>
                    </w:rPr>
                    <w:t>燃料</w:t>
                  </w:r>
                </w:p>
              </w:tc>
              <w:tc>
                <w:tcPr>
                  <w:tcW w:w="1048" w:type="pct"/>
                  <w:noWrap w:val="0"/>
                  <w:vAlign w:val="center"/>
                </w:tcPr>
                <w:p>
                  <w:pPr>
                    <w:pStyle w:val="57"/>
                    <w:bidi w:val="0"/>
                    <w:rPr>
                      <w:rFonts w:hint="default"/>
                      <w:highlight w:val="none"/>
                      <w:lang w:val="en-US" w:eastAsia="zh-CN"/>
                    </w:rPr>
                  </w:pPr>
                  <w:r>
                    <w:rPr>
                      <w:rFonts w:hint="eastAsia"/>
                      <w:highlight w:val="none"/>
                      <w:lang w:val="en-US" w:eastAsia="zh-CN"/>
                    </w:rPr>
                    <w:t>柴油</w:t>
                  </w:r>
                </w:p>
              </w:tc>
              <w:tc>
                <w:tcPr>
                  <w:tcW w:w="1048" w:type="pct"/>
                  <w:noWrap w:val="0"/>
                  <w:vAlign w:val="center"/>
                </w:tcPr>
                <w:p>
                  <w:pPr>
                    <w:pStyle w:val="57"/>
                    <w:bidi w:val="0"/>
                    <w:rPr>
                      <w:rFonts w:hint="default"/>
                      <w:highlight w:val="none"/>
                      <w:lang w:val="en-US" w:eastAsia="zh-CN"/>
                    </w:rPr>
                  </w:pPr>
                  <w:r>
                    <w:rPr>
                      <w:rFonts w:hint="default"/>
                      <w:highlight w:val="none"/>
                      <w:lang w:val="en-US" w:eastAsia="zh-CN"/>
                    </w:rPr>
                    <w:t>t/a</w:t>
                  </w:r>
                </w:p>
              </w:tc>
              <w:tc>
                <w:tcPr>
                  <w:tcW w:w="1049" w:type="pct"/>
                  <w:noWrap w:val="0"/>
                  <w:vAlign w:val="center"/>
                </w:tcPr>
                <w:p>
                  <w:pPr>
                    <w:pStyle w:val="57"/>
                    <w:bidi w:val="0"/>
                    <w:rPr>
                      <w:rFonts w:hint="default"/>
                      <w:highlight w:val="none"/>
                      <w:lang w:val="en-US" w:eastAsia="zh-CN"/>
                    </w:rPr>
                  </w:pPr>
                  <w:r>
                    <w:rPr>
                      <w:rFonts w:hint="eastAsia"/>
                      <w:highlight w:val="none"/>
                      <w:lang w:val="en-US" w:eastAsia="zh-CN"/>
                    </w:rPr>
                    <w:t>672</w:t>
                  </w:r>
                </w:p>
              </w:tc>
              <w:tc>
                <w:tcPr>
                  <w:tcW w:w="1398" w:type="pct"/>
                  <w:noWrap w:val="0"/>
                  <w:vAlign w:val="center"/>
                </w:tcPr>
                <w:p>
                  <w:pPr>
                    <w:pStyle w:val="57"/>
                    <w:bidi w:val="0"/>
                    <w:rPr>
                      <w:rFonts w:hint="default"/>
                      <w:highlight w:val="none"/>
                      <w:lang w:val="en-US" w:eastAsia="zh-CN"/>
                    </w:rPr>
                  </w:pPr>
                  <w:r>
                    <w:rPr>
                      <w:rFonts w:hint="default"/>
                      <w:highlight w:val="none"/>
                      <w:lang w:val="en-US" w:eastAsia="zh-CN"/>
                    </w:rPr>
                    <w:t>外购，罐车运输、存放于</w:t>
                  </w:r>
                  <w:r>
                    <w:rPr>
                      <w:rFonts w:hint="eastAsia"/>
                      <w:highlight w:val="none"/>
                      <w:lang w:val="en-US" w:eastAsia="zh-CN"/>
                    </w:rPr>
                    <w:t>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5"/>
                  <w:noWrap w:val="0"/>
                  <w:vAlign w:val="center"/>
                </w:tcPr>
                <w:p>
                  <w:pPr>
                    <w:pStyle w:val="57"/>
                    <w:bidi w:val="0"/>
                    <w:rPr>
                      <w:rFonts w:hint="default"/>
                      <w:lang w:val="en-US" w:eastAsia="zh-CN"/>
                    </w:rPr>
                  </w:pPr>
                  <w:r>
                    <w:rPr>
                      <w:rFonts w:hint="eastAsia"/>
                      <w:lang w:val="en-US" w:eastAsia="zh-CN"/>
                    </w:rPr>
                    <w:t>二</w:t>
                  </w:r>
                  <w:r>
                    <w:rPr>
                      <w:rFonts w:hint="default"/>
                      <w:lang w:val="en-US" w:eastAsia="zh-CN"/>
                    </w:rPr>
                    <w:t>号站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5" w:type="pct"/>
                  <w:vMerge w:val="restart"/>
                  <w:noWrap w:val="0"/>
                  <w:vAlign w:val="center"/>
                </w:tcPr>
                <w:p>
                  <w:pPr>
                    <w:pStyle w:val="57"/>
                    <w:bidi w:val="0"/>
                    <w:rPr>
                      <w:rFonts w:hint="default"/>
                      <w:lang w:val="en-US" w:eastAsia="zh-CN"/>
                    </w:rPr>
                  </w:pPr>
                  <w:r>
                    <w:rPr>
                      <w:rFonts w:hint="default"/>
                      <w:lang w:val="en-US" w:eastAsia="zh-CN"/>
                    </w:rPr>
                    <w:t>原辅料</w:t>
                  </w:r>
                </w:p>
              </w:tc>
              <w:tc>
                <w:tcPr>
                  <w:tcW w:w="1048" w:type="pct"/>
                  <w:noWrap w:val="0"/>
                  <w:vAlign w:val="center"/>
                </w:tcPr>
                <w:p>
                  <w:pPr>
                    <w:pStyle w:val="57"/>
                    <w:bidi w:val="0"/>
                    <w:rPr>
                      <w:rFonts w:hint="default"/>
                      <w:lang w:val="en-US" w:eastAsia="zh-CN"/>
                    </w:rPr>
                  </w:pPr>
                  <w:r>
                    <w:rPr>
                      <w:rFonts w:hint="default"/>
                      <w:lang w:val="en-US" w:eastAsia="zh-CN"/>
                    </w:rPr>
                    <w:t>水泥</w:t>
                  </w:r>
                </w:p>
              </w:tc>
              <w:tc>
                <w:tcPr>
                  <w:tcW w:w="1048" w:type="pct"/>
                  <w:noWrap w:val="0"/>
                  <w:vAlign w:val="center"/>
                </w:tcPr>
                <w:p>
                  <w:pPr>
                    <w:pStyle w:val="57"/>
                    <w:bidi w:val="0"/>
                    <w:rPr>
                      <w:rFonts w:hint="default"/>
                      <w:lang w:val="en-US" w:eastAsia="zh-CN"/>
                    </w:rPr>
                  </w:pPr>
                  <w:r>
                    <w:rPr>
                      <w:rFonts w:hint="default"/>
                      <w:lang w:val="en-US" w:eastAsia="zh-CN"/>
                    </w:rPr>
                    <w:t>t/a</w:t>
                  </w:r>
                </w:p>
              </w:tc>
              <w:tc>
                <w:tcPr>
                  <w:tcW w:w="1049" w:type="pct"/>
                  <w:noWrap w:val="0"/>
                  <w:vAlign w:val="center"/>
                </w:tcPr>
                <w:p>
                  <w:pPr>
                    <w:pStyle w:val="57"/>
                    <w:bidi w:val="0"/>
                    <w:rPr>
                      <w:rFonts w:hint="default"/>
                      <w:lang w:val="en-US" w:eastAsia="zh-CN"/>
                    </w:rPr>
                  </w:pPr>
                  <w:r>
                    <w:rPr>
                      <w:rFonts w:hint="eastAsia"/>
                      <w:lang w:val="en-US" w:eastAsia="zh-CN"/>
                    </w:rPr>
                    <w:t>28020</w:t>
                  </w:r>
                </w:p>
              </w:tc>
              <w:tc>
                <w:tcPr>
                  <w:tcW w:w="1398" w:type="pct"/>
                  <w:noWrap w:val="0"/>
                  <w:vAlign w:val="center"/>
                </w:tcPr>
                <w:p>
                  <w:pPr>
                    <w:pStyle w:val="57"/>
                    <w:bidi w:val="0"/>
                    <w:rPr>
                      <w:rFonts w:hint="default"/>
                      <w:lang w:val="en-US" w:eastAsia="zh-CN"/>
                    </w:rPr>
                  </w:pPr>
                  <w:r>
                    <w:rPr>
                      <w:rFonts w:hint="default"/>
                      <w:lang w:val="en-US" w:eastAsia="zh-CN"/>
                    </w:rPr>
                    <w:t>外购，罐车运输、存放于筒仓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pStyle w:val="57"/>
                    <w:bidi w:val="0"/>
                    <w:rPr>
                      <w:rFonts w:hint="default"/>
                      <w:lang w:val="en-US" w:eastAsia="zh-CN"/>
                    </w:rPr>
                  </w:pPr>
                </w:p>
              </w:tc>
              <w:tc>
                <w:tcPr>
                  <w:tcW w:w="1048" w:type="pct"/>
                  <w:noWrap w:val="0"/>
                  <w:vAlign w:val="center"/>
                </w:tcPr>
                <w:p>
                  <w:pPr>
                    <w:pStyle w:val="57"/>
                    <w:bidi w:val="0"/>
                    <w:rPr>
                      <w:rFonts w:hint="default"/>
                      <w:lang w:val="en-US" w:eastAsia="zh-CN"/>
                    </w:rPr>
                  </w:pPr>
                  <w:r>
                    <w:rPr>
                      <w:rFonts w:hint="default"/>
                      <w:lang w:val="en-US" w:eastAsia="zh-CN"/>
                    </w:rPr>
                    <w:t>砂石</w:t>
                  </w:r>
                </w:p>
              </w:tc>
              <w:tc>
                <w:tcPr>
                  <w:tcW w:w="1048" w:type="pct"/>
                  <w:noWrap w:val="0"/>
                  <w:vAlign w:val="center"/>
                </w:tcPr>
                <w:p>
                  <w:pPr>
                    <w:pStyle w:val="57"/>
                    <w:bidi w:val="0"/>
                    <w:rPr>
                      <w:rFonts w:hint="default"/>
                      <w:lang w:val="en-US" w:eastAsia="zh-CN"/>
                    </w:rPr>
                  </w:pPr>
                  <w:r>
                    <w:rPr>
                      <w:rFonts w:hint="default"/>
                      <w:lang w:val="en-US" w:eastAsia="zh-CN"/>
                    </w:rPr>
                    <w:t>t/a</w:t>
                  </w:r>
                </w:p>
              </w:tc>
              <w:tc>
                <w:tcPr>
                  <w:tcW w:w="1049" w:type="pct"/>
                  <w:noWrap w:val="0"/>
                  <w:vAlign w:val="center"/>
                </w:tcPr>
                <w:p>
                  <w:pPr>
                    <w:pStyle w:val="57"/>
                    <w:bidi w:val="0"/>
                    <w:rPr>
                      <w:rFonts w:hint="default"/>
                      <w:lang w:val="en-US" w:eastAsia="zh-CN"/>
                    </w:rPr>
                  </w:pPr>
                  <w:r>
                    <w:rPr>
                      <w:rFonts w:hint="eastAsia"/>
                      <w:lang w:val="en-US" w:eastAsia="zh-CN"/>
                    </w:rPr>
                    <w:t>100860</w:t>
                  </w:r>
                </w:p>
              </w:tc>
              <w:tc>
                <w:tcPr>
                  <w:tcW w:w="1398" w:type="pct"/>
                  <w:noWrap w:val="0"/>
                  <w:vAlign w:val="center"/>
                </w:tcPr>
                <w:p>
                  <w:pPr>
                    <w:pStyle w:val="57"/>
                    <w:bidi w:val="0"/>
                    <w:rPr>
                      <w:rFonts w:hint="default"/>
                      <w:lang w:val="en-US" w:eastAsia="zh-CN"/>
                    </w:rPr>
                  </w:pPr>
                  <w:r>
                    <w:rPr>
                      <w:rFonts w:hint="default"/>
                      <w:lang w:val="en-US" w:eastAsia="zh-CN"/>
                    </w:rPr>
                    <w:t>外购，罐车运输、存放于筒仓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pStyle w:val="57"/>
                    <w:bidi w:val="0"/>
                    <w:rPr>
                      <w:rFonts w:hint="default"/>
                      <w:lang w:val="en-US" w:eastAsia="zh-CN"/>
                    </w:rPr>
                  </w:pPr>
                </w:p>
              </w:tc>
              <w:tc>
                <w:tcPr>
                  <w:tcW w:w="1048" w:type="pct"/>
                  <w:noWrap w:val="0"/>
                  <w:vAlign w:val="center"/>
                </w:tcPr>
                <w:p>
                  <w:pPr>
                    <w:pStyle w:val="57"/>
                    <w:bidi w:val="0"/>
                    <w:rPr>
                      <w:rFonts w:hint="default"/>
                      <w:lang w:val="en-US" w:eastAsia="zh-CN"/>
                    </w:rPr>
                  </w:pPr>
                  <w:r>
                    <w:rPr>
                      <w:rFonts w:hint="default"/>
                      <w:lang w:val="en-US" w:eastAsia="zh-CN"/>
                    </w:rPr>
                    <w:t>粉煤灰</w:t>
                  </w:r>
                </w:p>
              </w:tc>
              <w:tc>
                <w:tcPr>
                  <w:tcW w:w="1048" w:type="pct"/>
                  <w:noWrap w:val="0"/>
                  <w:vAlign w:val="center"/>
                </w:tcPr>
                <w:p>
                  <w:pPr>
                    <w:pStyle w:val="57"/>
                    <w:bidi w:val="0"/>
                    <w:rPr>
                      <w:rFonts w:hint="default"/>
                      <w:lang w:val="en-US" w:eastAsia="zh-CN"/>
                    </w:rPr>
                  </w:pPr>
                  <w:r>
                    <w:rPr>
                      <w:rFonts w:hint="default"/>
                      <w:lang w:val="en-US" w:eastAsia="zh-CN"/>
                    </w:rPr>
                    <w:t>t/a</w:t>
                  </w:r>
                </w:p>
              </w:tc>
              <w:tc>
                <w:tcPr>
                  <w:tcW w:w="1049" w:type="pct"/>
                  <w:noWrap w:val="0"/>
                  <w:vAlign w:val="center"/>
                </w:tcPr>
                <w:p>
                  <w:pPr>
                    <w:pStyle w:val="57"/>
                    <w:bidi w:val="0"/>
                    <w:rPr>
                      <w:rFonts w:hint="default"/>
                      <w:lang w:val="en-US" w:eastAsia="zh-CN"/>
                    </w:rPr>
                  </w:pPr>
                  <w:r>
                    <w:rPr>
                      <w:rFonts w:hint="eastAsia"/>
                      <w:lang w:val="en-US" w:eastAsia="zh-CN"/>
                    </w:rPr>
                    <w:t>8400</w:t>
                  </w:r>
                </w:p>
              </w:tc>
              <w:tc>
                <w:tcPr>
                  <w:tcW w:w="1398" w:type="pct"/>
                  <w:noWrap w:val="0"/>
                  <w:vAlign w:val="center"/>
                </w:tcPr>
                <w:p>
                  <w:pPr>
                    <w:pStyle w:val="57"/>
                    <w:bidi w:val="0"/>
                    <w:rPr>
                      <w:rFonts w:hint="default"/>
                      <w:lang w:val="en-US" w:eastAsia="zh-CN"/>
                    </w:rPr>
                  </w:pPr>
                  <w:r>
                    <w:rPr>
                      <w:rFonts w:hint="default"/>
                      <w:lang w:val="en-US" w:eastAsia="zh-CN"/>
                    </w:rPr>
                    <w:t>外购，罐车运输、存放于筒仓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pStyle w:val="57"/>
                    <w:bidi w:val="0"/>
                    <w:rPr>
                      <w:rFonts w:hint="default"/>
                      <w:lang w:val="en-US" w:eastAsia="zh-CN"/>
                    </w:rPr>
                  </w:pPr>
                </w:p>
              </w:tc>
              <w:tc>
                <w:tcPr>
                  <w:tcW w:w="1048" w:type="pct"/>
                  <w:noWrap w:val="0"/>
                  <w:vAlign w:val="center"/>
                </w:tcPr>
                <w:p>
                  <w:pPr>
                    <w:pStyle w:val="57"/>
                    <w:bidi w:val="0"/>
                    <w:rPr>
                      <w:rFonts w:hint="default"/>
                      <w:lang w:val="en-US" w:eastAsia="zh-CN"/>
                    </w:rPr>
                  </w:pPr>
                  <w:r>
                    <w:rPr>
                      <w:rFonts w:hint="default"/>
                      <w:lang w:val="en-US" w:eastAsia="zh-CN"/>
                    </w:rPr>
                    <w:t>外加剂</w:t>
                  </w:r>
                </w:p>
              </w:tc>
              <w:tc>
                <w:tcPr>
                  <w:tcW w:w="1048" w:type="pct"/>
                  <w:noWrap w:val="0"/>
                  <w:vAlign w:val="center"/>
                </w:tcPr>
                <w:p>
                  <w:pPr>
                    <w:pStyle w:val="57"/>
                    <w:bidi w:val="0"/>
                    <w:rPr>
                      <w:rFonts w:hint="default"/>
                      <w:lang w:val="en-US" w:eastAsia="zh-CN"/>
                    </w:rPr>
                  </w:pPr>
                  <w:r>
                    <w:rPr>
                      <w:rFonts w:hint="default"/>
                      <w:lang w:val="en-US" w:eastAsia="zh-CN"/>
                    </w:rPr>
                    <w:t>t/a</w:t>
                  </w:r>
                </w:p>
              </w:tc>
              <w:tc>
                <w:tcPr>
                  <w:tcW w:w="1049" w:type="pct"/>
                  <w:noWrap w:val="0"/>
                  <w:vAlign w:val="center"/>
                </w:tcPr>
                <w:p>
                  <w:pPr>
                    <w:pStyle w:val="57"/>
                    <w:bidi w:val="0"/>
                    <w:rPr>
                      <w:rFonts w:hint="default"/>
                      <w:lang w:val="en-US" w:eastAsia="zh-CN"/>
                    </w:rPr>
                  </w:pPr>
                  <w:r>
                    <w:rPr>
                      <w:rFonts w:hint="eastAsia"/>
                      <w:lang w:val="en-US" w:eastAsia="zh-CN"/>
                    </w:rPr>
                    <w:t>720</w:t>
                  </w:r>
                </w:p>
              </w:tc>
              <w:tc>
                <w:tcPr>
                  <w:tcW w:w="1398" w:type="pct"/>
                  <w:noWrap w:val="0"/>
                  <w:vAlign w:val="center"/>
                </w:tcPr>
                <w:p>
                  <w:pPr>
                    <w:pStyle w:val="57"/>
                    <w:bidi w:val="0"/>
                    <w:rPr>
                      <w:rFonts w:hint="default"/>
                      <w:lang w:val="en-US" w:eastAsia="zh-CN"/>
                    </w:rPr>
                  </w:pPr>
                  <w:r>
                    <w:rPr>
                      <w:rFonts w:hint="default"/>
                      <w:lang w:val="en-US" w:eastAsia="zh-CN"/>
                    </w:rPr>
                    <w:t>外购，罐车运输、存放于储料仓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5" w:type="pct"/>
                  <w:vMerge w:val="restart"/>
                  <w:noWrap w:val="0"/>
                  <w:vAlign w:val="center"/>
                </w:tcPr>
                <w:p>
                  <w:pPr>
                    <w:pStyle w:val="57"/>
                    <w:bidi w:val="0"/>
                    <w:rPr>
                      <w:rFonts w:hint="default"/>
                      <w:lang w:val="en-US" w:eastAsia="zh-CN"/>
                    </w:rPr>
                  </w:pPr>
                  <w:r>
                    <w:rPr>
                      <w:rFonts w:hint="default"/>
                      <w:lang w:val="en-US" w:eastAsia="zh-CN"/>
                    </w:rPr>
                    <w:t>能耗</w:t>
                  </w:r>
                </w:p>
              </w:tc>
              <w:tc>
                <w:tcPr>
                  <w:tcW w:w="1048" w:type="pct"/>
                  <w:noWrap w:val="0"/>
                  <w:vAlign w:val="center"/>
                </w:tcPr>
                <w:p>
                  <w:pPr>
                    <w:pStyle w:val="57"/>
                    <w:bidi w:val="0"/>
                    <w:rPr>
                      <w:rFonts w:hint="default"/>
                      <w:highlight w:val="none"/>
                      <w:lang w:val="en-US" w:eastAsia="zh-CN"/>
                    </w:rPr>
                  </w:pPr>
                  <w:r>
                    <w:rPr>
                      <w:rFonts w:hint="default"/>
                      <w:highlight w:val="none"/>
                      <w:lang w:val="en-US" w:eastAsia="zh-CN"/>
                    </w:rPr>
                    <w:t>水</w:t>
                  </w:r>
                </w:p>
              </w:tc>
              <w:tc>
                <w:tcPr>
                  <w:tcW w:w="1048" w:type="pct"/>
                  <w:noWrap w:val="0"/>
                  <w:vAlign w:val="center"/>
                </w:tcPr>
                <w:p>
                  <w:pPr>
                    <w:pStyle w:val="57"/>
                    <w:bidi w:val="0"/>
                    <w:rPr>
                      <w:rFonts w:hint="default"/>
                      <w:highlight w:val="none"/>
                      <w:lang w:val="en-US" w:eastAsia="zh-CN"/>
                    </w:rPr>
                  </w:pPr>
                  <w:r>
                    <w:rPr>
                      <w:rFonts w:hint="default" w:ascii="Times New Roman" w:hAnsi="Times New Roman" w:cs="Times New Roman"/>
                      <w:highlight w:val="none"/>
                      <w:lang w:val="en-US" w:eastAsia="zh-CN"/>
                    </w:rPr>
                    <w:t>m³</w:t>
                  </w:r>
                  <w:r>
                    <w:rPr>
                      <w:rFonts w:hint="default"/>
                      <w:highlight w:val="none"/>
                      <w:lang w:val="en-US" w:eastAsia="zh-CN"/>
                    </w:rPr>
                    <w:t>/a</w:t>
                  </w:r>
                </w:p>
              </w:tc>
              <w:tc>
                <w:tcPr>
                  <w:tcW w:w="1049" w:type="pct"/>
                  <w:noWrap w:val="0"/>
                  <w:vAlign w:val="center"/>
                </w:tcPr>
                <w:p>
                  <w:pPr>
                    <w:pStyle w:val="57"/>
                    <w:bidi w:val="0"/>
                    <w:rPr>
                      <w:rFonts w:hint="default"/>
                      <w:highlight w:val="none"/>
                      <w:lang w:val="en-US" w:eastAsia="zh-CN"/>
                    </w:rPr>
                  </w:pPr>
                  <w:r>
                    <w:rPr>
                      <w:rFonts w:hint="default"/>
                      <w:highlight w:val="none"/>
                      <w:lang w:val="en-US" w:eastAsia="zh-CN"/>
                    </w:rPr>
                    <w:t>11586</w:t>
                  </w:r>
                </w:p>
              </w:tc>
              <w:tc>
                <w:tcPr>
                  <w:tcW w:w="1398" w:type="pct"/>
                  <w:noWrap w:val="0"/>
                  <w:vAlign w:val="center"/>
                </w:tcPr>
                <w:p>
                  <w:pPr>
                    <w:pStyle w:val="57"/>
                    <w:bidi w:val="0"/>
                    <w:rPr>
                      <w:rFonts w:hint="default"/>
                      <w:highlight w:val="none"/>
                      <w:lang w:val="en-US" w:eastAsia="zh-CN"/>
                    </w:rPr>
                  </w:pPr>
                  <w:r>
                    <w:rPr>
                      <w:rFonts w:hint="default"/>
                      <w:highlight w:val="none"/>
                      <w:lang w:val="en-US" w:eastAsia="zh-CN"/>
                    </w:rPr>
                    <w:t>井水供</w:t>
                  </w:r>
                  <w:r>
                    <w:rPr>
                      <w:rFonts w:hint="eastAsia"/>
                      <w:highlight w:val="none"/>
                      <w:lang w:val="en-US" w:eastAsia="zh-CN"/>
                    </w:rPr>
                    <w:t>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pStyle w:val="57"/>
                    <w:bidi w:val="0"/>
                    <w:rPr>
                      <w:rFonts w:hint="default"/>
                      <w:lang w:val="en-US" w:eastAsia="zh-CN"/>
                    </w:rPr>
                  </w:pPr>
                </w:p>
              </w:tc>
              <w:tc>
                <w:tcPr>
                  <w:tcW w:w="1048" w:type="pct"/>
                  <w:noWrap w:val="0"/>
                  <w:vAlign w:val="center"/>
                </w:tcPr>
                <w:p>
                  <w:pPr>
                    <w:pStyle w:val="57"/>
                    <w:bidi w:val="0"/>
                    <w:rPr>
                      <w:rFonts w:hint="default"/>
                      <w:lang w:val="en-US" w:eastAsia="zh-CN"/>
                    </w:rPr>
                  </w:pPr>
                  <w:r>
                    <w:rPr>
                      <w:rFonts w:hint="default"/>
                      <w:lang w:val="en-US" w:eastAsia="zh-CN"/>
                    </w:rPr>
                    <w:t>电</w:t>
                  </w:r>
                </w:p>
              </w:tc>
              <w:tc>
                <w:tcPr>
                  <w:tcW w:w="1048" w:type="pct"/>
                  <w:noWrap w:val="0"/>
                  <w:vAlign w:val="center"/>
                </w:tcPr>
                <w:p>
                  <w:pPr>
                    <w:pStyle w:val="57"/>
                    <w:bidi w:val="0"/>
                    <w:rPr>
                      <w:rFonts w:hint="default"/>
                      <w:lang w:val="en-US" w:eastAsia="zh-CN"/>
                    </w:rPr>
                  </w:pPr>
                  <w:r>
                    <w:rPr>
                      <w:rFonts w:hint="default"/>
                      <w:lang w:val="en-US" w:eastAsia="zh-CN"/>
                    </w:rPr>
                    <w:t>度/年</w:t>
                  </w:r>
                </w:p>
              </w:tc>
              <w:tc>
                <w:tcPr>
                  <w:tcW w:w="1049" w:type="pct"/>
                  <w:noWrap w:val="0"/>
                  <w:vAlign w:val="center"/>
                </w:tcPr>
                <w:p>
                  <w:pPr>
                    <w:pStyle w:val="57"/>
                    <w:bidi w:val="0"/>
                    <w:rPr>
                      <w:rFonts w:hint="default"/>
                      <w:lang w:val="en-US" w:eastAsia="zh-CN"/>
                    </w:rPr>
                  </w:pPr>
                  <w:r>
                    <w:rPr>
                      <w:rFonts w:hint="eastAsia"/>
                      <w:lang w:val="en-US" w:eastAsia="zh-CN"/>
                    </w:rPr>
                    <w:t>12万</w:t>
                  </w:r>
                </w:p>
              </w:tc>
              <w:tc>
                <w:tcPr>
                  <w:tcW w:w="1398" w:type="pct"/>
                  <w:noWrap w:val="0"/>
                  <w:vAlign w:val="center"/>
                </w:tcPr>
                <w:p>
                  <w:pPr>
                    <w:pStyle w:val="57"/>
                    <w:bidi w:val="0"/>
                    <w:rPr>
                      <w:rFonts w:hint="default"/>
                      <w:lang w:val="en-US" w:eastAsia="zh-CN"/>
                    </w:rPr>
                  </w:pPr>
                  <w:r>
                    <w:rPr>
                      <w:rFonts w:hint="default"/>
                      <w:lang w:val="en-US" w:eastAsia="zh-CN"/>
                    </w:rPr>
                    <w:t>当地电网</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b/>
                <w:bCs/>
                <w:sz w:val="24"/>
                <w:szCs w:val="24"/>
                <w:highlight w:val="none"/>
                <w:u w:val="none"/>
                <w:lang w:val="en-US" w:eastAsia="zh-CN"/>
              </w:rPr>
              <w:t>主要原料理化性质如下：</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2"/>
              <w:rPr>
                <w:rFonts w:hint="default" w:ascii="Times New Roman" w:hAnsi="Times New Roman" w:eastAsia="宋体" w:cs="Times New Roman"/>
                <w:sz w:val="24"/>
                <w:szCs w:val="24"/>
                <w:highlight w:val="none"/>
                <w:u w:val="none"/>
                <w:lang w:val="en-US" w:eastAsia="zh-CN"/>
              </w:rPr>
            </w:pPr>
            <w:r>
              <w:rPr>
                <w:rFonts w:hint="eastAsia" w:ascii="Times New Roman" w:hAnsi="Times New Roman" w:eastAsia="宋体" w:cs="Times New Roman"/>
                <w:sz w:val="24"/>
                <w:szCs w:val="24"/>
                <w:highlight w:val="none"/>
                <w:u w:val="none"/>
                <w:lang w:val="en-US" w:eastAsia="zh-CN"/>
              </w:rPr>
              <w:t>外加剂</w:t>
            </w:r>
            <w:r>
              <w:rPr>
                <w:rFonts w:hint="default" w:ascii="Times New Roman" w:hAnsi="Times New Roman" w:eastAsia="宋体" w:cs="Times New Roman"/>
                <w:sz w:val="24"/>
                <w:szCs w:val="24"/>
                <w:highlight w:val="none"/>
                <w:u w:val="none"/>
                <w:lang w:val="en-US" w:eastAsia="zh-CN"/>
              </w:rPr>
              <w:t>：项目使用的外加剂主要为减水剂，减水剂是一种在维持混凝土坍落度不变的条件下，能减少拌合用水量的混凝土外加剂。大多属于阴离子表面活性剂，有木质素磺酸盐、萘磺酸盐甲醛聚合物等。加入混凝土拌合物后对水泥颗粒有分散作用，能改善其工作性，减少单位用水量，改善混凝土拌合物的流动性；或减少单位水泥用量，节约水泥。外观形态分为水剂和粉剂。水剂含固量一般有20%，40%（又称母液），60%，粉剂含固量一般为98%。本项目所用减水剂为聚羧酸减水剂（Polycarboxylate Superplasticizer），是一种高性能减水剂，是水泥混凝土运用中的一种水泥分散剂，化学上可以分为两类，以主链为甲基丙烯酸，侧链为羧酸基团和MPEG（Merthoxy polyethlene glycol），聚酯型结构；另外一种为主链为聚丙烯酸，侧链为Vinyl alcohol polyethylene glycol，聚醚型结构；该品绿色环保，不易燃，不易爆，可以安全使用火车和汽车运输，储存于减水剂罐内；广泛应用于公路、桥梁、大坝、隧道、高层建筑等工程。</w:t>
            </w:r>
          </w:p>
          <w:p>
            <w:pPr>
              <w:pStyle w:val="9"/>
              <w:keepNext w:val="0"/>
              <w:keepLines w:val="0"/>
              <w:pageBreakBefore w:val="0"/>
              <w:kinsoku/>
              <w:wordWrap/>
              <w:overflowPunct/>
              <w:topLinePunct w:val="0"/>
              <w:autoSpaceDE/>
              <w:autoSpaceDN/>
              <w:bidi w:val="0"/>
              <w:adjustRightInd w:val="0"/>
              <w:snapToGrid w:val="0"/>
              <w:spacing w:before="0" w:after="0" w:line="360" w:lineRule="auto"/>
              <w:ind w:right="0" w:firstLine="480" w:firstLineChars="200"/>
              <w:textAlignment w:val="auto"/>
              <w:rPr>
                <w:rFonts w:hint="eastAsia" w:ascii="Times New Roman" w:hAnsi="Times New Roman" w:eastAsia="宋体" w:cs="Times New Roman"/>
                <w:kern w:val="2"/>
                <w:sz w:val="24"/>
                <w:szCs w:val="24"/>
                <w:highlight w:val="none"/>
                <w:u w:val="none"/>
                <w:lang w:val="en-US" w:eastAsia="zh-CN" w:bidi="ar-SA"/>
              </w:rPr>
            </w:pPr>
            <w:r>
              <w:rPr>
                <w:rFonts w:hint="default" w:ascii="Times New Roman" w:hAnsi="Times New Roman" w:eastAsia="宋体" w:cs="Times New Roman"/>
                <w:kern w:val="2"/>
                <w:sz w:val="24"/>
                <w:szCs w:val="24"/>
                <w:highlight w:val="none"/>
                <w:u w:val="none"/>
                <w:lang w:val="en-US" w:eastAsia="zh-CN" w:bidi="ar-SA"/>
              </w:rPr>
              <w:t>石油沥青</w:t>
            </w:r>
            <w:r>
              <w:rPr>
                <w:rFonts w:hint="eastAsia" w:ascii="Times New Roman" w:hAnsi="Times New Roman" w:eastAsia="宋体" w:cs="Times New Roman"/>
                <w:kern w:val="2"/>
                <w:sz w:val="24"/>
                <w:szCs w:val="24"/>
                <w:highlight w:val="none"/>
                <w:u w:val="none"/>
                <w:lang w:val="en-US" w:eastAsia="zh-CN" w:bidi="ar-SA"/>
              </w:rPr>
              <w:t>：石油沥青是</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"https://baike.baidu.com/item/%E5%8E%9F%E6%B2%B9"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原油</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加工过程的一种产品，在常温下是黑色或黑褐色的粘稠的液体、半固体或固体，主要含有可溶于</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"https://baike.baidu.com/item/%E4%B8%89%E6%B0%AF%E4%B9%99%E7%83%AF/7922565"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三氯乙烯</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的烃类及非烃类衍生物，其性质和组成随原油来源和生产方法的不同而变化。从使用角度出发，将沥青中按化学成分和</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"https://baike.baidu.com/item/%E7%89%A9%E7%90%86%E5%8A%9B%E5%AD%A6"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物理力学</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性质相近的成分划分为若干个组，这些组就称为“</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"https://baike.baidu.com/item/%E7%BB%84%E5%88%86"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组分</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”。石油沥青的组分及其主要物性如下：</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"https://baike.baidu.com/item/%E6%B2%B9%E5%88%86"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油分</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、胶质、</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"https://baike.baidu.com/item/%E6%B2%A5%E9%9D%92%E8%B4%A8"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沥青质</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w:t>
            </w:r>
            <w:bookmarkStart w:id="2" w:name="油分"/>
            <w:bookmarkEnd w:id="2"/>
            <w:bookmarkStart w:id="3" w:name="sub356202_1_1"/>
            <w:bookmarkEnd w:id="3"/>
            <w:bookmarkStart w:id="4" w:name="1-1"/>
            <w:bookmarkEnd w:id="4"/>
            <w:bookmarkStart w:id="5" w:name="1_1"/>
            <w:bookmarkEnd w:id="5"/>
            <w:r>
              <w:rPr>
                <w:rFonts w:hint="eastAsia" w:ascii="Times New Roman" w:hAnsi="Times New Roman" w:eastAsia="宋体" w:cs="Times New Roman"/>
                <w:kern w:val="2"/>
                <w:sz w:val="24"/>
                <w:szCs w:val="24"/>
                <w:highlight w:val="none"/>
                <w:u w:val="none"/>
                <w:lang w:val="en-US" w:eastAsia="zh-CN" w:bidi="ar-SA"/>
              </w:rPr>
              <w:t>油分：</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"https://baike.baidu.com/item/%E6%B2%B9%E5%88%86"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油分</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为淡黄色至红褐色的油状液体，其分子量为100～500，密度为0.71～1.00g/cm</w:t>
            </w:r>
            <w:r>
              <w:rPr>
                <w:rFonts w:hint="eastAsia" w:ascii="Times New Roman" w:hAnsi="Times New Roman" w:eastAsia="宋体" w:cs="Times New Roman"/>
                <w:kern w:val="2"/>
                <w:sz w:val="24"/>
                <w:szCs w:val="24"/>
                <w:highlight w:val="none"/>
                <w:u w:val="none"/>
                <w:vertAlign w:val="superscript"/>
                <w:lang w:val="en-US" w:eastAsia="zh-CN" w:bidi="ar-SA"/>
              </w:rPr>
              <w:t>3</w:t>
            </w:r>
            <w:r>
              <w:rPr>
                <w:rFonts w:hint="eastAsia" w:ascii="Times New Roman" w:hAnsi="Times New Roman" w:eastAsia="宋体" w:cs="Times New Roman"/>
                <w:kern w:val="2"/>
                <w:sz w:val="24"/>
                <w:szCs w:val="24"/>
                <w:highlight w:val="none"/>
                <w:u w:val="none"/>
                <w:lang w:val="en-US" w:eastAsia="zh-CN" w:bidi="ar-SA"/>
              </w:rPr>
              <w:t>，能溶于大多数</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"https://baike.baidu.com/item/%E6%9C%89%E6%9C%BA%E6%BA%B6%E5%89%82"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有机溶剂</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，但不溶于</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"https://baike.baidu.com/item/%E9%85%92%E7%B2%BE"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酒精</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。在石油沥青中，油分的含量为40%～60%。油分赋予沥青以流动性。</w:t>
            </w:r>
            <w:bookmarkStart w:id="6" w:name="1-2"/>
            <w:bookmarkEnd w:id="6"/>
            <w:bookmarkStart w:id="7" w:name="sub356202_1_2"/>
            <w:bookmarkEnd w:id="7"/>
            <w:bookmarkStart w:id="8" w:name="1_2"/>
            <w:bookmarkEnd w:id="8"/>
            <w:bookmarkStart w:id="9" w:name="胶质"/>
            <w:bookmarkEnd w:id="9"/>
            <w:r>
              <w:rPr>
                <w:rFonts w:hint="eastAsia" w:ascii="Times New Roman" w:hAnsi="Times New Roman" w:eastAsia="宋体" w:cs="Times New Roman"/>
                <w:kern w:val="2"/>
                <w:sz w:val="24"/>
                <w:szCs w:val="24"/>
                <w:highlight w:val="none"/>
                <w:u w:val="none"/>
                <w:lang w:val="en-US" w:eastAsia="zh-CN" w:bidi="ar-SA"/>
              </w:rPr>
              <w:t>胶质：</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"https://baike.baidu.com/item/%E5%8D%8A%E5%9B%BA%E4%BD%93"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半固体</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的黄褐色或红褐色的粘稠状物质，分子量600～1000，密度为1.0～1.1g/cm</w:t>
            </w:r>
            <w:r>
              <w:rPr>
                <w:rFonts w:hint="eastAsia" w:ascii="Times New Roman" w:hAnsi="Times New Roman" w:eastAsia="宋体" w:cs="Times New Roman"/>
                <w:kern w:val="2"/>
                <w:sz w:val="24"/>
                <w:szCs w:val="24"/>
                <w:highlight w:val="none"/>
                <w:u w:val="none"/>
                <w:vertAlign w:val="superscript"/>
                <w:lang w:val="en-US" w:eastAsia="zh-CN" w:bidi="ar-SA"/>
              </w:rPr>
              <w:t>3</w:t>
            </w:r>
            <w:r>
              <w:rPr>
                <w:rFonts w:hint="eastAsia" w:ascii="Times New Roman" w:hAnsi="Times New Roman" w:eastAsia="宋体" w:cs="Times New Roman"/>
                <w:kern w:val="2"/>
                <w:sz w:val="24"/>
                <w:szCs w:val="24"/>
                <w:highlight w:val="none"/>
                <w:u w:val="none"/>
                <w:lang w:val="en-US" w:eastAsia="zh-CN" w:bidi="ar-SA"/>
              </w:rPr>
              <w:t>。在一定条件下可以由</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"https://baike.baidu.com/item/%E4%BD%8E%E5%88%86%E5%AD%90%E5%8C%96%E5%90%88%E7%89%A9"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低分子化合物</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转变为</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"https://baike.baidu.com/item/%E9%AB%98%E5%88%86%E5%AD%90%E5%8C%96%E5%90%88%E7%89%A9"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高分子化合物</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，以至成为沥青质和炭沥青。</w:t>
            </w:r>
            <w:bookmarkStart w:id="10" w:name="沥青质"/>
            <w:bookmarkEnd w:id="10"/>
            <w:bookmarkStart w:id="11" w:name="1-3"/>
            <w:bookmarkEnd w:id="11"/>
            <w:bookmarkStart w:id="12" w:name="sub356202_1_3"/>
            <w:bookmarkEnd w:id="12"/>
            <w:bookmarkStart w:id="13" w:name="1_3"/>
            <w:bookmarkEnd w:id="13"/>
            <w:r>
              <w:rPr>
                <w:rFonts w:hint="eastAsia" w:ascii="Times New Roman" w:hAnsi="Times New Roman" w:eastAsia="宋体" w:cs="Times New Roman"/>
                <w:kern w:val="2"/>
                <w:sz w:val="24"/>
                <w:szCs w:val="24"/>
                <w:highlight w:val="none"/>
                <w:u w:val="none"/>
                <w:lang w:val="en-US" w:eastAsia="zh-CN" w:bidi="ar-SA"/>
              </w:rPr>
              <w:t>沥青质：</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"https://baike.baidu.com/item/%E6%B2%A5%E9%9D%92%E8%B4%A8"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沥青质</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为深褐色至黑色固态无定性的超细颗粒固体粉末，分子量为2000～6000，密度大于1.0g/cm</w:t>
            </w:r>
            <w:r>
              <w:rPr>
                <w:rFonts w:hint="eastAsia" w:ascii="Times New Roman" w:hAnsi="Times New Roman" w:eastAsia="宋体" w:cs="Times New Roman"/>
                <w:kern w:val="2"/>
                <w:sz w:val="24"/>
                <w:szCs w:val="24"/>
                <w:highlight w:val="none"/>
                <w:u w:val="none"/>
                <w:vertAlign w:val="superscript"/>
                <w:lang w:val="en-US" w:eastAsia="zh-CN" w:bidi="ar-SA"/>
              </w:rPr>
              <w:t>3</w:t>
            </w:r>
            <w:r>
              <w:rPr>
                <w:rFonts w:hint="eastAsia" w:ascii="Times New Roman" w:hAnsi="Times New Roman" w:eastAsia="宋体" w:cs="Times New Roman"/>
                <w:kern w:val="2"/>
                <w:sz w:val="24"/>
                <w:szCs w:val="24"/>
                <w:highlight w:val="none"/>
                <w:u w:val="none"/>
                <w:lang w:val="en-US" w:eastAsia="zh-CN" w:bidi="ar-SA"/>
              </w:rPr>
              <w:t>，不溶于汽油，但能溶于</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"https://baike.baidu.com/item/%E4%BA%8C%E7%A1%AB%E5%8C%96%E7%A2%B3"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二硫化碳</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和</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"https://baike.baidu.com/item/%E5%9B%9B%E6%B0%AF%E5%8C%96%E7%A2%B3/170601"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四氯化碳</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中。地沥青质是决定石油沥青温度敏感性和黏性的重要组分。沥青中地沥青质含量在10%～30%之间，其含量愈多，则软化点愈高，黏性越大，也愈硬脆。石油沥青中还含2%～3%的沥青碳和似碳物（黑色固体粉末），是石油沥青中分子量最大的，它会降低石油沥青的粘结力。石油沥青中还含有蜡，它会降低石油沥青的粘结性和塑性，其在沥青组分总含量越高沥青</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"https://baike.baidu.com/item/%E8%84%86%E6%80%A7"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脆性</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越大。同时对温度特别敏感（即</w:t>
            </w:r>
            <w:r>
              <w:rPr>
                <w:rFonts w:hint="eastAsia" w:ascii="Times New Roman" w:hAnsi="Times New Roman" w:eastAsia="宋体" w:cs="Times New Roman"/>
                <w:kern w:val="2"/>
                <w:sz w:val="24"/>
                <w:szCs w:val="24"/>
                <w:highlight w:val="none"/>
                <w:u w:val="none"/>
                <w:lang w:val="en-US" w:eastAsia="zh-CN" w:bidi="ar-SA"/>
              </w:rPr>
              <w:fldChar w:fldCharType="begin"/>
            </w:r>
            <w:r>
              <w:rPr>
                <w:rFonts w:hint="eastAsia" w:ascii="Times New Roman" w:hAnsi="Times New Roman" w:eastAsia="宋体" w:cs="Times New Roman"/>
                <w:kern w:val="2"/>
                <w:sz w:val="24"/>
                <w:szCs w:val="24"/>
                <w:highlight w:val="none"/>
                <w:u w:val="none"/>
                <w:lang w:val="en-US" w:eastAsia="zh-CN" w:bidi="ar-SA"/>
              </w:rPr>
              <w:instrText xml:space="preserve"> HYPERLINK "https://baike.baidu.com/item/%E6%B8%A9%E5%BA%A6%E7%A8%B3%E5%AE%9A%E6%80%A7" \t "https://baike.baidu.com/item/%E7%9F%B3%E6%B2%B9%E6%B2%A5%E9%9D%92/_blank" </w:instrText>
            </w:r>
            <w:r>
              <w:rPr>
                <w:rFonts w:hint="eastAsia" w:ascii="Times New Roman" w:hAnsi="Times New Roman" w:eastAsia="宋体" w:cs="Times New Roman"/>
                <w:kern w:val="2"/>
                <w:sz w:val="24"/>
                <w:szCs w:val="24"/>
                <w:highlight w:val="none"/>
                <w:u w:val="none"/>
                <w:lang w:val="en-US" w:eastAsia="zh-CN" w:bidi="ar-SA"/>
              </w:rPr>
              <w:fldChar w:fldCharType="separate"/>
            </w:r>
            <w:r>
              <w:rPr>
                <w:rFonts w:hint="eastAsia" w:ascii="Times New Roman" w:hAnsi="Times New Roman" w:eastAsia="宋体" w:cs="Times New Roman"/>
                <w:kern w:val="2"/>
                <w:sz w:val="24"/>
                <w:szCs w:val="24"/>
                <w:highlight w:val="none"/>
                <w:u w:val="none"/>
                <w:lang w:val="en-US" w:eastAsia="zh-CN" w:bidi="ar-SA"/>
              </w:rPr>
              <w:t>温度稳定性</w:t>
            </w:r>
            <w:r>
              <w:rPr>
                <w:rFonts w:hint="eastAsia" w:ascii="Times New Roman" w:hAnsi="Times New Roman" w:eastAsia="宋体" w:cs="Times New Roman"/>
                <w:kern w:val="2"/>
                <w:sz w:val="24"/>
                <w:szCs w:val="24"/>
                <w:highlight w:val="none"/>
                <w:u w:val="none"/>
                <w:lang w:val="en-US" w:eastAsia="zh-CN" w:bidi="ar-SA"/>
              </w:rPr>
              <w:fldChar w:fldCharType="end"/>
            </w:r>
            <w:r>
              <w:rPr>
                <w:rFonts w:hint="eastAsia" w:ascii="Times New Roman" w:hAnsi="Times New Roman" w:eastAsia="宋体" w:cs="Times New Roman"/>
                <w:kern w:val="2"/>
                <w:sz w:val="24"/>
                <w:szCs w:val="24"/>
                <w:highlight w:val="none"/>
                <w:u w:val="none"/>
                <w:lang w:val="en-US" w:eastAsia="zh-CN" w:bidi="ar-SA"/>
              </w:rPr>
              <w:t>差）。</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kern w:val="2"/>
                <w:sz w:val="24"/>
                <w:szCs w:val="24"/>
                <w:highlight w:val="none"/>
                <w:u w:val="none"/>
                <w:lang w:val="en-US" w:eastAsia="zh-CN" w:bidi="ar-SA"/>
              </w:rPr>
            </w:pPr>
            <w:r>
              <w:rPr>
                <w:rFonts w:hint="default" w:ascii="Times New Roman" w:hAnsi="Times New Roman" w:eastAsia="宋体" w:cs="Times New Roman"/>
                <w:kern w:val="2"/>
                <w:sz w:val="24"/>
                <w:szCs w:val="24"/>
                <w:highlight w:val="none"/>
                <w:u w:val="none"/>
                <w:lang w:val="en-US" w:eastAsia="zh-CN" w:bidi="ar-SA"/>
              </w:rPr>
              <w:t>柴油</w:t>
            </w:r>
            <w:r>
              <w:rPr>
                <w:rFonts w:hint="eastAsia" w:ascii="Times New Roman" w:hAnsi="Times New Roman" w:eastAsia="宋体" w:cs="Times New Roman"/>
                <w:kern w:val="2"/>
                <w:sz w:val="24"/>
                <w:szCs w:val="24"/>
                <w:highlight w:val="none"/>
                <w:u w:val="none"/>
                <w:lang w:val="en-US" w:eastAsia="zh-CN" w:bidi="ar-SA"/>
              </w:rPr>
              <w:t>：柴油（Diesel）又称油渣，是石油提炼后的一种油质的产物。它由不同的碳氢化合物混合组成，它的主要成分是含9到18个碳原子的链烷、环烷或芳烃，它的化学和物理特性位于汽油和重油之间</w:t>
            </w:r>
            <w:r>
              <w:rPr>
                <w:rFonts w:hint="eastAsia" w:cs="Times New Roman"/>
                <w:kern w:val="2"/>
                <w:sz w:val="24"/>
                <w:szCs w:val="24"/>
                <w:highlight w:val="none"/>
                <w:u w:val="none"/>
                <w:lang w:val="en-US" w:eastAsia="zh-CN" w:bidi="ar-SA"/>
              </w:rPr>
              <w:t>，</w:t>
            </w:r>
            <w:r>
              <w:rPr>
                <w:rFonts w:hint="eastAsia" w:ascii="Times New Roman" w:hAnsi="Times New Roman" w:eastAsia="宋体" w:cs="Times New Roman"/>
                <w:kern w:val="2"/>
                <w:sz w:val="24"/>
                <w:szCs w:val="24"/>
                <w:highlight w:val="none"/>
                <w:u w:val="none"/>
                <w:lang w:val="en-US" w:eastAsia="zh-CN" w:bidi="ar-SA"/>
              </w:rPr>
              <w:t>沸点在170℃至390℃间，比重为0.82~0.845kg/l热值为3.3*10^7J/L，沸点范围和黏度介于煤油与润滑油之间的液态石油馏分，易燃易挥发，不溶于水，易溶于醇和其他有机溶剂。是组分复杂的混合物，沸点范围十六烷值有180℃∼370℃和350℃∼410℃两类。由原油、页岩油等经直馏或裂化等过程制得。</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2.</w:t>
            </w:r>
            <w:r>
              <w:rPr>
                <w:rFonts w:hint="eastAsia"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5</w:t>
            </w: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主要生产设备</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1"/>
                <w:highlight w:val="none"/>
                <w:u w:val="none" w:color="auto"/>
                <w:lang w:val="en-US" w:eastAsia="zh-CN"/>
                <w14:textFill>
                  <w14:solidFill>
                    <w14:schemeClr w14:val="tx1"/>
                  </w14:solidFill>
                </w14:textFill>
              </w:rPr>
              <w:t>项目</w:t>
            </w:r>
            <w:r>
              <w:rPr>
                <w:rFonts w:hint="default" w:ascii="Times New Roman" w:hAnsi="Times New Roman" w:cs="Times New Roman" w:eastAsiaTheme="minorEastAsia"/>
                <w:color w:val="000000" w:themeColor="text1"/>
                <w:sz w:val="24"/>
                <w:szCs w:val="21"/>
                <w:highlight w:val="none"/>
                <w:u w:val="none" w:color="auto"/>
                <w14:textFill>
                  <w14:solidFill>
                    <w14:schemeClr w14:val="tx1"/>
                  </w14:solidFill>
                </w14:textFill>
              </w:rPr>
              <w:t>生产设备情况详见表</w:t>
            </w:r>
            <w:r>
              <w:rPr>
                <w:rFonts w:hint="default" w:ascii="Times New Roman" w:hAnsi="Times New Roman" w:cs="Times New Roman" w:eastAsiaTheme="minorEastAsia"/>
                <w:color w:val="000000" w:themeColor="text1"/>
                <w:sz w:val="24"/>
                <w:szCs w:val="21"/>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1"/>
                <w:highlight w:val="none"/>
                <w:u w:val="none" w:color="auto"/>
                <w14:textFill>
                  <w14:solidFill>
                    <w14:schemeClr w14:val="tx1"/>
                  </w14:solidFill>
                </w14:textFill>
              </w:rPr>
              <w:t>-</w:t>
            </w:r>
            <w:r>
              <w:rPr>
                <w:rFonts w:hint="eastAsia" w:cs="Times New Roman" w:eastAsiaTheme="minorEastAsia"/>
                <w:color w:val="000000" w:themeColor="text1"/>
                <w:sz w:val="24"/>
                <w:szCs w:val="21"/>
                <w:highlight w:val="none"/>
                <w:u w:val="none" w:color="auto"/>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1"/>
                <w:highlight w:val="none"/>
                <w:u w:val="none" w:color="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w:t>
            </w:r>
            <w:r>
              <w:rPr>
                <w:rFonts w:hint="eastAsia" w:cs="Times New Roman" w:eastAsiaTheme="minorEastAsia"/>
                <w:b/>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项目主要新增设备一览表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3137"/>
              <w:gridCol w:w="2516"/>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pct"/>
                  <w:noWrap w:val="0"/>
                  <w:vAlign w:val="center"/>
                </w:tcPr>
                <w:p>
                  <w:pPr>
                    <w:pStyle w:val="57"/>
                    <w:bidi w:val="0"/>
                    <w:rPr>
                      <w:rFonts w:hint="default"/>
                    </w:rPr>
                  </w:pPr>
                  <w:r>
                    <w:rPr>
                      <w:rFonts w:hint="default"/>
                    </w:rPr>
                    <w:t>序号</w:t>
                  </w:r>
                </w:p>
              </w:tc>
              <w:tc>
                <w:tcPr>
                  <w:tcW w:w="1903" w:type="pct"/>
                  <w:noWrap w:val="0"/>
                  <w:vAlign w:val="center"/>
                </w:tcPr>
                <w:p>
                  <w:pPr>
                    <w:pStyle w:val="57"/>
                    <w:bidi w:val="0"/>
                    <w:rPr>
                      <w:rFonts w:hint="default"/>
                    </w:rPr>
                  </w:pPr>
                  <w:r>
                    <w:rPr>
                      <w:rFonts w:hint="default"/>
                    </w:rPr>
                    <w:t>设备名称</w:t>
                  </w:r>
                </w:p>
              </w:tc>
              <w:tc>
                <w:tcPr>
                  <w:tcW w:w="1526" w:type="pct"/>
                  <w:noWrap w:val="0"/>
                  <w:vAlign w:val="center"/>
                </w:tcPr>
                <w:p>
                  <w:pPr>
                    <w:pStyle w:val="57"/>
                    <w:bidi w:val="0"/>
                    <w:rPr>
                      <w:rFonts w:hint="default"/>
                    </w:rPr>
                  </w:pPr>
                  <w:r>
                    <w:rPr>
                      <w:rFonts w:hint="default"/>
                    </w:rPr>
                    <w:t>型号</w:t>
                  </w:r>
                </w:p>
              </w:tc>
              <w:tc>
                <w:tcPr>
                  <w:tcW w:w="1150" w:type="pct"/>
                  <w:noWrap w:val="0"/>
                  <w:vAlign w:val="center"/>
                </w:tcPr>
                <w:p>
                  <w:pPr>
                    <w:pStyle w:val="57"/>
                    <w:bidi w:val="0"/>
                    <w:rPr>
                      <w:rFonts w:hint="default"/>
                    </w:rPr>
                  </w:pPr>
                  <w:r>
                    <w:rPr>
                      <w:rFonts w:hint="default"/>
                    </w:rPr>
                    <w:t>设备数量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4"/>
                  <w:noWrap w:val="0"/>
                  <w:vAlign w:val="center"/>
                </w:tcPr>
                <w:p>
                  <w:pPr>
                    <w:pStyle w:val="57"/>
                    <w:bidi w:val="0"/>
                    <w:rPr>
                      <w:rFonts w:hint="eastAsia"/>
                      <w:lang w:val="en-US" w:eastAsia="zh-CN"/>
                    </w:rPr>
                  </w:pPr>
                  <w:r>
                    <w:rPr>
                      <w:rFonts w:hint="eastAsia"/>
                      <w:lang w:val="en-US" w:eastAsia="zh-CN"/>
                    </w:rPr>
                    <w:t>一号站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pct"/>
                  <w:noWrap w:val="0"/>
                  <w:vAlign w:val="center"/>
                </w:tcPr>
                <w:p>
                  <w:pPr>
                    <w:pStyle w:val="57"/>
                    <w:bidi w:val="0"/>
                    <w:rPr>
                      <w:rFonts w:hint="default"/>
                    </w:rPr>
                  </w:pPr>
                  <w:r>
                    <w:rPr>
                      <w:rFonts w:hint="default"/>
                    </w:rPr>
                    <w:t>1</w:t>
                  </w:r>
                </w:p>
              </w:tc>
              <w:tc>
                <w:tcPr>
                  <w:tcW w:w="1903" w:type="pct"/>
                  <w:noWrap w:val="0"/>
                  <w:vAlign w:val="center"/>
                </w:tcPr>
                <w:p>
                  <w:pPr>
                    <w:pStyle w:val="57"/>
                    <w:bidi w:val="0"/>
                    <w:rPr>
                      <w:rFonts w:hint="default"/>
                      <w:lang w:eastAsia="zh-CN"/>
                    </w:rPr>
                  </w:pPr>
                  <w:r>
                    <w:rPr>
                      <w:rFonts w:hint="eastAsia"/>
                      <w:lang w:val="en-US" w:eastAsia="zh-CN"/>
                    </w:rPr>
                    <w:t>混凝土</w:t>
                  </w:r>
                  <w:r>
                    <w:rPr>
                      <w:rFonts w:hint="default"/>
                    </w:rPr>
                    <w:t>搅拌</w:t>
                  </w:r>
                  <w:r>
                    <w:rPr>
                      <w:rFonts w:hint="eastAsia"/>
                      <w:lang w:val="en-US" w:eastAsia="zh-CN"/>
                    </w:rPr>
                    <w:t>站</w:t>
                  </w:r>
                </w:p>
              </w:tc>
              <w:tc>
                <w:tcPr>
                  <w:tcW w:w="1526" w:type="pct"/>
                  <w:noWrap w:val="0"/>
                  <w:vAlign w:val="center"/>
                </w:tcPr>
                <w:p>
                  <w:pPr>
                    <w:pStyle w:val="57"/>
                    <w:bidi w:val="0"/>
                    <w:rPr>
                      <w:rFonts w:hint="default"/>
                      <w:lang w:val="en-US" w:eastAsia="zh-CN"/>
                    </w:rPr>
                  </w:pPr>
                  <w:r>
                    <w:rPr>
                      <w:rFonts w:hint="default"/>
                      <w:lang w:val="en-US" w:eastAsia="zh-CN"/>
                    </w:rPr>
                    <w:t>HZS 90</w:t>
                  </w:r>
                </w:p>
              </w:tc>
              <w:tc>
                <w:tcPr>
                  <w:tcW w:w="1150" w:type="pct"/>
                  <w:noWrap w:val="0"/>
                  <w:vAlign w:val="center"/>
                </w:tcPr>
                <w:p>
                  <w:pPr>
                    <w:pStyle w:val="57"/>
                    <w:bidi w:val="0"/>
                    <w:rPr>
                      <w:rFonts w:hint="default"/>
                      <w:lang w:val="en-US" w:eastAsia="zh-CN"/>
                    </w:rPr>
                  </w:pPr>
                  <w:r>
                    <w:rPr>
                      <w:rFonts w:hint="default"/>
                      <w:lang w:val="en-US" w:eastAsia="zh-CN"/>
                    </w:rPr>
                    <w:t>1</w:t>
                  </w:r>
                  <w:r>
                    <w:rPr>
                      <w:rFonts w:hint="eastAsia"/>
                      <w:lang w:val="en-US" w:eastAsia="zh-CN"/>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pct"/>
                  <w:noWrap w:val="0"/>
                  <w:vAlign w:val="center"/>
                </w:tcPr>
                <w:p>
                  <w:pPr>
                    <w:pStyle w:val="57"/>
                    <w:bidi w:val="0"/>
                    <w:rPr>
                      <w:rFonts w:hint="eastAsia"/>
                      <w:lang w:val="en-US" w:eastAsia="zh-CN"/>
                    </w:rPr>
                  </w:pPr>
                  <w:r>
                    <w:rPr>
                      <w:rFonts w:hint="eastAsia"/>
                      <w:lang w:val="en-US" w:eastAsia="zh-CN"/>
                    </w:rPr>
                    <w:t>2</w:t>
                  </w:r>
                </w:p>
              </w:tc>
              <w:tc>
                <w:tcPr>
                  <w:tcW w:w="1903" w:type="pct"/>
                  <w:noWrap w:val="0"/>
                  <w:vAlign w:val="center"/>
                </w:tcPr>
                <w:p>
                  <w:pPr>
                    <w:pStyle w:val="57"/>
                    <w:bidi w:val="0"/>
                    <w:rPr>
                      <w:rFonts w:hint="eastAsia"/>
                      <w:lang w:val="en-US" w:eastAsia="zh-CN"/>
                    </w:rPr>
                  </w:pPr>
                  <w:r>
                    <w:rPr>
                      <w:rFonts w:hint="eastAsia"/>
                      <w:lang w:val="en-US" w:eastAsia="zh-CN"/>
                    </w:rPr>
                    <w:t>水泥筒仓</w:t>
                  </w:r>
                </w:p>
              </w:tc>
              <w:tc>
                <w:tcPr>
                  <w:tcW w:w="1526" w:type="pct"/>
                  <w:noWrap w:val="0"/>
                  <w:vAlign w:val="center"/>
                </w:tcPr>
                <w:p>
                  <w:pPr>
                    <w:pStyle w:val="57"/>
                    <w:bidi w:val="0"/>
                    <w:rPr>
                      <w:rFonts w:hint="default"/>
                      <w:lang w:val="en-US" w:eastAsia="zh-CN"/>
                    </w:rPr>
                  </w:pPr>
                  <w:r>
                    <w:rPr>
                      <w:rFonts w:hint="default"/>
                      <w:lang w:val="en-US" w:eastAsia="zh-CN"/>
                    </w:rPr>
                    <w:t>最大容量</w:t>
                  </w:r>
                  <w:r>
                    <w:rPr>
                      <w:rFonts w:hint="eastAsia"/>
                      <w:lang w:val="en-US" w:eastAsia="zh-CN"/>
                    </w:rPr>
                    <w:t>90t</w:t>
                  </w:r>
                </w:p>
              </w:tc>
              <w:tc>
                <w:tcPr>
                  <w:tcW w:w="1150" w:type="pct"/>
                  <w:noWrap w:val="0"/>
                  <w:vAlign w:val="center"/>
                </w:tcPr>
                <w:p>
                  <w:pPr>
                    <w:pStyle w:val="57"/>
                    <w:bidi w:val="0"/>
                    <w:rPr>
                      <w:rFonts w:hint="default"/>
                      <w:lang w:val="en-US" w:eastAsia="zh-CN"/>
                    </w:rPr>
                  </w:pPr>
                  <w:r>
                    <w:rPr>
                      <w:rFonts w:hint="eastAsia"/>
                      <w:lang w:val="en-US" w:eastAsia="zh-CN"/>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pct"/>
                  <w:noWrap w:val="0"/>
                  <w:vAlign w:val="center"/>
                </w:tcPr>
                <w:p>
                  <w:pPr>
                    <w:pStyle w:val="57"/>
                    <w:bidi w:val="0"/>
                    <w:rPr>
                      <w:rFonts w:hint="eastAsia"/>
                      <w:lang w:val="en-US" w:eastAsia="zh-CN"/>
                    </w:rPr>
                  </w:pPr>
                  <w:r>
                    <w:rPr>
                      <w:rFonts w:hint="eastAsia"/>
                      <w:lang w:val="en-US" w:eastAsia="zh-CN"/>
                    </w:rPr>
                    <w:t>3</w:t>
                  </w:r>
                </w:p>
              </w:tc>
              <w:tc>
                <w:tcPr>
                  <w:tcW w:w="1903" w:type="pct"/>
                  <w:noWrap w:val="0"/>
                  <w:vAlign w:val="center"/>
                </w:tcPr>
                <w:p>
                  <w:pPr>
                    <w:pStyle w:val="57"/>
                    <w:bidi w:val="0"/>
                    <w:rPr>
                      <w:rFonts w:hint="eastAsia"/>
                      <w:lang w:val="en-US" w:eastAsia="zh-CN"/>
                    </w:rPr>
                  </w:pPr>
                  <w:r>
                    <w:rPr>
                      <w:rFonts w:hint="eastAsia"/>
                      <w:lang w:val="en-US" w:eastAsia="zh-CN"/>
                    </w:rPr>
                    <w:t>粉煤灰筒仓</w:t>
                  </w:r>
                </w:p>
              </w:tc>
              <w:tc>
                <w:tcPr>
                  <w:tcW w:w="1526" w:type="pct"/>
                  <w:noWrap w:val="0"/>
                  <w:vAlign w:val="center"/>
                </w:tcPr>
                <w:p>
                  <w:pPr>
                    <w:pStyle w:val="57"/>
                    <w:bidi w:val="0"/>
                    <w:rPr>
                      <w:rFonts w:hint="default"/>
                      <w:lang w:val="en-US" w:eastAsia="zh-CN"/>
                    </w:rPr>
                  </w:pPr>
                  <w:r>
                    <w:rPr>
                      <w:rFonts w:hint="default"/>
                      <w:lang w:val="en-US" w:eastAsia="zh-CN"/>
                    </w:rPr>
                    <w:t>最大容量90t</w:t>
                  </w:r>
                </w:p>
              </w:tc>
              <w:tc>
                <w:tcPr>
                  <w:tcW w:w="1150" w:type="pct"/>
                  <w:noWrap w:val="0"/>
                  <w:vAlign w:val="center"/>
                </w:tcPr>
                <w:p>
                  <w:pPr>
                    <w:pStyle w:val="57"/>
                    <w:bidi w:val="0"/>
                    <w:rPr>
                      <w:rFonts w:hint="default"/>
                      <w:lang w:val="en-US" w:eastAsia="zh-CN"/>
                    </w:rPr>
                  </w:pPr>
                  <w:r>
                    <w:rPr>
                      <w:rFonts w:hint="eastAsia"/>
                      <w:lang w:val="en-US" w:eastAsia="zh-CN"/>
                    </w:rPr>
                    <w:t>1</w:t>
                  </w:r>
                  <w:r>
                    <w:rPr>
                      <w:rFonts w:hint="default"/>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pct"/>
                  <w:noWrap w:val="0"/>
                  <w:vAlign w:val="center"/>
                </w:tcPr>
                <w:p>
                  <w:pPr>
                    <w:pStyle w:val="57"/>
                    <w:bidi w:val="0"/>
                    <w:rPr>
                      <w:rFonts w:hint="default"/>
                      <w:lang w:val="en-US" w:eastAsia="zh-CN"/>
                    </w:rPr>
                  </w:pPr>
                  <w:r>
                    <w:rPr>
                      <w:rFonts w:hint="eastAsia"/>
                      <w:lang w:val="en-US" w:eastAsia="zh-CN"/>
                    </w:rPr>
                    <w:t>4</w:t>
                  </w:r>
                </w:p>
              </w:tc>
              <w:tc>
                <w:tcPr>
                  <w:tcW w:w="1903" w:type="pct"/>
                  <w:noWrap w:val="0"/>
                  <w:vAlign w:val="center"/>
                </w:tcPr>
                <w:p>
                  <w:pPr>
                    <w:pStyle w:val="57"/>
                    <w:bidi w:val="0"/>
                    <w:rPr>
                      <w:rFonts w:hint="default"/>
                      <w:lang w:val="en-US" w:eastAsia="zh-CN"/>
                    </w:rPr>
                  </w:pPr>
                  <w:r>
                    <w:rPr>
                      <w:rFonts w:hint="eastAsia"/>
                      <w:lang w:val="en-US" w:eastAsia="zh-CN"/>
                    </w:rPr>
                    <w:t>稳定土拌合站</w:t>
                  </w:r>
                </w:p>
              </w:tc>
              <w:tc>
                <w:tcPr>
                  <w:tcW w:w="1526" w:type="pct"/>
                  <w:noWrap w:val="0"/>
                  <w:vAlign w:val="center"/>
                </w:tcPr>
                <w:p>
                  <w:pPr>
                    <w:pStyle w:val="57"/>
                    <w:bidi w:val="0"/>
                    <w:rPr>
                      <w:rFonts w:hint="default"/>
                      <w:lang w:val="en-US" w:eastAsia="zh-CN"/>
                    </w:rPr>
                  </w:pPr>
                  <w:r>
                    <w:rPr>
                      <w:rFonts w:hint="default"/>
                      <w:lang w:val="en-US" w:eastAsia="zh-CN"/>
                    </w:rPr>
                    <w:t>WDB 稳定型 800</w:t>
                  </w:r>
                </w:p>
              </w:tc>
              <w:tc>
                <w:tcPr>
                  <w:tcW w:w="1150" w:type="pct"/>
                  <w:noWrap w:val="0"/>
                  <w:vAlign w:val="center"/>
                </w:tcPr>
                <w:p>
                  <w:pPr>
                    <w:pStyle w:val="57"/>
                    <w:bidi w:val="0"/>
                    <w:rPr>
                      <w:rFonts w:hint="default"/>
                      <w:lang w:val="en-US" w:eastAsia="zh-CN"/>
                    </w:rPr>
                  </w:pPr>
                  <w:r>
                    <w:rPr>
                      <w:rFonts w:hint="default"/>
                      <w:lang w:val="en-US" w:eastAsia="zh-CN"/>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pct"/>
                  <w:noWrap w:val="0"/>
                  <w:vAlign w:val="center"/>
                </w:tcPr>
                <w:p>
                  <w:pPr>
                    <w:pStyle w:val="57"/>
                    <w:bidi w:val="0"/>
                    <w:rPr>
                      <w:rFonts w:hint="eastAsia"/>
                      <w:lang w:val="en-US" w:eastAsia="zh-CN"/>
                    </w:rPr>
                  </w:pPr>
                  <w:r>
                    <w:rPr>
                      <w:rFonts w:hint="eastAsia"/>
                      <w:lang w:val="en-US" w:eastAsia="zh-CN"/>
                    </w:rPr>
                    <w:t>5</w:t>
                  </w:r>
                </w:p>
              </w:tc>
              <w:tc>
                <w:tcPr>
                  <w:tcW w:w="1903" w:type="pct"/>
                  <w:noWrap w:val="0"/>
                  <w:vAlign w:val="center"/>
                </w:tcPr>
                <w:p>
                  <w:pPr>
                    <w:pStyle w:val="57"/>
                    <w:bidi w:val="0"/>
                    <w:rPr>
                      <w:rFonts w:hint="eastAsia"/>
                      <w:lang w:val="en-US" w:eastAsia="zh-CN"/>
                    </w:rPr>
                  </w:pPr>
                  <w:r>
                    <w:rPr>
                      <w:rFonts w:hint="eastAsia"/>
                      <w:lang w:val="en-US" w:eastAsia="zh-CN"/>
                    </w:rPr>
                    <w:t>原料筒仓</w:t>
                  </w:r>
                </w:p>
              </w:tc>
              <w:tc>
                <w:tcPr>
                  <w:tcW w:w="1526" w:type="pct"/>
                  <w:noWrap w:val="0"/>
                  <w:vAlign w:val="center"/>
                </w:tcPr>
                <w:p>
                  <w:pPr>
                    <w:pStyle w:val="57"/>
                    <w:bidi w:val="0"/>
                    <w:rPr>
                      <w:rFonts w:hint="default"/>
                      <w:lang w:val="en-US" w:eastAsia="zh-CN"/>
                    </w:rPr>
                  </w:pPr>
                  <w:r>
                    <w:rPr>
                      <w:rFonts w:hint="eastAsia"/>
                      <w:lang w:val="en-US" w:eastAsia="zh-CN"/>
                    </w:rPr>
                    <w:t>最大容量95t、80t</w:t>
                  </w:r>
                </w:p>
              </w:tc>
              <w:tc>
                <w:tcPr>
                  <w:tcW w:w="1150" w:type="pct"/>
                  <w:noWrap w:val="0"/>
                  <w:vAlign w:val="center"/>
                </w:tcPr>
                <w:p>
                  <w:pPr>
                    <w:pStyle w:val="57"/>
                    <w:bidi w:val="0"/>
                    <w:rPr>
                      <w:rFonts w:hint="default"/>
                      <w:lang w:val="en-US" w:eastAsia="zh-CN"/>
                    </w:rPr>
                  </w:pPr>
                  <w:r>
                    <w:rPr>
                      <w:rFonts w:hint="default"/>
                      <w:lang w:val="en-US" w:eastAsia="zh-CN"/>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pct"/>
                  <w:noWrap w:val="0"/>
                  <w:vAlign w:val="center"/>
                </w:tcPr>
                <w:p>
                  <w:pPr>
                    <w:pStyle w:val="57"/>
                    <w:bidi w:val="0"/>
                    <w:rPr>
                      <w:rFonts w:hint="eastAsia"/>
                      <w:lang w:val="en-US" w:eastAsia="zh-CN"/>
                    </w:rPr>
                  </w:pPr>
                  <w:r>
                    <w:rPr>
                      <w:rFonts w:hint="eastAsia"/>
                      <w:lang w:val="en-US" w:eastAsia="zh-CN"/>
                    </w:rPr>
                    <w:t>6</w:t>
                  </w:r>
                </w:p>
              </w:tc>
              <w:tc>
                <w:tcPr>
                  <w:tcW w:w="1903" w:type="pct"/>
                  <w:noWrap w:val="0"/>
                  <w:vAlign w:val="center"/>
                </w:tcPr>
                <w:p>
                  <w:pPr>
                    <w:pStyle w:val="57"/>
                    <w:bidi w:val="0"/>
                    <w:rPr>
                      <w:rFonts w:hint="eastAsia"/>
                      <w:lang w:val="en-US" w:eastAsia="zh-CN"/>
                    </w:rPr>
                  </w:pPr>
                  <w:r>
                    <w:rPr>
                      <w:rFonts w:hint="eastAsia"/>
                      <w:lang w:val="en-US" w:eastAsia="zh-CN"/>
                    </w:rPr>
                    <w:t>沥青混凝土搅拌站</w:t>
                  </w:r>
                </w:p>
              </w:tc>
              <w:tc>
                <w:tcPr>
                  <w:tcW w:w="1526" w:type="pct"/>
                  <w:noWrap w:val="0"/>
                  <w:vAlign w:val="center"/>
                </w:tcPr>
                <w:p>
                  <w:pPr>
                    <w:pStyle w:val="57"/>
                    <w:bidi w:val="0"/>
                    <w:rPr>
                      <w:rFonts w:hint="default"/>
                      <w:lang w:val="en-US" w:eastAsia="zh-CN"/>
                    </w:rPr>
                  </w:pPr>
                  <w:r>
                    <w:rPr>
                      <w:rFonts w:hint="default"/>
                      <w:lang w:val="en-US" w:eastAsia="zh-CN"/>
                    </w:rPr>
                    <w:t>SLB 5000 C8</w:t>
                  </w:r>
                </w:p>
              </w:tc>
              <w:tc>
                <w:tcPr>
                  <w:tcW w:w="1150" w:type="pct"/>
                  <w:noWrap w:val="0"/>
                  <w:vAlign w:val="center"/>
                </w:tcPr>
                <w:p>
                  <w:pPr>
                    <w:pStyle w:val="57"/>
                    <w:bidi w:val="0"/>
                    <w:rPr>
                      <w:rFonts w:hint="default"/>
                      <w:lang w:val="en-US" w:eastAsia="zh-CN"/>
                    </w:rPr>
                  </w:pPr>
                  <w:r>
                    <w:rPr>
                      <w:rFonts w:hint="default"/>
                      <w:lang w:val="en-US" w:eastAsia="zh-CN"/>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pct"/>
                  <w:noWrap w:val="0"/>
                  <w:vAlign w:val="center"/>
                </w:tcPr>
                <w:p>
                  <w:pPr>
                    <w:pStyle w:val="57"/>
                    <w:bidi w:val="0"/>
                    <w:rPr>
                      <w:rFonts w:hint="eastAsia"/>
                      <w:lang w:val="en-US" w:eastAsia="zh-CN"/>
                    </w:rPr>
                  </w:pPr>
                  <w:r>
                    <w:rPr>
                      <w:rFonts w:hint="eastAsia"/>
                      <w:lang w:val="en-US" w:eastAsia="zh-CN"/>
                    </w:rPr>
                    <w:t>7</w:t>
                  </w:r>
                </w:p>
              </w:tc>
              <w:tc>
                <w:tcPr>
                  <w:tcW w:w="1903" w:type="pct"/>
                  <w:noWrap w:val="0"/>
                  <w:vAlign w:val="center"/>
                </w:tcPr>
                <w:p>
                  <w:pPr>
                    <w:pStyle w:val="57"/>
                    <w:bidi w:val="0"/>
                    <w:rPr>
                      <w:rFonts w:hint="eastAsia"/>
                      <w:lang w:val="en-US" w:eastAsia="zh-CN"/>
                    </w:rPr>
                  </w:pPr>
                  <w:r>
                    <w:rPr>
                      <w:rFonts w:hint="eastAsia"/>
                      <w:lang w:val="en-US" w:eastAsia="zh-CN"/>
                    </w:rPr>
                    <w:t>粉料筒仓</w:t>
                  </w:r>
                </w:p>
              </w:tc>
              <w:tc>
                <w:tcPr>
                  <w:tcW w:w="1526" w:type="pct"/>
                  <w:noWrap w:val="0"/>
                  <w:vAlign w:val="center"/>
                </w:tcPr>
                <w:p>
                  <w:pPr>
                    <w:pStyle w:val="57"/>
                    <w:bidi w:val="0"/>
                    <w:rPr>
                      <w:rFonts w:hint="default"/>
                      <w:lang w:val="en-US" w:eastAsia="zh-CN"/>
                    </w:rPr>
                  </w:pPr>
                  <w:r>
                    <w:rPr>
                      <w:rFonts w:hint="default"/>
                      <w:lang w:val="en-US" w:eastAsia="zh-CN"/>
                    </w:rPr>
                    <w:t>最大容量</w:t>
                  </w:r>
                  <w:r>
                    <w:rPr>
                      <w:rFonts w:hint="eastAsia"/>
                      <w:lang w:val="en-US" w:eastAsia="zh-CN"/>
                    </w:rPr>
                    <w:t>8</w:t>
                  </w:r>
                  <w:r>
                    <w:rPr>
                      <w:rFonts w:hint="default"/>
                      <w:lang w:val="en-US" w:eastAsia="zh-CN"/>
                    </w:rPr>
                    <w:t>0t</w:t>
                  </w:r>
                </w:p>
              </w:tc>
              <w:tc>
                <w:tcPr>
                  <w:tcW w:w="1150" w:type="pct"/>
                  <w:noWrap w:val="0"/>
                  <w:vAlign w:val="center"/>
                </w:tcPr>
                <w:p>
                  <w:pPr>
                    <w:pStyle w:val="57"/>
                    <w:bidi w:val="0"/>
                    <w:rPr>
                      <w:rFonts w:hint="default"/>
                      <w:lang w:val="en-US" w:eastAsia="zh-CN"/>
                    </w:rPr>
                  </w:pPr>
                  <w:r>
                    <w:rPr>
                      <w:rFonts w:hint="default"/>
                      <w:lang w:val="en-US" w:eastAsia="zh-CN"/>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2" w:type="dxa"/>
                  <w:noWrap w:val="0"/>
                  <w:vAlign w:val="center"/>
                </w:tcPr>
                <w:p>
                  <w:pPr>
                    <w:pStyle w:val="57"/>
                    <w:bidi w:val="0"/>
                    <w:ind w:firstLine="0" w:firstLineChars="0"/>
                    <w:rPr>
                      <w:rFonts w:hint="eastAsia"/>
                      <w:lang w:val="en-US" w:eastAsia="zh-CN"/>
                    </w:rPr>
                  </w:pPr>
                  <w:r>
                    <w:rPr>
                      <w:rFonts w:hint="eastAsia"/>
                      <w:lang w:val="en-US" w:eastAsia="zh-CN"/>
                    </w:rPr>
                    <w:t>8</w:t>
                  </w:r>
                </w:p>
              </w:tc>
              <w:tc>
                <w:tcPr>
                  <w:tcW w:w="1903" w:type="pct"/>
                  <w:noWrap w:val="0"/>
                  <w:vAlign w:val="center"/>
                </w:tcPr>
                <w:p>
                  <w:pPr>
                    <w:pStyle w:val="57"/>
                    <w:bidi w:val="0"/>
                    <w:rPr>
                      <w:rFonts w:hint="default"/>
                      <w:lang w:val="en-US" w:eastAsia="zh-CN"/>
                    </w:rPr>
                  </w:pPr>
                  <w:r>
                    <w:rPr>
                      <w:rFonts w:hint="eastAsia"/>
                      <w:lang w:val="en-US" w:eastAsia="zh-CN"/>
                    </w:rPr>
                    <w:t>锅炉</w:t>
                  </w:r>
                </w:p>
              </w:tc>
              <w:tc>
                <w:tcPr>
                  <w:tcW w:w="1526" w:type="pct"/>
                  <w:noWrap w:val="0"/>
                  <w:vAlign w:val="center"/>
                </w:tcPr>
                <w:p>
                  <w:pPr>
                    <w:pStyle w:val="57"/>
                    <w:bidi w:val="0"/>
                    <w:rPr>
                      <w:rFonts w:hint="default"/>
                      <w:lang w:val="en-US" w:eastAsia="zh-CN"/>
                    </w:rPr>
                  </w:pPr>
                  <w:r>
                    <w:rPr>
                      <w:rFonts w:hint="eastAsia"/>
                      <w:lang w:val="en-US" w:eastAsia="zh-CN"/>
                    </w:rPr>
                    <w:t>2t</w:t>
                  </w:r>
                </w:p>
              </w:tc>
              <w:tc>
                <w:tcPr>
                  <w:tcW w:w="1150" w:type="pct"/>
                  <w:noWrap w:val="0"/>
                  <w:vAlign w:val="center"/>
                </w:tcPr>
                <w:p>
                  <w:pPr>
                    <w:pStyle w:val="57"/>
                    <w:bidi w:val="0"/>
                    <w:rPr>
                      <w:rFonts w:hint="default"/>
                      <w:lang w:val="en-US" w:eastAsia="zh-CN"/>
                    </w:rPr>
                  </w:pPr>
                  <w:r>
                    <w:rPr>
                      <w:rFonts w:hint="default"/>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2" w:type="dxa"/>
                  <w:noWrap w:val="0"/>
                  <w:vAlign w:val="center"/>
                </w:tcPr>
                <w:p>
                  <w:pPr>
                    <w:pStyle w:val="57"/>
                    <w:bidi w:val="0"/>
                    <w:ind w:firstLine="0" w:firstLineChars="0"/>
                    <w:rPr>
                      <w:rFonts w:hint="eastAsia"/>
                      <w:lang w:val="en-US" w:eastAsia="zh-CN"/>
                    </w:rPr>
                  </w:pPr>
                  <w:r>
                    <w:rPr>
                      <w:rFonts w:hint="eastAsia"/>
                      <w:lang w:val="en-US" w:eastAsia="zh-CN"/>
                    </w:rPr>
                    <w:t>9</w:t>
                  </w:r>
                </w:p>
              </w:tc>
              <w:tc>
                <w:tcPr>
                  <w:tcW w:w="1903" w:type="pct"/>
                  <w:noWrap w:val="0"/>
                  <w:vAlign w:val="center"/>
                </w:tcPr>
                <w:p>
                  <w:pPr>
                    <w:pStyle w:val="57"/>
                    <w:bidi w:val="0"/>
                    <w:rPr>
                      <w:rFonts w:hint="default"/>
                      <w:lang w:val="en-US" w:eastAsia="zh-CN"/>
                    </w:rPr>
                  </w:pPr>
                  <w:r>
                    <w:rPr>
                      <w:rFonts w:hint="eastAsia"/>
                      <w:lang w:val="en-US" w:eastAsia="zh-CN"/>
                    </w:rPr>
                    <w:t>沥青罐</w:t>
                  </w:r>
                </w:p>
              </w:tc>
              <w:tc>
                <w:tcPr>
                  <w:tcW w:w="1526" w:type="pct"/>
                  <w:noWrap w:val="0"/>
                  <w:vAlign w:val="center"/>
                </w:tcPr>
                <w:p>
                  <w:pPr>
                    <w:pStyle w:val="57"/>
                    <w:bidi w:val="0"/>
                    <w:rPr>
                      <w:rFonts w:hint="default"/>
                      <w:lang w:val="en-US" w:eastAsia="zh-CN"/>
                    </w:rPr>
                  </w:pPr>
                  <w:r>
                    <w:rPr>
                      <w:rFonts w:hint="default"/>
                      <w:lang w:val="en-US" w:eastAsia="zh-CN"/>
                    </w:rPr>
                    <w:t>最大容量</w:t>
                  </w:r>
                  <w:r>
                    <w:rPr>
                      <w:rFonts w:hint="eastAsia"/>
                      <w:lang w:val="en-US" w:eastAsia="zh-CN"/>
                    </w:rPr>
                    <w:t>9</w:t>
                  </w:r>
                  <w:r>
                    <w:rPr>
                      <w:rFonts w:hint="default"/>
                      <w:lang w:val="en-US" w:eastAsia="zh-CN"/>
                    </w:rPr>
                    <w:t>0t</w:t>
                  </w:r>
                </w:p>
              </w:tc>
              <w:tc>
                <w:tcPr>
                  <w:tcW w:w="1150" w:type="pct"/>
                  <w:noWrap w:val="0"/>
                  <w:vAlign w:val="center"/>
                </w:tcPr>
                <w:p>
                  <w:pPr>
                    <w:pStyle w:val="57"/>
                    <w:bidi w:val="0"/>
                    <w:rPr>
                      <w:rFonts w:hint="default"/>
                      <w:lang w:val="en-US" w:eastAsia="zh-CN"/>
                    </w:rPr>
                  </w:pPr>
                  <w:r>
                    <w:rPr>
                      <w:rFonts w:hint="default"/>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4" w:type="dxa"/>
                  <w:noWrap w:val="0"/>
                  <w:vAlign w:val="center"/>
                </w:tcPr>
                <w:p>
                  <w:pPr>
                    <w:pStyle w:val="57"/>
                    <w:bidi w:val="0"/>
                    <w:ind w:firstLine="0" w:firstLineChars="0"/>
                    <w:rPr>
                      <w:rFonts w:hint="eastAsia"/>
                      <w:lang w:val="en-US" w:eastAsia="zh-CN"/>
                    </w:rPr>
                  </w:pPr>
                  <w:r>
                    <w:rPr>
                      <w:rFonts w:hint="eastAsia"/>
                      <w:lang w:val="en-US" w:eastAsia="zh-CN"/>
                    </w:rPr>
                    <w:t>10</w:t>
                  </w:r>
                </w:p>
              </w:tc>
              <w:tc>
                <w:tcPr>
                  <w:tcW w:w="1903" w:type="pct"/>
                  <w:noWrap w:val="0"/>
                  <w:vAlign w:val="center"/>
                </w:tcPr>
                <w:p>
                  <w:pPr>
                    <w:pStyle w:val="57"/>
                    <w:bidi w:val="0"/>
                    <w:rPr>
                      <w:rFonts w:hint="eastAsia"/>
                      <w:lang w:val="en-US" w:eastAsia="zh-CN"/>
                    </w:rPr>
                  </w:pPr>
                  <w:r>
                    <w:rPr>
                      <w:rFonts w:hint="eastAsia"/>
                      <w:lang w:val="en-US" w:eastAsia="zh-CN"/>
                    </w:rPr>
                    <w:t>外加剂储料仓</w:t>
                  </w:r>
                </w:p>
              </w:tc>
              <w:tc>
                <w:tcPr>
                  <w:tcW w:w="1526" w:type="pct"/>
                  <w:noWrap w:val="0"/>
                  <w:vAlign w:val="center"/>
                </w:tcPr>
                <w:p>
                  <w:pPr>
                    <w:pStyle w:val="57"/>
                    <w:bidi w:val="0"/>
                    <w:rPr>
                      <w:rFonts w:hint="default"/>
                      <w:lang w:val="en-US" w:eastAsia="zh-CN"/>
                    </w:rPr>
                  </w:pPr>
                  <w:r>
                    <w:rPr>
                      <w:rFonts w:hint="default"/>
                      <w:lang w:val="en-US" w:eastAsia="zh-CN"/>
                    </w:rPr>
                    <w:t>最大容量</w:t>
                  </w:r>
                  <w:r>
                    <w:rPr>
                      <w:rFonts w:hint="eastAsia"/>
                      <w:lang w:val="en-US" w:eastAsia="zh-CN"/>
                    </w:rPr>
                    <w:t>5</w:t>
                  </w:r>
                  <w:r>
                    <w:rPr>
                      <w:rFonts w:hint="default"/>
                      <w:lang w:val="en-US" w:eastAsia="zh-CN"/>
                    </w:rPr>
                    <w:t>t</w:t>
                  </w:r>
                </w:p>
              </w:tc>
              <w:tc>
                <w:tcPr>
                  <w:tcW w:w="1150" w:type="pct"/>
                  <w:noWrap w:val="0"/>
                  <w:vAlign w:val="center"/>
                </w:tcPr>
                <w:p>
                  <w:pPr>
                    <w:pStyle w:val="57"/>
                    <w:bidi w:val="0"/>
                    <w:rPr>
                      <w:rFonts w:hint="default"/>
                      <w:lang w:val="en-US" w:eastAsia="zh-CN"/>
                    </w:rPr>
                  </w:pPr>
                  <w:r>
                    <w:rPr>
                      <w:rFonts w:hint="eastAsia"/>
                      <w:lang w:val="en-US" w:eastAsia="zh-CN"/>
                    </w:rPr>
                    <w:t>1</w:t>
                  </w:r>
                  <w:r>
                    <w:rPr>
                      <w:rFonts w:hint="default"/>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4" w:type="dxa"/>
                  <w:noWrap w:val="0"/>
                  <w:vAlign w:val="center"/>
                </w:tcPr>
                <w:p>
                  <w:pPr>
                    <w:pStyle w:val="57"/>
                    <w:bidi w:val="0"/>
                    <w:ind w:firstLine="0" w:firstLineChars="0"/>
                    <w:rPr>
                      <w:rFonts w:hint="default"/>
                      <w:lang w:val="en-US" w:eastAsia="zh-CN"/>
                    </w:rPr>
                  </w:pPr>
                  <w:r>
                    <w:rPr>
                      <w:rFonts w:hint="eastAsia"/>
                      <w:lang w:val="en-US" w:eastAsia="zh-CN"/>
                    </w:rPr>
                    <w:t>11</w:t>
                  </w:r>
                </w:p>
              </w:tc>
              <w:tc>
                <w:tcPr>
                  <w:tcW w:w="1903" w:type="pct"/>
                  <w:noWrap w:val="0"/>
                  <w:vAlign w:val="center"/>
                </w:tcPr>
                <w:p>
                  <w:pPr>
                    <w:pStyle w:val="57"/>
                    <w:bidi w:val="0"/>
                    <w:rPr>
                      <w:rFonts w:hint="eastAsia"/>
                      <w:lang w:val="en-US" w:eastAsia="zh-CN"/>
                    </w:rPr>
                  </w:pPr>
                  <w:r>
                    <w:rPr>
                      <w:rFonts w:hint="eastAsia"/>
                      <w:lang w:val="en-US" w:eastAsia="zh-CN"/>
                    </w:rPr>
                    <w:t>外加剂计量系统</w:t>
                  </w:r>
                </w:p>
              </w:tc>
              <w:tc>
                <w:tcPr>
                  <w:tcW w:w="1526" w:type="pct"/>
                  <w:noWrap w:val="0"/>
                  <w:vAlign w:val="center"/>
                </w:tcPr>
                <w:p>
                  <w:pPr>
                    <w:pStyle w:val="57"/>
                    <w:bidi w:val="0"/>
                    <w:rPr>
                      <w:rFonts w:hint="default"/>
                      <w:lang w:val="en-US" w:eastAsia="zh-CN"/>
                    </w:rPr>
                  </w:pPr>
                  <w:r>
                    <w:rPr>
                      <w:rFonts w:hint="eastAsia"/>
                      <w:lang w:val="en-US" w:eastAsia="zh-CN"/>
                    </w:rPr>
                    <w:t>/</w:t>
                  </w:r>
                </w:p>
              </w:tc>
              <w:tc>
                <w:tcPr>
                  <w:tcW w:w="1150" w:type="pct"/>
                  <w:noWrap w:val="0"/>
                  <w:vAlign w:val="center"/>
                </w:tcPr>
                <w:p>
                  <w:pPr>
                    <w:pStyle w:val="57"/>
                    <w:bidi w:val="0"/>
                    <w:rPr>
                      <w:rFonts w:hint="default"/>
                      <w:lang w:val="en-US" w:eastAsia="zh-CN"/>
                    </w:rPr>
                  </w:pPr>
                  <w:r>
                    <w:rPr>
                      <w:rFonts w:hint="eastAsia"/>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2" w:type="dxa"/>
                  <w:noWrap w:val="0"/>
                  <w:vAlign w:val="center"/>
                </w:tcPr>
                <w:p>
                  <w:pPr>
                    <w:pStyle w:val="57"/>
                    <w:bidi w:val="0"/>
                    <w:ind w:firstLine="0" w:firstLineChars="0"/>
                    <w:rPr>
                      <w:rFonts w:hint="default"/>
                      <w:lang w:val="en-US" w:eastAsia="zh-CN"/>
                    </w:rPr>
                  </w:pPr>
                  <w:r>
                    <w:rPr>
                      <w:rFonts w:hint="eastAsia"/>
                      <w:lang w:val="en-US" w:eastAsia="zh-CN"/>
                    </w:rPr>
                    <w:t>12</w:t>
                  </w:r>
                </w:p>
              </w:tc>
              <w:tc>
                <w:tcPr>
                  <w:tcW w:w="1903" w:type="pct"/>
                  <w:noWrap w:val="0"/>
                  <w:vAlign w:val="center"/>
                </w:tcPr>
                <w:p>
                  <w:pPr>
                    <w:pStyle w:val="57"/>
                    <w:bidi w:val="0"/>
                    <w:rPr>
                      <w:rFonts w:hint="default"/>
                    </w:rPr>
                  </w:pPr>
                  <w:r>
                    <w:rPr>
                      <w:rFonts w:hint="eastAsia"/>
                      <w:lang w:val="en-US" w:eastAsia="zh-CN"/>
                    </w:rPr>
                    <w:t>搅拌运输车</w:t>
                  </w:r>
                </w:p>
              </w:tc>
              <w:tc>
                <w:tcPr>
                  <w:tcW w:w="1526" w:type="pct"/>
                  <w:noWrap w:val="0"/>
                  <w:vAlign w:val="center"/>
                </w:tcPr>
                <w:p>
                  <w:pPr>
                    <w:pStyle w:val="57"/>
                    <w:bidi w:val="0"/>
                    <w:rPr>
                      <w:rFonts w:hint="default"/>
                      <w:lang w:val="en-US" w:eastAsia="zh-CN"/>
                    </w:rPr>
                  </w:pPr>
                  <w:r>
                    <w:rPr>
                      <w:rFonts w:hint="default"/>
                      <w:lang w:val="en-US" w:eastAsia="zh-CN"/>
                    </w:rPr>
                    <w:t>/</w:t>
                  </w:r>
                </w:p>
              </w:tc>
              <w:tc>
                <w:tcPr>
                  <w:tcW w:w="1150" w:type="pct"/>
                  <w:noWrap w:val="0"/>
                  <w:vAlign w:val="center"/>
                </w:tcPr>
                <w:p>
                  <w:pPr>
                    <w:pStyle w:val="57"/>
                    <w:bidi w:val="0"/>
                    <w:rPr>
                      <w:rFonts w:hint="default"/>
                      <w:lang w:val="en-US" w:eastAsia="zh-CN"/>
                    </w:rPr>
                  </w:pPr>
                  <w:r>
                    <w:rPr>
                      <w:rFonts w:hint="eastAsia"/>
                      <w:lang w:val="en-US" w:eastAsia="zh-CN"/>
                    </w:rPr>
                    <w:t>15辆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pct"/>
                  <w:noWrap w:val="0"/>
                  <w:vAlign w:val="center"/>
                </w:tcPr>
                <w:p>
                  <w:pPr>
                    <w:pStyle w:val="57"/>
                    <w:bidi w:val="0"/>
                    <w:rPr>
                      <w:rFonts w:hint="default"/>
                      <w:lang w:val="en-US" w:eastAsia="zh-CN"/>
                    </w:rPr>
                  </w:pPr>
                  <w:r>
                    <w:rPr>
                      <w:rFonts w:hint="eastAsia"/>
                      <w:lang w:val="en-US" w:eastAsia="zh-CN"/>
                    </w:rPr>
                    <w:t>13</w:t>
                  </w:r>
                </w:p>
              </w:tc>
              <w:tc>
                <w:tcPr>
                  <w:tcW w:w="1903" w:type="pct"/>
                  <w:noWrap w:val="0"/>
                  <w:vAlign w:val="center"/>
                </w:tcPr>
                <w:p>
                  <w:pPr>
                    <w:pStyle w:val="57"/>
                    <w:bidi w:val="0"/>
                    <w:rPr>
                      <w:rFonts w:hint="default"/>
                      <w:lang w:val="en-US" w:eastAsia="zh-CN"/>
                    </w:rPr>
                  </w:pPr>
                  <w:r>
                    <w:rPr>
                      <w:rFonts w:hint="eastAsia"/>
                      <w:lang w:val="en-US" w:eastAsia="zh-CN"/>
                    </w:rPr>
                    <w:t>柴油储罐</w:t>
                  </w:r>
                </w:p>
              </w:tc>
              <w:tc>
                <w:tcPr>
                  <w:tcW w:w="1526" w:type="pct"/>
                  <w:noWrap w:val="0"/>
                  <w:vAlign w:val="center"/>
                </w:tcPr>
                <w:p>
                  <w:pPr>
                    <w:pStyle w:val="57"/>
                    <w:bidi w:val="0"/>
                    <w:rPr>
                      <w:rFonts w:hint="default"/>
                      <w:lang w:val="en-US" w:eastAsia="zh-CN"/>
                    </w:rPr>
                  </w:pPr>
                  <w:r>
                    <w:rPr>
                      <w:rFonts w:hint="default"/>
                      <w:lang w:val="en-US" w:eastAsia="zh-CN"/>
                    </w:rPr>
                    <w:t>最大容量</w:t>
                  </w:r>
                  <w:r>
                    <w:rPr>
                      <w:rFonts w:hint="eastAsia"/>
                      <w:lang w:val="en-US" w:eastAsia="zh-CN"/>
                    </w:rPr>
                    <w:t>29</w:t>
                  </w:r>
                  <w:r>
                    <w:rPr>
                      <w:rFonts w:hint="default"/>
                      <w:lang w:val="en-US" w:eastAsia="zh-CN"/>
                    </w:rPr>
                    <w:t>t</w:t>
                  </w:r>
                </w:p>
              </w:tc>
              <w:tc>
                <w:tcPr>
                  <w:tcW w:w="1150" w:type="pct"/>
                  <w:noWrap w:val="0"/>
                  <w:vAlign w:val="center"/>
                </w:tcPr>
                <w:p>
                  <w:pPr>
                    <w:pStyle w:val="57"/>
                    <w:bidi w:val="0"/>
                    <w:rPr>
                      <w:rFonts w:hint="eastAsia"/>
                      <w:lang w:val="en-US" w:eastAsia="zh-CN"/>
                    </w:rPr>
                  </w:pPr>
                  <w:r>
                    <w:rPr>
                      <w:rFonts w:hint="eastAsia"/>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4"/>
                  <w:noWrap w:val="0"/>
                  <w:vAlign w:val="center"/>
                </w:tcPr>
                <w:p>
                  <w:pPr>
                    <w:pStyle w:val="57"/>
                    <w:bidi w:val="0"/>
                    <w:rPr>
                      <w:rFonts w:hint="default"/>
                      <w:lang w:val="en-US" w:eastAsia="zh-CN"/>
                    </w:rPr>
                  </w:pPr>
                  <w:r>
                    <w:rPr>
                      <w:rFonts w:hint="eastAsia"/>
                      <w:lang w:val="en-US" w:eastAsia="zh-CN"/>
                    </w:rPr>
                    <w:t>二号站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4" w:type="dxa"/>
                  <w:noWrap w:val="0"/>
                  <w:vAlign w:val="center"/>
                </w:tcPr>
                <w:p>
                  <w:pPr>
                    <w:pStyle w:val="57"/>
                    <w:bidi w:val="0"/>
                    <w:rPr>
                      <w:rFonts w:hint="default"/>
                      <w:lang w:val="en-US" w:eastAsia="zh-CN"/>
                    </w:rPr>
                  </w:pPr>
                  <w:r>
                    <w:rPr>
                      <w:rFonts w:hint="eastAsia"/>
                      <w:lang w:val="en-US" w:eastAsia="zh-CN"/>
                    </w:rPr>
                    <w:t>1</w:t>
                  </w:r>
                </w:p>
              </w:tc>
              <w:tc>
                <w:tcPr>
                  <w:tcW w:w="1903" w:type="pct"/>
                  <w:noWrap w:val="0"/>
                  <w:vAlign w:val="center"/>
                </w:tcPr>
                <w:p>
                  <w:pPr>
                    <w:pStyle w:val="57"/>
                    <w:bidi w:val="0"/>
                    <w:rPr>
                      <w:rFonts w:hint="eastAsia"/>
                      <w:lang w:val="en-US" w:eastAsia="zh-CN"/>
                    </w:rPr>
                  </w:pPr>
                  <w:r>
                    <w:rPr>
                      <w:rFonts w:hint="eastAsia"/>
                      <w:lang w:val="en-US" w:eastAsia="zh-CN"/>
                    </w:rPr>
                    <w:t>混凝土</w:t>
                  </w:r>
                  <w:r>
                    <w:rPr>
                      <w:rFonts w:hint="default"/>
                    </w:rPr>
                    <w:t>搅拌</w:t>
                  </w:r>
                  <w:r>
                    <w:rPr>
                      <w:rFonts w:hint="eastAsia"/>
                      <w:lang w:val="en-US" w:eastAsia="zh-CN"/>
                    </w:rPr>
                    <w:t>站</w:t>
                  </w:r>
                </w:p>
              </w:tc>
              <w:tc>
                <w:tcPr>
                  <w:tcW w:w="1526" w:type="pct"/>
                  <w:noWrap w:val="0"/>
                  <w:vAlign w:val="center"/>
                </w:tcPr>
                <w:p>
                  <w:pPr>
                    <w:pStyle w:val="57"/>
                    <w:bidi w:val="0"/>
                    <w:rPr>
                      <w:rFonts w:hint="default"/>
                      <w:lang w:val="en-US" w:eastAsia="zh-CN"/>
                    </w:rPr>
                  </w:pPr>
                  <w:r>
                    <w:rPr>
                      <w:rFonts w:hint="default"/>
                      <w:lang w:val="en-US" w:eastAsia="zh-CN"/>
                    </w:rPr>
                    <w:t>HZS 90</w:t>
                  </w:r>
                </w:p>
              </w:tc>
              <w:tc>
                <w:tcPr>
                  <w:tcW w:w="1150" w:type="pct"/>
                  <w:noWrap w:val="0"/>
                  <w:vAlign w:val="center"/>
                </w:tcPr>
                <w:p>
                  <w:pPr>
                    <w:pStyle w:val="57"/>
                    <w:bidi w:val="0"/>
                    <w:rPr>
                      <w:rFonts w:hint="eastAsia"/>
                      <w:lang w:val="en-US" w:eastAsia="zh-CN"/>
                    </w:rPr>
                  </w:pPr>
                  <w:r>
                    <w:rPr>
                      <w:rFonts w:hint="default"/>
                      <w:lang w:val="en-US" w:eastAsia="zh-CN"/>
                    </w:rPr>
                    <w:t>1</w:t>
                  </w:r>
                  <w:r>
                    <w:rPr>
                      <w:rFonts w:hint="eastAsia"/>
                      <w:lang w:val="en-US" w:eastAsia="zh-CN"/>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684" w:type="dxa"/>
                  <w:noWrap w:val="0"/>
                  <w:vAlign w:val="center"/>
                </w:tcPr>
                <w:p>
                  <w:pPr>
                    <w:pStyle w:val="57"/>
                    <w:bidi w:val="0"/>
                    <w:rPr>
                      <w:rFonts w:hint="default"/>
                      <w:lang w:val="en-US" w:eastAsia="zh-CN"/>
                    </w:rPr>
                  </w:pPr>
                  <w:r>
                    <w:rPr>
                      <w:rFonts w:hint="eastAsia"/>
                      <w:lang w:val="en-US" w:eastAsia="zh-CN"/>
                    </w:rPr>
                    <w:t>2</w:t>
                  </w:r>
                </w:p>
              </w:tc>
              <w:tc>
                <w:tcPr>
                  <w:tcW w:w="1903" w:type="pct"/>
                  <w:noWrap w:val="0"/>
                  <w:vAlign w:val="center"/>
                </w:tcPr>
                <w:p>
                  <w:pPr>
                    <w:pStyle w:val="57"/>
                    <w:bidi w:val="0"/>
                    <w:rPr>
                      <w:rFonts w:hint="eastAsia"/>
                      <w:lang w:val="en-US" w:eastAsia="zh-CN"/>
                    </w:rPr>
                  </w:pPr>
                  <w:r>
                    <w:rPr>
                      <w:rFonts w:hint="eastAsia"/>
                      <w:lang w:val="en-US" w:eastAsia="zh-CN"/>
                    </w:rPr>
                    <w:t>水泥筒仓</w:t>
                  </w:r>
                </w:p>
              </w:tc>
              <w:tc>
                <w:tcPr>
                  <w:tcW w:w="1526" w:type="pct"/>
                  <w:noWrap w:val="0"/>
                  <w:vAlign w:val="center"/>
                </w:tcPr>
                <w:p>
                  <w:pPr>
                    <w:pStyle w:val="57"/>
                    <w:bidi w:val="0"/>
                    <w:rPr>
                      <w:rFonts w:hint="default"/>
                      <w:lang w:val="en-US" w:eastAsia="zh-CN"/>
                    </w:rPr>
                  </w:pPr>
                  <w:r>
                    <w:rPr>
                      <w:rFonts w:hint="default"/>
                      <w:lang w:val="en-US" w:eastAsia="zh-CN"/>
                    </w:rPr>
                    <w:t>最大容量</w:t>
                  </w:r>
                  <w:r>
                    <w:rPr>
                      <w:rFonts w:hint="eastAsia"/>
                      <w:lang w:val="en-US" w:eastAsia="zh-CN"/>
                    </w:rPr>
                    <w:t>90t</w:t>
                  </w:r>
                </w:p>
              </w:tc>
              <w:tc>
                <w:tcPr>
                  <w:tcW w:w="1150" w:type="pct"/>
                  <w:noWrap w:val="0"/>
                  <w:vAlign w:val="center"/>
                </w:tcPr>
                <w:p>
                  <w:pPr>
                    <w:pStyle w:val="57"/>
                    <w:bidi w:val="0"/>
                    <w:rPr>
                      <w:rFonts w:hint="eastAsia"/>
                      <w:lang w:val="en-US" w:eastAsia="zh-CN"/>
                    </w:rPr>
                  </w:pPr>
                  <w:r>
                    <w:rPr>
                      <w:rFonts w:hint="eastAsia"/>
                      <w:lang w:val="en-US" w:eastAsia="zh-CN"/>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4" w:type="dxa"/>
                  <w:noWrap w:val="0"/>
                  <w:vAlign w:val="center"/>
                </w:tcPr>
                <w:p>
                  <w:pPr>
                    <w:pStyle w:val="57"/>
                    <w:bidi w:val="0"/>
                    <w:rPr>
                      <w:rFonts w:hint="default"/>
                      <w:lang w:val="en-US" w:eastAsia="zh-CN"/>
                    </w:rPr>
                  </w:pPr>
                  <w:r>
                    <w:rPr>
                      <w:rFonts w:hint="eastAsia"/>
                      <w:lang w:val="en-US" w:eastAsia="zh-CN"/>
                    </w:rPr>
                    <w:t>3</w:t>
                  </w:r>
                </w:p>
              </w:tc>
              <w:tc>
                <w:tcPr>
                  <w:tcW w:w="1903" w:type="pct"/>
                  <w:noWrap w:val="0"/>
                  <w:vAlign w:val="center"/>
                </w:tcPr>
                <w:p>
                  <w:pPr>
                    <w:pStyle w:val="57"/>
                    <w:bidi w:val="0"/>
                    <w:rPr>
                      <w:rFonts w:hint="eastAsia"/>
                      <w:lang w:val="en-US" w:eastAsia="zh-CN"/>
                    </w:rPr>
                  </w:pPr>
                  <w:r>
                    <w:rPr>
                      <w:rFonts w:hint="eastAsia"/>
                      <w:lang w:val="en-US" w:eastAsia="zh-CN"/>
                    </w:rPr>
                    <w:t>粉煤灰筒仓</w:t>
                  </w:r>
                </w:p>
              </w:tc>
              <w:tc>
                <w:tcPr>
                  <w:tcW w:w="1526" w:type="pct"/>
                  <w:noWrap w:val="0"/>
                  <w:vAlign w:val="center"/>
                </w:tcPr>
                <w:p>
                  <w:pPr>
                    <w:pStyle w:val="57"/>
                    <w:bidi w:val="0"/>
                    <w:rPr>
                      <w:rFonts w:hint="default"/>
                      <w:lang w:val="en-US" w:eastAsia="zh-CN"/>
                    </w:rPr>
                  </w:pPr>
                  <w:r>
                    <w:rPr>
                      <w:rFonts w:hint="default"/>
                      <w:lang w:val="en-US" w:eastAsia="zh-CN"/>
                    </w:rPr>
                    <w:t>最大容量90t</w:t>
                  </w:r>
                </w:p>
              </w:tc>
              <w:tc>
                <w:tcPr>
                  <w:tcW w:w="1150" w:type="pct"/>
                  <w:noWrap w:val="0"/>
                  <w:vAlign w:val="center"/>
                </w:tcPr>
                <w:p>
                  <w:pPr>
                    <w:pStyle w:val="57"/>
                    <w:bidi w:val="0"/>
                    <w:rPr>
                      <w:rFonts w:hint="eastAsia"/>
                      <w:lang w:val="en-US" w:eastAsia="zh-CN"/>
                    </w:rPr>
                  </w:pPr>
                  <w:r>
                    <w:rPr>
                      <w:rFonts w:hint="eastAsia"/>
                      <w:lang w:val="en-US" w:eastAsia="zh-CN"/>
                    </w:rPr>
                    <w:t>1</w:t>
                  </w:r>
                  <w:r>
                    <w:rPr>
                      <w:rFonts w:hint="default"/>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4" w:type="dxa"/>
                  <w:noWrap w:val="0"/>
                  <w:vAlign w:val="center"/>
                </w:tcPr>
                <w:p>
                  <w:pPr>
                    <w:pStyle w:val="57"/>
                    <w:bidi w:val="0"/>
                    <w:rPr>
                      <w:rFonts w:hint="default"/>
                      <w:lang w:val="en-US" w:eastAsia="zh-CN"/>
                    </w:rPr>
                  </w:pPr>
                  <w:r>
                    <w:rPr>
                      <w:rFonts w:hint="eastAsia"/>
                      <w:lang w:val="en-US" w:eastAsia="zh-CN"/>
                    </w:rPr>
                    <w:t>4</w:t>
                  </w:r>
                </w:p>
              </w:tc>
              <w:tc>
                <w:tcPr>
                  <w:tcW w:w="3099" w:type="dxa"/>
                  <w:noWrap w:val="0"/>
                  <w:vAlign w:val="center"/>
                </w:tcPr>
                <w:p>
                  <w:pPr>
                    <w:pStyle w:val="57"/>
                    <w:bidi w:val="0"/>
                    <w:rPr>
                      <w:rFonts w:hint="eastAsia"/>
                      <w:lang w:val="en-US" w:eastAsia="zh-CN"/>
                    </w:rPr>
                  </w:pPr>
                  <w:r>
                    <w:rPr>
                      <w:rFonts w:hint="eastAsia"/>
                      <w:lang w:val="en-US" w:eastAsia="zh-CN"/>
                    </w:rPr>
                    <w:t>外加剂储料仓</w:t>
                  </w:r>
                </w:p>
              </w:tc>
              <w:tc>
                <w:tcPr>
                  <w:tcW w:w="2485" w:type="dxa"/>
                  <w:noWrap w:val="0"/>
                  <w:vAlign w:val="center"/>
                </w:tcPr>
                <w:p>
                  <w:pPr>
                    <w:pStyle w:val="57"/>
                    <w:bidi w:val="0"/>
                    <w:rPr>
                      <w:rFonts w:hint="default"/>
                      <w:lang w:val="en-US" w:eastAsia="zh-CN"/>
                    </w:rPr>
                  </w:pPr>
                  <w:r>
                    <w:rPr>
                      <w:rFonts w:hint="default"/>
                      <w:lang w:val="en-US" w:eastAsia="zh-CN"/>
                    </w:rPr>
                    <w:t>最大容量</w:t>
                  </w:r>
                  <w:r>
                    <w:rPr>
                      <w:rFonts w:hint="eastAsia"/>
                      <w:lang w:val="en-US" w:eastAsia="zh-CN"/>
                    </w:rPr>
                    <w:t>5</w:t>
                  </w:r>
                  <w:r>
                    <w:rPr>
                      <w:rFonts w:hint="default"/>
                      <w:lang w:val="en-US" w:eastAsia="zh-CN"/>
                    </w:rPr>
                    <w:t>t</w:t>
                  </w:r>
                </w:p>
              </w:tc>
              <w:tc>
                <w:tcPr>
                  <w:tcW w:w="1874" w:type="dxa"/>
                  <w:noWrap w:val="0"/>
                  <w:vAlign w:val="center"/>
                </w:tcPr>
                <w:p>
                  <w:pPr>
                    <w:pStyle w:val="57"/>
                    <w:bidi w:val="0"/>
                    <w:rPr>
                      <w:rFonts w:hint="eastAsia"/>
                      <w:lang w:val="en-US" w:eastAsia="zh-CN"/>
                    </w:rPr>
                  </w:pPr>
                  <w:r>
                    <w:rPr>
                      <w:rFonts w:hint="eastAsia"/>
                      <w:lang w:val="en-US" w:eastAsia="zh-CN"/>
                    </w:rPr>
                    <w:t>1</w:t>
                  </w:r>
                  <w:r>
                    <w:rPr>
                      <w:rFonts w:hint="default"/>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4" w:type="dxa"/>
                  <w:noWrap w:val="0"/>
                  <w:vAlign w:val="center"/>
                </w:tcPr>
                <w:p>
                  <w:pPr>
                    <w:pStyle w:val="57"/>
                    <w:bidi w:val="0"/>
                    <w:rPr>
                      <w:rFonts w:hint="default"/>
                      <w:lang w:val="en-US" w:eastAsia="zh-CN"/>
                    </w:rPr>
                  </w:pPr>
                  <w:r>
                    <w:rPr>
                      <w:rFonts w:hint="eastAsia"/>
                      <w:lang w:val="en-US" w:eastAsia="zh-CN"/>
                    </w:rPr>
                    <w:t>5</w:t>
                  </w:r>
                </w:p>
              </w:tc>
              <w:tc>
                <w:tcPr>
                  <w:tcW w:w="3099" w:type="dxa"/>
                  <w:noWrap w:val="0"/>
                  <w:vAlign w:val="center"/>
                </w:tcPr>
                <w:p>
                  <w:pPr>
                    <w:pStyle w:val="57"/>
                    <w:bidi w:val="0"/>
                    <w:rPr>
                      <w:rFonts w:hint="eastAsia"/>
                      <w:lang w:val="en-US" w:eastAsia="zh-CN"/>
                    </w:rPr>
                  </w:pPr>
                  <w:r>
                    <w:rPr>
                      <w:rFonts w:hint="eastAsia"/>
                      <w:lang w:val="en-US" w:eastAsia="zh-CN"/>
                    </w:rPr>
                    <w:t>外加剂计量系统</w:t>
                  </w:r>
                </w:p>
              </w:tc>
              <w:tc>
                <w:tcPr>
                  <w:tcW w:w="2485" w:type="dxa"/>
                  <w:noWrap w:val="0"/>
                  <w:vAlign w:val="center"/>
                </w:tcPr>
                <w:p>
                  <w:pPr>
                    <w:pStyle w:val="57"/>
                    <w:bidi w:val="0"/>
                    <w:rPr>
                      <w:rFonts w:hint="default"/>
                      <w:lang w:val="en-US" w:eastAsia="zh-CN"/>
                    </w:rPr>
                  </w:pPr>
                  <w:r>
                    <w:rPr>
                      <w:rFonts w:hint="eastAsia"/>
                      <w:lang w:val="en-US" w:eastAsia="zh-CN"/>
                    </w:rPr>
                    <w:t>/</w:t>
                  </w:r>
                </w:p>
              </w:tc>
              <w:tc>
                <w:tcPr>
                  <w:tcW w:w="1874" w:type="dxa"/>
                  <w:noWrap w:val="0"/>
                  <w:vAlign w:val="center"/>
                </w:tcPr>
                <w:p>
                  <w:pPr>
                    <w:pStyle w:val="57"/>
                    <w:bidi w:val="0"/>
                    <w:rPr>
                      <w:rFonts w:hint="eastAsia"/>
                      <w:lang w:val="en-US" w:eastAsia="zh-CN"/>
                    </w:rPr>
                  </w:pPr>
                  <w:r>
                    <w:rPr>
                      <w:rFonts w:hint="eastAsia"/>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pct"/>
                  <w:noWrap w:val="0"/>
                  <w:vAlign w:val="center"/>
                </w:tcPr>
                <w:p>
                  <w:pPr>
                    <w:pStyle w:val="57"/>
                    <w:bidi w:val="0"/>
                    <w:rPr>
                      <w:rFonts w:hint="default"/>
                      <w:lang w:val="en-US" w:eastAsia="zh-CN"/>
                    </w:rPr>
                  </w:pPr>
                  <w:r>
                    <w:rPr>
                      <w:rFonts w:hint="eastAsia"/>
                      <w:lang w:val="en-US" w:eastAsia="zh-CN"/>
                    </w:rPr>
                    <w:t>6</w:t>
                  </w:r>
                </w:p>
              </w:tc>
              <w:tc>
                <w:tcPr>
                  <w:tcW w:w="1903" w:type="pct"/>
                  <w:noWrap w:val="0"/>
                  <w:vAlign w:val="center"/>
                </w:tcPr>
                <w:p>
                  <w:pPr>
                    <w:pStyle w:val="57"/>
                    <w:bidi w:val="0"/>
                    <w:rPr>
                      <w:rFonts w:hint="eastAsia"/>
                      <w:lang w:val="en-US" w:eastAsia="zh-CN"/>
                    </w:rPr>
                  </w:pPr>
                  <w:r>
                    <w:rPr>
                      <w:rFonts w:hint="eastAsia"/>
                      <w:lang w:val="en-US" w:eastAsia="zh-CN"/>
                    </w:rPr>
                    <w:t>搅拌运输车</w:t>
                  </w:r>
                </w:p>
              </w:tc>
              <w:tc>
                <w:tcPr>
                  <w:tcW w:w="1526" w:type="pct"/>
                  <w:noWrap w:val="0"/>
                  <w:vAlign w:val="center"/>
                </w:tcPr>
                <w:p>
                  <w:pPr>
                    <w:pStyle w:val="57"/>
                    <w:bidi w:val="0"/>
                    <w:rPr>
                      <w:rFonts w:hint="default"/>
                      <w:lang w:val="en-US" w:eastAsia="zh-CN"/>
                    </w:rPr>
                  </w:pPr>
                  <w:r>
                    <w:rPr>
                      <w:rFonts w:hint="default"/>
                      <w:lang w:val="en-US" w:eastAsia="zh-CN"/>
                    </w:rPr>
                    <w:t>/</w:t>
                  </w:r>
                </w:p>
              </w:tc>
              <w:tc>
                <w:tcPr>
                  <w:tcW w:w="1150" w:type="pct"/>
                  <w:noWrap w:val="0"/>
                  <w:vAlign w:val="center"/>
                </w:tcPr>
                <w:p>
                  <w:pPr>
                    <w:pStyle w:val="57"/>
                    <w:bidi w:val="0"/>
                    <w:rPr>
                      <w:rFonts w:hint="eastAsia"/>
                      <w:lang w:val="en-US" w:eastAsia="zh-CN"/>
                    </w:rPr>
                  </w:pPr>
                  <w:r>
                    <w:rPr>
                      <w:rFonts w:hint="eastAsia"/>
                      <w:lang w:val="en-US" w:eastAsia="zh-CN"/>
                    </w:rPr>
                    <w:t>5辆</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both"/>
              <w:textAlignment w:val="auto"/>
              <w:rPr>
                <w:rFonts w:hint="default" w:ascii="Times New Roman" w:hAnsi="Times New Roman" w:cs="Times New Roman" w:eastAsiaTheme="minorEastAsia"/>
                <w:b/>
                <w:color w:val="000000" w:themeColor="text1"/>
                <w:spacing w:val="0"/>
                <w:kern w:val="21"/>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pacing w:val="0"/>
                <w:kern w:val="21"/>
                <w:sz w:val="24"/>
                <w:szCs w:val="24"/>
                <w:highlight w:val="none"/>
                <w:u w:val="none" w:color="auto"/>
                <w:lang w:val="en-US" w:eastAsia="zh-CN" w:bidi="ar-SA"/>
                <w14:textFill>
                  <w14:solidFill>
                    <w14:schemeClr w14:val="tx1"/>
                  </w14:solidFill>
                </w14:textFill>
              </w:rPr>
              <w:t>3、公用工程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eastAsiaTheme="minorEastAsia"/>
                <w:b/>
                <w:bCs/>
                <w:color w:val="000000" w:themeColor="text1"/>
                <w:sz w:val="24"/>
                <w:szCs w:val="22"/>
                <w:highlight w:val="none"/>
                <w:u w:val="none" w:color="auto"/>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2"/>
                <w:highlight w:val="none"/>
                <w:u w:val="none" w:color="auto"/>
                <w:lang w:val="en-US" w:eastAsia="zh-CN"/>
                <w14:textFill>
                  <w14:solidFill>
                    <w14:schemeClr w14:val="tx1"/>
                  </w14:solidFill>
                </w14:textFill>
              </w:rPr>
              <w:t>3.1给、排水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①</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给水：</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由水井供水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Times New Roman" w:cs="Times New Roman" w:eastAsiaTheme="minorEastAsia"/>
                <w:bCs/>
                <w:color w:val="000000" w:themeColor="text1"/>
                <w:kern w:val="21"/>
                <w:sz w:val="24"/>
                <w:szCs w:val="22"/>
                <w:highlight w:val="none"/>
                <w:u w:val="none" w:color="auto"/>
                <w:lang w:eastAsia="zh-CN"/>
                <w14:textFill>
                  <w14:solidFill>
                    <w14:schemeClr w14:val="tx1"/>
                  </w14:solidFill>
                </w14:textFill>
              </w:rPr>
            </w:pPr>
            <w:r>
              <w:rPr>
                <w:rFonts w:hint="default" w:ascii="Times New Roman" w:hAnsi="Times New Roman" w:cs="Times New Roman" w:eastAsiaTheme="minorEastAsia"/>
                <w:bCs/>
                <w:snapToGrid w:val="0"/>
                <w:color w:val="000000" w:themeColor="text1"/>
                <w:sz w:val="24"/>
                <w:szCs w:val="22"/>
                <w:highlight w:val="none"/>
                <w:u w:val="none" w:color="auto"/>
                <w14:textFill>
                  <w14:solidFill>
                    <w14:schemeClr w14:val="tx1"/>
                  </w14:solidFill>
                </w14:textFill>
              </w:rPr>
              <w:t>②</w:t>
            </w:r>
            <w:r>
              <w:rPr>
                <w:rFonts w:hint="default" w:ascii="Times New Roman" w:hAnsi="Times New Roman" w:cs="Times New Roman" w:eastAsiaTheme="minorEastAsia"/>
                <w:bCs/>
                <w:color w:val="000000" w:themeColor="text1"/>
                <w:kern w:val="21"/>
                <w:sz w:val="24"/>
                <w:szCs w:val="20"/>
                <w:highlight w:val="none"/>
                <w:u w:val="none" w:color="auto"/>
                <w:lang w:val="en-US" w:eastAsia="zh-CN"/>
                <w14:textFill>
                  <w14:solidFill>
                    <w14:schemeClr w14:val="tx1"/>
                  </w14:solidFill>
                </w14:textFill>
              </w:rPr>
              <w:t>排水：</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项目排水系统采用雨、污分流</w:t>
            </w:r>
            <w:r>
              <w:rPr>
                <w:rFonts w:hint="default" w:ascii="Times New Roman" w:hAnsi="Times New Roman" w:cs="Times New Roman" w:eastAsiaTheme="minorEastAsia"/>
                <w:bCs/>
                <w:color w:val="000000" w:themeColor="text1"/>
                <w:sz w:val="24"/>
                <w:szCs w:val="24"/>
                <w:highlight w:val="none"/>
                <w:u w:val="none" w:color="auto"/>
                <w:lang w:val="zh-CN"/>
                <w14:textFill>
                  <w14:solidFill>
                    <w14:schemeClr w14:val="tx1"/>
                  </w14:solidFill>
                </w14:textFill>
              </w:rPr>
              <w:t>，初期</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雨水经导流沟收集至</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雨水</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沉淀池中沉淀后回用，生产废水经沉淀池</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三级</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沉淀后回用于生产</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生活废水经化粪池处理后，用作周边农田施肥</w:t>
            </w:r>
            <w:r>
              <w:rPr>
                <w:rFonts w:hint="eastAsia"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cs="Times New Roman" w:eastAsiaTheme="minorEastAsia"/>
                <w:b/>
                <w:bCs/>
                <w:color w:val="000000" w:themeColor="text1"/>
                <w:sz w:val="24"/>
                <w:szCs w:val="22"/>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4"/>
                <w:szCs w:val="22"/>
                <w:highlight w:val="none"/>
                <w:u w:val="none" w:color="auto"/>
                <w:lang w:val="en-US" w:eastAsia="zh-CN"/>
                <w14:textFill>
                  <w14:solidFill>
                    <w14:schemeClr w14:val="tx1"/>
                  </w14:solidFill>
                </w14:textFill>
              </w:rPr>
              <w:t>3.2</w:t>
            </w:r>
            <w:r>
              <w:rPr>
                <w:rFonts w:hint="default" w:ascii="Times New Roman" w:hAnsi="Times New Roman" w:cs="Times New Roman" w:eastAsiaTheme="minorEastAsia"/>
                <w:b/>
                <w:bCs/>
                <w:color w:val="000000" w:themeColor="text1"/>
                <w:sz w:val="24"/>
                <w:szCs w:val="22"/>
                <w:highlight w:val="none"/>
                <w:u w:val="none" w:color="auto"/>
                <w14:textFill>
                  <w14:solidFill>
                    <w14:schemeClr w14:val="tx1"/>
                  </w14:solidFill>
                </w14:textFill>
              </w:rPr>
              <w:t>供电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本项目用电由市政电网接入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cs="Times New Roman" w:eastAsiaTheme="minorEastAsia"/>
                <w:b/>
                <w:bCs/>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3.3</w:t>
            </w:r>
            <w:r>
              <w:rPr>
                <w:rFonts w:hint="default" w:ascii="Times New Roman" w:hAnsi="Times New Roman" w:cs="Times New Roman" w:eastAsiaTheme="minorEastAsia"/>
                <w:b/>
                <w:bCs/>
                <w:color w:val="000000" w:themeColor="text1"/>
                <w:sz w:val="24"/>
                <w:szCs w:val="24"/>
                <w:highlight w:val="none"/>
                <w:u w:val="none" w:color="auto"/>
                <w14:textFill>
                  <w14:solidFill>
                    <w14:schemeClr w14:val="tx1"/>
                  </w14:solidFill>
                </w14:textFill>
              </w:rPr>
              <w:t>消防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厂区内消防系统依托现有的消防系统。按消防要求，设置消防用水泵和消防栓，水量满足消防安全要求。在生产区内，应按消防要求规范设置室外消防栓和小型灭火设备，生产厂房中灭火器的设置应满足国家规范的要求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3.4施工进度安排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预计2021年</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9</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月开始建设，建设工期约1</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个月</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，202</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月投产运营。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3.5劳动定员及工作制度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4"/>
                <w:szCs w:val="20"/>
                <w:highlight w:val="none"/>
                <w:u w:val="none" w:color="auto"/>
                <w:lang w:val="en-US" w:eastAsia="zh-CN"/>
                <w14:textFill>
                  <w14:solidFill>
                    <w14:schemeClr w14:val="tx1"/>
                  </w14:solidFill>
                </w14:textFill>
              </w:rPr>
              <w:t>一号站</w:t>
            </w:r>
            <w:r>
              <w:rPr>
                <w:rFonts w:hint="default" w:ascii="Times New Roman" w:hAnsi="Times New Roman" w:cs="Times New Roman" w:eastAsiaTheme="minorEastAsia"/>
                <w:bCs/>
                <w:color w:val="000000" w:themeColor="text1"/>
                <w:sz w:val="24"/>
                <w:szCs w:val="20"/>
                <w:highlight w:val="none"/>
                <w:u w:val="none" w:color="auto"/>
                <w14:textFill>
                  <w14:solidFill>
                    <w14:schemeClr w14:val="tx1"/>
                  </w14:solidFill>
                </w14:textFill>
              </w:rPr>
              <w:t>现有员工</w:t>
            </w:r>
            <w:r>
              <w:rPr>
                <w:rFonts w:hint="eastAsia" w:ascii="Times New Roman" w:hAnsi="Times New Roman" w:cs="Times New Roman" w:eastAsiaTheme="minorEastAsia"/>
                <w:bCs/>
                <w:color w:val="000000" w:themeColor="text1"/>
                <w:sz w:val="24"/>
                <w:szCs w:val="20"/>
                <w:highlight w:val="none"/>
                <w:u w:val="none" w:color="auto"/>
                <w:lang w:val="en-US" w:eastAsia="zh-CN"/>
                <w14:textFill>
                  <w14:solidFill>
                    <w14:schemeClr w14:val="tx1"/>
                  </w14:solidFill>
                </w14:textFill>
              </w:rPr>
              <w:t>140</w:t>
            </w:r>
            <w:r>
              <w:rPr>
                <w:rFonts w:hint="default" w:ascii="Times New Roman" w:hAnsi="Times New Roman" w:cs="Times New Roman" w:eastAsiaTheme="minorEastAsia"/>
                <w:bCs/>
                <w:color w:val="000000" w:themeColor="text1"/>
                <w:sz w:val="24"/>
                <w:szCs w:val="20"/>
                <w:highlight w:val="none"/>
                <w:u w:val="none" w:color="auto"/>
                <w14:textFill>
                  <w14:solidFill>
                    <w14:schemeClr w14:val="tx1"/>
                  </w14:solidFill>
                </w14:textFill>
              </w:rPr>
              <w:t>人，</w:t>
            </w:r>
            <w:r>
              <w:rPr>
                <w:rFonts w:hint="eastAsia" w:ascii="Times New Roman" w:hAnsi="Times New Roman" w:cs="Times New Roman" w:eastAsiaTheme="minorEastAsia"/>
                <w:bCs/>
                <w:color w:val="000000" w:themeColor="text1"/>
                <w:sz w:val="24"/>
                <w:szCs w:val="20"/>
                <w:highlight w:val="none"/>
                <w:u w:val="none" w:color="auto"/>
                <w:lang w:val="en-US" w:eastAsia="zh-CN"/>
                <w14:textFill>
                  <w14:solidFill>
                    <w14:schemeClr w14:val="tx1"/>
                  </w14:solidFill>
                </w14:textFill>
              </w:rPr>
              <w:t>二</w:t>
            </w:r>
            <w:r>
              <w:rPr>
                <w:rFonts w:hint="default" w:ascii="Times New Roman" w:hAnsi="Times New Roman" w:cs="Times New Roman" w:eastAsiaTheme="minorEastAsia"/>
                <w:bCs/>
                <w:color w:val="000000" w:themeColor="text1"/>
                <w:sz w:val="24"/>
                <w:szCs w:val="20"/>
                <w:highlight w:val="none"/>
                <w:u w:val="none" w:color="auto"/>
                <w:lang w:val="en-US" w:eastAsia="zh-CN"/>
                <w14:textFill>
                  <w14:solidFill>
                    <w14:schemeClr w14:val="tx1"/>
                  </w14:solidFill>
                </w14:textFill>
              </w:rPr>
              <w:t>号站</w:t>
            </w:r>
            <w:r>
              <w:rPr>
                <w:rFonts w:hint="default" w:ascii="Times New Roman" w:hAnsi="Times New Roman" w:cs="Times New Roman" w:eastAsiaTheme="minorEastAsia"/>
                <w:bCs/>
                <w:color w:val="000000" w:themeColor="text1"/>
                <w:sz w:val="24"/>
                <w:szCs w:val="20"/>
                <w:highlight w:val="none"/>
                <w:u w:val="none" w:color="auto"/>
                <w14:textFill>
                  <w14:solidFill>
                    <w14:schemeClr w14:val="tx1"/>
                  </w14:solidFill>
                </w14:textFill>
              </w:rPr>
              <w:t>现有员工</w:t>
            </w:r>
            <w:r>
              <w:rPr>
                <w:rFonts w:hint="eastAsia" w:ascii="Times New Roman" w:hAnsi="Times New Roman" w:cs="Times New Roman" w:eastAsiaTheme="minorEastAsia"/>
                <w:bCs/>
                <w:color w:val="000000" w:themeColor="text1"/>
                <w:sz w:val="24"/>
                <w:szCs w:val="20"/>
                <w:highlight w:val="none"/>
                <w:u w:val="none" w:color="auto"/>
                <w:lang w:val="en-US" w:eastAsia="zh-CN"/>
                <w14:textFill>
                  <w14:solidFill>
                    <w14:schemeClr w14:val="tx1"/>
                  </w14:solidFill>
                </w14:textFill>
              </w:rPr>
              <w:t>3</w:t>
            </w:r>
            <w:r>
              <w:rPr>
                <w:rFonts w:hint="eastAsia" w:cs="Times New Roman" w:eastAsiaTheme="minorEastAsia"/>
                <w:bCs/>
                <w:color w:val="000000" w:themeColor="text1"/>
                <w:sz w:val="24"/>
                <w:szCs w:val="20"/>
                <w:highlight w:val="none"/>
                <w:u w:val="none" w:color="auto"/>
                <w:lang w:val="en-US" w:eastAsia="zh-CN"/>
                <w14:textFill>
                  <w14:solidFill>
                    <w14:schemeClr w14:val="tx1"/>
                  </w14:solidFill>
                </w14:textFill>
              </w:rPr>
              <w:t>0</w:t>
            </w:r>
            <w:r>
              <w:rPr>
                <w:rFonts w:hint="default" w:ascii="Times New Roman" w:hAnsi="Times New Roman" w:cs="Times New Roman" w:eastAsiaTheme="minorEastAsia"/>
                <w:bCs/>
                <w:color w:val="000000" w:themeColor="text1"/>
                <w:sz w:val="24"/>
                <w:szCs w:val="20"/>
                <w:highlight w:val="none"/>
                <w:u w:val="none" w:color="auto"/>
                <w14:textFill>
                  <w14:solidFill>
                    <w14:schemeClr w14:val="tx1"/>
                  </w14:solidFill>
                </w14:textFill>
              </w:rPr>
              <w:t>人</w:t>
            </w:r>
            <w:r>
              <w:rPr>
                <w:rFonts w:hint="eastAsia" w:ascii="Times New Roman" w:hAnsi="Times New Roman" w:cs="Times New Roman" w:eastAsiaTheme="minorEastAsia"/>
                <w:bCs/>
                <w:color w:val="000000" w:themeColor="text1"/>
                <w:sz w:val="24"/>
                <w:szCs w:val="20"/>
                <w:highlight w:val="none"/>
                <w:u w:val="none" w:color="auto"/>
                <w:lang w:eastAsia="zh-CN"/>
                <w14:textFill>
                  <w14:solidFill>
                    <w14:schemeClr w14:val="tx1"/>
                  </w14:solidFill>
                </w14:textFill>
              </w:rPr>
              <w:t>，</w:t>
            </w:r>
            <w:r>
              <w:rPr>
                <w:rFonts w:hint="default" w:ascii="Times New Roman" w:hAnsi="Times New Roman" w:cs="Times New Roman" w:eastAsiaTheme="minorEastAsia"/>
                <w:bCs/>
                <w:color w:val="000000" w:themeColor="text1"/>
                <w:sz w:val="24"/>
                <w:szCs w:val="20"/>
                <w:highlight w:val="none"/>
                <w:u w:val="none" w:color="auto"/>
                <w14:textFill>
                  <w14:solidFill>
                    <w14:schemeClr w14:val="tx1"/>
                  </w14:solidFill>
                </w14:textFill>
              </w:rPr>
              <w:t>厂区内</w:t>
            </w:r>
            <w:r>
              <w:rPr>
                <w:rFonts w:hint="eastAsia" w:ascii="Times New Roman" w:hAnsi="Times New Roman" w:cs="Times New Roman" w:eastAsiaTheme="minorEastAsia"/>
                <w:bCs/>
                <w:color w:val="000000" w:themeColor="text1"/>
                <w:sz w:val="24"/>
                <w:szCs w:val="20"/>
                <w:highlight w:val="none"/>
                <w:u w:val="none" w:color="auto"/>
                <w:lang w:val="en-US" w:eastAsia="zh-CN"/>
                <w14:textFill>
                  <w14:solidFill>
                    <w14:schemeClr w14:val="tx1"/>
                  </w14:solidFill>
                </w14:textFill>
              </w:rPr>
              <w:t>包含</w:t>
            </w:r>
            <w:r>
              <w:rPr>
                <w:rFonts w:hint="default" w:ascii="Times New Roman" w:hAnsi="Times New Roman" w:cs="Times New Roman" w:eastAsiaTheme="minorEastAsia"/>
                <w:bCs/>
                <w:color w:val="000000" w:themeColor="text1"/>
                <w:sz w:val="24"/>
                <w:szCs w:val="20"/>
                <w:highlight w:val="none"/>
                <w:u w:val="none" w:color="auto"/>
                <w14:textFill>
                  <w14:solidFill>
                    <w14:schemeClr w14:val="tx1"/>
                  </w14:solidFill>
                </w14:textFill>
              </w:rPr>
              <w:t>食宿。</w:t>
            </w:r>
            <w:r>
              <w:rPr>
                <w:rFonts w:hint="eastAsia" w:ascii="Times New Roman" w:hAnsi="Times New Roman" w:cs="Times New Roman" w:eastAsiaTheme="minorEastAsia"/>
                <w:bCs/>
                <w:color w:val="000000" w:themeColor="text1"/>
                <w:sz w:val="24"/>
                <w:szCs w:val="20"/>
                <w:highlight w:val="none"/>
                <w:u w:val="none" w:color="auto"/>
                <w:lang w:val="en-US" w:eastAsia="zh-CN"/>
                <w14:textFill>
                  <w14:solidFill>
                    <w14:schemeClr w14:val="tx1"/>
                  </w14:solidFill>
                </w14:textFill>
              </w:rPr>
              <w:t>本项目为S345新田田家至二广高速宁远互通公路工程的配套工程，公路修建完毕后本项目将进行拆除，预计工作至2021年12月，因此工作时间为90天，</w:t>
            </w:r>
            <w:r>
              <w:rPr>
                <w:rFonts w:hint="default" w:ascii="Times New Roman" w:hAnsi="Times New Roman" w:cs="Times New Roman" w:eastAsiaTheme="minorEastAsia"/>
                <w:bCs/>
                <w:color w:val="000000" w:themeColor="text1"/>
                <w:sz w:val="24"/>
                <w:szCs w:val="20"/>
                <w:highlight w:val="none"/>
                <w:u w:val="none" w:color="auto"/>
                <w:lang w:val="en-US" w:eastAsia="zh-CN"/>
                <w14:textFill>
                  <w14:solidFill>
                    <w14:schemeClr w14:val="tx1"/>
                  </w14:solidFill>
                </w14:textFill>
              </w:rPr>
              <w:t>一班</w:t>
            </w:r>
            <w:r>
              <w:rPr>
                <w:rFonts w:hint="default" w:ascii="Times New Roman" w:hAnsi="Times New Roman" w:cs="Times New Roman" w:eastAsiaTheme="minorEastAsia"/>
                <w:bCs/>
                <w:color w:val="000000" w:themeColor="text1"/>
                <w:sz w:val="24"/>
                <w:szCs w:val="20"/>
                <w:highlight w:val="none"/>
                <w:u w:val="none" w:color="auto"/>
                <w14:textFill>
                  <w14:solidFill>
                    <w14:schemeClr w14:val="tx1"/>
                  </w14:solidFill>
                </w14:textFill>
              </w:rPr>
              <w:t>制，每</w:t>
            </w:r>
            <w:r>
              <w:rPr>
                <w:rFonts w:hint="default" w:ascii="Times New Roman" w:hAnsi="Times New Roman" w:cs="Times New Roman" w:eastAsiaTheme="minorEastAsia"/>
                <w:bCs/>
                <w:color w:val="000000" w:themeColor="text1"/>
                <w:sz w:val="24"/>
                <w:szCs w:val="20"/>
                <w:highlight w:val="none"/>
                <w:u w:val="none" w:color="auto"/>
                <w:lang w:val="en-US" w:eastAsia="zh-CN"/>
                <w14:textFill>
                  <w14:solidFill>
                    <w14:schemeClr w14:val="tx1"/>
                  </w14:solidFill>
                </w14:textFill>
              </w:rPr>
              <w:t>天</w:t>
            </w:r>
            <w:r>
              <w:rPr>
                <w:rFonts w:hint="default" w:ascii="Times New Roman" w:hAnsi="Times New Roman" w:cs="Times New Roman" w:eastAsiaTheme="minorEastAsia"/>
                <w:bCs/>
                <w:color w:val="000000" w:themeColor="text1"/>
                <w:sz w:val="24"/>
                <w:szCs w:val="20"/>
                <w:highlight w:val="none"/>
                <w:u w:val="none" w:color="auto"/>
                <w14:textFill>
                  <w14:solidFill>
                    <w14:schemeClr w14:val="tx1"/>
                  </w14:solidFill>
                </w14:textFill>
              </w:rPr>
              <w:t>工作8小时</w:t>
            </w:r>
            <w:r>
              <w:rPr>
                <w:rFonts w:hint="eastAsia" w:ascii="Times New Roman" w:hAnsi="Times New Roman" w:cs="Times New Roman" w:eastAsiaTheme="minorEastAsia"/>
                <w:bCs/>
                <w:color w:val="000000" w:themeColor="text1"/>
                <w:sz w:val="24"/>
                <w:szCs w:val="20"/>
                <w:highlight w:val="none"/>
                <w:u w:val="none" w:color="auto"/>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工艺流程和产污环节</w:t>
            </w:r>
          </w:p>
        </w:tc>
        <w:tc>
          <w:tcPr>
            <w:tcW w:w="8472" w:type="dxa"/>
            <w:tcBorders>
              <w:tl2br w:val="nil"/>
              <w:tr2bl w:val="nil"/>
            </w:tcBorders>
            <w:vAlign w:val="center"/>
          </w:tcPr>
          <w:p>
            <w:pPr>
              <w:widowControl w:val="0"/>
              <w:adjustRightInd w:val="0"/>
              <w:snapToGrid w:val="0"/>
              <w:spacing w:line="360" w:lineRule="auto"/>
              <w:ind w:left="0" w:leftChars="0" w:right="318" w:firstLine="0" w:firstLineChars="0"/>
              <w:jc w:val="both"/>
              <w:rPr>
                <w:rFonts w:hint="default" w:ascii="Times New Roman" w:hAnsi="Times New Roman" w:cs="Times New Roman" w:eastAsiaTheme="minorEastAsia"/>
                <w:b/>
                <w:color w:val="000000" w:themeColor="text1"/>
                <w:spacing w:val="0"/>
                <w:kern w:val="21"/>
                <w:sz w:val="28"/>
                <w:szCs w:val="28"/>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pacing w:val="0"/>
                <w:kern w:val="21"/>
                <w:sz w:val="28"/>
                <w:szCs w:val="28"/>
                <w:highlight w:val="none"/>
                <w:u w:val="none" w:color="auto"/>
                <w:lang w:val="en-US" w:eastAsia="zh-CN" w:bidi="ar-SA"/>
                <w14:textFill>
                  <w14:solidFill>
                    <w14:schemeClr w14:val="tx1"/>
                  </w14:solidFill>
                </w14:textFill>
              </w:rPr>
              <w:t>1、工艺流程简述：</w:t>
            </w:r>
          </w:p>
          <w:p>
            <w:pPr>
              <w:pStyle w:val="5"/>
              <w:pageBreakBefore w:val="0"/>
              <w:widowControl w:val="0"/>
              <w:numPr>
                <w:ilvl w:val="0"/>
                <w:numId w:val="0"/>
              </w:numPr>
              <w:kinsoku/>
              <w:wordWrap/>
              <w:overflowPunct/>
              <w:topLinePunct w:val="0"/>
              <w:autoSpaceDE/>
              <w:autoSpaceDN/>
              <w:bidi w:val="0"/>
              <w:adjustRightInd w:val="0"/>
              <w:snapToGrid w:val="0"/>
              <w:spacing w:line="360" w:lineRule="auto"/>
              <w:ind w:left="284" w:leftChars="0" w:firstLine="241" w:firstLineChars="100"/>
              <w:textAlignment w:val="auto"/>
              <w:outlineLvl w:val="2"/>
              <w:rPr>
                <w:rFonts w:hint="default" w:ascii="Times New Roman" w:hAnsi="Times New Roman" w:cs="Times New Roman" w:eastAsiaTheme="minorEastAsia"/>
                <w:color w:val="000000" w:themeColor="text1"/>
                <w:szCs w:val="22"/>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Cs w:val="22"/>
                <w:highlight w:val="none"/>
                <w:u w:val="none" w:color="auto"/>
                <w:lang w:val="en-US" w:eastAsia="zh-CN"/>
                <w14:textFill>
                  <w14:solidFill>
                    <w14:schemeClr w14:val="tx1"/>
                  </w14:solidFill>
                </w14:textFill>
              </w:rPr>
              <w:t>1.1施工期工艺流程及产污节点</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
                <w:snapToGrid w:val="0"/>
                <w:color w:val="000000" w:themeColor="text1"/>
                <w:spacing w:val="16"/>
                <w:kern w:val="0"/>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本项目为</w:t>
            </w:r>
            <w:r>
              <w:rPr>
                <w:rFonts w:hint="eastAsia"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新建</w:t>
            </w: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项目，</w:t>
            </w:r>
            <w:r>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需新建钢架厂房、原料仓库和办公楼。</w:t>
            </w: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主要污染工序为：构筑物建设过程中产生的废气、噪声、废水、固废等。施工工艺具体详见图</w:t>
            </w:r>
            <w:r>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2-1</w:t>
            </w:r>
            <w:r>
              <w:rPr>
                <w:rFonts w:hint="eastAsia"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w:t>
            </w:r>
          </w:p>
          <w:p>
            <w:pPr>
              <w:adjustRightInd w:val="0"/>
              <w:snapToGrid w:val="0"/>
              <w:spacing w:line="360" w:lineRule="auto"/>
              <w:ind w:firstLine="420" w:firstLineChars="200"/>
              <w:jc w:val="center"/>
              <w:rPr>
                <w:rFonts w:hint="default" w:ascii="Times New Roman" w:hAnsi="Times New Roman" w:cs="Times New Roman" w:eastAsiaTheme="minorEastAsia"/>
                <w:b/>
                <w:snapToGrid w:val="0"/>
                <w:color w:val="000000" w:themeColor="text1"/>
                <w:spacing w:val="16"/>
                <w:kern w:val="0"/>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drawing>
                <wp:anchor distT="0" distB="0" distL="114300" distR="114300" simplePos="0" relativeHeight="251659264" behindDoc="0" locked="0" layoutInCell="1" allowOverlap="1">
                  <wp:simplePos x="0" y="0"/>
                  <wp:positionH relativeFrom="column">
                    <wp:posOffset>-57150</wp:posOffset>
                  </wp:positionH>
                  <wp:positionV relativeFrom="paragraph">
                    <wp:posOffset>207645</wp:posOffset>
                  </wp:positionV>
                  <wp:extent cx="5286375" cy="1924050"/>
                  <wp:effectExtent l="0" t="0" r="9525" b="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86375" cy="1924050"/>
                          </a:xfrm>
                          <a:prstGeom prst="rect">
                            <a:avLst/>
                          </a:prstGeom>
                          <a:noFill/>
                          <a:ln>
                            <a:noFill/>
                          </a:ln>
                        </pic:spPr>
                      </pic:pic>
                    </a:graphicData>
                  </a:graphic>
                </wp:anchor>
              </w:drawing>
            </w:r>
            <w:r>
              <w:rPr>
                <w:rFonts w:hint="default" w:ascii="Times New Roman" w:hAnsi="Times New Roman" w:cs="Times New Roman" w:eastAsiaTheme="minorEastAsia"/>
                <w:b/>
                <w:snapToGrid w:val="0"/>
                <w:color w:val="000000" w:themeColor="text1"/>
                <w:spacing w:val="16"/>
                <w:kern w:val="0"/>
                <w:sz w:val="21"/>
                <w:szCs w:val="21"/>
                <w:highlight w:val="none"/>
                <w:u w:val="none" w:color="auto"/>
                <w14:textFill>
                  <w14:solidFill>
                    <w14:schemeClr w14:val="tx1"/>
                  </w14:solidFill>
                </w14:textFill>
              </w:rPr>
              <w:t>图</w:t>
            </w:r>
            <w:r>
              <w:rPr>
                <w:rFonts w:hint="default" w:ascii="Times New Roman" w:hAnsi="Times New Roman" w:cs="Times New Roman" w:eastAsiaTheme="minorEastAsia"/>
                <w:b/>
                <w:snapToGrid w:val="0"/>
                <w:color w:val="000000" w:themeColor="text1"/>
                <w:spacing w:val="16"/>
                <w:kern w:val="0"/>
                <w:sz w:val="21"/>
                <w:szCs w:val="21"/>
                <w:highlight w:val="none"/>
                <w:u w:val="none" w:color="auto"/>
                <w:lang w:val="en-US" w:eastAsia="zh-CN"/>
                <w14:textFill>
                  <w14:solidFill>
                    <w14:schemeClr w14:val="tx1"/>
                  </w14:solidFill>
                </w14:textFill>
              </w:rPr>
              <w:t>2-1</w:t>
            </w:r>
            <w:r>
              <w:rPr>
                <w:rFonts w:hint="default" w:ascii="Times New Roman" w:hAnsi="Times New Roman" w:cs="Times New Roman" w:eastAsiaTheme="minorEastAsia"/>
                <w:b/>
                <w:snapToGrid w:val="0"/>
                <w:color w:val="000000" w:themeColor="text1"/>
                <w:spacing w:val="16"/>
                <w:kern w:val="0"/>
                <w:sz w:val="21"/>
                <w:szCs w:val="21"/>
                <w:highlight w:val="none"/>
                <w:u w:val="none" w:color="auto"/>
                <w14:textFill>
                  <w14:solidFill>
                    <w14:schemeClr w14:val="tx1"/>
                  </w14:solidFill>
                </w14:textFill>
              </w:rPr>
              <w:t xml:space="preserve"> 施工期工艺流程及产污工序图</w:t>
            </w:r>
          </w:p>
          <w:p>
            <w:pPr>
              <w:pStyle w:val="5"/>
              <w:numPr>
                <w:ilvl w:val="0"/>
                <w:numId w:val="0"/>
              </w:numPr>
              <w:ind w:left="284" w:leftChars="0"/>
              <w:outlineLvl w:val="2"/>
              <w:rPr>
                <w:rFonts w:hint="default" w:ascii="Times New Roman" w:hAnsi="Times New Roman" w:cs="Times New Roman" w:eastAsiaTheme="minorEastAsia"/>
                <w:color w:val="000000" w:themeColor="text1"/>
                <w:szCs w:val="22"/>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Cs w:val="22"/>
                <w:highlight w:val="none"/>
                <w:u w:val="none" w:color="auto"/>
                <w:lang w:val="en-US" w:eastAsia="zh-CN"/>
                <w14:textFill>
                  <w14:solidFill>
                    <w14:schemeClr w14:val="tx1"/>
                  </w14:solidFill>
                </w14:textFill>
              </w:rPr>
              <w:t>1.2营运期工艺流程及产污节点</w:t>
            </w:r>
          </w:p>
          <w:p>
            <w:pPr>
              <w:adjustRightInd w:val="0"/>
              <w:snapToGrid w:val="0"/>
              <w:spacing w:line="360" w:lineRule="auto"/>
              <w:ind w:firstLine="480" w:firstLineChars="200"/>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运营期</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混凝土生产</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工艺流程及产污环节见下图：</w:t>
            </w:r>
          </w:p>
          <w:p>
            <w:pPr>
              <w:ind w:left="0" w:leftChars="0" w:firstLine="0" w:firstLineChars="0"/>
              <w:jc w:val="center"/>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r>
              <w:rPr>
                <w:sz w:val="21"/>
              </w:rPr>
              <mc:AlternateContent>
                <mc:Choice Requires="wps">
                  <w:drawing>
                    <wp:anchor distT="0" distB="0" distL="114300" distR="114300" simplePos="0" relativeHeight="251668480" behindDoc="0" locked="0" layoutInCell="1" allowOverlap="1">
                      <wp:simplePos x="0" y="0"/>
                      <wp:positionH relativeFrom="column">
                        <wp:posOffset>2343785</wp:posOffset>
                      </wp:positionH>
                      <wp:positionV relativeFrom="paragraph">
                        <wp:posOffset>299085</wp:posOffset>
                      </wp:positionV>
                      <wp:extent cx="361950" cy="209550"/>
                      <wp:effectExtent l="0" t="0" r="0" b="0"/>
                      <wp:wrapNone/>
                      <wp:docPr id="18" name="文本框 18"/>
                      <wp:cNvGraphicFramePr/>
                      <a:graphic xmlns:a="http://schemas.openxmlformats.org/drawingml/2006/main">
                        <a:graphicData uri="http://schemas.microsoft.com/office/word/2010/wordprocessingShape">
                          <wps:wsp>
                            <wps:cNvSpPr txBox="1"/>
                            <wps:spPr>
                              <a:xfrm>
                                <a:off x="3811270" y="1469390"/>
                                <a:ext cx="36195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55pt;margin-top:23.55pt;height:16.5pt;width:28.5pt;z-index:251668480;mso-width-relative:page;mso-height-relative:page;" fillcolor="#FFFFFF [3201]" filled="t" stroked="f" coordsize="21600,21600" o:gfxdata="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u2SvNUAAAAJ&#10;AQAADwAAAAAAAAABACAAAAAiAAAAZHJzL2Rvd25yZXYueG1sUEsBAhQAFAAAAAgAh07iQBD9e9dY&#10;AgAAnAQAAA4AAAAAAAAAAQAgAAAAJAEAAGRycy9lMm9Eb2MueG1sUEsFBgAAAAAGAAYAWQEAAO4F&#10;AAAAAA==&#10;">
                      <v:fill on="t" focussize="0,0"/>
                      <v:stroke on="f" weight="0.5pt"/>
                      <v:imagedata o:title=""/>
                      <o:lock v:ext="edit" aspectratio="f"/>
                      <v:textbox>
                        <w:txbxContent>
                          <w:p/>
                        </w:txbxContent>
                      </v:textbox>
                    </v:shape>
                  </w:pict>
                </mc:Fallback>
              </mc:AlternateContent>
            </w:r>
            <w:r>
              <w:rPr>
                <w:rFonts w:hint="default" w:ascii="Times New Roman" w:hAnsi="Times New Roman" w:cs="Times New Roman" w:eastAsiaTheme="minorEastAsia"/>
                <w:color w:val="000000" w:themeColor="text1"/>
                <w:highlight w:val="none"/>
                <w:u w:val="none" w:color="auto"/>
                <w14:textFill>
                  <w14:solidFill>
                    <w14:schemeClr w14:val="tx1"/>
                  </w14:solidFill>
                </w14:textFill>
              </w:rPr>
              <w:drawing>
                <wp:inline distT="0" distB="0" distL="114300" distR="114300">
                  <wp:extent cx="5076825" cy="3524250"/>
                  <wp:effectExtent l="0" t="0" r="9525" b="0"/>
                  <wp:docPr id="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pic:cNvPicPr>
                            <a:picLocks noChangeAspect="1"/>
                          </pic:cNvPicPr>
                        </pic:nvPicPr>
                        <pic:blipFill>
                          <a:blip r:embed="rId11"/>
                          <a:stretch>
                            <a:fillRect/>
                          </a:stretch>
                        </pic:blipFill>
                        <pic:spPr>
                          <a:xfrm>
                            <a:off x="0" y="0"/>
                            <a:ext cx="5076825" cy="3524250"/>
                          </a:xfrm>
                          <a:prstGeom prst="rect">
                            <a:avLst/>
                          </a:prstGeom>
                          <a:noFill/>
                          <a:ln>
                            <a:noFill/>
                          </a:ln>
                        </pic:spPr>
                      </pic:pic>
                    </a:graphicData>
                  </a:graphic>
                </wp:inline>
              </w:drawing>
            </w:r>
          </w:p>
          <w:p>
            <w:pPr>
              <w:spacing w:line="360" w:lineRule="auto"/>
              <w:jc w:val="center"/>
              <w:rPr>
                <w:rFonts w:hint="default" w:ascii="Times New Roman" w:hAnsi="Times New Roman" w:cs="Times New Roman" w:eastAsiaTheme="minorEastAsia"/>
                <w:b/>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图2-2 项目混凝土生产工艺流程图</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eastAsiaTheme="minorEastAsia"/>
                <w:b/>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4"/>
                <w:highlight w:val="none"/>
                <w:u w:val="none" w:color="auto"/>
                <w14:textFill>
                  <w14:solidFill>
                    <w14:schemeClr w14:val="tx1"/>
                  </w14:solidFill>
                </w14:textFill>
              </w:rPr>
              <w:t>混凝土工艺流程说明：</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（1）原材料准备：项目砂石等物料在装车后通过遮盖密封运输到</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库房</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，装卸过程中会有少量粉尘产生；水泥、粉煤灰由封闭的罐车运到厂内由密封的管道送入筒仓内。</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（2）根据配合比配料：按配方规定的材料品种、规格配料；根据生产需要，确保一定库存，此工段有少量粉尘产生。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（3）电脑自动控制计量：用计算机远程控制计量，实现自动化计量。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（4）自动控制投料：用计算机根据计量，自动控制投料。</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（5）强制搅拌机搅拌：生产进料时砂石、矿粉、水泥、粉煤灰、水等物料按一定比例通过密封的输送带进入搅拌站，产出混凝土，此工段主要污染为粉尘及噪声。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（6）出料，合格砂浆出厂：搅拌后的砂浆通过取样检验合格后即为混凝土，不合格产品回用，不外排。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（7）搅拌运输：将混凝土装入搅拌车中外送。</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（8）泵车输送：混凝土泵与泵送结合，缩短流程，提高效率。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b/>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运营期</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稳定土生产</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工艺流程及产污环节见下图：</w:t>
            </w:r>
          </w:p>
          <w:p>
            <w:pPr>
              <w:pStyle w:val="1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eastAsiaTheme="minorEastAsia"/>
                <w:b/>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4"/>
                <w:highlight w:val="none"/>
                <w:u w:val="none" w:color="auto"/>
                <w14:textFill>
                  <w14:solidFill>
                    <w14:schemeClr w14:val="tx1"/>
                  </w14:solidFill>
                </w14:textFill>
              </w:rPr>
              <w:drawing>
                <wp:inline distT="0" distB="0" distL="114300" distR="114300">
                  <wp:extent cx="3552825" cy="4852670"/>
                  <wp:effectExtent l="0" t="0" r="9525" b="508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2"/>
                          <a:stretch>
                            <a:fillRect/>
                          </a:stretch>
                        </pic:blipFill>
                        <pic:spPr>
                          <a:xfrm>
                            <a:off x="0" y="0"/>
                            <a:ext cx="3552825" cy="4852670"/>
                          </a:xfrm>
                          <a:prstGeom prst="rect">
                            <a:avLst/>
                          </a:prstGeom>
                          <a:noFill/>
                          <a:ln>
                            <a:noFill/>
                          </a:ln>
                        </pic:spPr>
                      </pic:pic>
                    </a:graphicData>
                  </a:graphic>
                </wp:inline>
              </w:drawing>
            </w:r>
          </w:p>
          <w:p>
            <w:pPr>
              <w:pStyle w:val="13"/>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eastAsiaTheme="minorEastAsia"/>
                <w:b/>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图2-</w:t>
            </w:r>
            <w:r>
              <w:rPr>
                <w:rFonts w:hint="eastAsia"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3</w:t>
            </w: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 xml:space="preserve"> 项目</w:t>
            </w:r>
            <w:r>
              <w:rPr>
                <w:rFonts w:hint="eastAsia"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稳定土</w:t>
            </w: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生产工艺流程图</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textAlignment w:val="auto"/>
              <w:rPr>
                <w:rFonts w:hint="default" w:ascii="Times New Roman" w:hAnsi="Times New Roman" w:cs="Times New Roman" w:eastAsiaTheme="minorEastAsia"/>
                <w:b/>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4"/>
                <w:highlight w:val="none"/>
                <w:u w:val="none" w:color="auto"/>
                <w:lang w:val="en-US" w:eastAsia="zh-CN"/>
                <w14:textFill>
                  <w14:solidFill>
                    <w14:schemeClr w14:val="tx1"/>
                  </w14:solidFill>
                </w14:textFill>
              </w:rPr>
              <w:t>稳定土</w:t>
            </w:r>
            <w:r>
              <w:rPr>
                <w:rFonts w:hint="default" w:ascii="Times New Roman" w:hAnsi="Times New Roman" w:cs="Times New Roman" w:eastAsiaTheme="minorEastAsia"/>
                <w:b/>
                <w:color w:val="000000" w:themeColor="text1"/>
                <w:sz w:val="24"/>
                <w:highlight w:val="none"/>
                <w:u w:val="none" w:color="auto"/>
                <w14:textFill>
                  <w14:solidFill>
                    <w14:schemeClr w14:val="tx1"/>
                  </w14:solidFill>
                </w14:textFill>
              </w:rPr>
              <w:t>工艺流程说明：</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pPr>
            <w:r>
              <w:rPr>
                <w:rFonts w:hint="eastAsia"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t>（</w:t>
            </w:r>
            <w:r>
              <w:rPr>
                <w:rFonts w:hint="eastAsia" w:ascii="Times New Roman" w:hAnsi="Times New Roman" w:cs="Times New Roman" w:eastAsiaTheme="minorEastAsia"/>
                <w:b w:val="0"/>
                <w:bCs/>
                <w:color w:val="000000" w:themeColor="text1"/>
                <w:sz w:val="24"/>
                <w:highlight w:val="none"/>
                <w:u w:val="none" w:color="auto"/>
                <w:lang w:val="en-US" w:eastAsia="zh-CN"/>
                <w14:textFill>
                  <w14:solidFill>
                    <w14:schemeClr w14:val="tx1"/>
                  </w14:solidFill>
                </w14:textFill>
              </w:rPr>
              <w:t>1</w:t>
            </w:r>
            <w:r>
              <w:rPr>
                <w:rFonts w:hint="eastAsia"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t>）</w:t>
            </w:r>
            <w:r>
              <w:rPr>
                <w:rFonts w:hint="default"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t>给料、输送、计量</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t>所需水泥由水泥</w:t>
            </w:r>
            <w:r>
              <w:rPr>
                <w:rFonts w:hint="eastAsia" w:ascii="Times New Roman" w:hAnsi="Times New Roman" w:cs="Times New Roman" w:eastAsiaTheme="minorEastAsia"/>
                <w:b w:val="0"/>
                <w:bCs/>
                <w:color w:val="000000" w:themeColor="text1"/>
                <w:sz w:val="24"/>
                <w:highlight w:val="none"/>
                <w:u w:val="none" w:color="auto"/>
                <w:lang w:val="en-US" w:eastAsia="zh-CN"/>
                <w14:textFill>
                  <w14:solidFill>
                    <w14:schemeClr w14:val="tx1"/>
                  </w14:solidFill>
                </w14:textFill>
              </w:rPr>
              <w:t>筒仓</w:t>
            </w:r>
            <w:r>
              <w:rPr>
                <w:rFonts w:hint="default"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t>经闸门、螺旋自动给料机经过密封的布袋到达螺旋电子秤，螺旋电子秤按照设定的重量值自动定量连续称出所需粉料，并输送到搅拌装置进料口：所需水按照所需流量净水泵输送到加水器，均匀喷洒在搅拌装置内，该输送、计量过程均在密闭式管道进行；砂石原料由装载机卸入全封闭原料储料仓后，送到投料仓的投料口进行投料，通过电子计量磅计量，然后经过皮带输送系统进入搅拌装置内。</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pPr>
            <w:r>
              <w:rPr>
                <w:rFonts w:hint="eastAsia"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t>（</w:t>
            </w:r>
            <w:r>
              <w:rPr>
                <w:rFonts w:hint="eastAsia" w:ascii="Times New Roman" w:hAnsi="Times New Roman" w:cs="Times New Roman" w:eastAsiaTheme="minorEastAsia"/>
                <w:b w:val="0"/>
                <w:bCs/>
                <w:color w:val="000000" w:themeColor="text1"/>
                <w:sz w:val="24"/>
                <w:highlight w:val="none"/>
                <w:u w:val="none" w:color="auto"/>
                <w:lang w:val="en-US" w:eastAsia="zh-CN"/>
                <w14:textFill>
                  <w14:solidFill>
                    <w14:schemeClr w14:val="tx1"/>
                  </w14:solidFill>
                </w14:textFill>
              </w:rPr>
              <w:t>2</w:t>
            </w:r>
            <w:r>
              <w:rPr>
                <w:rFonts w:hint="eastAsia"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t>）</w:t>
            </w:r>
            <w:r>
              <w:rPr>
                <w:rFonts w:hint="default"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t>拌合</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t>进入拌合机的原料，在搅拌机内经相互反转的两根搅拌轴上双道螺旋桨片的搅拌下，收到桨片周向、径向、轴向力的作用力，使物料一般相互产生挤压、摩擦、剪切。对流从而进行剧烈的拌和，并具有压实所需的含水量。由于拌合机为封闭式的，且在该工序进行时加水拌匀，使得物料具有一定的含水率（控制在5%左右）。</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pPr>
            <w:r>
              <w:rPr>
                <w:rFonts w:hint="eastAsia"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t>（</w:t>
            </w:r>
            <w:r>
              <w:rPr>
                <w:rFonts w:hint="eastAsia" w:ascii="Times New Roman" w:hAnsi="Times New Roman" w:cs="Times New Roman" w:eastAsiaTheme="minorEastAsia"/>
                <w:b w:val="0"/>
                <w:bCs/>
                <w:color w:val="000000" w:themeColor="text1"/>
                <w:sz w:val="24"/>
                <w:highlight w:val="none"/>
                <w:u w:val="none" w:color="auto"/>
                <w:lang w:val="en-US" w:eastAsia="zh-CN"/>
                <w14:textFill>
                  <w14:solidFill>
                    <w14:schemeClr w14:val="tx1"/>
                  </w14:solidFill>
                </w14:textFill>
              </w:rPr>
              <w:t>3</w:t>
            </w:r>
            <w:r>
              <w:rPr>
                <w:rFonts w:hint="eastAsia"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t>）</w:t>
            </w:r>
            <w:r>
              <w:rPr>
                <w:rFonts w:hint="default"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t>成品出料</w:t>
            </w:r>
          </w:p>
          <w:p>
            <w:pPr>
              <w:pStyle w:val="13"/>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firstLine="480" w:firstLineChars="200"/>
              <w:textAlignment w:val="auto"/>
              <w:rPr>
                <w:rFonts w:hint="default" w:ascii="Times New Roman" w:hAnsi="Times New Roman" w:cs="Times New Roman" w:eastAsiaTheme="minorEastAsia"/>
                <w:b w:val="0"/>
                <w:bCs/>
                <w:color w:val="000000" w:themeColor="text1"/>
                <w:sz w:val="24"/>
                <w:highlight w:val="yellow"/>
                <w:u w:val="none" w:color="auto"/>
                <w:lang w:val="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u w:val="none" w:color="auto"/>
                <w:lang w:val="zh-CN"/>
                <w14:textFill>
                  <w14:solidFill>
                    <w14:schemeClr w14:val="tx1"/>
                  </w14:solidFill>
                </w14:textFill>
              </w:rPr>
              <w:t>均匀的物料由出料口卸料至成品仓，成品水泥稳定土装车后运往施工现场。成品料仓的开启由气缸启动，工序迅速可靠，该机布置呈一线型，结构紧凑，便于观察控制。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right="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运营期</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沥青混凝土生产</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工艺流程及产污环节见下图：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right="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right="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right="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right="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right="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right="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right="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right="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right="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right="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right="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eastAsiaTheme="minorEastAsia"/>
                <w:b/>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4"/>
                <w:highlight w:val="none"/>
                <w:u w:val="none" w:color="auto"/>
                <w14:textFill>
                  <w14:solidFill>
                    <w14:schemeClr w14:val="tx1"/>
                  </w14:solidFill>
                </w14:textFill>
              </w:rPr>
              <w:drawing>
                <wp:inline distT="0" distB="0" distL="114300" distR="114300">
                  <wp:extent cx="5182870" cy="6184265"/>
                  <wp:effectExtent l="0" t="0" r="17780" b="698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3"/>
                          <a:stretch>
                            <a:fillRect/>
                          </a:stretch>
                        </pic:blipFill>
                        <pic:spPr>
                          <a:xfrm>
                            <a:off x="0" y="0"/>
                            <a:ext cx="5182870" cy="6184265"/>
                          </a:xfrm>
                          <a:prstGeom prst="rect">
                            <a:avLst/>
                          </a:prstGeom>
                          <a:noFill/>
                          <a:ln>
                            <a:noFill/>
                          </a:ln>
                        </pic:spPr>
                      </pic:pic>
                    </a:graphicData>
                  </a:graphic>
                </wp:inline>
              </w:drawing>
            </w:r>
          </w:p>
          <w:p>
            <w:pPr>
              <w:pStyle w:val="1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图2-</w:t>
            </w:r>
            <w:r>
              <w:rPr>
                <w:rFonts w:hint="eastAsia"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4</w:t>
            </w: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 xml:space="preserve"> 项目</w:t>
            </w:r>
            <w:r>
              <w:rPr>
                <w:rFonts w:hint="eastAsia"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沥青混凝土</w:t>
            </w: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生产工艺流程图</w:t>
            </w:r>
          </w:p>
          <w:p>
            <w:pPr>
              <w:bidi w:val="0"/>
              <w:rPr>
                <w:rFonts w:hint="default"/>
                <w:b/>
                <w:bCs/>
              </w:rPr>
            </w:pPr>
            <w:r>
              <w:rPr>
                <w:rFonts w:hint="default"/>
                <w:b/>
                <w:bCs/>
                <w:lang w:val="en-US" w:eastAsia="zh-CN"/>
              </w:rPr>
              <w:t>沥青混凝土</w:t>
            </w:r>
            <w:r>
              <w:rPr>
                <w:rFonts w:hint="default"/>
                <w:b/>
                <w:bCs/>
              </w:rPr>
              <w:t>工艺流程说明：</w:t>
            </w:r>
          </w:p>
          <w:p>
            <w:pPr>
              <w:bidi w:val="0"/>
              <w:rPr>
                <w:rFonts w:hint="default"/>
              </w:rPr>
            </w:pPr>
            <w:r>
              <w:rPr>
                <w:rFonts w:hint="default"/>
              </w:rPr>
              <w:t>（1）沥青预处理流程：本项目沥青原料外购进厂时，为液体状态，由专用沥青运输车（恒温槽罐车，恒温温度约为130℃）运进，沥青运输车中沥青经重力作用从管道流入沥青罐中储存，该转运过程为封闭状态。生产作业时，使用导热油加热盘管（导热油盘管布设在沥青罐中，导热油加热使用轻质柴油为原料，导热油锅炉的上部为导热油，下部为轻质柴油燃烧室，通过燃烧轻质柴油间接加热导热油）将沥青间接加热至170-200℃，期间导热油炉的燃烧废气通过排口排出。加热后的沥青再按一定的配合比由沥青泵输入沥青混凝土搅拌缸中与骨料混合拌合。</w:t>
            </w:r>
          </w:p>
          <w:p>
            <w:pPr>
              <w:bidi w:val="0"/>
              <w:rPr>
                <w:rFonts w:hint="default"/>
              </w:rPr>
            </w:pPr>
            <w:r>
              <w:rPr>
                <w:rFonts w:hint="default"/>
              </w:rPr>
              <w:t>（2）骨料预处理流程：生产时将骨料从</w:t>
            </w:r>
            <w:r>
              <w:rPr>
                <w:rFonts w:hint="eastAsia"/>
                <w:lang w:val="en-US" w:eastAsia="zh-CN"/>
              </w:rPr>
              <w:t>原料</w:t>
            </w:r>
            <w:r>
              <w:rPr>
                <w:rFonts w:hint="default"/>
              </w:rPr>
              <w:t>堆场送入冷骨料斗，然后通过皮带输送式冷料给料机自动给料</w:t>
            </w:r>
            <w:r>
              <w:rPr>
                <w:rFonts w:hint="default"/>
                <w:lang w:eastAsia="zh-CN"/>
              </w:rPr>
              <w:t>；</w:t>
            </w:r>
            <w:r>
              <w:rPr>
                <w:rFonts w:hint="default"/>
              </w:rPr>
              <w:t>堆放及上料过程均会有粉尘产生</w:t>
            </w:r>
            <w:r>
              <w:rPr>
                <w:rFonts w:hint="default"/>
                <w:lang w:eastAsia="zh-CN"/>
              </w:rPr>
              <w:t>。</w:t>
            </w:r>
            <w:r>
              <w:rPr>
                <w:rFonts w:hint="default"/>
              </w:rPr>
              <w:t>将骨料通过骨料提升机送到激振分筛系统进行筛分，让符合粒径要求的骨料通过，经计量装置计量后送入拌合缸；少数不合规格的骨料被分离后经废料管排出，由骨料供应商回收破碎后重新利用；同时进入拌缸的还有矿粉填料，通过给料机、提升机、计量装置后进入拌缸，提升、振动筛分、给料等工序均在密闭设备内工作。</w:t>
            </w:r>
          </w:p>
          <w:p>
            <w:pPr>
              <w:bidi w:val="0"/>
              <w:rPr>
                <w:rFonts w:hint="default"/>
              </w:rPr>
            </w:pPr>
            <w:r>
              <w:rPr>
                <w:rFonts w:hint="default"/>
              </w:rPr>
              <w:t>（3）搅拌混合工序：进入拌缸的骨料、矿粉等经与油罐送来的热石油沥青拌合后才成为成品，整个过程都在密闭系统中进行。</w:t>
            </w:r>
          </w:p>
          <w:p>
            <w:pPr>
              <w:bidi w:val="0"/>
              <w:rPr>
                <w:rFonts w:hint="default"/>
              </w:rPr>
            </w:pPr>
            <w:r>
              <w:rPr>
                <w:rFonts w:hint="default"/>
              </w:rPr>
              <w:t>成品由汽车运输至施工场地，生产出料过程为间断式，成品从拌缸卸料后直接由汽车运出。</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eastAsiaTheme="minorEastAsia"/>
                <w:b/>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4"/>
                <w:highlight w:val="none"/>
                <w:u w:val="none" w:color="auto"/>
                <w14:textFill>
                  <w14:solidFill>
                    <w14:schemeClr w14:val="tx1"/>
                  </w14:solidFill>
                </w14:textFill>
              </w:rPr>
              <w:t>营运期主要污染工序及污染因子：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pPr>
            <w:r>
              <w:rPr>
                <w:rFonts w:hint="eastAsia" w:cs="Times New Roman" w:eastAsiaTheme="minorEastAsia"/>
                <w:color w:val="000000" w:themeColor="text1"/>
                <w:sz w:val="24"/>
                <w:highlight w:val="none"/>
                <w:u w:val="none" w:color="auto"/>
                <w:lang w:val="en-US" w:eastAsia="zh-CN"/>
                <w14:textFill>
                  <w14:solidFill>
                    <w14:schemeClr w14:val="tx1"/>
                  </w14:solidFill>
                </w14:textFill>
              </w:rPr>
              <w:t>一号站：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（1）废水：主要为</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作业区地面的清洗废水，运输车辆清洗废水，员工日常生活产生的生活污水以及初期雨水</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（2）废气：项目产生的废气主要有</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混合粉尘、筒仓呼吸粉尘、筒仓放空口粉尘；稳定土生产过程中产生的废气主要为水泥罐仓产生的粉尘、投料搅拌工序产生的粉尘；沥青混凝土生产过程中产生的废气主要为导热油锅炉燃油烟气，搅拌楼沥青烟气；砂石装卸堆放扬尘、运输车辆扬尘及食堂油烟等</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（3）噪声：</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项目噪声主要是</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搅拌楼、运输车辆等设备运行时产生的噪声。</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cs="Times New Roman" w:eastAsiaTheme="minorEastAsia"/>
                <w:color w:val="000000" w:themeColor="text1"/>
                <w:sz w:val="24"/>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（4）固体废物：</w:t>
            </w:r>
            <w:r>
              <w:rPr>
                <w:rFonts w:hint="default" w:ascii="Times New Roman" w:hAnsi="Times New Roman" w:cs="Times New Roman" w:eastAsiaTheme="minorEastAsia"/>
                <w:color w:val="000000" w:themeColor="text1"/>
                <w:sz w:val="24"/>
                <w:szCs w:val="21"/>
                <w:highlight w:val="none"/>
                <w:u w:val="none" w:color="auto"/>
                <w14:textFill>
                  <w14:solidFill>
                    <w14:schemeClr w14:val="tx1"/>
                  </w14:solidFill>
                </w14:textFill>
              </w:rPr>
              <w:t>项目营运后所产生的固体废弃物主要包括除尘器收集的粉尘、冲洗平台沉淀池底泥</w:t>
            </w:r>
            <w:r>
              <w:rPr>
                <w:rFonts w:hint="eastAsia" w:cs="Times New Roman" w:eastAsiaTheme="minorEastAsia"/>
                <w:color w:val="000000" w:themeColor="text1"/>
                <w:sz w:val="24"/>
                <w:szCs w:val="21"/>
                <w:highlight w:val="none"/>
                <w:u w:val="none" w:color="auto"/>
                <w:lang w:eastAsia="zh-CN"/>
                <w14:textFill>
                  <w14:solidFill>
                    <w14:schemeClr w14:val="tx1"/>
                  </w14:solidFill>
                </w14:textFill>
              </w:rPr>
              <w:t>、</w:t>
            </w:r>
            <w:r>
              <w:rPr>
                <w:rFonts w:hint="eastAsia" w:cs="Times New Roman" w:eastAsiaTheme="minorEastAsia"/>
                <w:color w:val="000000" w:themeColor="text1"/>
                <w:sz w:val="24"/>
                <w:szCs w:val="21"/>
                <w:highlight w:val="none"/>
                <w:u w:val="none" w:color="auto"/>
                <w:lang w:val="en-US" w:eastAsia="zh-CN"/>
                <w14:textFill>
                  <w14:solidFill>
                    <w14:schemeClr w14:val="tx1"/>
                  </w14:solidFill>
                </w14:textFill>
              </w:rPr>
              <w:t>实验室产生的废混凝土</w:t>
            </w:r>
            <w:r>
              <w:rPr>
                <w:rFonts w:hint="default" w:ascii="Times New Roman" w:hAnsi="Times New Roman" w:cs="Times New Roman" w:eastAsiaTheme="minorEastAsia"/>
                <w:color w:val="000000" w:themeColor="text1"/>
                <w:sz w:val="24"/>
                <w:szCs w:val="21"/>
                <w:highlight w:val="none"/>
                <w:u w:val="none" w:color="auto"/>
                <w14:textFill>
                  <w14:solidFill>
                    <w14:schemeClr w14:val="tx1"/>
                  </w14:solidFill>
                </w14:textFill>
              </w:rPr>
              <w:t>以及员工生活垃圾</w:t>
            </w:r>
            <w:r>
              <w:rPr>
                <w:rFonts w:hint="eastAsia" w:ascii="Times New Roman" w:hAnsi="Times New Roman" w:cs="Times New Roman" w:eastAsiaTheme="minorEastAsia"/>
                <w:color w:val="000000" w:themeColor="text1"/>
                <w:sz w:val="24"/>
                <w:szCs w:val="21"/>
                <w:highlight w:val="none"/>
                <w:u w:val="none" w:color="auto"/>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000000" w:themeColor="text1"/>
                <w:sz w:val="24"/>
                <w:szCs w:val="21"/>
                <w:highlight w:val="none"/>
                <w:u w:val="none" w:color="auto"/>
                <w:lang w:val="en-US" w:eastAsia="zh-CN"/>
                <w14:textFill>
                  <w14:solidFill>
                    <w14:schemeClr w14:val="tx1"/>
                  </w14:solidFill>
                </w14:textFill>
              </w:rPr>
            </w:pPr>
            <w:r>
              <w:rPr>
                <w:rFonts w:hint="eastAsia" w:cs="Times New Roman" w:eastAsiaTheme="minorEastAsia"/>
                <w:color w:val="000000" w:themeColor="text1"/>
                <w:sz w:val="24"/>
                <w:szCs w:val="21"/>
                <w:highlight w:val="none"/>
                <w:u w:val="none" w:color="auto"/>
                <w:lang w:val="en-US" w:eastAsia="zh-CN"/>
                <w14:textFill>
                  <w14:solidFill>
                    <w14:schemeClr w14:val="tx1"/>
                  </w14:solidFill>
                </w14:textFill>
              </w:rPr>
              <w:t>二号站：</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000000" w:themeColor="text1"/>
                <w:sz w:val="24"/>
                <w:szCs w:val="21"/>
                <w:highlight w:val="none"/>
                <w:u w:val="none" w:color="auto"/>
                <w:lang w:val="en-US" w:eastAsia="zh-CN"/>
                <w14:textFill>
                  <w14:solidFill>
                    <w14:schemeClr w14:val="tx1"/>
                  </w14:solidFill>
                </w14:textFill>
              </w:rPr>
            </w:pPr>
            <w:r>
              <w:rPr>
                <w:rFonts w:hint="eastAsia" w:cs="Times New Roman" w:eastAsiaTheme="minorEastAsia"/>
                <w:color w:val="000000" w:themeColor="text1"/>
                <w:sz w:val="24"/>
                <w:szCs w:val="21"/>
                <w:highlight w:val="none"/>
                <w:u w:val="none" w:color="auto"/>
                <w:lang w:val="en-US" w:eastAsia="zh-CN"/>
                <w14:textFill>
                  <w14:solidFill>
                    <w14:schemeClr w14:val="tx1"/>
                  </w14:solidFill>
                </w14:textFill>
              </w:rPr>
              <w:t>（1）废水：主要为作业区地面的清洗废水，运输车辆清洗废水，员工日常生活产生的生活污水以及初期雨水。</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000000" w:themeColor="text1"/>
                <w:sz w:val="24"/>
                <w:szCs w:val="21"/>
                <w:highlight w:val="none"/>
                <w:u w:val="none" w:color="auto"/>
                <w:lang w:val="en-US" w:eastAsia="zh-CN"/>
                <w14:textFill>
                  <w14:solidFill>
                    <w14:schemeClr w14:val="tx1"/>
                  </w14:solidFill>
                </w14:textFill>
              </w:rPr>
            </w:pPr>
            <w:r>
              <w:rPr>
                <w:rFonts w:hint="eastAsia" w:cs="Times New Roman" w:eastAsiaTheme="minorEastAsia"/>
                <w:color w:val="000000" w:themeColor="text1"/>
                <w:sz w:val="24"/>
                <w:szCs w:val="21"/>
                <w:highlight w:val="none"/>
                <w:u w:val="none" w:color="auto"/>
                <w:lang w:val="en-US" w:eastAsia="zh-CN"/>
                <w14:textFill>
                  <w14:solidFill>
                    <w14:schemeClr w14:val="tx1"/>
                  </w14:solidFill>
                </w14:textFill>
              </w:rPr>
              <w:t>（2）废气：项目产生的废气主要有混合粉尘、筒仓呼吸粉尘、筒仓放空口粉尘、砂石装卸堆放扬尘、运输车辆扬尘及食堂油烟等。</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eastAsia" w:cs="Times New Roman" w:eastAsiaTheme="minorEastAsia"/>
                <w:color w:val="000000" w:themeColor="text1"/>
                <w:sz w:val="24"/>
                <w:szCs w:val="21"/>
                <w:highlight w:val="none"/>
                <w:u w:val="none" w:color="auto"/>
                <w:lang w:val="en-US" w:eastAsia="zh-CN"/>
                <w14:textFill>
                  <w14:solidFill>
                    <w14:schemeClr w14:val="tx1"/>
                  </w14:solidFill>
                </w14:textFill>
              </w:rPr>
            </w:pPr>
            <w:r>
              <w:rPr>
                <w:rFonts w:hint="eastAsia" w:cs="Times New Roman" w:eastAsiaTheme="minorEastAsia"/>
                <w:color w:val="000000" w:themeColor="text1"/>
                <w:sz w:val="24"/>
                <w:szCs w:val="21"/>
                <w:highlight w:val="none"/>
                <w:u w:val="none" w:color="auto"/>
                <w:lang w:val="en-US" w:eastAsia="zh-CN"/>
                <w14:textFill>
                  <w14:solidFill>
                    <w14:schemeClr w14:val="tx1"/>
                  </w14:solidFill>
                </w14:textFill>
              </w:rPr>
              <w:t>（3）噪声：项目噪声主要是搅拌楼、运输车辆等设备运行时产生的噪声。</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cs="Times New Roman" w:eastAsiaTheme="minorEastAsia"/>
                <w:color w:val="000000" w:themeColor="text1"/>
                <w:sz w:val="24"/>
                <w:szCs w:val="21"/>
                <w:highlight w:val="none"/>
                <w:u w:val="none" w:color="auto"/>
                <w:lang w:val="en-US" w:eastAsia="zh-CN"/>
                <w14:textFill>
                  <w14:solidFill>
                    <w14:schemeClr w14:val="tx1"/>
                  </w14:solidFill>
                </w14:textFill>
              </w:rPr>
              <w:t>（4）固体废物：项目营运后所产生的固体废弃物主要包括除尘器收集的粉尘、冲洗平台沉淀池底泥以及员工生活垃圾。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与项目有关的原有环境污染问题</w:t>
            </w:r>
          </w:p>
        </w:tc>
        <w:tc>
          <w:tcPr>
            <w:tcW w:w="8472" w:type="dxa"/>
            <w:tcBorders>
              <w:tl2br w:val="nil"/>
              <w:tr2bl w:val="nil"/>
            </w:tcBorders>
            <w:vAlign w:val="top"/>
          </w:tcPr>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本项目为新建项目，不存在原有污染情况及环境问题。</w:t>
            </w:r>
          </w:p>
        </w:tc>
      </w:tr>
    </w:tbl>
    <w:p>
      <w:pPr>
        <w:bidi w:val="0"/>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sectPr>
          <w:pgSz w:w="11906" w:h="16838"/>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bookmarkStart w:id="14" w:name="_Toc23196"/>
      <w:r>
        <w:rPr>
          <w:rFonts w:hint="default" w:ascii="Times New Roman" w:hAnsi="Times New Roman" w:cs="Times New Roman" w:eastAsiaTheme="minorEastAsia"/>
          <w:b/>
          <w:color w:val="000000" w:themeColor="text1"/>
          <w:sz w:val="36"/>
          <w:szCs w:val="36"/>
          <w:highlight w:val="none"/>
          <w:u w:val="none" w:color="auto"/>
          <w:lang w:val="en-US" w:eastAsia="zh-CN"/>
          <w14:textFill>
            <w14:solidFill>
              <w14:schemeClr w14:val="tx1"/>
            </w14:solidFill>
          </w14:textFill>
        </w:rPr>
        <w:t>三、区域环境质量现状、环境保护目标及评价标准</w:t>
      </w:r>
      <w:bookmarkEnd w:id="14"/>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7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区域环境质量现状</w:t>
            </w:r>
          </w:p>
        </w:tc>
        <w:tc>
          <w:tcPr>
            <w:tcW w:w="8566" w:type="dxa"/>
            <w:tcBorders>
              <w:tl2br w:val="nil"/>
              <w:tr2bl w:val="nil"/>
            </w:tcBorders>
            <w:vAlign w:val="center"/>
          </w:tcPr>
          <w:p>
            <w:pPr>
              <w:widowControl w:val="0"/>
              <w:adjustRightInd w:val="0"/>
              <w:snapToGrid w:val="0"/>
              <w:spacing w:line="360" w:lineRule="auto"/>
              <w:ind w:left="0" w:leftChars="0" w:right="318" w:firstLine="0" w:firstLineChars="0"/>
              <w:jc w:val="both"/>
              <w:rPr>
                <w:rFonts w:hint="default" w:ascii="Times New Roman" w:hAnsi="Times New Roman" w:cs="Times New Roman" w:eastAsiaTheme="minorEastAsia"/>
                <w:b/>
                <w:color w:val="000000" w:themeColor="text1"/>
                <w:spacing w:val="0"/>
                <w:kern w:val="21"/>
                <w:sz w:val="28"/>
                <w:szCs w:val="28"/>
                <w:highlight w:val="none"/>
                <w:u w:val="none" w:color="auto"/>
                <w:lang w:val="en-US" w:eastAsia="zh-CN" w:bidi="ar-SA"/>
                <w14:textFill>
                  <w14:solidFill>
                    <w14:schemeClr w14:val="tx1"/>
                  </w14:solidFill>
                </w14:textFill>
              </w:rPr>
            </w:pPr>
            <w:bookmarkStart w:id="15" w:name="_Toc411767822"/>
            <w:r>
              <w:rPr>
                <w:rFonts w:hint="default" w:ascii="Times New Roman" w:hAnsi="Times New Roman" w:cs="Times New Roman" w:eastAsiaTheme="minorEastAsia"/>
                <w:b/>
                <w:color w:val="000000" w:themeColor="text1"/>
                <w:spacing w:val="0"/>
                <w:kern w:val="21"/>
                <w:sz w:val="28"/>
                <w:szCs w:val="28"/>
                <w:highlight w:val="none"/>
                <w:u w:val="none" w:color="auto"/>
                <w:lang w:val="en-US" w:eastAsia="zh-CN" w:bidi="ar-SA"/>
                <w14:textFill>
                  <w14:solidFill>
                    <w14:schemeClr w14:val="tx1"/>
                  </w14:solidFill>
                </w14:textFill>
              </w:rPr>
              <w:t>建设项目所在地区域环境质量现状及主要环境问题（环境空气、地面水、地下水、声环境、生态环境等）</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1、大气环境质量现状</w:t>
            </w:r>
            <w:bookmarkEnd w:id="15"/>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w:t>
            </w:r>
            <w:r>
              <w:rPr>
                <w:rFonts w:hint="eastAsia" w:ascii="Times New Roman" w:hAnsi="Times New Roman" w:eastAsia="宋体" w:cs="Times New Roman"/>
                <w:color w:val="000000"/>
                <w:sz w:val="24"/>
                <w:szCs w:val="24"/>
              </w:rPr>
              <w:t>永州市生态环境</w:t>
            </w:r>
            <w:r>
              <w:rPr>
                <w:rFonts w:ascii="Times New Roman" w:hAnsi="Times New Roman" w:eastAsia="宋体" w:cs="Times New Roman"/>
                <w:color w:val="000000"/>
                <w:sz w:val="24"/>
                <w:szCs w:val="24"/>
              </w:rPr>
              <w:t>局监测科发布的《关于2020年12月份全市环境质量状况的通报》（永生环委办</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2021</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5号）统计的环</w:t>
            </w:r>
            <w:r>
              <w:rPr>
                <w:rFonts w:hint="eastAsia" w:ascii="Times New Roman" w:hAnsi="Times New Roman" w:eastAsia="宋体" w:cs="Times New Roman"/>
                <w:color w:val="000000"/>
                <w:sz w:val="24"/>
                <w:szCs w:val="24"/>
              </w:rPr>
              <w:t>境监测结果</w:t>
            </w:r>
            <w:r>
              <w:rPr>
                <w:rFonts w:ascii="Times New Roman" w:hAnsi="Times New Roman" w:eastAsia="宋体" w:cs="Times New Roman"/>
                <w:color w:val="000000"/>
                <w:sz w:val="24"/>
                <w:szCs w:val="24"/>
              </w:rPr>
              <w:t>，来判定县域大气环境质量达标情况，统计数据显示环境空气中各污染因子浓度值均能够达到</w:t>
            </w:r>
            <w:r>
              <w:rPr>
                <w:rFonts w:ascii="Times New Roman" w:hAnsi="Times New Roman" w:eastAsia="宋体" w:cs="Times New Roman"/>
                <w:snapToGrid w:val="0"/>
                <w:color w:val="000000"/>
                <w:kern w:val="0"/>
                <w:sz w:val="24"/>
                <w:szCs w:val="24"/>
              </w:rPr>
              <w:t>《环境空气质量标准》（GB3095-2012）中二级标准及修改单要求，</w:t>
            </w:r>
            <w:r>
              <w:rPr>
                <w:rFonts w:ascii="Times New Roman" w:hAnsi="Times New Roman" w:eastAsia="宋体" w:cs="Times New Roman"/>
                <w:color w:val="000000"/>
                <w:sz w:val="24"/>
                <w:szCs w:val="24"/>
              </w:rPr>
              <w:t>新田县属于20</w:t>
            </w:r>
            <w:r>
              <w:rPr>
                <w:rFonts w:hint="eastAsia" w:ascii="Times New Roman" w:hAnsi="Times New Roman" w:eastAsia="宋体" w:cs="Times New Roman"/>
                <w:color w:val="000000"/>
                <w:sz w:val="24"/>
                <w:szCs w:val="24"/>
              </w:rPr>
              <w:t>20</w:t>
            </w:r>
            <w:r>
              <w:rPr>
                <w:rFonts w:ascii="Times New Roman" w:hAnsi="Times New Roman" w:eastAsia="宋体" w:cs="Times New Roman"/>
                <w:color w:val="000000"/>
                <w:sz w:val="24"/>
                <w:szCs w:val="24"/>
              </w:rPr>
              <w:t>年度环境质量达标区。具体情况详见表</w:t>
            </w:r>
            <w:r>
              <w:rPr>
                <w:rFonts w:hint="eastAsia" w:ascii="Times New Roman" w:hAnsi="Times New Roman" w:eastAsia="宋体" w:cs="Times New Roman"/>
                <w:color w:val="000000"/>
                <w:sz w:val="24"/>
                <w:szCs w:val="24"/>
                <w:lang w:val="en-US" w:eastAsia="zh-CN"/>
              </w:rPr>
              <w:t>3-1</w:t>
            </w:r>
            <w:r>
              <w:rPr>
                <w:rFonts w:ascii="Times New Roman" w:hAnsi="Times New Roman" w:eastAsia="宋体" w:cs="Times New Roman"/>
                <w:color w:val="000000"/>
                <w:sz w:val="24"/>
                <w:szCs w:val="24"/>
              </w:rPr>
              <w:t>。</w:t>
            </w:r>
          </w:p>
          <w:p>
            <w:pPr>
              <w:pStyle w:val="57"/>
              <w:bidi w:val="0"/>
              <w:rPr>
                <w:b/>
                <w:bCs/>
              </w:rPr>
            </w:pPr>
            <w:r>
              <w:rPr>
                <w:b/>
                <w:bCs/>
              </w:rPr>
              <w:t>表</w:t>
            </w:r>
            <w:r>
              <w:rPr>
                <w:rFonts w:hint="eastAsia"/>
                <w:b/>
                <w:bCs/>
                <w:lang w:val="en-US" w:eastAsia="zh-CN"/>
              </w:rPr>
              <w:t>3-1</w:t>
            </w:r>
            <w:r>
              <w:rPr>
                <w:b/>
                <w:bCs/>
              </w:rPr>
              <w:t xml:space="preserve"> 县域空气质量现状评价表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359"/>
              <w:gridCol w:w="1756"/>
              <w:gridCol w:w="1617"/>
              <w:gridCol w:w="970"/>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pStyle w:val="57"/>
                    <w:bidi w:val="0"/>
                  </w:pPr>
                  <w:r>
                    <w:t>污染物</w:t>
                  </w:r>
                </w:p>
              </w:tc>
              <w:tc>
                <w:tcPr>
                  <w:tcW w:w="2359" w:type="dxa"/>
                  <w:noWrap w:val="0"/>
                  <w:vAlign w:val="center"/>
                </w:tcPr>
                <w:p>
                  <w:pPr>
                    <w:pStyle w:val="57"/>
                    <w:bidi w:val="0"/>
                  </w:pPr>
                  <w:r>
                    <w:t>年评价指标</w:t>
                  </w:r>
                </w:p>
              </w:tc>
              <w:tc>
                <w:tcPr>
                  <w:tcW w:w="1756" w:type="dxa"/>
                  <w:noWrap w:val="0"/>
                  <w:vAlign w:val="center"/>
                </w:tcPr>
                <w:p>
                  <w:pPr>
                    <w:pStyle w:val="57"/>
                    <w:bidi w:val="0"/>
                  </w:pPr>
                  <w:r>
                    <w:t>现状浓度/（μg/m3）</w:t>
                  </w:r>
                </w:p>
              </w:tc>
              <w:tc>
                <w:tcPr>
                  <w:tcW w:w="1617" w:type="dxa"/>
                  <w:noWrap w:val="0"/>
                  <w:vAlign w:val="center"/>
                </w:tcPr>
                <w:p>
                  <w:pPr>
                    <w:pStyle w:val="57"/>
                    <w:bidi w:val="0"/>
                  </w:pPr>
                  <w:r>
                    <w:t>标准值/（μg/m3）</w:t>
                  </w:r>
                </w:p>
              </w:tc>
              <w:tc>
                <w:tcPr>
                  <w:tcW w:w="970" w:type="dxa"/>
                  <w:noWrap w:val="0"/>
                  <w:vAlign w:val="center"/>
                </w:tcPr>
                <w:p>
                  <w:pPr>
                    <w:pStyle w:val="57"/>
                    <w:bidi w:val="0"/>
                  </w:pPr>
                  <w:r>
                    <w:t>占标率/%</w:t>
                  </w:r>
                </w:p>
              </w:tc>
              <w:tc>
                <w:tcPr>
                  <w:tcW w:w="843" w:type="dxa"/>
                  <w:noWrap w:val="0"/>
                  <w:vAlign w:val="center"/>
                </w:tcPr>
                <w:p>
                  <w:pPr>
                    <w:pStyle w:val="57"/>
                    <w:bidi w:val="0"/>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pStyle w:val="57"/>
                    <w:bidi w:val="0"/>
                  </w:pPr>
                  <w:r>
                    <w:t>SO</w:t>
                  </w:r>
                  <w:r>
                    <w:rPr>
                      <w:vertAlign w:val="subscript"/>
                    </w:rPr>
                    <w:t>2</w:t>
                  </w:r>
                </w:p>
              </w:tc>
              <w:tc>
                <w:tcPr>
                  <w:tcW w:w="2359" w:type="dxa"/>
                  <w:noWrap w:val="0"/>
                  <w:vAlign w:val="center"/>
                </w:tcPr>
                <w:p>
                  <w:pPr>
                    <w:pStyle w:val="57"/>
                    <w:bidi w:val="0"/>
                  </w:pPr>
                  <w:r>
                    <w:t>年平均质量浓度</w:t>
                  </w:r>
                </w:p>
              </w:tc>
              <w:tc>
                <w:tcPr>
                  <w:tcW w:w="1756" w:type="dxa"/>
                  <w:noWrap w:val="0"/>
                  <w:vAlign w:val="center"/>
                </w:tcPr>
                <w:p>
                  <w:pPr>
                    <w:pStyle w:val="57"/>
                    <w:bidi w:val="0"/>
                    <w:rPr>
                      <w:rFonts w:hint="eastAsia"/>
                    </w:rPr>
                  </w:pPr>
                  <w:r>
                    <w:rPr>
                      <w:rFonts w:hint="eastAsia"/>
                    </w:rPr>
                    <w:t>7</w:t>
                  </w:r>
                </w:p>
              </w:tc>
              <w:tc>
                <w:tcPr>
                  <w:tcW w:w="1617" w:type="dxa"/>
                  <w:noWrap w:val="0"/>
                  <w:vAlign w:val="center"/>
                </w:tcPr>
                <w:p>
                  <w:pPr>
                    <w:pStyle w:val="57"/>
                    <w:bidi w:val="0"/>
                  </w:pPr>
                  <w:r>
                    <w:t>35</w:t>
                  </w:r>
                </w:p>
              </w:tc>
              <w:tc>
                <w:tcPr>
                  <w:tcW w:w="970" w:type="dxa"/>
                  <w:noWrap w:val="0"/>
                  <w:vAlign w:val="center"/>
                </w:tcPr>
                <w:p>
                  <w:pPr>
                    <w:pStyle w:val="57"/>
                    <w:bidi w:val="0"/>
                  </w:pPr>
                  <w:r>
                    <w:rPr>
                      <w:rFonts w:hint="eastAsia"/>
                    </w:rPr>
                    <w:t>20</w:t>
                  </w:r>
                </w:p>
              </w:tc>
              <w:tc>
                <w:tcPr>
                  <w:tcW w:w="843" w:type="dxa"/>
                  <w:noWrap w:val="0"/>
                  <w:vAlign w:val="center"/>
                </w:tcPr>
                <w:p>
                  <w:pPr>
                    <w:pStyle w:val="57"/>
                    <w:bidi w:val="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pStyle w:val="57"/>
                    <w:bidi w:val="0"/>
                  </w:pPr>
                  <w:r>
                    <w:t>NO</w:t>
                  </w:r>
                  <w:r>
                    <w:rPr>
                      <w:vertAlign w:val="subscript"/>
                    </w:rPr>
                    <w:t>2</w:t>
                  </w:r>
                </w:p>
              </w:tc>
              <w:tc>
                <w:tcPr>
                  <w:tcW w:w="2359" w:type="dxa"/>
                  <w:noWrap w:val="0"/>
                  <w:vAlign w:val="center"/>
                </w:tcPr>
                <w:p>
                  <w:pPr>
                    <w:pStyle w:val="57"/>
                    <w:bidi w:val="0"/>
                  </w:pPr>
                  <w:r>
                    <w:t>年平均质量浓度</w:t>
                  </w:r>
                </w:p>
              </w:tc>
              <w:tc>
                <w:tcPr>
                  <w:tcW w:w="1756" w:type="dxa"/>
                  <w:noWrap w:val="0"/>
                  <w:vAlign w:val="center"/>
                </w:tcPr>
                <w:p>
                  <w:pPr>
                    <w:pStyle w:val="57"/>
                    <w:bidi w:val="0"/>
                  </w:pPr>
                  <w:r>
                    <w:rPr>
                      <w:rFonts w:hint="eastAsia"/>
                    </w:rPr>
                    <w:t>12</w:t>
                  </w:r>
                </w:p>
              </w:tc>
              <w:tc>
                <w:tcPr>
                  <w:tcW w:w="1617" w:type="dxa"/>
                  <w:noWrap w:val="0"/>
                  <w:vAlign w:val="center"/>
                </w:tcPr>
                <w:p>
                  <w:pPr>
                    <w:pStyle w:val="57"/>
                    <w:bidi w:val="0"/>
                  </w:pPr>
                  <w:r>
                    <w:t>70</w:t>
                  </w:r>
                </w:p>
              </w:tc>
              <w:tc>
                <w:tcPr>
                  <w:tcW w:w="970" w:type="dxa"/>
                  <w:noWrap w:val="0"/>
                  <w:vAlign w:val="center"/>
                </w:tcPr>
                <w:p>
                  <w:pPr>
                    <w:pStyle w:val="57"/>
                    <w:bidi w:val="0"/>
                  </w:pPr>
                  <w:r>
                    <w:rPr>
                      <w:rFonts w:hint="eastAsia"/>
                    </w:rPr>
                    <w:t>17.14</w:t>
                  </w:r>
                </w:p>
              </w:tc>
              <w:tc>
                <w:tcPr>
                  <w:tcW w:w="843" w:type="dxa"/>
                  <w:noWrap w:val="0"/>
                  <w:vAlign w:val="center"/>
                </w:tcPr>
                <w:p>
                  <w:pPr>
                    <w:pStyle w:val="57"/>
                    <w:bidi w:val="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pStyle w:val="57"/>
                    <w:bidi w:val="0"/>
                  </w:pPr>
                  <w:r>
                    <w:t>PM</w:t>
                  </w:r>
                  <w:r>
                    <w:rPr>
                      <w:vertAlign w:val="subscript"/>
                    </w:rPr>
                    <w:t>10</w:t>
                  </w:r>
                </w:p>
              </w:tc>
              <w:tc>
                <w:tcPr>
                  <w:tcW w:w="2359" w:type="dxa"/>
                  <w:noWrap w:val="0"/>
                  <w:vAlign w:val="center"/>
                </w:tcPr>
                <w:p>
                  <w:pPr>
                    <w:pStyle w:val="57"/>
                    <w:bidi w:val="0"/>
                  </w:pPr>
                  <w:r>
                    <w:t>年平均质量浓度</w:t>
                  </w:r>
                </w:p>
              </w:tc>
              <w:tc>
                <w:tcPr>
                  <w:tcW w:w="1756" w:type="dxa"/>
                  <w:noWrap w:val="0"/>
                  <w:vAlign w:val="center"/>
                </w:tcPr>
                <w:p>
                  <w:pPr>
                    <w:pStyle w:val="57"/>
                    <w:bidi w:val="0"/>
                  </w:pPr>
                  <w:r>
                    <w:rPr>
                      <w:rFonts w:hint="eastAsia"/>
                    </w:rPr>
                    <w:t>46</w:t>
                  </w:r>
                </w:p>
              </w:tc>
              <w:tc>
                <w:tcPr>
                  <w:tcW w:w="1617" w:type="dxa"/>
                  <w:noWrap w:val="0"/>
                  <w:vAlign w:val="center"/>
                </w:tcPr>
                <w:p>
                  <w:pPr>
                    <w:pStyle w:val="57"/>
                    <w:bidi w:val="0"/>
                  </w:pPr>
                  <w:r>
                    <w:t>60</w:t>
                  </w:r>
                </w:p>
              </w:tc>
              <w:tc>
                <w:tcPr>
                  <w:tcW w:w="970" w:type="dxa"/>
                  <w:noWrap w:val="0"/>
                  <w:vAlign w:val="center"/>
                </w:tcPr>
                <w:p>
                  <w:pPr>
                    <w:pStyle w:val="57"/>
                    <w:bidi w:val="0"/>
                  </w:pPr>
                  <w:r>
                    <w:rPr>
                      <w:rFonts w:hint="eastAsia"/>
                    </w:rPr>
                    <w:t>76.67</w:t>
                  </w:r>
                </w:p>
              </w:tc>
              <w:tc>
                <w:tcPr>
                  <w:tcW w:w="843" w:type="dxa"/>
                  <w:noWrap w:val="0"/>
                  <w:vAlign w:val="center"/>
                </w:tcPr>
                <w:p>
                  <w:pPr>
                    <w:pStyle w:val="57"/>
                    <w:bidi w:val="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pStyle w:val="57"/>
                    <w:bidi w:val="0"/>
                  </w:pPr>
                  <w:r>
                    <w:t>PM</w:t>
                  </w:r>
                  <w:r>
                    <w:rPr>
                      <w:vertAlign w:val="subscript"/>
                    </w:rPr>
                    <w:t>2.5</w:t>
                  </w:r>
                </w:p>
              </w:tc>
              <w:tc>
                <w:tcPr>
                  <w:tcW w:w="2359" w:type="dxa"/>
                  <w:noWrap w:val="0"/>
                  <w:vAlign w:val="center"/>
                </w:tcPr>
                <w:p>
                  <w:pPr>
                    <w:pStyle w:val="57"/>
                    <w:bidi w:val="0"/>
                  </w:pPr>
                  <w:r>
                    <w:t>年平均质量浓度</w:t>
                  </w:r>
                </w:p>
              </w:tc>
              <w:tc>
                <w:tcPr>
                  <w:tcW w:w="1756" w:type="dxa"/>
                  <w:noWrap w:val="0"/>
                  <w:vAlign w:val="center"/>
                </w:tcPr>
                <w:p>
                  <w:pPr>
                    <w:pStyle w:val="57"/>
                    <w:bidi w:val="0"/>
                  </w:pPr>
                  <w:r>
                    <w:rPr>
                      <w:rFonts w:hint="eastAsia"/>
                    </w:rPr>
                    <w:t>29</w:t>
                  </w:r>
                </w:p>
              </w:tc>
              <w:tc>
                <w:tcPr>
                  <w:tcW w:w="1617" w:type="dxa"/>
                  <w:noWrap w:val="0"/>
                  <w:vAlign w:val="center"/>
                </w:tcPr>
                <w:p>
                  <w:pPr>
                    <w:pStyle w:val="57"/>
                    <w:bidi w:val="0"/>
                  </w:pPr>
                  <w:r>
                    <w:t>40</w:t>
                  </w:r>
                </w:p>
              </w:tc>
              <w:tc>
                <w:tcPr>
                  <w:tcW w:w="970" w:type="dxa"/>
                  <w:noWrap w:val="0"/>
                  <w:vAlign w:val="center"/>
                </w:tcPr>
                <w:p>
                  <w:pPr>
                    <w:pStyle w:val="57"/>
                    <w:bidi w:val="0"/>
                  </w:pPr>
                  <w:r>
                    <w:rPr>
                      <w:rFonts w:hint="eastAsia"/>
                    </w:rPr>
                    <w:t>72.5</w:t>
                  </w:r>
                </w:p>
              </w:tc>
              <w:tc>
                <w:tcPr>
                  <w:tcW w:w="843" w:type="dxa"/>
                  <w:noWrap w:val="0"/>
                  <w:vAlign w:val="center"/>
                </w:tcPr>
                <w:p>
                  <w:pPr>
                    <w:pStyle w:val="57"/>
                    <w:bidi w:val="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pStyle w:val="57"/>
                    <w:bidi w:val="0"/>
                  </w:pPr>
                  <w:r>
                    <w:t>CO</w:t>
                  </w:r>
                </w:p>
              </w:tc>
              <w:tc>
                <w:tcPr>
                  <w:tcW w:w="2359" w:type="dxa"/>
                  <w:noWrap w:val="0"/>
                  <w:vAlign w:val="center"/>
                </w:tcPr>
                <w:p>
                  <w:pPr>
                    <w:pStyle w:val="57"/>
                    <w:bidi w:val="0"/>
                  </w:pPr>
                  <w:r>
                    <w:t>第95百分位数日平均浓度</w:t>
                  </w:r>
                </w:p>
              </w:tc>
              <w:tc>
                <w:tcPr>
                  <w:tcW w:w="1756" w:type="dxa"/>
                  <w:noWrap w:val="0"/>
                  <w:vAlign w:val="center"/>
                </w:tcPr>
                <w:p>
                  <w:pPr>
                    <w:pStyle w:val="57"/>
                    <w:bidi w:val="0"/>
                  </w:pPr>
                  <w:r>
                    <w:rPr>
                      <w:rFonts w:hint="eastAsia"/>
                    </w:rPr>
                    <w:t>900</w:t>
                  </w:r>
                </w:p>
              </w:tc>
              <w:tc>
                <w:tcPr>
                  <w:tcW w:w="1617" w:type="dxa"/>
                  <w:noWrap w:val="0"/>
                  <w:vAlign w:val="center"/>
                </w:tcPr>
                <w:p>
                  <w:pPr>
                    <w:pStyle w:val="57"/>
                    <w:bidi w:val="0"/>
                  </w:pPr>
                  <w:r>
                    <w:t>4000</w:t>
                  </w:r>
                </w:p>
              </w:tc>
              <w:tc>
                <w:tcPr>
                  <w:tcW w:w="970" w:type="dxa"/>
                  <w:noWrap w:val="0"/>
                  <w:vAlign w:val="center"/>
                </w:tcPr>
                <w:p>
                  <w:pPr>
                    <w:pStyle w:val="57"/>
                    <w:bidi w:val="0"/>
                  </w:pPr>
                  <w:r>
                    <w:rPr>
                      <w:rFonts w:hint="eastAsia"/>
                    </w:rPr>
                    <w:t>22.5</w:t>
                  </w:r>
                </w:p>
              </w:tc>
              <w:tc>
                <w:tcPr>
                  <w:tcW w:w="843" w:type="dxa"/>
                  <w:noWrap w:val="0"/>
                  <w:vAlign w:val="center"/>
                </w:tcPr>
                <w:p>
                  <w:pPr>
                    <w:pStyle w:val="57"/>
                    <w:bidi w:val="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pStyle w:val="57"/>
                    <w:bidi w:val="0"/>
                  </w:pPr>
                  <w:r>
                    <w:t>O</w:t>
                  </w:r>
                  <w:r>
                    <w:rPr>
                      <w:vertAlign w:val="subscript"/>
                    </w:rPr>
                    <w:t>3</w:t>
                  </w:r>
                </w:p>
              </w:tc>
              <w:tc>
                <w:tcPr>
                  <w:tcW w:w="2359" w:type="dxa"/>
                  <w:noWrap w:val="0"/>
                  <w:vAlign w:val="center"/>
                </w:tcPr>
                <w:p>
                  <w:pPr>
                    <w:pStyle w:val="57"/>
                    <w:bidi w:val="0"/>
                  </w:pPr>
                  <w:r>
                    <w:t>第90百分位数日最大8h平均浓度</w:t>
                  </w:r>
                </w:p>
              </w:tc>
              <w:tc>
                <w:tcPr>
                  <w:tcW w:w="1756" w:type="dxa"/>
                  <w:noWrap w:val="0"/>
                  <w:vAlign w:val="center"/>
                </w:tcPr>
                <w:p>
                  <w:pPr>
                    <w:pStyle w:val="57"/>
                    <w:bidi w:val="0"/>
                  </w:pPr>
                  <w:r>
                    <w:rPr>
                      <w:rFonts w:hint="eastAsia"/>
                    </w:rPr>
                    <w:t>120</w:t>
                  </w:r>
                </w:p>
              </w:tc>
              <w:tc>
                <w:tcPr>
                  <w:tcW w:w="1617" w:type="dxa"/>
                  <w:noWrap w:val="0"/>
                  <w:vAlign w:val="center"/>
                </w:tcPr>
                <w:p>
                  <w:pPr>
                    <w:pStyle w:val="57"/>
                    <w:bidi w:val="0"/>
                  </w:pPr>
                  <w:r>
                    <w:t>160</w:t>
                  </w:r>
                </w:p>
              </w:tc>
              <w:tc>
                <w:tcPr>
                  <w:tcW w:w="970" w:type="dxa"/>
                  <w:noWrap w:val="0"/>
                  <w:vAlign w:val="center"/>
                </w:tcPr>
                <w:p>
                  <w:pPr>
                    <w:pStyle w:val="57"/>
                    <w:bidi w:val="0"/>
                  </w:pPr>
                  <w:r>
                    <w:rPr>
                      <w:rFonts w:hint="eastAsia"/>
                    </w:rPr>
                    <w:t>75</w:t>
                  </w:r>
                </w:p>
              </w:tc>
              <w:tc>
                <w:tcPr>
                  <w:tcW w:w="843" w:type="dxa"/>
                  <w:noWrap w:val="0"/>
                  <w:vAlign w:val="center"/>
                </w:tcPr>
                <w:p>
                  <w:pPr>
                    <w:pStyle w:val="57"/>
                    <w:bidi w:val="0"/>
                  </w:pPr>
                  <w:r>
                    <w:t>达标</w:t>
                  </w:r>
                </w:p>
              </w:tc>
            </w:tr>
          </w:tbl>
          <w:p>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highlight w:val="none"/>
                <w:u w:val="none" w:color="auto"/>
                <w:lang w:val="en-US"/>
              </w:rPr>
            </w:pPr>
            <w:r>
              <w:rPr>
                <w:rFonts w:hint="default" w:ascii="Times New Roman" w:hAnsi="Times New Roman" w:eastAsia="宋体" w:cs="Times New Roman"/>
                <w:color w:val="auto"/>
                <w:sz w:val="24"/>
                <w:szCs w:val="24"/>
                <w:lang w:val="en-US"/>
              </w:rPr>
              <w:t>上表可知，20</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lang w:val="en-US"/>
              </w:rPr>
              <w:t>年</w:t>
            </w:r>
            <w:r>
              <w:rPr>
                <w:rFonts w:hint="eastAsia" w:ascii="Times New Roman" w:hAnsi="Times New Roman" w:cs="Times New Roman"/>
                <w:color w:val="auto"/>
                <w:sz w:val="24"/>
                <w:szCs w:val="24"/>
                <w:lang w:val="en-US" w:eastAsia="zh-CN"/>
              </w:rPr>
              <w:t>新田</w:t>
            </w:r>
            <w:r>
              <w:rPr>
                <w:rFonts w:hint="default" w:ascii="Times New Roman" w:hAnsi="Times New Roman" w:eastAsia="宋体" w:cs="Times New Roman"/>
                <w:color w:val="auto"/>
                <w:sz w:val="24"/>
                <w:szCs w:val="24"/>
                <w:lang w:val="en-US" w:eastAsia="zh-CN"/>
              </w:rPr>
              <w:t>县</w:t>
            </w:r>
            <w:r>
              <w:rPr>
                <w:rFonts w:hint="default" w:ascii="Times New Roman" w:hAnsi="Times New Roman" w:eastAsia="宋体" w:cs="Times New Roman"/>
                <w:color w:val="auto"/>
                <w:sz w:val="24"/>
                <w:szCs w:val="24"/>
                <w:lang w:val="en-US"/>
              </w:rPr>
              <w:t>SO</w:t>
            </w:r>
            <w:r>
              <w:rPr>
                <w:rFonts w:hint="default" w:ascii="Times New Roman" w:hAnsi="Times New Roman" w:eastAsia="宋体" w:cs="Times New Roman"/>
                <w:color w:val="auto"/>
                <w:sz w:val="24"/>
                <w:szCs w:val="24"/>
                <w:vertAlign w:val="subscript"/>
                <w:lang w:val="en-US"/>
              </w:rPr>
              <w:t>2</w:t>
            </w:r>
            <w:r>
              <w:rPr>
                <w:rFonts w:hint="default" w:ascii="Times New Roman" w:hAnsi="Times New Roman" w:eastAsia="宋体" w:cs="Times New Roman"/>
                <w:color w:val="auto"/>
                <w:sz w:val="24"/>
                <w:szCs w:val="24"/>
                <w:lang w:val="en-US"/>
              </w:rPr>
              <w:t>、NO</w:t>
            </w:r>
            <w:r>
              <w:rPr>
                <w:rFonts w:hint="default" w:ascii="Times New Roman" w:hAnsi="Times New Roman" w:eastAsia="宋体" w:cs="Times New Roman"/>
                <w:color w:val="auto"/>
                <w:sz w:val="24"/>
                <w:szCs w:val="24"/>
                <w:vertAlign w:val="subscript"/>
                <w:lang w:val="en-US"/>
              </w:rPr>
              <w:t>2</w:t>
            </w:r>
            <w:r>
              <w:rPr>
                <w:rFonts w:hint="default" w:ascii="Times New Roman" w:hAnsi="Times New Roman" w:eastAsia="宋体" w:cs="Times New Roman"/>
                <w:color w:val="auto"/>
                <w:sz w:val="24"/>
                <w:szCs w:val="24"/>
                <w:lang w:val="en-US"/>
              </w:rPr>
              <w:t>、CO、O</w:t>
            </w:r>
            <w:r>
              <w:rPr>
                <w:rFonts w:hint="default" w:ascii="Times New Roman" w:hAnsi="Times New Roman" w:eastAsia="宋体" w:cs="Times New Roman"/>
                <w:color w:val="auto"/>
                <w:sz w:val="24"/>
                <w:szCs w:val="24"/>
                <w:vertAlign w:val="subscript"/>
                <w:lang w:val="en-US"/>
              </w:rPr>
              <w:t>3</w:t>
            </w:r>
            <w:r>
              <w:rPr>
                <w:rFonts w:hint="default" w:ascii="Times New Roman" w:hAnsi="Times New Roman" w:eastAsia="宋体" w:cs="Times New Roman"/>
                <w:color w:val="auto"/>
                <w:sz w:val="24"/>
                <w:szCs w:val="24"/>
                <w:lang w:val="en-US"/>
              </w:rPr>
              <w:t>、PM</w:t>
            </w:r>
            <w:r>
              <w:rPr>
                <w:rFonts w:hint="default" w:ascii="Times New Roman" w:hAnsi="Times New Roman" w:eastAsia="宋体" w:cs="Times New Roman"/>
                <w:color w:val="auto"/>
                <w:sz w:val="24"/>
                <w:szCs w:val="24"/>
                <w:vertAlign w:val="subscript"/>
                <w:lang w:val="en-US"/>
              </w:rPr>
              <w:t>2.5</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rPr>
              <w:t>PM</w:t>
            </w:r>
            <w:r>
              <w:rPr>
                <w:rFonts w:hint="default" w:ascii="Times New Roman" w:hAnsi="Times New Roman" w:eastAsia="宋体" w:cs="Times New Roman"/>
                <w:color w:val="auto"/>
                <w:sz w:val="24"/>
                <w:szCs w:val="24"/>
                <w:vertAlign w:val="subscript"/>
                <w:lang w:val="en-US"/>
              </w:rPr>
              <w:t>10</w:t>
            </w:r>
            <w:r>
              <w:rPr>
                <w:rFonts w:hint="default" w:ascii="Times New Roman" w:hAnsi="Times New Roman" w:eastAsia="宋体" w:cs="Times New Roman"/>
                <w:color w:val="auto"/>
                <w:sz w:val="24"/>
                <w:szCs w:val="24"/>
                <w:lang w:val="en-US"/>
              </w:rPr>
              <w:t>质量浓度满足《环境空</w:t>
            </w:r>
            <w:r>
              <w:rPr>
                <w:rFonts w:hint="default" w:ascii="Times New Roman" w:hAnsi="Times New Roman" w:eastAsia="宋体" w:cs="Times New Roman"/>
                <w:color w:val="000000" w:themeColor="text1"/>
                <w:sz w:val="24"/>
                <w:szCs w:val="24"/>
                <w:lang w:val="en-US"/>
                <w14:textFill>
                  <w14:solidFill>
                    <w14:schemeClr w14:val="tx1"/>
                  </w14:solidFill>
                </w14:textFill>
              </w:rPr>
              <w:t>气质量标准》（GB3095-2012）及其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2018年</w:t>
            </w:r>
            <w:r>
              <w:rPr>
                <w:rFonts w:hint="default" w:ascii="Times New Roman" w:hAnsi="Times New Roman" w:eastAsia="宋体" w:cs="Times New Roman"/>
                <w:color w:val="000000" w:themeColor="text1"/>
                <w:sz w:val="24"/>
                <w:szCs w:val="24"/>
                <w:lang w:val="en-US"/>
                <w14:textFill>
                  <w14:solidFill>
                    <w14:schemeClr w14:val="tx1"/>
                  </w14:solidFill>
                </w14:textFill>
              </w:rPr>
              <w:t>修改单二级标准要求，故环境空气为达标区。</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jc w:val="both"/>
              <w:outlineLvl w:val="2"/>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pPr>
            <w:bookmarkStart w:id="16" w:name="_Toc411767823"/>
            <w:bookmarkStart w:id="17" w:name="_Toc411767825"/>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2、地表水环境质量现状</w:t>
            </w:r>
            <w:bookmarkEnd w:id="16"/>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b/>
                <w:color w:val="000000" w:themeColor="text1"/>
                <w:szCs w:val="21"/>
                <w:highlight w:val="yellow"/>
                <w:u w:val="none" w:color="auto"/>
                <w14:textFill>
                  <w14:solidFill>
                    <w14:schemeClr w14:val="tx1"/>
                  </w14:solidFill>
                </w14:textFill>
              </w:rPr>
            </w:pPr>
            <w:bookmarkStart w:id="18" w:name="_Toc411767824"/>
            <w:bookmarkStart w:id="19" w:name="OLE_LINK6"/>
            <w:r>
              <w:rPr>
                <w:rFonts w:hint="default" w:ascii="Times New Roman" w:hAnsi="Times New Roman" w:cs="Times New Roman" w:eastAsiaTheme="minorEastAsia"/>
                <w:color w:val="000000" w:themeColor="text1"/>
                <w:kern w:val="0"/>
                <w:sz w:val="24"/>
                <w:szCs w:val="24"/>
                <w:highlight w:val="none"/>
                <w:u w:val="none" w:color="auto"/>
                <w14:textFill>
                  <w14:solidFill>
                    <w14:schemeClr w14:val="tx1"/>
                  </w14:solidFill>
                </w14:textFill>
              </w:rPr>
              <w:t>为了解项目附近地表水水质现状，</w:t>
            </w:r>
            <w:r>
              <w:rPr>
                <w:rFonts w:hint="default"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本次评价地表水环境质量监测数据引用于永州</w:t>
            </w:r>
            <w:r>
              <w:rPr>
                <w:rFonts w:hint="default" w:ascii="Times New Roman" w:hAnsi="Times New Roman" w:cs="Times New Roman" w:eastAsiaTheme="minorEastAsia"/>
                <w:color w:val="000000" w:themeColor="text1"/>
                <w:kern w:val="0"/>
                <w:sz w:val="24"/>
                <w:szCs w:val="24"/>
                <w:highlight w:val="none"/>
                <w:u w:val="none" w:color="auto"/>
                <w:lang w:eastAsia="zh-CN"/>
                <w14:textFill>
                  <w14:solidFill>
                    <w14:schemeClr w14:val="tx1"/>
                  </w14:solidFill>
                </w14:textFill>
              </w:rPr>
              <w:t>市生态环境局发布的关于永州市环境质量简报（2021年</w:t>
            </w:r>
            <w:r>
              <w:rPr>
                <w:rFonts w:hint="eastAsia"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6</w:t>
            </w:r>
            <w:r>
              <w:rPr>
                <w:rFonts w:hint="default" w:ascii="Times New Roman" w:hAnsi="Times New Roman" w:cs="Times New Roman" w:eastAsiaTheme="minorEastAsia"/>
                <w:color w:val="000000" w:themeColor="text1"/>
                <w:kern w:val="0"/>
                <w:sz w:val="24"/>
                <w:szCs w:val="24"/>
                <w:highlight w:val="none"/>
                <w:u w:val="none" w:color="auto"/>
                <w:lang w:eastAsia="zh-CN"/>
                <w14:textFill>
                  <w14:solidFill>
                    <w14:schemeClr w14:val="tx1"/>
                  </w14:solidFill>
                </w14:textFill>
              </w:rPr>
              <w:t>月）。</w:t>
            </w:r>
            <w:r>
              <w:rPr>
                <w:rFonts w:hint="default"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具体</w:t>
            </w:r>
            <w:r>
              <w:rPr>
                <w:rFonts w:hint="default" w:ascii="Times New Roman" w:hAnsi="Times New Roman" w:cs="Times New Roman" w:eastAsiaTheme="minorEastAsia"/>
                <w:color w:val="000000" w:themeColor="text1"/>
                <w:kern w:val="0"/>
                <w:sz w:val="24"/>
                <w:szCs w:val="24"/>
                <w:highlight w:val="none"/>
                <w:u w:val="none" w:color="auto"/>
                <w:lang w:eastAsia="zh-CN"/>
                <w14:textFill>
                  <w14:solidFill>
                    <w14:schemeClr w14:val="tx1"/>
                  </w14:solidFill>
                </w14:textFill>
              </w:rPr>
              <w:t>水质情况</w:t>
            </w:r>
            <w:r>
              <w:rPr>
                <w:rFonts w:hint="default"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详见下图</w:t>
            </w:r>
            <w:r>
              <w:rPr>
                <w:rFonts w:hint="default" w:ascii="Times New Roman" w:hAnsi="Times New Roman" w:cs="Times New Roman" w:eastAsiaTheme="minorEastAsia"/>
                <w:color w:val="000000" w:themeColor="text1"/>
                <w:kern w:val="0"/>
                <w:sz w:val="24"/>
                <w:szCs w:val="24"/>
                <w:highlight w:val="none"/>
                <w:u w:val="none" w:color="auto"/>
                <w:lang w:eastAsia="zh-CN"/>
                <w14:textFill>
                  <w14:solidFill>
                    <w14:schemeClr w14:val="tx1"/>
                  </w14:solidFill>
                </w14:textFill>
              </w:rPr>
              <w:t>。</w:t>
            </w:r>
          </w:p>
          <w:p>
            <w:pPr>
              <w:kinsoku/>
              <w:wordWrap/>
              <w:overflowPunct/>
              <w:topLinePunct w:val="0"/>
              <w:autoSpaceDE/>
              <w:autoSpaceDN/>
              <w:bidi w:val="0"/>
              <w:adjustRightInd/>
              <w:snapToGrid w:val="0"/>
              <w:spacing w:before="0" w:after="0" w:line="240" w:lineRule="auto"/>
              <w:ind w:left="0" w:right="0" w:firstLine="0" w:firstLineChars="0"/>
              <w:jc w:val="center"/>
              <w:rPr>
                <w:rFonts w:hint="default" w:ascii="Times New Roman" w:hAnsi="Times New Roman" w:eastAsia="宋体" w:cs="Times New Roman"/>
                <w:b/>
                <w:bCs/>
                <w:color w:val="auto"/>
                <w:kern w:val="2"/>
                <w:sz w:val="24"/>
                <w:szCs w:val="24"/>
                <w:u w:val="none"/>
                <w:lang w:val="en-US" w:bidi="ar-SA"/>
              </w:rPr>
            </w:pPr>
            <w:r>
              <w:rPr>
                <w:sz w:val="24"/>
              </w:rPr>
              <mc:AlternateContent>
                <mc:Choice Requires="wps">
                  <w:drawing>
                    <wp:anchor distT="0" distB="0" distL="114300" distR="114300" simplePos="0" relativeHeight="251667456" behindDoc="0" locked="0" layoutInCell="1" allowOverlap="1">
                      <wp:simplePos x="0" y="0"/>
                      <wp:positionH relativeFrom="column">
                        <wp:posOffset>77470</wp:posOffset>
                      </wp:positionH>
                      <wp:positionV relativeFrom="paragraph">
                        <wp:posOffset>268605</wp:posOffset>
                      </wp:positionV>
                      <wp:extent cx="5391150" cy="323850"/>
                      <wp:effectExtent l="13970" t="13970" r="24130" b="24130"/>
                      <wp:wrapNone/>
                      <wp:docPr id="11" name="矩形 11"/>
                      <wp:cNvGraphicFramePr/>
                      <a:graphic xmlns:a="http://schemas.openxmlformats.org/drawingml/2006/main">
                        <a:graphicData uri="http://schemas.microsoft.com/office/word/2010/wordprocessingShape">
                          <wps:wsp>
                            <wps:cNvSpPr/>
                            <wps:spPr>
                              <a:xfrm>
                                <a:off x="1280160" y="8328025"/>
                                <a:ext cx="539115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pt;margin-top:21.15pt;height:25.5pt;width:424.5pt;z-index:251667456;v-text-anchor:middle;mso-width-relative:page;mso-height-relative:page;" filled="f" stroked="t" coordsize="21600,21600" o:gfxdata="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fBUhdYAAAAIAQAADwAAAAAAAAABACAAAAAiAAAAZHJzL2Rv&#10;d25yZXYueG1sUEsBAhQAFAAAAAgAh07iQPurYJB1AgAA2QQAAA4AAAAAAAAAAQAgAAAAJQEAAGRy&#10;cy9lMm9Eb2MueG1sUEsFBgAAAAAGAAYAWQEAAAwGAAAAAA==&#10;">
                      <v:fill on="f" focussize="0,0"/>
                      <v:stroke weight="2.25pt" color="#FF0000 [3204]" miterlimit="8" joinstyle="miter"/>
                      <v:imagedata o:title=""/>
                      <o:lock v:ext="edit" aspectratio="f"/>
                    </v:rect>
                  </w:pict>
                </mc:Fallback>
              </mc:AlternateContent>
            </w:r>
            <w:r>
              <w:rPr>
                <w:rFonts w:hint="default" w:ascii="Times New Roman" w:hAnsi="Times New Roman" w:eastAsia="宋体" w:cs="Times New Roman"/>
                <w:b/>
                <w:bCs/>
                <w:color w:val="auto"/>
                <w:kern w:val="2"/>
                <w:sz w:val="24"/>
                <w:szCs w:val="24"/>
                <w:u w:val="none"/>
                <w:lang w:val="en-US" w:bidi="ar-SA"/>
              </w:rPr>
              <w:drawing>
                <wp:inline distT="0" distB="0" distL="114300" distR="114300">
                  <wp:extent cx="5468620" cy="1163320"/>
                  <wp:effectExtent l="0" t="0" r="17780" b="177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5468620" cy="11633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cs="Times New Roman" w:eastAsiaTheme="minorEastAsia"/>
                <w:color w:val="000000" w:themeColor="text1"/>
                <w:sz w:val="24"/>
                <w:szCs w:val="24"/>
                <w:highlight w:val="none"/>
                <w:u w:val="none" w:color="auto"/>
                <w:lang w:val="en-US"/>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由上</w:t>
            </w:r>
            <w:r>
              <w:rPr>
                <w:rFonts w:hint="eastAsia"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图</w:t>
            </w:r>
            <w:r>
              <w:rPr>
                <w:rFonts w:hint="default"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可知，</w:t>
            </w:r>
            <w:r>
              <w:rPr>
                <w:rFonts w:hint="eastAsia"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新田河大历县村断面</w:t>
            </w:r>
            <w:r>
              <w:rPr>
                <w:rFonts w:hint="default"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水质</w:t>
            </w:r>
            <w:r>
              <w:rPr>
                <w:rFonts w:hint="eastAsia"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均可达到</w:t>
            </w:r>
            <w:r>
              <w:rPr>
                <w:rFonts w:hint="default"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《地表水环境质量标准》(GB3838-2002)II类标准，由此，可判断</w:t>
            </w:r>
            <w:r>
              <w:rPr>
                <w:rFonts w:hint="eastAsia"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新田河</w:t>
            </w:r>
            <w:r>
              <w:rPr>
                <w:rFonts w:hint="default"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水质</w:t>
            </w:r>
            <w:r>
              <w:rPr>
                <w:rFonts w:hint="default" w:ascii="Times New Roman" w:hAnsi="Times New Roman" w:cs="Times New Roman" w:eastAsiaTheme="minorEastAsia"/>
                <w:color w:val="000000" w:themeColor="text1"/>
                <w:kern w:val="0"/>
                <w:sz w:val="24"/>
                <w:szCs w:val="24"/>
                <w:highlight w:val="none"/>
                <w:u w:val="none" w:color="auto"/>
                <w:lang w:eastAsia="zh-CN"/>
                <w14:textFill>
                  <w14:solidFill>
                    <w14:schemeClr w14:val="tx1"/>
                  </w14:solidFill>
                </w14:textFill>
              </w:rPr>
              <w:t>环境质量</w:t>
            </w:r>
            <w:r>
              <w:rPr>
                <w:rFonts w:hint="default"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良好</w:t>
            </w:r>
            <w:r>
              <w:rPr>
                <w:rFonts w:hint="default" w:ascii="Times New Roman" w:hAnsi="Times New Roman" w:eastAsia="宋体" w:cs="Times New Roman"/>
                <w:color w:val="000000"/>
                <w:sz w:val="24"/>
                <w:szCs w:val="24"/>
                <w:highlight w:val="none"/>
                <w:u w:val="none" w:color="auto"/>
              </w:rPr>
              <w:t>。</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3、声环境质量现状</w:t>
            </w:r>
            <w:bookmarkEnd w:id="18"/>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为了解项目区声环境现状情况，本项目委托</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郴州力方检测技术</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有限公司对</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一号站</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、二号站</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厂界四周进行了昼夜间噪声现状布点监测，监测时间为202</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年</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9</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月</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日~</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9</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月</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5日、2021年9月7日~9月8日</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。此次监测共布设</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个监测点，</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一号站</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二</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号站</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东、南、西、北</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四周各设置1个点：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一号站东、南、西、北分别为N1、N2、N3、N4</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二号站东、南、西、北分别为N5、N6、N7、N8</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监测结果见表3-</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表3-</w:t>
            </w:r>
            <w:r>
              <w:rPr>
                <w:rFonts w:hint="eastAsia"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 xml:space="preserve">2 </w:t>
            </w: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声环境现状监测结果统计一览表单位：dB（A）</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391"/>
              <w:gridCol w:w="778"/>
              <w:gridCol w:w="781"/>
              <w:gridCol w:w="778"/>
              <w:gridCol w:w="781"/>
              <w:gridCol w:w="860"/>
              <w:gridCol w:w="814"/>
              <w:gridCol w:w="829"/>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44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编号</w:t>
                  </w:r>
                </w:p>
              </w:tc>
              <w:tc>
                <w:tcPr>
                  <w:tcW w:w="81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监测点位</w:t>
                  </w:r>
                </w:p>
              </w:tc>
              <w:tc>
                <w:tcPr>
                  <w:tcW w:w="91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监测值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w:t>
                  </w:r>
                  <w:r>
                    <w:rPr>
                      <w:rFonts w:hint="eastAsia" w:ascii="Times New Roman" w:hAnsi="Times New Roman" w:eastAsia="宋体" w:cs="Times New Roman"/>
                      <w:color w:val="000000"/>
                      <w:sz w:val="21"/>
                      <w:szCs w:val="21"/>
                      <w:highlight w:val="none"/>
                      <w:lang w:val="en-US" w:eastAsia="zh-CN"/>
                    </w:rPr>
                    <w:t>9月</w:t>
                  </w:r>
                  <w:r>
                    <w:rPr>
                      <w:rFonts w:hint="eastAsia" w:cs="Times New Roman"/>
                      <w:color w:val="000000"/>
                      <w:sz w:val="21"/>
                      <w:szCs w:val="21"/>
                      <w:highlight w:val="none"/>
                      <w:lang w:val="en-US" w:eastAsia="zh-CN"/>
                    </w:rPr>
                    <w:t>4</w:t>
                  </w:r>
                  <w:r>
                    <w:rPr>
                      <w:rFonts w:hint="eastAsia" w:ascii="Times New Roman" w:hAnsi="Times New Roman" w:eastAsia="宋体" w:cs="Times New Roman"/>
                      <w:color w:val="000000"/>
                      <w:sz w:val="21"/>
                      <w:szCs w:val="21"/>
                      <w:highlight w:val="none"/>
                      <w:lang w:val="en-US" w:eastAsia="zh-CN"/>
                    </w:rPr>
                    <w:t>日</w:t>
                  </w:r>
                  <w:r>
                    <w:rPr>
                      <w:rFonts w:hint="default" w:ascii="Times New Roman" w:hAnsi="Times New Roman" w:eastAsia="宋体" w:cs="Times New Roman"/>
                      <w:color w:val="000000"/>
                      <w:sz w:val="21"/>
                      <w:szCs w:val="21"/>
                      <w:highlight w:val="none"/>
                    </w:rPr>
                    <w:t>）</w:t>
                  </w:r>
                </w:p>
              </w:tc>
              <w:tc>
                <w:tcPr>
                  <w:tcW w:w="910" w:type="pct"/>
                  <w:gridSpan w:val="2"/>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监测值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w:t>
                  </w:r>
                  <w:r>
                    <w:rPr>
                      <w:rFonts w:hint="eastAsia" w:ascii="Times New Roman" w:hAnsi="Times New Roman" w:eastAsia="宋体" w:cs="Times New Roman"/>
                      <w:color w:val="000000"/>
                      <w:sz w:val="21"/>
                      <w:szCs w:val="21"/>
                      <w:highlight w:val="none"/>
                      <w:lang w:val="en-US" w:eastAsia="zh-CN"/>
                    </w:rPr>
                    <w:t>9月</w:t>
                  </w:r>
                  <w:r>
                    <w:rPr>
                      <w:rFonts w:hint="eastAsia" w:cs="Times New Roman"/>
                      <w:color w:val="000000"/>
                      <w:sz w:val="21"/>
                      <w:szCs w:val="21"/>
                      <w:highlight w:val="none"/>
                      <w:lang w:val="en-US" w:eastAsia="zh-CN"/>
                    </w:rPr>
                    <w:t>5</w:t>
                  </w:r>
                  <w:r>
                    <w:rPr>
                      <w:rFonts w:hint="eastAsia" w:ascii="Times New Roman" w:hAnsi="Times New Roman" w:eastAsia="宋体" w:cs="Times New Roman"/>
                      <w:color w:val="000000"/>
                      <w:sz w:val="21"/>
                      <w:szCs w:val="21"/>
                      <w:highlight w:val="none"/>
                      <w:lang w:val="en-US" w:eastAsia="zh-CN"/>
                    </w:rPr>
                    <w:t>日</w:t>
                  </w:r>
                  <w:r>
                    <w:rPr>
                      <w:rFonts w:hint="default" w:ascii="Times New Roman" w:hAnsi="Times New Roman" w:eastAsia="宋体" w:cs="Times New Roman"/>
                      <w:color w:val="000000"/>
                      <w:sz w:val="21"/>
                      <w:szCs w:val="21"/>
                      <w:highlight w:val="none"/>
                    </w:rPr>
                    <w:t>）</w:t>
                  </w:r>
                </w:p>
              </w:tc>
              <w:tc>
                <w:tcPr>
                  <w:tcW w:w="977" w:type="pct"/>
                  <w:gridSpan w:val="2"/>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标准</w:t>
                  </w:r>
                </w:p>
              </w:tc>
              <w:tc>
                <w:tcPr>
                  <w:tcW w:w="938" w:type="pct"/>
                  <w:gridSpan w:val="2"/>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4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p>
              </w:tc>
              <w:tc>
                <w:tcPr>
                  <w:tcW w:w="8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p>
              </w:tc>
              <w:tc>
                <w:tcPr>
                  <w:tcW w:w="45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昼间</w:t>
                  </w:r>
                </w:p>
              </w:tc>
              <w:tc>
                <w:tcPr>
                  <w:tcW w:w="45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夜间</w:t>
                  </w:r>
                </w:p>
              </w:tc>
              <w:tc>
                <w:tcPr>
                  <w:tcW w:w="45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昼间</w:t>
                  </w:r>
                </w:p>
              </w:tc>
              <w:tc>
                <w:tcPr>
                  <w:tcW w:w="456"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夜间</w:t>
                  </w:r>
                </w:p>
              </w:tc>
              <w:tc>
                <w:tcPr>
                  <w:tcW w:w="502"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昼间</w:t>
                  </w:r>
                </w:p>
              </w:tc>
              <w:tc>
                <w:tcPr>
                  <w:tcW w:w="475"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夜间</w:t>
                  </w:r>
                </w:p>
              </w:tc>
              <w:tc>
                <w:tcPr>
                  <w:tcW w:w="484"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昼间</w:t>
                  </w:r>
                </w:p>
              </w:tc>
              <w:tc>
                <w:tcPr>
                  <w:tcW w:w="45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N1</w:t>
                  </w:r>
                </w:p>
              </w:tc>
              <w:tc>
                <w:tcPr>
                  <w:tcW w:w="8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厂界东侧外1m</w:t>
                  </w:r>
                </w:p>
              </w:tc>
              <w:tc>
                <w:tcPr>
                  <w:tcW w:w="454" w:type="pct"/>
                  <w:tcBorders>
                    <w:right w:val="single" w:color="000000" w:sz="4" w:space="0"/>
                  </w:tcBorders>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55.9</w:t>
                  </w:r>
                </w:p>
              </w:tc>
              <w:tc>
                <w:tcPr>
                  <w:tcW w:w="456" w:type="pct"/>
                  <w:tcBorders>
                    <w:left w:val="single" w:color="000000" w:sz="4" w:space="0"/>
                  </w:tcBorders>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45.9</w:t>
                  </w:r>
                </w:p>
              </w:tc>
              <w:tc>
                <w:tcPr>
                  <w:tcW w:w="454" w:type="pct"/>
                  <w:tcBorders>
                    <w:right w:val="single" w:color="000000" w:sz="4" w:space="0"/>
                  </w:tcBorders>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56.1</w:t>
                  </w:r>
                </w:p>
              </w:tc>
              <w:tc>
                <w:tcPr>
                  <w:tcW w:w="456" w:type="pct"/>
                  <w:tcBorders>
                    <w:left w:val="single" w:color="000000" w:sz="4" w:space="0"/>
                    <w:right w:val="single" w:color="000000" w:sz="4" w:space="0"/>
                  </w:tcBorders>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46.3</w:t>
                  </w:r>
                </w:p>
              </w:tc>
              <w:tc>
                <w:tcPr>
                  <w:tcW w:w="502"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60</w:t>
                  </w:r>
                </w:p>
              </w:tc>
              <w:tc>
                <w:tcPr>
                  <w:tcW w:w="475"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50</w:t>
                  </w:r>
                </w:p>
              </w:tc>
              <w:tc>
                <w:tcPr>
                  <w:tcW w:w="484"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c>
                <w:tcPr>
                  <w:tcW w:w="45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blHeader/>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N2</w:t>
                  </w:r>
                </w:p>
              </w:tc>
              <w:tc>
                <w:tcPr>
                  <w:tcW w:w="8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厂界南侧外1m</w:t>
                  </w:r>
                </w:p>
              </w:tc>
              <w:tc>
                <w:tcPr>
                  <w:tcW w:w="454" w:type="pct"/>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55.7</w:t>
                  </w:r>
                </w:p>
              </w:tc>
              <w:tc>
                <w:tcPr>
                  <w:tcW w:w="456" w:type="pct"/>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45.4</w:t>
                  </w:r>
                </w:p>
              </w:tc>
              <w:tc>
                <w:tcPr>
                  <w:tcW w:w="454" w:type="pct"/>
                  <w:tcBorders>
                    <w:right w:val="single" w:color="000000" w:sz="4" w:space="0"/>
                  </w:tcBorders>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55.7</w:t>
                  </w:r>
                </w:p>
              </w:tc>
              <w:tc>
                <w:tcPr>
                  <w:tcW w:w="456" w:type="pct"/>
                  <w:tcBorders>
                    <w:left w:val="single" w:color="000000" w:sz="4" w:space="0"/>
                    <w:right w:val="single" w:color="000000" w:sz="4" w:space="0"/>
                  </w:tcBorders>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45.7</w:t>
                  </w:r>
                </w:p>
              </w:tc>
              <w:tc>
                <w:tcPr>
                  <w:tcW w:w="502"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60</w:t>
                  </w:r>
                </w:p>
              </w:tc>
              <w:tc>
                <w:tcPr>
                  <w:tcW w:w="475"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50</w:t>
                  </w:r>
                </w:p>
              </w:tc>
              <w:tc>
                <w:tcPr>
                  <w:tcW w:w="484"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c>
                <w:tcPr>
                  <w:tcW w:w="45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N3</w:t>
                  </w:r>
                </w:p>
              </w:tc>
              <w:tc>
                <w:tcPr>
                  <w:tcW w:w="8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厂界西侧外1m</w:t>
                  </w:r>
                </w:p>
              </w:tc>
              <w:tc>
                <w:tcPr>
                  <w:tcW w:w="454" w:type="pct"/>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55.1</w:t>
                  </w:r>
                </w:p>
              </w:tc>
              <w:tc>
                <w:tcPr>
                  <w:tcW w:w="456" w:type="pct"/>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44.7</w:t>
                  </w:r>
                </w:p>
              </w:tc>
              <w:tc>
                <w:tcPr>
                  <w:tcW w:w="454" w:type="pct"/>
                  <w:tcBorders>
                    <w:right w:val="single" w:color="000000" w:sz="4" w:space="0"/>
                  </w:tcBorders>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55.5</w:t>
                  </w:r>
                </w:p>
              </w:tc>
              <w:tc>
                <w:tcPr>
                  <w:tcW w:w="456" w:type="pct"/>
                  <w:tcBorders>
                    <w:left w:val="single" w:color="000000" w:sz="4" w:space="0"/>
                    <w:right w:val="single" w:color="000000" w:sz="4" w:space="0"/>
                  </w:tcBorders>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45.4</w:t>
                  </w:r>
                </w:p>
              </w:tc>
              <w:tc>
                <w:tcPr>
                  <w:tcW w:w="502"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60</w:t>
                  </w:r>
                </w:p>
              </w:tc>
              <w:tc>
                <w:tcPr>
                  <w:tcW w:w="475"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50</w:t>
                  </w:r>
                </w:p>
              </w:tc>
              <w:tc>
                <w:tcPr>
                  <w:tcW w:w="484"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c>
                <w:tcPr>
                  <w:tcW w:w="45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blHeader/>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N4</w:t>
                  </w:r>
                </w:p>
              </w:tc>
              <w:tc>
                <w:tcPr>
                  <w:tcW w:w="8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厂界北侧外1m</w:t>
                  </w:r>
                </w:p>
              </w:tc>
              <w:tc>
                <w:tcPr>
                  <w:tcW w:w="454" w:type="pct"/>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55.4</w:t>
                  </w:r>
                </w:p>
              </w:tc>
              <w:tc>
                <w:tcPr>
                  <w:tcW w:w="456" w:type="pct"/>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45.3</w:t>
                  </w:r>
                </w:p>
              </w:tc>
              <w:tc>
                <w:tcPr>
                  <w:tcW w:w="454" w:type="pct"/>
                  <w:tcBorders>
                    <w:right w:val="single" w:color="000000" w:sz="4" w:space="0"/>
                  </w:tcBorders>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55.1</w:t>
                  </w:r>
                </w:p>
              </w:tc>
              <w:tc>
                <w:tcPr>
                  <w:tcW w:w="456" w:type="pct"/>
                  <w:tcBorders>
                    <w:left w:val="single" w:color="000000" w:sz="4" w:space="0"/>
                    <w:right w:val="single" w:color="000000" w:sz="4" w:space="0"/>
                  </w:tcBorders>
                  <w:noWrap w:val="0"/>
                  <w:vAlign w:val="center"/>
                </w:tcPr>
                <w:p>
                  <w:pPr>
                    <w:pStyle w:val="57"/>
                    <w:bidi w:val="0"/>
                    <w:ind w:firstLine="0" w:firstLineChars="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45.0</w:t>
                  </w:r>
                </w:p>
              </w:tc>
              <w:tc>
                <w:tcPr>
                  <w:tcW w:w="502"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60</w:t>
                  </w:r>
                </w:p>
              </w:tc>
              <w:tc>
                <w:tcPr>
                  <w:tcW w:w="475"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50</w:t>
                  </w:r>
                </w:p>
              </w:tc>
              <w:tc>
                <w:tcPr>
                  <w:tcW w:w="484"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c>
                <w:tcPr>
                  <w:tcW w:w="45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blHeader/>
                <w:jc w:val="center"/>
              </w:trPr>
              <w:tc>
                <w:tcPr>
                  <w:tcW w:w="76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编号</w:t>
                  </w:r>
                </w:p>
              </w:tc>
              <w:tc>
                <w:tcPr>
                  <w:tcW w:w="139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监测点位</w:t>
                  </w:r>
                </w:p>
              </w:tc>
              <w:tc>
                <w:tcPr>
                  <w:tcW w:w="155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监测值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w:t>
                  </w:r>
                  <w:r>
                    <w:rPr>
                      <w:rFonts w:hint="eastAsia" w:ascii="Times New Roman" w:hAnsi="Times New Roman" w:eastAsia="宋体" w:cs="Times New Roman"/>
                      <w:color w:val="000000"/>
                      <w:sz w:val="21"/>
                      <w:szCs w:val="21"/>
                      <w:highlight w:val="none"/>
                      <w:lang w:val="en-US" w:eastAsia="zh-CN"/>
                    </w:rPr>
                    <w:t>9月</w:t>
                  </w:r>
                  <w:r>
                    <w:rPr>
                      <w:rFonts w:hint="eastAsia" w:cs="Times New Roman"/>
                      <w:color w:val="000000"/>
                      <w:sz w:val="21"/>
                      <w:szCs w:val="21"/>
                      <w:highlight w:val="none"/>
                      <w:lang w:val="en-US" w:eastAsia="zh-CN"/>
                    </w:rPr>
                    <w:t>7</w:t>
                  </w:r>
                  <w:r>
                    <w:rPr>
                      <w:rFonts w:hint="eastAsia" w:ascii="Times New Roman" w:hAnsi="Times New Roman" w:eastAsia="宋体" w:cs="Times New Roman"/>
                      <w:color w:val="000000"/>
                      <w:sz w:val="21"/>
                      <w:szCs w:val="21"/>
                      <w:highlight w:val="none"/>
                      <w:lang w:val="en-US" w:eastAsia="zh-CN"/>
                    </w:rPr>
                    <w:t>日</w:t>
                  </w:r>
                  <w:r>
                    <w:rPr>
                      <w:rFonts w:hint="default" w:ascii="Times New Roman" w:hAnsi="Times New Roman" w:eastAsia="宋体" w:cs="Times New Roman"/>
                      <w:color w:val="000000"/>
                      <w:sz w:val="21"/>
                      <w:szCs w:val="21"/>
                      <w:highlight w:val="none"/>
                    </w:rPr>
                    <w:t>）</w:t>
                  </w:r>
                </w:p>
              </w:tc>
              <w:tc>
                <w:tcPr>
                  <w:tcW w:w="1559" w:type="dxa"/>
                  <w:gridSpan w:val="2"/>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监测值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w:t>
                  </w:r>
                  <w:r>
                    <w:rPr>
                      <w:rFonts w:hint="eastAsia" w:ascii="Times New Roman" w:hAnsi="Times New Roman" w:eastAsia="宋体" w:cs="Times New Roman"/>
                      <w:color w:val="000000"/>
                      <w:sz w:val="21"/>
                      <w:szCs w:val="21"/>
                      <w:highlight w:val="none"/>
                      <w:lang w:val="en-US" w:eastAsia="zh-CN"/>
                    </w:rPr>
                    <w:t>9月</w:t>
                  </w:r>
                  <w:r>
                    <w:rPr>
                      <w:rFonts w:hint="eastAsia" w:cs="Times New Roman"/>
                      <w:color w:val="000000"/>
                      <w:sz w:val="21"/>
                      <w:szCs w:val="21"/>
                      <w:highlight w:val="none"/>
                      <w:lang w:val="en-US" w:eastAsia="zh-CN"/>
                    </w:rPr>
                    <w:t>8</w:t>
                  </w:r>
                  <w:r>
                    <w:rPr>
                      <w:rFonts w:hint="eastAsia" w:ascii="Times New Roman" w:hAnsi="Times New Roman" w:eastAsia="宋体" w:cs="Times New Roman"/>
                      <w:color w:val="000000"/>
                      <w:sz w:val="21"/>
                      <w:szCs w:val="21"/>
                      <w:highlight w:val="none"/>
                      <w:lang w:val="en-US" w:eastAsia="zh-CN"/>
                    </w:rPr>
                    <w:t>日</w:t>
                  </w:r>
                  <w:r>
                    <w:rPr>
                      <w:rFonts w:hint="default" w:ascii="Times New Roman" w:hAnsi="Times New Roman" w:eastAsia="宋体" w:cs="Times New Roman"/>
                      <w:color w:val="000000"/>
                      <w:sz w:val="21"/>
                      <w:szCs w:val="21"/>
                      <w:highlight w:val="none"/>
                    </w:rPr>
                    <w:t>）</w:t>
                  </w:r>
                </w:p>
              </w:tc>
              <w:tc>
                <w:tcPr>
                  <w:tcW w:w="1674" w:type="dxa"/>
                  <w:gridSpan w:val="2"/>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标准</w:t>
                  </w:r>
                </w:p>
              </w:tc>
              <w:tc>
                <w:tcPr>
                  <w:tcW w:w="1607" w:type="dxa"/>
                  <w:gridSpan w:val="2"/>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blHeader/>
                <w:jc w:val="center"/>
              </w:trPr>
              <w:tc>
                <w:tcPr>
                  <w:tcW w:w="769" w:type="dxa"/>
                  <w:vMerge w:val="continue"/>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p>
              </w:tc>
              <w:tc>
                <w:tcPr>
                  <w:tcW w:w="1391" w:type="dxa"/>
                  <w:vMerge w:val="continue"/>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p>
              </w:tc>
              <w:tc>
                <w:tcPr>
                  <w:tcW w:w="7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昼间</w:t>
                  </w:r>
                </w:p>
              </w:tc>
              <w:tc>
                <w:tcPr>
                  <w:tcW w:w="7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夜间</w:t>
                  </w:r>
                </w:p>
              </w:tc>
              <w:tc>
                <w:tcPr>
                  <w:tcW w:w="778"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昼间</w:t>
                  </w:r>
                </w:p>
              </w:tc>
              <w:tc>
                <w:tcPr>
                  <w:tcW w:w="781"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夜间</w:t>
                  </w:r>
                </w:p>
              </w:tc>
              <w:tc>
                <w:tcPr>
                  <w:tcW w:w="860"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昼间</w:t>
                  </w:r>
                </w:p>
              </w:tc>
              <w:tc>
                <w:tcPr>
                  <w:tcW w:w="814"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夜间</w:t>
                  </w:r>
                </w:p>
              </w:tc>
              <w:tc>
                <w:tcPr>
                  <w:tcW w:w="82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昼间</w:t>
                  </w:r>
                </w:p>
              </w:tc>
              <w:tc>
                <w:tcPr>
                  <w:tcW w:w="778"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blHeader/>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N5</w:t>
                  </w:r>
                </w:p>
              </w:tc>
              <w:tc>
                <w:tcPr>
                  <w:tcW w:w="8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厂界东侧外1m</w:t>
                  </w:r>
                </w:p>
              </w:tc>
              <w:tc>
                <w:tcPr>
                  <w:tcW w:w="454" w:type="pct"/>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55.6</w:t>
                  </w:r>
                </w:p>
              </w:tc>
              <w:tc>
                <w:tcPr>
                  <w:tcW w:w="456" w:type="pct"/>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45.7</w:t>
                  </w:r>
                </w:p>
              </w:tc>
              <w:tc>
                <w:tcPr>
                  <w:tcW w:w="454" w:type="pct"/>
                  <w:tcBorders>
                    <w:right w:val="single" w:color="000000" w:sz="4" w:space="0"/>
                  </w:tcBorders>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55.7</w:t>
                  </w:r>
                </w:p>
              </w:tc>
              <w:tc>
                <w:tcPr>
                  <w:tcW w:w="456" w:type="pct"/>
                  <w:tcBorders>
                    <w:left w:val="single" w:color="000000" w:sz="4" w:space="0"/>
                    <w:right w:val="single" w:color="000000" w:sz="4" w:space="0"/>
                  </w:tcBorders>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45.6</w:t>
                  </w:r>
                </w:p>
              </w:tc>
              <w:tc>
                <w:tcPr>
                  <w:tcW w:w="502"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60</w:t>
                  </w:r>
                </w:p>
              </w:tc>
              <w:tc>
                <w:tcPr>
                  <w:tcW w:w="475"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50</w:t>
                  </w:r>
                </w:p>
              </w:tc>
              <w:tc>
                <w:tcPr>
                  <w:tcW w:w="484"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c>
                <w:tcPr>
                  <w:tcW w:w="45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blHeader/>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N6</w:t>
                  </w:r>
                </w:p>
              </w:tc>
              <w:tc>
                <w:tcPr>
                  <w:tcW w:w="8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厂界南侧外1m</w:t>
                  </w:r>
                </w:p>
              </w:tc>
              <w:tc>
                <w:tcPr>
                  <w:tcW w:w="454" w:type="pct"/>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56.2</w:t>
                  </w:r>
                </w:p>
              </w:tc>
              <w:tc>
                <w:tcPr>
                  <w:tcW w:w="456" w:type="pct"/>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46.1</w:t>
                  </w:r>
                </w:p>
              </w:tc>
              <w:tc>
                <w:tcPr>
                  <w:tcW w:w="454" w:type="pct"/>
                  <w:tcBorders>
                    <w:right w:val="single" w:color="000000" w:sz="4" w:space="0"/>
                  </w:tcBorders>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56.0</w:t>
                  </w:r>
                </w:p>
              </w:tc>
              <w:tc>
                <w:tcPr>
                  <w:tcW w:w="456" w:type="pct"/>
                  <w:tcBorders>
                    <w:left w:val="single" w:color="000000" w:sz="4" w:space="0"/>
                    <w:right w:val="single" w:color="000000" w:sz="4" w:space="0"/>
                  </w:tcBorders>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46.3</w:t>
                  </w:r>
                </w:p>
              </w:tc>
              <w:tc>
                <w:tcPr>
                  <w:tcW w:w="502"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60</w:t>
                  </w:r>
                </w:p>
              </w:tc>
              <w:tc>
                <w:tcPr>
                  <w:tcW w:w="475"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50</w:t>
                  </w:r>
                </w:p>
              </w:tc>
              <w:tc>
                <w:tcPr>
                  <w:tcW w:w="484"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c>
                <w:tcPr>
                  <w:tcW w:w="45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blHeader/>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N7</w:t>
                  </w:r>
                </w:p>
              </w:tc>
              <w:tc>
                <w:tcPr>
                  <w:tcW w:w="8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厂界西侧外1m</w:t>
                  </w:r>
                </w:p>
              </w:tc>
              <w:tc>
                <w:tcPr>
                  <w:tcW w:w="454" w:type="pct"/>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55.5</w:t>
                  </w:r>
                </w:p>
              </w:tc>
              <w:tc>
                <w:tcPr>
                  <w:tcW w:w="456" w:type="pct"/>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45.2</w:t>
                  </w:r>
                </w:p>
              </w:tc>
              <w:tc>
                <w:tcPr>
                  <w:tcW w:w="454" w:type="pct"/>
                  <w:tcBorders>
                    <w:right w:val="single" w:color="000000" w:sz="4" w:space="0"/>
                  </w:tcBorders>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55.4</w:t>
                  </w:r>
                </w:p>
              </w:tc>
              <w:tc>
                <w:tcPr>
                  <w:tcW w:w="456" w:type="pct"/>
                  <w:tcBorders>
                    <w:left w:val="single" w:color="000000" w:sz="4" w:space="0"/>
                    <w:right w:val="single" w:color="000000" w:sz="4" w:space="0"/>
                  </w:tcBorders>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45.4</w:t>
                  </w:r>
                </w:p>
              </w:tc>
              <w:tc>
                <w:tcPr>
                  <w:tcW w:w="502"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60</w:t>
                  </w:r>
                </w:p>
              </w:tc>
              <w:tc>
                <w:tcPr>
                  <w:tcW w:w="475"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50</w:t>
                  </w:r>
                </w:p>
              </w:tc>
              <w:tc>
                <w:tcPr>
                  <w:tcW w:w="484"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c>
                <w:tcPr>
                  <w:tcW w:w="45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blHeader/>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N8</w:t>
                  </w:r>
                </w:p>
              </w:tc>
              <w:tc>
                <w:tcPr>
                  <w:tcW w:w="8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厂界北侧外1m</w:t>
                  </w:r>
                </w:p>
              </w:tc>
              <w:tc>
                <w:tcPr>
                  <w:tcW w:w="454" w:type="pct"/>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55.2</w:t>
                  </w:r>
                </w:p>
              </w:tc>
              <w:tc>
                <w:tcPr>
                  <w:tcW w:w="456" w:type="pct"/>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45.4</w:t>
                  </w:r>
                </w:p>
              </w:tc>
              <w:tc>
                <w:tcPr>
                  <w:tcW w:w="454" w:type="pct"/>
                  <w:tcBorders>
                    <w:right w:val="single" w:color="000000" w:sz="4" w:space="0"/>
                  </w:tcBorders>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55.2</w:t>
                  </w:r>
                </w:p>
              </w:tc>
              <w:tc>
                <w:tcPr>
                  <w:tcW w:w="456" w:type="pct"/>
                  <w:tcBorders>
                    <w:left w:val="single" w:color="000000" w:sz="4" w:space="0"/>
                    <w:right w:val="single" w:color="000000" w:sz="4" w:space="0"/>
                  </w:tcBorders>
                  <w:noWrap w:val="0"/>
                  <w:vAlign w:val="center"/>
                </w:tcPr>
                <w:p>
                  <w:pPr>
                    <w:pStyle w:val="57"/>
                    <w:bidi w:val="0"/>
                    <w:ind w:firstLine="0" w:firstLineChars="0"/>
                    <w:rPr>
                      <w:rFonts w:hint="default"/>
                      <w:highlight w:val="none"/>
                      <w:lang w:val="en-US" w:eastAsia="zh-CN"/>
                    </w:rPr>
                  </w:pPr>
                  <w:r>
                    <w:rPr>
                      <w:rFonts w:hint="eastAsia"/>
                      <w:highlight w:val="none"/>
                      <w:lang w:val="en-US" w:eastAsia="zh-CN"/>
                    </w:rPr>
                    <w:t>45.1</w:t>
                  </w:r>
                </w:p>
              </w:tc>
              <w:tc>
                <w:tcPr>
                  <w:tcW w:w="502"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60</w:t>
                  </w:r>
                </w:p>
              </w:tc>
              <w:tc>
                <w:tcPr>
                  <w:tcW w:w="475"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50</w:t>
                  </w:r>
                </w:p>
              </w:tc>
              <w:tc>
                <w:tcPr>
                  <w:tcW w:w="484"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c>
                <w:tcPr>
                  <w:tcW w:w="45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r>
          </w:tbl>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cs="Times New Roman" w:eastAsiaTheme="minorEastAsia"/>
                <w:b/>
                <w:bCs/>
                <w:color w:val="000000" w:themeColor="text1"/>
                <w:kern w:val="0"/>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从上表可知，</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一号站</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、二号站</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所在地东侧、南侧、西侧、北侧昼夜声环境质量符合《声环境质量标准》（GB3096-2008）中2类标准</w:t>
            </w:r>
            <w:r>
              <w:rPr>
                <w:rFonts w:hint="default" w:ascii="Times New Roman" w:hAnsi="Times New Roman" w:cs="Times New Roman" w:eastAsiaTheme="minorEastAsia"/>
                <w:color w:val="000000" w:themeColor="text1"/>
                <w:sz w:val="24"/>
                <w:szCs w:val="24"/>
                <w:highlight w:val="none"/>
                <w:u w:val="none" w:color="auto"/>
                <w:shd w:val="clear" w:color="auto" w:fill="FFFFFF"/>
                <w14:textFill>
                  <w14:solidFill>
                    <w14:schemeClr w14:val="tx1"/>
                  </w14:solidFill>
                </w14:textFill>
              </w:rPr>
              <w:t>。</w:t>
            </w:r>
          </w:p>
          <w:p>
            <w:pPr>
              <w:keepNext/>
              <w:keepLines/>
              <w:pageBreakBefore w:val="0"/>
              <w:widowControl w:val="0"/>
              <w:numPr>
                <w:ilvl w:val="0"/>
                <w:numId w:val="0"/>
              </w:numPr>
              <w:kinsoku/>
              <w:wordWrap/>
              <w:overflowPunct/>
              <w:topLinePunct w:val="0"/>
              <w:autoSpaceDE/>
              <w:autoSpaceDN/>
              <w:bidi w:val="0"/>
              <w:adjustRightInd w:val="0"/>
              <w:snapToGrid w:val="0"/>
              <w:spacing w:after="0" w:afterLines="0" w:line="360" w:lineRule="auto"/>
              <w:jc w:val="both"/>
              <w:outlineLvl w:val="2"/>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4、地下水环境</w:t>
            </w:r>
          </w:p>
          <w:p>
            <w:pPr>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根据《环境影响评价技术导则</w:t>
            </w:r>
            <w:r>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地下水》（HJ 610-2016），附录A地下水环境影响评价行业分类表规定，本项目编制报告表属于Ⅳ类建设项目，不开展地下水环境影响评价。</w:t>
            </w:r>
          </w:p>
          <w:p>
            <w:pPr>
              <w:keepNext/>
              <w:keepLines/>
              <w:pageBreakBefore w:val="0"/>
              <w:widowControl w:val="0"/>
              <w:numPr>
                <w:ilvl w:val="0"/>
                <w:numId w:val="0"/>
              </w:numPr>
              <w:kinsoku/>
              <w:wordWrap/>
              <w:overflowPunct/>
              <w:topLinePunct w:val="0"/>
              <w:autoSpaceDE/>
              <w:autoSpaceDN/>
              <w:bidi w:val="0"/>
              <w:adjustRightInd w:val="0"/>
              <w:snapToGrid w:val="0"/>
              <w:spacing w:after="0" w:afterLines="0" w:line="360" w:lineRule="auto"/>
              <w:jc w:val="both"/>
              <w:outlineLvl w:val="2"/>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5、土壤环境</w:t>
            </w:r>
          </w:p>
          <w:p>
            <w:pPr>
              <w:pageBreakBefore w:val="0"/>
              <w:widowControl w:val="0"/>
              <w:kinsoku/>
              <w:wordWrap/>
              <w:overflowPunct/>
              <w:topLinePunct w:val="0"/>
              <w:autoSpaceDE/>
              <w:autoSpaceDN/>
              <w:bidi w:val="0"/>
              <w:adjustRightInd w:val="0"/>
              <w:snapToGrid w:val="0"/>
              <w:spacing w:after="0" w:afterLines="0" w:line="360" w:lineRule="auto"/>
              <w:ind w:firstLine="480" w:firstLineChars="200"/>
              <w:jc w:val="both"/>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根据《环境影响评价技术导则-土壤环境（试行）》（HJ 964-2018）附录A，本项目土壤环境影响评价项目类别为其他行业，全部属于Ⅲ类建设项目，</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敏感程度为不敏感区，</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一号站</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占地面积为</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2.67</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hm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＜5hm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2</w:t>
            </w:r>
            <w:r>
              <w:rPr>
                <w:rFonts w:hint="eastAsia"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二号站</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占地面积为</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0.78</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hm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＜5hm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2</w:t>
            </w:r>
            <w:r>
              <w:rPr>
                <w:rFonts w:hint="eastAsia" w:ascii="Times New Roman" w:hAnsi="Times New Roman" w:cs="Times New Roman" w:eastAsiaTheme="minorEastAsia"/>
                <w:color w:val="000000" w:themeColor="text1"/>
                <w:sz w:val="24"/>
                <w:highlight w:val="none"/>
                <w:u w:val="none" w:color="auto"/>
                <w:vertAlign w:val="baseline"/>
                <w:lang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u w:val="none" w:color="auto"/>
                <w:vertAlign w:val="baseline"/>
                <w:lang w:val="en-US" w:eastAsia="zh-CN"/>
                <w14:textFill>
                  <w14:solidFill>
                    <w14:schemeClr w14:val="tx1"/>
                  </w14:solidFill>
                </w14:textFill>
              </w:rPr>
              <w:t>均</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属于小型规模，根据等级划分表可知，本项目可不开展土壤环境影响评价工作。</w:t>
            </w:r>
          </w:p>
          <w:p>
            <w:pPr>
              <w:pageBreakBefore w:val="0"/>
              <w:widowControl w:val="0"/>
              <w:kinsoku/>
              <w:wordWrap/>
              <w:overflowPunct/>
              <w:topLinePunct w:val="0"/>
              <w:autoSpaceDE/>
              <w:autoSpaceDN/>
              <w:bidi w:val="0"/>
              <w:adjustRightInd w:val="0"/>
              <w:snapToGrid w:val="0"/>
              <w:spacing w:after="0" w:afterLines="0" w:line="360" w:lineRule="auto"/>
              <w:ind w:left="0" w:leftChars="0" w:firstLine="0" w:firstLineChars="0"/>
              <w:jc w:val="both"/>
              <w:rPr>
                <w:rFonts w:hint="default" w:ascii="Times New Roman" w:hAnsi="Times New Roman" w:cs="Times New Roman" w:eastAsiaTheme="minorEastAsia"/>
                <w:b/>
                <w:bCs/>
                <w:color w:val="000000" w:themeColor="text1"/>
                <w:sz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highlight w:val="none"/>
                <w:u w:val="none" w:color="auto"/>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4"/>
                <w:highlight w:val="none"/>
                <w:u w:val="none" w:color="auto"/>
                <w:lang w:val="en-US" w:eastAsia="zh-CN"/>
                <w14:textFill>
                  <w14:solidFill>
                    <w14:schemeClr w14:val="tx1"/>
                  </w14:solidFill>
                </w14:textFill>
              </w:rPr>
              <w:t>、电磁辐射</w:t>
            </w:r>
          </w:p>
          <w:p>
            <w:pPr>
              <w:pageBreakBefore w:val="0"/>
              <w:widowControl w:val="0"/>
              <w:kinsoku/>
              <w:wordWrap/>
              <w:overflowPunct/>
              <w:topLinePunct w:val="0"/>
              <w:autoSpaceDE/>
              <w:autoSpaceDN/>
              <w:bidi w:val="0"/>
              <w:adjustRightInd w:val="0"/>
              <w:snapToGrid w:val="0"/>
              <w:spacing w:after="0" w:afterLines="0" w:line="360" w:lineRule="auto"/>
              <w:ind w:firstLine="480" w:firstLineChars="200"/>
              <w:jc w:val="both"/>
              <w:rPr>
                <w:rFonts w:hint="default"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本项目不涉及电磁辐射设备，不进行电磁辐射影响评价，因此无需进行电磁辐射环境现状调查。</w:t>
            </w:r>
          </w:p>
          <w:p>
            <w:pPr>
              <w:keepNext/>
              <w:keepLines/>
              <w:pageBreakBefore w:val="0"/>
              <w:widowControl w:val="0"/>
              <w:numPr>
                <w:ilvl w:val="0"/>
                <w:numId w:val="0"/>
              </w:numPr>
              <w:kinsoku/>
              <w:wordWrap/>
              <w:overflowPunct/>
              <w:topLinePunct w:val="0"/>
              <w:autoSpaceDE/>
              <w:autoSpaceDN/>
              <w:bidi w:val="0"/>
              <w:adjustRightInd w:val="0"/>
              <w:snapToGrid w:val="0"/>
              <w:spacing w:after="0" w:afterLines="0" w:line="360" w:lineRule="auto"/>
              <w:jc w:val="both"/>
              <w:outlineLvl w:val="2"/>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7</w:t>
            </w: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、生态环境质量现状</w:t>
            </w:r>
            <w:bookmarkEnd w:id="17"/>
          </w:p>
          <w:bookmarkEnd w:id="19"/>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项目所在区域及附近区域无自然保护区、世界文化和自然遗产及等需要特殊保护的生态敏感区，无风景名胜区、森林公园、地质公园、重要湿地等重要生态敏感区；植被类型主要为灌木、杂草，植被覆盖率较高；由于人类活动的影响较大，该区动物种类及数量较少，并未发现珍稀动物、植物，区域内也没有发现大型野生动物，仅有如蛇类、鸟类，鼠类等小型动物出没</w:t>
            </w:r>
            <w:r>
              <w:rPr>
                <w:rFonts w:hint="eastAsia"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36" w:hRule="atLeast"/>
        </w:trPr>
        <w:tc>
          <w:tcPr>
            <w:tcW w:w="6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环境保护目标</w:t>
            </w:r>
          </w:p>
        </w:tc>
        <w:tc>
          <w:tcPr>
            <w:tcW w:w="8566" w:type="dxa"/>
            <w:tcBorders>
              <w:tl2br w:val="nil"/>
              <w:tr2bl w:val="nil"/>
            </w:tcBorders>
            <w:vAlign w:val="center"/>
          </w:tcPr>
          <w:p>
            <w:pPr>
              <w:widowControl w:val="0"/>
              <w:adjustRightInd w:val="0"/>
              <w:snapToGrid w:val="0"/>
              <w:spacing w:line="360" w:lineRule="auto"/>
              <w:ind w:left="0" w:leftChars="0" w:right="318" w:firstLine="0" w:firstLineChars="0"/>
              <w:jc w:val="both"/>
              <w:rPr>
                <w:rFonts w:hint="default" w:ascii="Times New Roman" w:hAnsi="Times New Roman" w:cs="Times New Roman" w:eastAsiaTheme="minorEastAsia"/>
                <w:b/>
                <w:color w:val="000000" w:themeColor="text1"/>
                <w:spacing w:val="0"/>
                <w:kern w:val="21"/>
                <w:sz w:val="24"/>
                <w:szCs w:val="21"/>
                <w:highlight w:val="none"/>
                <w:u w:val="none" w:color="auto"/>
                <w:lang w:val="en-US" w:eastAsia="zh-CN" w:bidi="ar-SA"/>
                <w14:textFill>
                  <w14:solidFill>
                    <w14:schemeClr w14:val="tx1"/>
                  </w14:solidFill>
                </w14:textFill>
              </w:rPr>
            </w:pPr>
            <w:bookmarkStart w:id="20" w:name="_Toc411767826"/>
            <w:r>
              <w:rPr>
                <w:rFonts w:hint="default" w:ascii="Times New Roman" w:hAnsi="Times New Roman" w:cs="Times New Roman" w:eastAsiaTheme="minorEastAsia"/>
                <w:b/>
                <w:color w:val="000000" w:themeColor="text1"/>
                <w:spacing w:val="0"/>
                <w:kern w:val="21"/>
                <w:sz w:val="24"/>
                <w:szCs w:val="21"/>
                <w:highlight w:val="none"/>
                <w:u w:val="none" w:color="auto"/>
                <w:lang w:val="en-US" w:eastAsia="zh-CN" w:bidi="ar-SA"/>
                <w14:textFill>
                  <w14:solidFill>
                    <w14:schemeClr w14:val="tx1"/>
                  </w14:solidFill>
                </w14:textFill>
              </w:rPr>
              <w:t>主要环境保护目标（列出名单及保护级别）</w:t>
            </w:r>
            <w:bookmarkEnd w:id="2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根据现场调查，区域内无自然保护区、饮用水水源保护区、珍稀动植物保护物种、无历史文物古迹等需要特殊保护的环境敏感点。本项目主要环保目标见表3-</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所示</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 xml:space="preserve"> </w:t>
            </w:r>
            <w:r>
              <w:rPr>
                <w:rFonts w:hint="eastAsia"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主要环境保护目标</w:t>
            </w:r>
          </w:p>
          <w:tbl>
            <w:tblPr>
              <w:tblStyle w:val="23"/>
              <w:tblW w:w="494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057"/>
              <w:gridCol w:w="1558"/>
              <w:gridCol w:w="2081"/>
              <w:gridCol w:w="1221"/>
              <w:gridCol w:w="185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环境要素</w:t>
                  </w: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敏感点名称</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相对项目</w:t>
                  </w: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生产车间</w:t>
                  </w: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的最近距离</w:t>
                  </w:r>
                </w:p>
              </w:tc>
              <w:tc>
                <w:tcPr>
                  <w:tcW w:w="12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坐标</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功能及规模</w:t>
                  </w:r>
                </w:p>
              </w:tc>
              <w:tc>
                <w:tcPr>
                  <w:tcW w:w="10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环境功</w:t>
                  </w: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cr/>
                  </w: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500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一号站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环境空气</w:t>
                  </w: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山溪村居民</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NE234m-500m</w:t>
                  </w:r>
                </w:p>
              </w:tc>
              <w:tc>
                <w:tcPr>
                  <w:tcW w:w="12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经度：112.161560851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纬度：25.801324994</w:t>
                  </w:r>
                </w:p>
              </w:tc>
              <w:tc>
                <w:tcPr>
                  <w:tcW w:w="7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约</w:t>
                  </w: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70</w:t>
                  </w: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户，</w:t>
                  </w: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210</w:t>
                  </w: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人</w:t>
                  </w:r>
                </w:p>
              </w:tc>
              <w:tc>
                <w:tcPr>
                  <w:tcW w:w="10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环境空气质量标准》（GB3095-2012）二级标准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生态环境</w:t>
                  </w:r>
                </w:p>
              </w:tc>
              <w:tc>
                <w:tcPr>
                  <w:tcW w:w="348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b w:val="0"/>
                      <w:bCs w:val="0"/>
                      <w:color w:val="auto"/>
                      <w:kern w:val="0"/>
                      <w:sz w:val="21"/>
                      <w:szCs w:val="21"/>
                      <w:highlight w:val="none"/>
                      <w:lang w:val="en-US" w:eastAsia="zh-CN" w:bidi="ar"/>
                    </w:rPr>
                    <w:t>项目所在地周围的动植物、土壤植被、农田、水土流失等</w:t>
                  </w:r>
                </w:p>
              </w:tc>
              <w:tc>
                <w:tcPr>
                  <w:tcW w:w="10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color w:val="000000"/>
                      <w:sz w:val="21"/>
                      <w:szCs w:val="21"/>
                      <w:highlight w:val="none"/>
                      <w:lang w:val="zh-CN" w:eastAsia="zh-CN"/>
                    </w:rPr>
                    <w:t>防治水土流失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5000" w:type="pct"/>
                  <w:gridSpan w:val="6"/>
                  <w:tcBorders>
                    <w:top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二号站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19" w:type="pct"/>
                  <w:vMerge w:val="restar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环境空气</w:t>
                  </w:r>
                </w:p>
              </w:tc>
              <w:tc>
                <w:tcPr>
                  <w:tcW w:w="624" w:type="pct"/>
                  <w:tcBorders>
                    <w:top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大桥头</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NE228m-500m</w:t>
                  </w:r>
                </w:p>
              </w:tc>
              <w:tc>
                <w:tcPr>
                  <w:tcW w:w="12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经度：112.161560851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纬度：25.801324994</w:t>
                  </w:r>
                </w:p>
              </w:tc>
              <w:tc>
                <w:tcPr>
                  <w:tcW w:w="718" w:type="pct"/>
                  <w:tcBorders>
                    <w:top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约</w:t>
                  </w: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户，</w:t>
                  </w: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人</w:t>
                  </w:r>
                </w:p>
              </w:tc>
              <w:tc>
                <w:tcPr>
                  <w:tcW w:w="1091" w:type="pct"/>
                  <w:vMerge w:val="restar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环境空气质量标准》（GB3095-2012）二级标准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19" w:type="pct"/>
                  <w:vMerge w:val="continue"/>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p>
              </w:tc>
              <w:tc>
                <w:tcPr>
                  <w:tcW w:w="624" w:type="pct"/>
                  <w:tcBorders>
                    <w:top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白鹤仓</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SW175m-500m</w:t>
                  </w:r>
                </w:p>
              </w:tc>
              <w:tc>
                <w:tcPr>
                  <w:tcW w:w="12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经度：112.161560851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纬度：25.801324994</w:t>
                  </w:r>
                </w:p>
              </w:tc>
              <w:tc>
                <w:tcPr>
                  <w:tcW w:w="718" w:type="pct"/>
                  <w:tcBorders>
                    <w:top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约</w:t>
                  </w: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135</w:t>
                  </w: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户，</w:t>
                  </w: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405</w:t>
                  </w: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人</w:t>
                  </w:r>
                </w:p>
              </w:tc>
              <w:tc>
                <w:tcPr>
                  <w:tcW w:w="1091" w:type="pct"/>
                  <w:vMerge w:val="continue"/>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19" w:type="pc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yellow"/>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生态环境</w:t>
                  </w:r>
                </w:p>
              </w:tc>
              <w:tc>
                <w:tcPr>
                  <w:tcW w:w="3489" w:type="pct"/>
                  <w:gridSpan w:val="4"/>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yellow"/>
                      <w:u w:val="none" w:color="auto"/>
                      <w:lang w:eastAsia="zh-CN"/>
                      <w14:textFill>
                        <w14:solidFill>
                          <w14:schemeClr w14:val="tx1"/>
                        </w14:solidFill>
                      </w14:textFill>
                    </w:rPr>
                  </w:pPr>
                  <w:r>
                    <w:rPr>
                      <w:rFonts w:hint="default" w:ascii="Times New Roman" w:hAnsi="Times New Roman" w:eastAsia="宋体" w:cs="Times New Roman"/>
                      <w:b w:val="0"/>
                      <w:bCs w:val="0"/>
                      <w:color w:val="auto"/>
                      <w:kern w:val="0"/>
                      <w:sz w:val="21"/>
                      <w:szCs w:val="21"/>
                      <w:highlight w:val="none"/>
                      <w:lang w:val="en-US" w:eastAsia="zh-CN" w:bidi="ar"/>
                    </w:rPr>
                    <w:t>项目所在地周围的动植物、土壤植被、农田、水土流失等</w:t>
                  </w:r>
                </w:p>
              </w:tc>
              <w:tc>
                <w:tcPr>
                  <w:tcW w:w="1091" w:type="pc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z w:val="21"/>
                      <w:szCs w:val="21"/>
                      <w:highlight w:val="yellow"/>
                      <w:u w:val="none" w:color="auto"/>
                      <w:lang w:eastAsia="zh-CN"/>
                      <w14:textFill>
                        <w14:solidFill>
                          <w14:schemeClr w14:val="tx1"/>
                        </w14:solidFill>
                      </w14:textFill>
                    </w:rPr>
                  </w:pPr>
                  <w:r>
                    <w:rPr>
                      <w:rFonts w:hint="default" w:ascii="Times New Roman" w:hAnsi="Times New Roman" w:eastAsia="宋体" w:cs="Times New Roman"/>
                      <w:color w:val="000000"/>
                      <w:sz w:val="21"/>
                      <w:szCs w:val="21"/>
                      <w:highlight w:val="none"/>
                      <w:lang w:val="zh-CN" w:eastAsia="zh-CN"/>
                    </w:rPr>
                    <w:t>防治水土流失</w:t>
                  </w:r>
                </w:p>
              </w:tc>
            </w:tr>
          </w:tbl>
          <w:p>
            <w:pPr>
              <w:pStyle w:val="18"/>
              <w:ind w:left="0" w:leftChars="0" w:firstLine="0" w:firstLineChars="0"/>
              <w:jc w:val="both"/>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污染物排放控制标准</w:t>
            </w:r>
          </w:p>
        </w:tc>
        <w:tc>
          <w:tcPr>
            <w:tcW w:w="85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1、水污染物排放标准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本项目施工废水</w:t>
            </w:r>
            <w:r>
              <w:rPr>
                <w:rFonts w:hint="default" w:ascii="Times New Roman" w:hAnsi="Times New Roman" w:cs="Times New Roman" w:eastAsiaTheme="minorEastAsia"/>
                <w:color w:val="000000" w:themeColor="text1"/>
                <w:sz w:val="24"/>
                <w:szCs w:val="24"/>
                <w:highlight w:val="none"/>
                <w:u w:val="none" w:color="auto"/>
                <w:lang w:val="zh-CN"/>
                <w14:textFill>
                  <w14:solidFill>
                    <w14:schemeClr w14:val="tx1"/>
                  </w14:solidFill>
                </w14:textFill>
              </w:rPr>
              <w:t>经隔油沉淀处理后用于</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洒水抑尘不外排，生产废水经三级沉淀处理后，回用做生产用水，不外排。</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本项目生活污水经化粪池处理达《农田灌溉水质标准》（GB5084-20</w:t>
            </w:r>
            <w:r>
              <w:rPr>
                <w:rFonts w:hint="eastAsia"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21</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）旱作类标准（COD：200mg/L、BOD</w:t>
            </w:r>
            <w:r>
              <w:rPr>
                <w:rFonts w:hint="default" w:ascii="Times New Roman" w:hAnsi="Times New Roman" w:cs="Times New Roman" w:eastAsiaTheme="minorEastAsia"/>
                <w:color w:val="000000" w:themeColor="text1"/>
                <w:sz w:val="24"/>
                <w:szCs w:val="24"/>
                <w:highlight w:val="none"/>
                <w:u w:val="none" w:color="auto"/>
                <w:vertAlign w:val="subscript"/>
                <w:lang w:bidi="ar"/>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：100mg/L、SS:100mg/L）后用于周边农田、菜地浇灌。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大气污染物</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80" w:firstLineChars="200"/>
              <w:textAlignment w:val="auto"/>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eastAsia="宋体" w:cs="Times New Roman"/>
                <w:sz w:val="24"/>
                <w:szCs w:val="24"/>
                <w:highlight w:val="none"/>
                <w:u w:val="none" w:color="auto"/>
              </w:rPr>
              <w:t>施工期扬尘执行《大气污染物综合排放标准》（GB16297-1996）表2中颗粒物无组织排放标准</w:t>
            </w:r>
            <w:r>
              <w:rPr>
                <w:rFonts w:hint="default" w:ascii="Times New Roman" w:hAnsi="Times New Roman" w:eastAsia="宋体" w:cs="Times New Roman"/>
                <w:sz w:val="24"/>
                <w:szCs w:val="24"/>
                <w:highlight w:val="none"/>
                <w:u w:val="none" w:color="auto"/>
                <w:lang w:eastAsia="zh-CN"/>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营运期</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无组织粉尘执行《水泥工业大气污染物排放标准》（GB4915-2013）无组织排放监控浓度限值；</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有组织废气执行《大气污染物综合排放标准》（GB16297-1996）表2中二级标准要求；燃油烟气执行《锅炉大气污染物排放标准》(GB13271-2014)中燃油锅炉烟气排放标准；油烟废气执行《饮食业油烟排放标准》(GB18483-2001)排放标准限值</w:t>
            </w:r>
            <w:r>
              <w:rPr>
                <w:rFonts w:hint="default" w:ascii="Times New Roman" w:hAnsi="Times New Roman" w:eastAsia="宋体" w:cs="Times New Roman"/>
                <w:kern w:val="2"/>
                <w:sz w:val="24"/>
                <w:szCs w:val="24"/>
                <w:highlight w:val="none"/>
                <w:lang w:val="en-US" w:eastAsia="zh-CN" w:bidi="ar-SA"/>
              </w:rPr>
              <w:t>即油烟浓度</w:t>
            </w:r>
            <w:r>
              <w:rPr>
                <w:rFonts w:hint="default" w:ascii="Times New Roman" w:hAnsi="Times New Roman" w:eastAsia="微软雅黑"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2.0mg/m</w:t>
            </w:r>
            <w:r>
              <w:rPr>
                <w:rFonts w:hint="default" w:ascii="Times New Roman" w:hAnsi="Times New Roman" w:eastAsia="宋体" w:cs="Times New Roman"/>
                <w:kern w:val="2"/>
                <w:sz w:val="24"/>
                <w:szCs w:val="24"/>
                <w:highlight w:val="none"/>
                <w:vertAlign w:val="superscript"/>
                <w:lang w:val="en-US" w:eastAsia="zh-CN" w:bidi="ar-SA"/>
              </w:rPr>
              <w:t>3</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详见下表。</w:t>
            </w:r>
          </w:p>
          <w:p>
            <w:pPr>
              <w:pStyle w:val="57"/>
              <w:bidi w:val="0"/>
              <w:rPr>
                <w:rFonts w:hint="default" w:ascii="Times New Roman" w:hAnsi="Times New Roman" w:cs="Times New Roman" w:eastAsiaTheme="minorEastAsia"/>
                <w:b/>
                <w:bCs/>
                <w:color w:val="000000" w:themeColor="text1"/>
                <w:kern w:val="2"/>
                <w:szCs w:val="21"/>
                <w:highlight w:val="none"/>
                <w:u w:val="none" w:color="auto"/>
                <w:lang w:val="en-US" w:eastAsia="zh-CN" w:bidi="ar-SA"/>
                <w14:textFill>
                  <w14:solidFill>
                    <w14:schemeClr w14:val="tx1"/>
                  </w14:solidFill>
                </w14:textFill>
              </w:rPr>
            </w:pPr>
            <w:r>
              <w:rPr>
                <w:rFonts w:hint="default"/>
                <w:b/>
                <w:bCs/>
                <w:highlight w:val="none"/>
                <w:lang w:val="sq-AL" w:eastAsia="zh-CN"/>
              </w:rPr>
              <w:t>表</w:t>
            </w:r>
            <w:r>
              <w:rPr>
                <w:rFonts w:hint="default"/>
                <w:b/>
                <w:bCs/>
                <w:highlight w:val="none"/>
                <w:lang w:val="en-US" w:eastAsia="zh-CN"/>
              </w:rPr>
              <w:t>3-</w:t>
            </w:r>
            <w:r>
              <w:rPr>
                <w:rFonts w:hint="eastAsia"/>
                <w:b/>
                <w:bCs/>
                <w:highlight w:val="none"/>
                <w:lang w:val="en-US" w:eastAsia="zh-CN"/>
              </w:rPr>
              <w:t>4 《大气污染物综合排放标准》（GB16297-1996）</w:t>
            </w:r>
          </w:p>
          <w:tbl>
            <w:tblPr>
              <w:tblStyle w:val="23"/>
              <w:tblW w:w="4983"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790"/>
              <w:gridCol w:w="1187"/>
              <w:gridCol w:w="1538"/>
              <w:gridCol w:w="400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15" w:hRule="exact"/>
                <w:jc w:val="center"/>
              </w:trPr>
              <w:tc>
                <w:tcPr>
                  <w:tcW w:w="1050" w:type="pct"/>
                  <w:tcBorders>
                    <w:left w:val="single" w:color="auto" w:sz="4" w:space="0"/>
                    <w:bottom w:val="single" w:color="auto" w:sz="4" w:space="0"/>
                  </w:tcBorders>
                  <w:noWrap w:val="0"/>
                  <w:vAlign w:val="center"/>
                </w:tcPr>
                <w:p>
                  <w:pPr>
                    <w:pStyle w:val="57"/>
                    <w:bidi w:val="0"/>
                    <w:rPr>
                      <w:rFonts w:hint="default"/>
                      <w:highlight w:val="none"/>
                    </w:rPr>
                  </w:pPr>
                  <w:r>
                    <w:rPr>
                      <w:rFonts w:hint="default"/>
                      <w:highlight w:val="none"/>
                    </w:rPr>
                    <w:t>污染源名称</w:t>
                  </w:r>
                </w:p>
              </w:tc>
              <w:tc>
                <w:tcPr>
                  <w:tcW w:w="696" w:type="pct"/>
                  <w:tcBorders>
                    <w:bottom w:val="single" w:color="auto" w:sz="4" w:space="0"/>
                  </w:tcBorders>
                  <w:noWrap w:val="0"/>
                  <w:vAlign w:val="center"/>
                </w:tcPr>
                <w:p>
                  <w:pPr>
                    <w:pStyle w:val="57"/>
                    <w:bidi w:val="0"/>
                    <w:rPr>
                      <w:rFonts w:hint="default"/>
                      <w:highlight w:val="none"/>
                    </w:rPr>
                  </w:pPr>
                  <w:r>
                    <w:rPr>
                      <w:rFonts w:hint="default"/>
                      <w:highlight w:val="none"/>
                    </w:rPr>
                    <w:t>污染物名称</w:t>
                  </w:r>
                </w:p>
              </w:tc>
              <w:tc>
                <w:tcPr>
                  <w:tcW w:w="902" w:type="pct"/>
                  <w:tcBorders>
                    <w:bottom w:val="single" w:color="auto" w:sz="4" w:space="0"/>
                    <w:right w:val="single" w:color="auto" w:sz="4" w:space="0"/>
                  </w:tcBorders>
                  <w:noWrap w:val="0"/>
                  <w:vAlign w:val="center"/>
                </w:tcPr>
                <w:p>
                  <w:pPr>
                    <w:pStyle w:val="57"/>
                    <w:bidi w:val="0"/>
                    <w:rPr>
                      <w:rFonts w:hint="default"/>
                      <w:highlight w:val="none"/>
                    </w:rPr>
                  </w:pPr>
                  <w:r>
                    <w:rPr>
                      <w:rFonts w:hint="default"/>
                      <w:highlight w:val="none"/>
                    </w:rPr>
                    <w:t>排放浓度限值</w:t>
                  </w:r>
                </w:p>
                <w:p>
                  <w:pPr>
                    <w:pStyle w:val="57"/>
                    <w:bidi w:val="0"/>
                    <w:rPr>
                      <w:rFonts w:hint="default"/>
                      <w:highlight w:val="none"/>
                    </w:rPr>
                  </w:pPr>
                  <w:r>
                    <w:rPr>
                      <w:rFonts w:hint="default"/>
                      <w:highlight w:val="none"/>
                    </w:rPr>
                    <w:t>mg/m</w:t>
                  </w:r>
                  <w:r>
                    <w:rPr>
                      <w:rFonts w:hint="default"/>
                      <w:highlight w:val="none"/>
                      <w:vertAlign w:val="superscript"/>
                    </w:rPr>
                    <w:t>3</w:t>
                  </w:r>
                </w:p>
              </w:tc>
              <w:tc>
                <w:tcPr>
                  <w:tcW w:w="2350" w:type="pct"/>
                  <w:tcBorders>
                    <w:top w:val="single" w:color="auto" w:sz="4" w:space="0"/>
                    <w:left w:val="single" w:color="auto" w:sz="4" w:space="0"/>
                    <w:bottom w:val="single" w:color="auto" w:sz="4" w:space="0"/>
                  </w:tcBorders>
                  <w:noWrap w:val="0"/>
                  <w:vAlign w:val="center"/>
                </w:tcPr>
                <w:p>
                  <w:pPr>
                    <w:pStyle w:val="57"/>
                    <w:bidi w:val="0"/>
                    <w:rPr>
                      <w:rFonts w:hint="default"/>
                      <w:highlight w:val="none"/>
                    </w:rPr>
                  </w:pPr>
                  <w:r>
                    <w:rPr>
                      <w:rFonts w:hint="default"/>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75" w:hRule="exact"/>
                <w:jc w:val="center"/>
              </w:trPr>
              <w:tc>
                <w:tcPr>
                  <w:tcW w:w="1050" w:type="pct"/>
                  <w:tcBorders>
                    <w:left w:val="single" w:color="auto" w:sz="4" w:space="0"/>
                  </w:tcBorders>
                  <w:noWrap w:val="0"/>
                  <w:vAlign w:val="center"/>
                </w:tcPr>
                <w:p>
                  <w:pPr>
                    <w:pStyle w:val="57"/>
                    <w:bidi w:val="0"/>
                    <w:rPr>
                      <w:rFonts w:hint="default"/>
                      <w:highlight w:val="none"/>
                    </w:rPr>
                  </w:pPr>
                  <w:r>
                    <w:rPr>
                      <w:rFonts w:hint="default"/>
                      <w:highlight w:val="none"/>
                    </w:rPr>
                    <w:t>无组织排放</w:t>
                  </w:r>
                </w:p>
              </w:tc>
              <w:tc>
                <w:tcPr>
                  <w:tcW w:w="696" w:type="pct"/>
                  <w:noWrap w:val="0"/>
                  <w:vAlign w:val="center"/>
                </w:tcPr>
                <w:p>
                  <w:pPr>
                    <w:pStyle w:val="57"/>
                    <w:bidi w:val="0"/>
                    <w:rPr>
                      <w:rFonts w:hint="eastAsia"/>
                      <w:highlight w:val="none"/>
                      <w:lang w:val="en-US" w:eastAsia="zh-CN"/>
                    </w:rPr>
                  </w:pPr>
                  <w:r>
                    <w:rPr>
                      <w:rFonts w:hint="eastAsia"/>
                      <w:highlight w:val="none"/>
                      <w:lang w:val="en-US" w:eastAsia="zh-CN"/>
                    </w:rPr>
                    <w:t>颗粒物</w:t>
                  </w:r>
                </w:p>
              </w:tc>
              <w:tc>
                <w:tcPr>
                  <w:tcW w:w="902" w:type="pct"/>
                  <w:tcBorders>
                    <w:bottom w:val="single" w:color="auto" w:sz="4" w:space="0"/>
                    <w:right w:val="single" w:color="auto" w:sz="4" w:space="0"/>
                  </w:tcBorders>
                  <w:noWrap w:val="0"/>
                  <w:vAlign w:val="center"/>
                </w:tcPr>
                <w:p>
                  <w:pPr>
                    <w:pStyle w:val="57"/>
                    <w:bidi w:val="0"/>
                    <w:rPr>
                      <w:rFonts w:hint="default"/>
                      <w:highlight w:val="none"/>
                      <w:lang w:val="en-US" w:eastAsia="zh-CN"/>
                    </w:rPr>
                  </w:pPr>
                  <w:r>
                    <w:rPr>
                      <w:rFonts w:hint="eastAsia"/>
                      <w:highlight w:val="none"/>
                      <w:lang w:val="en-US" w:eastAsia="zh-CN"/>
                    </w:rPr>
                    <w:t>1.0</w:t>
                  </w:r>
                </w:p>
              </w:tc>
              <w:tc>
                <w:tcPr>
                  <w:tcW w:w="2350" w:type="pct"/>
                  <w:tcBorders>
                    <w:left w:val="single" w:color="auto" w:sz="4" w:space="0"/>
                  </w:tcBorders>
                  <w:noWrap w:val="0"/>
                  <w:vAlign w:val="center"/>
                </w:tcPr>
                <w:p>
                  <w:pPr>
                    <w:pStyle w:val="57"/>
                    <w:bidi w:val="0"/>
                    <w:rPr>
                      <w:rFonts w:hint="default"/>
                      <w:highlight w:val="none"/>
                    </w:rPr>
                  </w:pPr>
                  <w:r>
                    <w:rPr>
                      <w:rFonts w:hint="default"/>
                      <w:highlight w:val="none"/>
                    </w:rPr>
                    <w:t>GB16297-1996无组织排放监控浓度限值</w:t>
                  </w:r>
                </w:p>
              </w:tc>
            </w:tr>
          </w:tbl>
          <w:p>
            <w:pPr>
              <w:pStyle w:val="57"/>
              <w:bidi w:val="0"/>
              <w:rPr>
                <w:rFonts w:hint="default"/>
                <w:b/>
                <w:bCs/>
                <w:highlight w:val="none"/>
                <w:lang w:val="sq-AL" w:eastAsia="zh-CN"/>
              </w:rPr>
            </w:pPr>
          </w:p>
          <w:p>
            <w:pPr>
              <w:pStyle w:val="57"/>
              <w:bidi w:val="0"/>
              <w:rPr>
                <w:rFonts w:hint="default"/>
                <w:highlight w:val="none"/>
                <w:lang w:val="en-US" w:eastAsia="zh-CN"/>
              </w:rPr>
            </w:pPr>
            <w:r>
              <w:rPr>
                <w:rFonts w:hint="default"/>
                <w:b/>
                <w:bCs/>
                <w:highlight w:val="none"/>
                <w:lang w:val="sq-AL" w:eastAsia="zh-CN"/>
              </w:rPr>
              <w:t>表</w:t>
            </w:r>
            <w:r>
              <w:rPr>
                <w:rFonts w:hint="default"/>
                <w:b/>
                <w:bCs/>
                <w:highlight w:val="none"/>
                <w:lang w:val="en-US" w:eastAsia="zh-CN"/>
              </w:rPr>
              <w:t>3-</w:t>
            </w:r>
            <w:r>
              <w:rPr>
                <w:rFonts w:hint="eastAsia"/>
                <w:b/>
                <w:bCs/>
                <w:highlight w:val="none"/>
                <w:lang w:val="en-US" w:eastAsia="zh-CN"/>
              </w:rPr>
              <w:t xml:space="preserve">5 </w:t>
            </w:r>
            <w:r>
              <w:rPr>
                <w:rFonts w:hint="default"/>
                <w:b/>
                <w:bCs/>
                <w:highlight w:val="none"/>
                <w:lang w:val="en-US" w:eastAsia="zh-CN"/>
              </w:rPr>
              <w:t>《水泥工业大气污染物排放标准》（GB4915-2013）</w:t>
            </w:r>
          </w:p>
          <w:tbl>
            <w:tblPr>
              <w:tblStyle w:val="23"/>
              <w:tblW w:w="4992"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793"/>
              <w:gridCol w:w="1324"/>
              <w:gridCol w:w="1560"/>
              <w:gridCol w:w="386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15" w:hRule="exact"/>
                <w:jc w:val="center"/>
              </w:trPr>
              <w:tc>
                <w:tcPr>
                  <w:tcW w:w="1050" w:type="pct"/>
                  <w:tcBorders>
                    <w:left w:val="single" w:color="auto" w:sz="4" w:space="0"/>
                    <w:bottom w:val="single" w:color="auto" w:sz="4" w:space="0"/>
                  </w:tcBorders>
                  <w:noWrap w:val="0"/>
                  <w:vAlign w:val="center"/>
                </w:tcPr>
                <w:p>
                  <w:pPr>
                    <w:pStyle w:val="57"/>
                    <w:bidi w:val="0"/>
                    <w:rPr>
                      <w:rFonts w:hint="default"/>
                      <w:highlight w:val="none"/>
                    </w:rPr>
                  </w:pPr>
                  <w:r>
                    <w:rPr>
                      <w:rFonts w:hint="default"/>
                      <w:highlight w:val="none"/>
                    </w:rPr>
                    <w:t>污染源名称</w:t>
                  </w:r>
                </w:p>
              </w:tc>
              <w:tc>
                <w:tcPr>
                  <w:tcW w:w="775" w:type="pct"/>
                  <w:tcBorders>
                    <w:bottom w:val="single" w:color="auto" w:sz="4" w:space="0"/>
                  </w:tcBorders>
                  <w:noWrap w:val="0"/>
                  <w:vAlign w:val="center"/>
                </w:tcPr>
                <w:p>
                  <w:pPr>
                    <w:pStyle w:val="57"/>
                    <w:bidi w:val="0"/>
                    <w:rPr>
                      <w:rFonts w:hint="default"/>
                      <w:highlight w:val="none"/>
                    </w:rPr>
                  </w:pPr>
                  <w:r>
                    <w:rPr>
                      <w:rFonts w:hint="default"/>
                      <w:highlight w:val="none"/>
                    </w:rPr>
                    <w:t>污染物名称</w:t>
                  </w:r>
                </w:p>
              </w:tc>
              <w:tc>
                <w:tcPr>
                  <w:tcW w:w="913" w:type="pct"/>
                  <w:tcBorders>
                    <w:bottom w:val="single" w:color="auto" w:sz="4" w:space="0"/>
                    <w:right w:val="single" w:color="auto" w:sz="4" w:space="0"/>
                  </w:tcBorders>
                  <w:noWrap w:val="0"/>
                  <w:vAlign w:val="center"/>
                </w:tcPr>
                <w:p>
                  <w:pPr>
                    <w:pStyle w:val="57"/>
                    <w:bidi w:val="0"/>
                    <w:rPr>
                      <w:rFonts w:hint="default"/>
                      <w:highlight w:val="none"/>
                    </w:rPr>
                  </w:pPr>
                  <w:r>
                    <w:rPr>
                      <w:rFonts w:hint="default"/>
                      <w:highlight w:val="none"/>
                    </w:rPr>
                    <w:t>排放浓度限值</w:t>
                  </w:r>
                </w:p>
                <w:p>
                  <w:pPr>
                    <w:pStyle w:val="57"/>
                    <w:bidi w:val="0"/>
                    <w:rPr>
                      <w:rFonts w:hint="default"/>
                      <w:highlight w:val="none"/>
                    </w:rPr>
                  </w:pPr>
                  <w:r>
                    <w:rPr>
                      <w:rFonts w:hint="default"/>
                      <w:highlight w:val="none"/>
                    </w:rPr>
                    <w:t>mg/m</w:t>
                  </w:r>
                  <w:r>
                    <w:rPr>
                      <w:rFonts w:hint="default"/>
                      <w:highlight w:val="none"/>
                      <w:vertAlign w:val="superscript"/>
                    </w:rPr>
                    <w:t>3</w:t>
                  </w:r>
                </w:p>
              </w:tc>
              <w:tc>
                <w:tcPr>
                  <w:tcW w:w="2260" w:type="pct"/>
                  <w:tcBorders>
                    <w:top w:val="single" w:color="auto" w:sz="4" w:space="0"/>
                    <w:left w:val="single" w:color="auto" w:sz="4" w:space="0"/>
                    <w:bottom w:val="single" w:color="auto" w:sz="4" w:space="0"/>
                  </w:tcBorders>
                  <w:noWrap w:val="0"/>
                  <w:vAlign w:val="center"/>
                </w:tcPr>
                <w:p>
                  <w:pPr>
                    <w:pStyle w:val="57"/>
                    <w:bidi w:val="0"/>
                    <w:rPr>
                      <w:rFonts w:hint="default"/>
                      <w:highlight w:val="none"/>
                    </w:rPr>
                  </w:pPr>
                  <w:r>
                    <w:rPr>
                      <w:rFonts w:hint="default"/>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16" w:hRule="exact"/>
                <w:jc w:val="center"/>
              </w:trPr>
              <w:tc>
                <w:tcPr>
                  <w:tcW w:w="1050" w:type="pct"/>
                  <w:tcBorders>
                    <w:left w:val="single" w:color="auto" w:sz="4" w:space="0"/>
                  </w:tcBorders>
                  <w:noWrap w:val="0"/>
                  <w:vAlign w:val="center"/>
                </w:tcPr>
                <w:p>
                  <w:pPr>
                    <w:pStyle w:val="57"/>
                    <w:bidi w:val="0"/>
                    <w:rPr>
                      <w:rFonts w:hint="default"/>
                      <w:highlight w:val="none"/>
                    </w:rPr>
                  </w:pPr>
                  <w:r>
                    <w:rPr>
                      <w:rFonts w:hint="default"/>
                      <w:highlight w:val="none"/>
                    </w:rPr>
                    <w:t>无组织排放</w:t>
                  </w:r>
                </w:p>
              </w:tc>
              <w:tc>
                <w:tcPr>
                  <w:tcW w:w="775" w:type="pct"/>
                  <w:noWrap w:val="0"/>
                  <w:vAlign w:val="center"/>
                </w:tcPr>
                <w:p>
                  <w:pPr>
                    <w:pStyle w:val="57"/>
                    <w:bidi w:val="0"/>
                    <w:rPr>
                      <w:rFonts w:hint="eastAsia"/>
                      <w:highlight w:val="none"/>
                      <w:lang w:val="en-US" w:eastAsia="zh-CN"/>
                    </w:rPr>
                  </w:pPr>
                  <w:r>
                    <w:rPr>
                      <w:rFonts w:hint="eastAsia"/>
                      <w:highlight w:val="none"/>
                      <w:lang w:val="en-US" w:eastAsia="zh-CN"/>
                    </w:rPr>
                    <w:t>颗粒物</w:t>
                  </w:r>
                </w:p>
              </w:tc>
              <w:tc>
                <w:tcPr>
                  <w:tcW w:w="913" w:type="pct"/>
                  <w:tcBorders>
                    <w:bottom w:val="single" w:color="auto" w:sz="4" w:space="0"/>
                    <w:right w:val="single" w:color="auto" w:sz="4" w:space="0"/>
                  </w:tcBorders>
                  <w:noWrap w:val="0"/>
                  <w:vAlign w:val="center"/>
                </w:tcPr>
                <w:p>
                  <w:pPr>
                    <w:pStyle w:val="57"/>
                    <w:bidi w:val="0"/>
                    <w:rPr>
                      <w:rFonts w:hint="default"/>
                      <w:highlight w:val="none"/>
                    </w:rPr>
                  </w:pPr>
                  <w:r>
                    <w:rPr>
                      <w:rFonts w:hint="default"/>
                      <w:highlight w:val="none"/>
                    </w:rPr>
                    <w:t>0.5</w:t>
                  </w:r>
                </w:p>
              </w:tc>
              <w:tc>
                <w:tcPr>
                  <w:tcW w:w="2260" w:type="pct"/>
                  <w:tcBorders>
                    <w:left w:val="single" w:color="auto" w:sz="4" w:space="0"/>
                  </w:tcBorders>
                  <w:noWrap w:val="0"/>
                  <w:vAlign w:val="center"/>
                </w:tcPr>
                <w:p>
                  <w:pPr>
                    <w:pStyle w:val="57"/>
                    <w:bidi w:val="0"/>
                    <w:rPr>
                      <w:rFonts w:hint="default"/>
                      <w:highlight w:val="none"/>
                    </w:rPr>
                  </w:pPr>
                  <w:r>
                    <w:rPr>
                      <w:rFonts w:hint="default"/>
                      <w:highlight w:val="none"/>
                    </w:rPr>
                    <w:t>GB4915-2013无组织排放监控浓度限值</w:t>
                  </w:r>
                </w:p>
              </w:tc>
            </w:tr>
          </w:tbl>
          <w:p>
            <w:pPr>
              <w:pStyle w:val="57"/>
              <w:bidi w:val="0"/>
              <w:rPr>
                <w:rFonts w:hint="default"/>
                <w:b/>
                <w:bCs/>
                <w:highlight w:val="none"/>
                <w:lang w:val="zh-CN"/>
              </w:rPr>
            </w:pPr>
          </w:p>
          <w:p>
            <w:pPr>
              <w:pStyle w:val="57"/>
              <w:bidi w:val="0"/>
              <w:rPr>
                <w:rFonts w:hint="default"/>
                <w:highlight w:val="none"/>
                <w:lang w:val="zh-CN"/>
              </w:rPr>
            </w:pPr>
            <w:r>
              <w:rPr>
                <w:rFonts w:hint="default"/>
                <w:b/>
                <w:bCs/>
                <w:highlight w:val="none"/>
                <w:lang w:val="zh-CN"/>
              </w:rPr>
              <w:t>表</w:t>
            </w:r>
            <w:r>
              <w:rPr>
                <w:rFonts w:hint="eastAsia"/>
                <w:b/>
                <w:bCs/>
                <w:highlight w:val="none"/>
                <w:lang w:val="en-US" w:eastAsia="zh-CN"/>
              </w:rPr>
              <w:t>3-6</w:t>
            </w:r>
            <w:r>
              <w:rPr>
                <w:rFonts w:hint="default"/>
                <w:b/>
                <w:bCs/>
                <w:highlight w:val="none"/>
                <w:lang w:val="zh-CN"/>
              </w:rPr>
              <w:t xml:space="preserve"> 大气污染物综合排放标准</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457"/>
              <w:gridCol w:w="1512"/>
              <w:gridCol w:w="1267"/>
              <w:gridCol w:w="1544"/>
              <w:gridCol w:w="1481"/>
              <w:gridCol w:w="1277"/>
              <w:gridCol w:w="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52" w:type="pct"/>
                  <w:vMerge w:val="restart"/>
                  <w:noWrap w:val="0"/>
                  <w:vAlign w:val="center"/>
                </w:tcPr>
                <w:p>
                  <w:pPr>
                    <w:pStyle w:val="57"/>
                    <w:bidi w:val="0"/>
                    <w:rPr>
                      <w:rFonts w:hint="default"/>
                      <w:highlight w:val="none"/>
                    </w:rPr>
                  </w:pPr>
                  <w:r>
                    <w:rPr>
                      <w:rFonts w:hint="default"/>
                      <w:highlight w:val="none"/>
                    </w:rPr>
                    <w:t>污染物</w:t>
                  </w:r>
                </w:p>
              </w:tc>
              <w:tc>
                <w:tcPr>
                  <w:tcW w:w="884" w:type="pct"/>
                  <w:vMerge w:val="restart"/>
                  <w:noWrap w:val="0"/>
                  <w:vAlign w:val="center"/>
                </w:tcPr>
                <w:p>
                  <w:pPr>
                    <w:pStyle w:val="57"/>
                    <w:bidi w:val="0"/>
                    <w:rPr>
                      <w:rFonts w:hint="default"/>
                      <w:highlight w:val="none"/>
                    </w:rPr>
                  </w:pPr>
                  <w:r>
                    <w:rPr>
                      <w:rFonts w:hint="default"/>
                      <w:highlight w:val="none"/>
                    </w:rPr>
                    <w:t>最高允许排放浓度</w:t>
                  </w:r>
                </w:p>
                <w:p>
                  <w:pPr>
                    <w:pStyle w:val="57"/>
                    <w:bidi w:val="0"/>
                    <w:rPr>
                      <w:rFonts w:hint="default"/>
                      <w:highlight w:val="none"/>
                    </w:rPr>
                  </w:pPr>
                  <w:r>
                    <w:rPr>
                      <w:rFonts w:hint="default"/>
                      <w:highlight w:val="none"/>
                    </w:rPr>
                    <w:t>（mg/m</w:t>
                  </w:r>
                  <w:r>
                    <w:rPr>
                      <w:rFonts w:hint="default"/>
                      <w:highlight w:val="none"/>
                      <w:vertAlign w:val="superscript"/>
                    </w:rPr>
                    <w:t>3</w:t>
                  </w:r>
                  <w:r>
                    <w:rPr>
                      <w:rFonts w:hint="default"/>
                      <w:highlight w:val="none"/>
                    </w:rPr>
                    <w:t>）</w:t>
                  </w:r>
                </w:p>
              </w:tc>
              <w:tc>
                <w:tcPr>
                  <w:tcW w:w="1644" w:type="pct"/>
                  <w:gridSpan w:val="2"/>
                  <w:noWrap w:val="0"/>
                  <w:vAlign w:val="center"/>
                </w:tcPr>
                <w:p>
                  <w:pPr>
                    <w:pStyle w:val="57"/>
                    <w:bidi w:val="0"/>
                    <w:rPr>
                      <w:rFonts w:hint="default"/>
                      <w:highlight w:val="none"/>
                    </w:rPr>
                  </w:pPr>
                  <w:r>
                    <w:rPr>
                      <w:rFonts w:hint="default"/>
                      <w:highlight w:val="none"/>
                    </w:rPr>
                    <w:t>最高允许排放</w:t>
                  </w:r>
                </w:p>
                <w:p>
                  <w:pPr>
                    <w:pStyle w:val="57"/>
                    <w:bidi w:val="0"/>
                    <w:rPr>
                      <w:rFonts w:hint="default"/>
                      <w:highlight w:val="none"/>
                    </w:rPr>
                  </w:pPr>
                  <w:r>
                    <w:rPr>
                      <w:rFonts w:hint="default"/>
                      <w:highlight w:val="none"/>
                    </w:rPr>
                    <w:t>速率（kg/h）</w:t>
                  </w:r>
                </w:p>
              </w:tc>
              <w:tc>
                <w:tcPr>
                  <w:tcW w:w="1618" w:type="pct"/>
                  <w:gridSpan w:val="3"/>
                  <w:noWrap w:val="0"/>
                  <w:vAlign w:val="center"/>
                </w:tcPr>
                <w:p>
                  <w:pPr>
                    <w:pStyle w:val="57"/>
                    <w:bidi w:val="0"/>
                    <w:rPr>
                      <w:rFonts w:hint="default"/>
                      <w:highlight w:val="none"/>
                    </w:rPr>
                  </w:pPr>
                  <w:r>
                    <w:rPr>
                      <w:rFonts w:hint="default"/>
                      <w:highlight w:val="none"/>
                    </w:rPr>
                    <w:t>无组织排放监控</w:t>
                  </w:r>
                </w:p>
                <w:p>
                  <w:pPr>
                    <w:pStyle w:val="57"/>
                    <w:bidi w:val="0"/>
                    <w:rPr>
                      <w:rFonts w:hint="default"/>
                      <w:highlight w:val="none"/>
                    </w:rPr>
                  </w:pPr>
                  <w:r>
                    <w:rPr>
                      <w:rFonts w:hint="default"/>
                      <w:highlight w:val="none"/>
                    </w:rPr>
                    <w:t>浓度限值（mg/m</w:t>
                  </w:r>
                  <w:r>
                    <w:rPr>
                      <w:rFonts w:hint="default"/>
                      <w:highlight w:val="none"/>
                      <w:vertAlign w:val="superscript"/>
                    </w:rPr>
                    <w:t>3</w:t>
                  </w:r>
                  <w:r>
                    <w:rPr>
                      <w:rFonts w:hint="default"/>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283" w:hRule="atLeast"/>
                <w:jc w:val="center"/>
              </w:trPr>
              <w:tc>
                <w:tcPr>
                  <w:tcW w:w="852" w:type="pct"/>
                  <w:vMerge w:val="continue"/>
                  <w:noWrap w:val="0"/>
                  <w:vAlign w:val="center"/>
                </w:tcPr>
                <w:p>
                  <w:pPr>
                    <w:pStyle w:val="57"/>
                    <w:bidi w:val="0"/>
                    <w:rPr>
                      <w:rFonts w:hint="default"/>
                      <w:highlight w:val="none"/>
                    </w:rPr>
                  </w:pPr>
                </w:p>
              </w:tc>
              <w:tc>
                <w:tcPr>
                  <w:tcW w:w="884" w:type="pct"/>
                  <w:vMerge w:val="continue"/>
                  <w:noWrap w:val="0"/>
                  <w:vAlign w:val="center"/>
                </w:tcPr>
                <w:p>
                  <w:pPr>
                    <w:pStyle w:val="57"/>
                    <w:bidi w:val="0"/>
                    <w:rPr>
                      <w:rFonts w:hint="default"/>
                      <w:highlight w:val="none"/>
                    </w:rPr>
                  </w:pPr>
                </w:p>
              </w:tc>
              <w:tc>
                <w:tcPr>
                  <w:tcW w:w="741" w:type="pct"/>
                  <w:noWrap w:val="0"/>
                  <w:vAlign w:val="center"/>
                </w:tcPr>
                <w:p>
                  <w:pPr>
                    <w:pStyle w:val="57"/>
                    <w:bidi w:val="0"/>
                    <w:rPr>
                      <w:rFonts w:hint="default"/>
                      <w:highlight w:val="none"/>
                    </w:rPr>
                  </w:pPr>
                  <w:r>
                    <w:rPr>
                      <w:rFonts w:hint="default"/>
                      <w:highlight w:val="none"/>
                    </w:rPr>
                    <w:t>排气筒（m）</w:t>
                  </w:r>
                </w:p>
              </w:tc>
              <w:tc>
                <w:tcPr>
                  <w:tcW w:w="903" w:type="pct"/>
                  <w:noWrap w:val="0"/>
                  <w:vAlign w:val="center"/>
                </w:tcPr>
                <w:p>
                  <w:pPr>
                    <w:pStyle w:val="57"/>
                    <w:bidi w:val="0"/>
                    <w:rPr>
                      <w:rFonts w:hint="default"/>
                      <w:highlight w:val="none"/>
                    </w:rPr>
                  </w:pPr>
                  <w:r>
                    <w:rPr>
                      <w:rFonts w:hint="default"/>
                      <w:highlight w:val="none"/>
                    </w:rPr>
                    <w:t>二级</w:t>
                  </w:r>
                </w:p>
              </w:tc>
              <w:tc>
                <w:tcPr>
                  <w:tcW w:w="866" w:type="pct"/>
                  <w:noWrap w:val="0"/>
                  <w:vAlign w:val="center"/>
                </w:tcPr>
                <w:p>
                  <w:pPr>
                    <w:pStyle w:val="57"/>
                    <w:bidi w:val="0"/>
                    <w:rPr>
                      <w:rFonts w:hint="default"/>
                      <w:highlight w:val="none"/>
                    </w:rPr>
                  </w:pPr>
                  <w:r>
                    <w:rPr>
                      <w:rFonts w:hint="default"/>
                      <w:highlight w:val="none"/>
                    </w:rPr>
                    <w:t>监控点</w:t>
                  </w:r>
                </w:p>
              </w:tc>
              <w:tc>
                <w:tcPr>
                  <w:tcW w:w="746" w:type="pct"/>
                  <w:noWrap w:val="0"/>
                  <w:vAlign w:val="center"/>
                </w:tcPr>
                <w:p>
                  <w:pPr>
                    <w:pStyle w:val="57"/>
                    <w:bidi w:val="0"/>
                    <w:rPr>
                      <w:rFonts w:hint="default"/>
                      <w:highlight w:val="none"/>
                    </w:rPr>
                  </w:pPr>
                  <w:r>
                    <w:rPr>
                      <w:rFonts w:hint="default"/>
                      <w:highlight w:val="none"/>
                    </w:rPr>
                    <w:t>浓度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283" w:hRule="atLeast"/>
                <w:jc w:val="center"/>
              </w:trPr>
              <w:tc>
                <w:tcPr>
                  <w:tcW w:w="852" w:type="pct"/>
                  <w:noWrap w:val="0"/>
                  <w:vAlign w:val="center"/>
                </w:tcPr>
                <w:p>
                  <w:pPr>
                    <w:pStyle w:val="57"/>
                    <w:bidi w:val="0"/>
                    <w:rPr>
                      <w:rFonts w:hint="default"/>
                      <w:highlight w:val="none"/>
                    </w:rPr>
                  </w:pPr>
                  <w:r>
                    <w:rPr>
                      <w:rFonts w:hint="default"/>
                      <w:highlight w:val="none"/>
                    </w:rPr>
                    <w:t>苯并（a）芘</w:t>
                  </w:r>
                </w:p>
              </w:tc>
              <w:tc>
                <w:tcPr>
                  <w:tcW w:w="884" w:type="pct"/>
                  <w:noWrap w:val="0"/>
                  <w:vAlign w:val="center"/>
                </w:tcPr>
                <w:p>
                  <w:pPr>
                    <w:pStyle w:val="57"/>
                    <w:bidi w:val="0"/>
                    <w:rPr>
                      <w:rFonts w:hint="default"/>
                      <w:highlight w:val="none"/>
                    </w:rPr>
                  </w:pPr>
                  <w:r>
                    <w:rPr>
                      <w:rFonts w:hint="default"/>
                      <w:highlight w:val="none"/>
                    </w:rPr>
                    <w:t>0.3×10</w:t>
                  </w:r>
                  <w:r>
                    <w:rPr>
                      <w:rFonts w:hint="default"/>
                      <w:highlight w:val="none"/>
                      <w:vertAlign w:val="superscript"/>
                    </w:rPr>
                    <w:t>-3</w:t>
                  </w:r>
                </w:p>
              </w:tc>
              <w:tc>
                <w:tcPr>
                  <w:tcW w:w="741" w:type="pct"/>
                  <w:vMerge w:val="restart"/>
                  <w:noWrap w:val="0"/>
                  <w:vAlign w:val="center"/>
                </w:tcPr>
                <w:p>
                  <w:pPr>
                    <w:pStyle w:val="57"/>
                    <w:bidi w:val="0"/>
                    <w:rPr>
                      <w:rFonts w:hint="default"/>
                      <w:highlight w:val="none"/>
                    </w:rPr>
                  </w:pPr>
                  <w:r>
                    <w:rPr>
                      <w:rFonts w:hint="default"/>
                      <w:highlight w:val="none"/>
                    </w:rPr>
                    <w:t>15</w:t>
                  </w:r>
                </w:p>
              </w:tc>
              <w:tc>
                <w:tcPr>
                  <w:tcW w:w="903" w:type="pct"/>
                  <w:noWrap w:val="0"/>
                  <w:vAlign w:val="center"/>
                </w:tcPr>
                <w:p>
                  <w:pPr>
                    <w:pStyle w:val="57"/>
                    <w:bidi w:val="0"/>
                    <w:rPr>
                      <w:rFonts w:hint="default"/>
                      <w:highlight w:val="none"/>
                    </w:rPr>
                  </w:pPr>
                  <w:r>
                    <w:rPr>
                      <w:rFonts w:hint="default"/>
                      <w:highlight w:val="none"/>
                    </w:rPr>
                    <w:t>0.050×10</w:t>
                  </w:r>
                  <w:r>
                    <w:rPr>
                      <w:rFonts w:hint="default"/>
                      <w:highlight w:val="none"/>
                      <w:vertAlign w:val="superscript"/>
                    </w:rPr>
                    <w:t>-3</w:t>
                  </w:r>
                </w:p>
              </w:tc>
              <w:tc>
                <w:tcPr>
                  <w:tcW w:w="866" w:type="pct"/>
                  <w:vMerge w:val="restart"/>
                  <w:noWrap w:val="0"/>
                  <w:vAlign w:val="center"/>
                </w:tcPr>
                <w:p>
                  <w:pPr>
                    <w:pStyle w:val="57"/>
                    <w:bidi w:val="0"/>
                    <w:rPr>
                      <w:rFonts w:hint="default"/>
                      <w:highlight w:val="none"/>
                    </w:rPr>
                  </w:pPr>
                  <w:r>
                    <w:rPr>
                      <w:rFonts w:hint="default"/>
                      <w:highlight w:val="none"/>
                    </w:rPr>
                    <w:t>周界外浓度最高点</w:t>
                  </w:r>
                </w:p>
              </w:tc>
              <w:tc>
                <w:tcPr>
                  <w:tcW w:w="746" w:type="pct"/>
                  <w:noWrap w:val="0"/>
                  <w:vAlign w:val="center"/>
                </w:tcPr>
                <w:p>
                  <w:pPr>
                    <w:pStyle w:val="57"/>
                    <w:bidi w:val="0"/>
                    <w:rPr>
                      <w:rFonts w:hint="default"/>
                      <w:highlight w:val="none"/>
                    </w:rPr>
                  </w:pPr>
                  <w:r>
                    <w:rPr>
                      <w:rFonts w:hint="default"/>
                      <w:highlight w:val="none"/>
                    </w:rPr>
                    <w:t>8×10</w:t>
                  </w:r>
                  <w:r>
                    <w:rPr>
                      <w:rFonts w:hint="default"/>
                      <w:highlight w:val="none"/>
                      <w:vertAlign w:val="superscript"/>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192" w:hRule="atLeast"/>
                <w:jc w:val="center"/>
              </w:trPr>
              <w:tc>
                <w:tcPr>
                  <w:tcW w:w="852" w:type="pct"/>
                  <w:noWrap w:val="0"/>
                  <w:vAlign w:val="center"/>
                </w:tcPr>
                <w:p>
                  <w:pPr>
                    <w:pStyle w:val="57"/>
                    <w:bidi w:val="0"/>
                    <w:rPr>
                      <w:rFonts w:hint="default"/>
                      <w:highlight w:val="none"/>
                    </w:rPr>
                  </w:pPr>
                  <w:r>
                    <w:rPr>
                      <w:rFonts w:hint="default"/>
                      <w:highlight w:val="none"/>
                    </w:rPr>
                    <w:t>颗粒物</w:t>
                  </w:r>
                </w:p>
              </w:tc>
              <w:tc>
                <w:tcPr>
                  <w:tcW w:w="884" w:type="pct"/>
                  <w:noWrap w:val="0"/>
                  <w:vAlign w:val="center"/>
                </w:tcPr>
                <w:p>
                  <w:pPr>
                    <w:pStyle w:val="57"/>
                    <w:bidi w:val="0"/>
                    <w:rPr>
                      <w:rFonts w:hint="default"/>
                      <w:highlight w:val="none"/>
                    </w:rPr>
                  </w:pPr>
                  <w:r>
                    <w:rPr>
                      <w:rFonts w:hint="default"/>
                      <w:highlight w:val="none"/>
                    </w:rPr>
                    <w:t>120</w:t>
                  </w:r>
                </w:p>
              </w:tc>
              <w:tc>
                <w:tcPr>
                  <w:tcW w:w="741" w:type="pct"/>
                  <w:vMerge w:val="continue"/>
                  <w:noWrap w:val="0"/>
                  <w:vAlign w:val="center"/>
                </w:tcPr>
                <w:p>
                  <w:pPr>
                    <w:pStyle w:val="57"/>
                    <w:bidi w:val="0"/>
                    <w:rPr>
                      <w:rFonts w:hint="default"/>
                      <w:highlight w:val="none"/>
                    </w:rPr>
                  </w:pPr>
                </w:p>
              </w:tc>
              <w:tc>
                <w:tcPr>
                  <w:tcW w:w="903" w:type="pct"/>
                  <w:noWrap w:val="0"/>
                  <w:vAlign w:val="center"/>
                </w:tcPr>
                <w:p>
                  <w:pPr>
                    <w:pStyle w:val="57"/>
                    <w:bidi w:val="0"/>
                    <w:rPr>
                      <w:rFonts w:hint="default"/>
                      <w:highlight w:val="none"/>
                    </w:rPr>
                  </w:pPr>
                  <w:r>
                    <w:rPr>
                      <w:rFonts w:hint="default"/>
                      <w:highlight w:val="none"/>
                    </w:rPr>
                    <w:t>3.5</w:t>
                  </w:r>
                </w:p>
              </w:tc>
              <w:tc>
                <w:tcPr>
                  <w:tcW w:w="866" w:type="pct"/>
                  <w:vMerge w:val="continue"/>
                  <w:noWrap w:val="0"/>
                  <w:vAlign w:val="center"/>
                </w:tcPr>
                <w:p>
                  <w:pPr>
                    <w:pStyle w:val="57"/>
                    <w:bidi w:val="0"/>
                    <w:rPr>
                      <w:rFonts w:hint="default"/>
                      <w:highlight w:val="none"/>
                    </w:rPr>
                  </w:pPr>
                </w:p>
              </w:tc>
              <w:tc>
                <w:tcPr>
                  <w:tcW w:w="746" w:type="pct"/>
                  <w:noWrap w:val="0"/>
                  <w:vAlign w:val="center"/>
                </w:tcPr>
                <w:p>
                  <w:pPr>
                    <w:pStyle w:val="57"/>
                    <w:bidi w:val="0"/>
                    <w:rPr>
                      <w:rFonts w:hint="default"/>
                      <w:highlight w:val="none"/>
                    </w:rPr>
                  </w:pPr>
                  <w:r>
                    <w:rPr>
                      <w:rFonts w:hint="default"/>
                      <w:highlight w:val="none"/>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130" w:hRule="atLeast"/>
                <w:jc w:val="center"/>
              </w:trPr>
              <w:tc>
                <w:tcPr>
                  <w:tcW w:w="852" w:type="pct"/>
                  <w:noWrap w:val="0"/>
                  <w:vAlign w:val="center"/>
                </w:tcPr>
                <w:p>
                  <w:pPr>
                    <w:pStyle w:val="57"/>
                    <w:bidi w:val="0"/>
                    <w:rPr>
                      <w:rFonts w:hint="default"/>
                      <w:highlight w:val="none"/>
                    </w:rPr>
                  </w:pPr>
                  <w:r>
                    <w:rPr>
                      <w:rFonts w:hint="default"/>
                      <w:highlight w:val="none"/>
                    </w:rPr>
                    <w:t>氮氧化物</w:t>
                  </w:r>
                </w:p>
              </w:tc>
              <w:tc>
                <w:tcPr>
                  <w:tcW w:w="884" w:type="pct"/>
                  <w:noWrap w:val="0"/>
                  <w:vAlign w:val="center"/>
                </w:tcPr>
                <w:p>
                  <w:pPr>
                    <w:pStyle w:val="57"/>
                    <w:bidi w:val="0"/>
                    <w:rPr>
                      <w:rFonts w:hint="default"/>
                      <w:highlight w:val="none"/>
                    </w:rPr>
                  </w:pPr>
                  <w:r>
                    <w:rPr>
                      <w:rFonts w:hint="default"/>
                      <w:highlight w:val="none"/>
                    </w:rPr>
                    <w:t>240</w:t>
                  </w:r>
                </w:p>
              </w:tc>
              <w:tc>
                <w:tcPr>
                  <w:tcW w:w="741" w:type="pct"/>
                  <w:vMerge w:val="continue"/>
                  <w:noWrap w:val="0"/>
                  <w:vAlign w:val="center"/>
                </w:tcPr>
                <w:p>
                  <w:pPr>
                    <w:pStyle w:val="57"/>
                    <w:bidi w:val="0"/>
                    <w:rPr>
                      <w:rFonts w:hint="default"/>
                      <w:highlight w:val="none"/>
                    </w:rPr>
                  </w:pPr>
                </w:p>
              </w:tc>
              <w:tc>
                <w:tcPr>
                  <w:tcW w:w="903" w:type="pct"/>
                  <w:noWrap w:val="0"/>
                  <w:vAlign w:val="center"/>
                </w:tcPr>
                <w:p>
                  <w:pPr>
                    <w:pStyle w:val="57"/>
                    <w:bidi w:val="0"/>
                    <w:rPr>
                      <w:rFonts w:hint="default"/>
                      <w:highlight w:val="none"/>
                    </w:rPr>
                  </w:pPr>
                  <w:r>
                    <w:rPr>
                      <w:rFonts w:hint="default"/>
                      <w:highlight w:val="none"/>
                    </w:rPr>
                    <w:t>0.77</w:t>
                  </w:r>
                </w:p>
              </w:tc>
              <w:tc>
                <w:tcPr>
                  <w:tcW w:w="866" w:type="pct"/>
                  <w:vMerge w:val="continue"/>
                  <w:noWrap w:val="0"/>
                  <w:vAlign w:val="center"/>
                </w:tcPr>
                <w:p>
                  <w:pPr>
                    <w:pStyle w:val="57"/>
                    <w:bidi w:val="0"/>
                    <w:rPr>
                      <w:rFonts w:hint="default"/>
                      <w:highlight w:val="none"/>
                    </w:rPr>
                  </w:pPr>
                </w:p>
              </w:tc>
              <w:tc>
                <w:tcPr>
                  <w:tcW w:w="746" w:type="pct"/>
                  <w:noWrap w:val="0"/>
                  <w:vAlign w:val="center"/>
                </w:tcPr>
                <w:p>
                  <w:pPr>
                    <w:pStyle w:val="57"/>
                    <w:bidi w:val="0"/>
                    <w:rPr>
                      <w:rFonts w:hint="default"/>
                      <w:highlight w:val="none"/>
                    </w:rPr>
                  </w:pPr>
                  <w:r>
                    <w:rPr>
                      <w:rFonts w:hint="default"/>
                      <w:highlight w:val="none"/>
                    </w:rPr>
                    <w:t>0.12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130" w:hRule="atLeast"/>
                <w:jc w:val="center"/>
              </w:trPr>
              <w:tc>
                <w:tcPr>
                  <w:tcW w:w="852" w:type="pct"/>
                  <w:noWrap w:val="0"/>
                  <w:vAlign w:val="center"/>
                </w:tcPr>
                <w:p>
                  <w:pPr>
                    <w:pStyle w:val="57"/>
                    <w:bidi w:val="0"/>
                    <w:rPr>
                      <w:rFonts w:hint="default"/>
                      <w:highlight w:val="none"/>
                    </w:rPr>
                  </w:pPr>
                  <w:r>
                    <w:rPr>
                      <w:rFonts w:hint="default"/>
                      <w:highlight w:val="none"/>
                    </w:rPr>
                    <w:t>二氧化硫</w:t>
                  </w:r>
                </w:p>
              </w:tc>
              <w:tc>
                <w:tcPr>
                  <w:tcW w:w="884" w:type="pct"/>
                  <w:noWrap w:val="0"/>
                  <w:vAlign w:val="center"/>
                </w:tcPr>
                <w:p>
                  <w:pPr>
                    <w:pStyle w:val="57"/>
                    <w:bidi w:val="0"/>
                    <w:rPr>
                      <w:rFonts w:hint="default"/>
                      <w:highlight w:val="none"/>
                    </w:rPr>
                  </w:pPr>
                  <w:r>
                    <w:rPr>
                      <w:rFonts w:hint="default"/>
                      <w:highlight w:val="none"/>
                    </w:rPr>
                    <w:t>550</w:t>
                  </w:r>
                </w:p>
              </w:tc>
              <w:tc>
                <w:tcPr>
                  <w:tcW w:w="741" w:type="pct"/>
                  <w:vMerge w:val="continue"/>
                  <w:noWrap w:val="0"/>
                  <w:vAlign w:val="center"/>
                </w:tcPr>
                <w:p>
                  <w:pPr>
                    <w:pStyle w:val="57"/>
                    <w:bidi w:val="0"/>
                    <w:rPr>
                      <w:rFonts w:hint="default"/>
                      <w:highlight w:val="none"/>
                    </w:rPr>
                  </w:pPr>
                </w:p>
              </w:tc>
              <w:tc>
                <w:tcPr>
                  <w:tcW w:w="903" w:type="pct"/>
                  <w:noWrap w:val="0"/>
                  <w:vAlign w:val="center"/>
                </w:tcPr>
                <w:p>
                  <w:pPr>
                    <w:pStyle w:val="57"/>
                    <w:bidi w:val="0"/>
                    <w:rPr>
                      <w:rFonts w:hint="default"/>
                      <w:highlight w:val="none"/>
                    </w:rPr>
                  </w:pPr>
                  <w:r>
                    <w:rPr>
                      <w:rFonts w:hint="default"/>
                      <w:highlight w:val="none"/>
                    </w:rPr>
                    <w:t>2.6</w:t>
                  </w:r>
                </w:p>
              </w:tc>
              <w:tc>
                <w:tcPr>
                  <w:tcW w:w="866" w:type="pct"/>
                  <w:vMerge w:val="continue"/>
                  <w:noWrap w:val="0"/>
                  <w:vAlign w:val="center"/>
                </w:tcPr>
                <w:p>
                  <w:pPr>
                    <w:pStyle w:val="57"/>
                    <w:bidi w:val="0"/>
                    <w:rPr>
                      <w:rFonts w:hint="default"/>
                      <w:highlight w:val="none"/>
                    </w:rPr>
                  </w:pPr>
                </w:p>
              </w:tc>
              <w:tc>
                <w:tcPr>
                  <w:tcW w:w="746" w:type="pct"/>
                  <w:noWrap w:val="0"/>
                  <w:vAlign w:val="center"/>
                </w:tcPr>
                <w:p>
                  <w:pPr>
                    <w:pStyle w:val="57"/>
                    <w:bidi w:val="0"/>
                    <w:rPr>
                      <w:rFonts w:hint="default" w:eastAsia="宋体"/>
                      <w:highlight w:val="none"/>
                      <w:lang w:val="en-US" w:eastAsia="zh-CN"/>
                    </w:rPr>
                  </w:pPr>
                  <w:r>
                    <w:rPr>
                      <w:rFonts w:hint="eastAsia"/>
                      <w:highlight w:val="none"/>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283" w:hRule="atLeast"/>
                <w:jc w:val="center"/>
              </w:trPr>
              <w:tc>
                <w:tcPr>
                  <w:tcW w:w="852" w:type="pct"/>
                  <w:noWrap w:val="0"/>
                  <w:vAlign w:val="center"/>
                </w:tcPr>
                <w:p>
                  <w:pPr>
                    <w:pStyle w:val="57"/>
                    <w:bidi w:val="0"/>
                    <w:rPr>
                      <w:rFonts w:hint="default"/>
                      <w:highlight w:val="none"/>
                    </w:rPr>
                  </w:pPr>
                  <w:r>
                    <w:rPr>
                      <w:rFonts w:hint="default"/>
                      <w:highlight w:val="none"/>
                    </w:rPr>
                    <w:t>沥青烟</w:t>
                  </w:r>
                </w:p>
              </w:tc>
              <w:tc>
                <w:tcPr>
                  <w:tcW w:w="884" w:type="pct"/>
                  <w:noWrap w:val="0"/>
                  <w:vAlign w:val="center"/>
                </w:tcPr>
                <w:p>
                  <w:pPr>
                    <w:pStyle w:val="57"/>
                    <w:bidi w:val="0"/>
                    <w:rPr>
                      <w:rFonts w:hint="default"/>
                      <w:highlight w:val="none"/>
                    </w:rPr>
                  </w:pPr>
                  <w:r>
                    <w:rPr>
                      <w:rFonts w:hint="default"/>
                      <w:highlight w:val="none"/>
                    </w:rPr>
                    <w:t>75</w:t>
                  </w:r>
                </w:p>
              </w:tc>
              <w:tc>
                <w:tcPr>
                  <w:tcW w:w="741" w:type="pct"/>
                  <w:vMerge w:val="continue"/>
                  <w:noWrap w:val="0"/>
                  <w:vAlign w:val="center"/>
                </w:tcPr>
                <w:p>
                  <w:pPr>
                    <w:pStyle w:val="57"/>
                    <w:bidi w:val="0"/>
                    <w:rPr>
                      <w:rFonts w:hint="default"/>
                      <w:highlight w:val="none"/>
                    </w:rPr>
                  </w:pPr>
                </w:p>
              </w:tc>
              <w:tc>
                <w:tcPr>
                  <w:tcW w:w="903" w:type="pct"/>
                  <w:noWrap w:val="0"/>
                  <w:vAlign w:val="center"/>
                </w:tcPr>
                <w:p>
                  <w:pPr>
                    <w:pStyle w:val="57"/>
                    <w:bidi w:val="0"/>
                    <w:rPr>
                      <w:rFonts w:hint="default"/>
                      <w:highlight w:val="none"/>
                    </w:rPr>
                  </w:pPr>
                  <w:r>
                    <w:rPr>
                      <w:rFonts w:hint="default"/>
                      <w:highlight w:val="none"/>
                    </w:rPr>
                    <w:t>0.18</w:t>
                  </w:r>
                </w:p>
              </w:tc>
              <w:tc>
                <w:tcPr>
                  <w:tcW w:w="1612" w:type="pct"/>
                  <w:gridSpan w:val="2"/>
                  <w:noWrap w:val="0"/>
                  <w:vAlign w:val="center"/>
                </w:tcPr>
                <w:p>
                  <w:pPr>
                    <w:pStyle w:val="57"/>
                    <w:bidi w:val="0"/>
                    <w:rPr>
                      <w:rFonts w:hint="default"/>
                      <w:highlight w:val="none"/>
                    </w:rPr>
                  </w:pPr>
                  <w:r>
                    <w:rPr>
                      <w:rFonts w:hint="default"/>
                      <w:highlight w:val="none"/>
                    </w:rPr>
                    <w:t>生产设备不得有明显的无组织排放存在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283" w:hRule="atLeast"/>
                <w:jc w:val="center"/>
              </w:trPr>
              <w:tc>
                <w:tcPr>
                  <w:tcW w:w="852" w:type="pct"/>
                  <w:noWrap w:val="0"/>
                  <w:vAlign w:val="center"/>
                </w:tcPr>
                <w:p>
                  <w:pPr>
                    <w:pStyle w:val="57"/>
                    <w:bidi w:val="0"/>
                    <w:rPr>
                      <w:rFonts w:hint="default"/>
                      <w:highlight w:val="none"/>
                    </w:rPr>
                  </w:pPr>
                  <w:r>
                    <w:rPr>
                      <w:rFonts w:hint="default"/>
                      <w:highlight w:val="none"/>
                    </w:rPr>
                    <w:t>恶臭浓度</w:t>
                  </w:r>
                </w:p>
              </w:tc>
              <w:tc>
                <w:tcPr>
                  <w:tcW w:w="2528" w:type="pct"/>
                  <w:gridSpan w:val="3"/>
                  <w:noWrap w:val="0"/>
                  <w:vAlign w:val="center"/>
                </w:tcPr>
                <w:p>
                  <w:pPr>
                    <w:pStyle w:val="57"/>
                    <w:bidi w:val="0"/>
                    <w:rPr>
                      <w:rFonts w:hint="default"/>
                      <w:highlight w:val="none"/>
                    </w:rPr>
                  </w:pPr>
                  <w:r>
                    <w:rPr>
                      <w:rFonts w:hint="default"/>
                      <w:highlight w:val="none"/>
                    </w:rPr>
                    <w:t>恶臭污染物排放标准</w:t>
                  </w:r>
                </w:p>
              </w:tc>
              <w:tc>
                <w:tcPr>
                  <w:tcW w:w="1381" w:type="dxa"/>
                  <w:noWrap w:val="0"/>
                  <w:vAlign w:val="center"/>
                </w:tcPr>
                <w:p>
                  <w:pPr>
                    <w:pStyle w:val="57"/>
                    <w:bidi w:val="0"/>
                    <w:rPr>
                      <w:rFonts w:hint="default"/>
                      <w:highlight w:val="none"/>
                    </w:rPr>
                  </w:pPr>
                  <w:r>
                    <w:rPr>
                      <w:rFonts w:hint="default"/>
                      <w:highlight w:val="none"/>
                    </w:rPr>
                    <w:t>周界外浓度最高点</w:t>
                  </w:r>
                </w:p>
              </w:tc>
              <w:tc>
                <w:tcPr>
                  <w:tcW w:w="1381" w:type="dxa"/>
                  <w:noWrap w:val="0"/>
                  <w:vAlign w:val="center"/>
                </w:tcPr>
                <w:p>
                  <w:pPr>
                    <w:pStyle w:val="57"/>
                    <w:bidi w:val="0"/>
                    <w:rPr>
                      <w:rFonts w:hint="default"/>
                      <w:highlight w:val="none"/>
                    </w:rPr>
                  </w:pPr>
                  <w:r>
                    <w:rPr>
                      <w:rFonts w:hint="default"/>
                      <w:highlight w:val="none"/>
                    </w:rPr>
                    <w:t>20(无量纲)</w:t>
                  </w:r>
                </w:p>
              </w:tc>
            </w:tr>
          </w:tbl>
          <w:p>
            <w:pPr>
              <w:pStyle w:val="57"/>
              <w:bidi w:val="0"/>
              <w:rPr>
                <w:rFonts w:hint="default" w:ascii="Times New Roman" w:hAnsi="Times New Roman" w:eastAsia="宋体" w:cs="Times New Roman"/>
                <w:b/>
                <w:bCs/>
                <w:highlight w:val="none"/>
                <w:lang w:val="zh-CN"/>
              </w:rPr>
            </w:pPr>
          </w:p>
          <w:p>
            <w:pPr>
              <w:pStyle w:val="57"/>
              <w:bidi w:val="0"/>
              <w:rPr>
                <w:rFonts w:hint="default" w:ascii="Times New Roman" w:hAnsi="Times New Roman" w:eastAsia="宋体" w:cs="Times New Roman"/>
                <w:b w:val="0"/>
                <w:bCs w:val="0"/>
                <w:highlight w:val="none"/>
                <w:lang w:val="zh-CN"/>
              </w:rPr>
            </w:pPr>
            <w:r>
              <w:rPr>
                <w:rFonts w:hint="default" w:ascii="Times New Roman" w:hAnsi="Times New Roman" w:eastAsia="宋体" w:cs="Times New Roman"/>
                <w:b/>
                <w:bCs/>
                <w:highlight w:val="none"/>
                <w:lang w:val="zh-CN"/>
              </w:rPr>
              <w:t>表</w:t>
            </w:r>
            <w:r>
              <w:rPr>
                <w:rFonts w:hint="eastAsia" w:ascii="Times New Roman" w:hAnsi="Times New Roman" w:eastAsia="宋体" w:cs="Times New Roman"/>
                <w:b/>
                <w:bCs/>
                <w:highlight w:val="none"/>
                <w:lang w:val="en-US" w:eastAsia="zh-CN"/>
              </w:rPr>
              <w:t>3-7</w:t>
            </w:r>
            <w:r>
              <w:rPr>
                <w:rFonts w:hint="default" w:ascii="Times New Roman" w:hAnsi="Times New Roman" w:eastAsia="宋体" w:cs="Times New Roman"/>
                <w:b/>
                <w:bCs/>
                <w:highlight w:val="none"/>
                <w:lang w:val="zh-CN"/>
              </w:rPr>
              <w:t xml:space="preserve"> 锅炉大气污染物排放标准    单位：mg/m</w:t>
            </w:r>
            <w:r>
              <w:rPr>
                <w:rFonts w:hint="default" w:ascii="Times New Roman" w:hAnsi="Times New Roman" w:eastAsia="宋体" w:cs="Times New Roman"/>
                <w:b/>
                <w:bCs/>
                <w:highlight w:val="none"/>
                <w:vertAlign w:val="superscript"/>
                <w:lang w:val="zh-CN"/>
              </w:rPr>
              <w:t>3</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1"/>
              <w:gridCol w:w="2337"/>
              <w:gridCol w:w="2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319" w:type="pct"/>
                  <w:noWrap w:val="0"/>
                  <w:vAlign w:val="center"/>
                </w:tcPr>
                <w:p>
                  <w:pPr>
                    <w:pStyle w:val="57"/>
                    <w:bidi w:val="0"/>
                    <w:rPr>
                      <w:rFonts w:hint="default" w:ascii="Times New Roman" w:hAnsi="Times New Roman" w:eastAsia="宋体" w:cs="Times New Roman"/>
                      <w:b w:val="0"/>
                      <w:bCs w:val="0"/>
                      <w:highlight w:val="none"/>
                      <w:lang w:val="zh-CN"/>
                    </w:rPr>
                  </w:pPr>
                  <w:r>
                    <w:rPr>
                      <w:rFonts w:hint="default" w:ascii="Times New Roman" w:hAnsi="Times New Roman" w:eastAsia="宋体" w:cs="Times New Roman"/>
                      <w:b w:val="0"/>
                      <w:bCs w:val="0"/>
                      <w:highlight w:val="none"/>
                      <w:lang w:val="zh-CN"/>
                    </w:rPr>
                    <w:t>污染物项目</w:t>
                  </w:r>
                </w:p>
              </w:tc>
              <w:tc>
                <w:tcPr>
                  <w:tcW w:w="1365" w:type="pct"/>
                  <w:noWrap w:val="0"/>
                  <w:vAlign w:val="center"/>
                </w:tcPr>
                <w:p>
                  <w:pPr>
                    <w:pStyle w:val="57"/>
                    <w:bidi w:val="0"/>
                    <w:rPr>
                      <w:rFonts w:hint="default" w:ascii="Times New Roman" w:hAnsi="Times New Roman" w:eastAsia="宋体" w:cs="Times New Roman"/>
                      <w:b w:val="0"/>
                      <w:bCs w:val="0"/>
                      <w:highlight w:val="none"/>
                      <w:lang w:val="zh-CN"/>
                    </w:rPr>
                  </w:pPr>
                  <w:r>
                    <w:rPr>
                      <w:rFonts w:hint="default" w:ascii="Times New Roman" w:hAnsi="Times New Roman" w:eastAsia="宋体" w:cs="Times New Roman"/>
                      <w:b w:val="0"/>
                      <w:bCs w:val="0"/>
                      <w:highlight w:val="none"/>
                      <w:lang w:val="zh-CN"/>
                    </w:rPr>
                    <w:t>燃油锅炉限值</w:t>
                  </w:r>
                </w:p>
              </w:tc>
              <w:tc>
                <w:tcPr>
                  <w:tcW w:w="1315" w:type="pct"/>
                  <w:noWrap w:val="0"/>
                  <w:vAlign w:val="center"/>
                </w:tcPr>
                <w:p>
                  <w:pPr>
                    <w:pStyle w:val="57"/>
                    <w:bidi w:val="0"/>
                    <w:rPr>
                      <w:rFonts w:hint="default" w:ascii="Times New Roman" w:hAnsi="Times New Roman" w:eastAsia="宋体" w:cs="Times New Roman"/>
                      <w:b w:val="0"/>
                      <w:bCs w:val="0"/>
                      <w:highlight w:val="none"/>
                      <w:lang w:val="zh-CN"/>
                    </w:rPr>
                  </w:pPr>
                  <w:r>
                    <w:rPr>
                      <w:rFonts w:hint="default" w:ascii="Times New Roman" w:hAnsi="Times New Roman" w:eastAsia="宋体" w:cs="Times New Roman"/>
                      <w:b w:val="0"/>
                      <w:bCs w:val="0"/>
                      <w:highlight w:val="none"/>
                      <w:lang w:val="zh-CN"/>
                    </w:rPr>
                    <w:t>污染物监控位置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2319" w:type="pct"/>
                  <w:noWrap w:val="0"/>
                  <w:vAlign w:val="center"/>
                </w:tcPr>
                <w:p>
                  <w:pPr>
                    <w:pStyle w:val="57"/>
                    <w:bidi w:val="0"/>
                    <w:rPr>
                      <w:rFonts w:hint="default" w:ascii="Times New Roman" w:hAnsi="Times New Roman" w:eastAsia="宋体" w:cs="Times New Roman"/>
                      <w:b w:val="0"/>
                      <w:bCs w:val="0"/>
                      <w:highlight w:val="none"/>
                      <w:lang w:val="zh-CN"/>
                    </w:rPr>
                  </w:pPr>
                  <w:r>
                    <w:rPr>
                      <w:rFonts w:hint="default" w:ascii="Times New Roman" w:hAnsi="Times New Roman" w:eastAsia="宋体" w:cs="Times New Roman"/>
                      <w:b w:val="0"/>
                      <w:bCs w:val="0"/>
                      <w:highlight w:val="none"/>
                      <w:lang w:val="zh-CN"/>
                    </w:rPr>
                    <w:t>颗粒物</w:t>
                  </w:r>
                </w:p>
              </w:tc>
              <w:tc>
                <w:tcPr>
                  <w:tcW w:w="1365" w:type="pct"/>
                  <w:noWrap w:val="0"/>
                  <w:vAlign w:val="center"/>
                </w:tcPr>
                <w:p>
                  <w:pPr>
                    <w:pStyle w:val="57"/>
                    <w:bidi w:val="0"/>
                    <w:rPr>
                      <w:rFonts w:hint="default" w:ascii="Times New Roman" w:hAnsi="Times New Roman" w:eastAsia="宋体" w:cs="Times New Roman"/>
                      <w:b w:val="0"/>
                      <w:bCs w:val="0"/>
                      <w:highlight w:val="none"/>
                      <w:lang w:val="zh-CN"/>
                    </w:rPr>
                  </w:pPr>
                  <w:r>
                    <w:rPr>
                      <w:rFonts w:hint="default" w:ascii="Times New Roman" w:hAnsi="Times New Roman" w:eastAsia="宋体" w:cs="Times New Roman"/>
                      <w:b w:val="0"/>
                      <w:bCs w:val="0"/>
                      <w:highlight w:val="none"/>
                      <w:lang w:val="zh-CN"/>
                    </w:rPr>
                    <w:t>30</w:t>
                  </w:r>
                </w:p>
              </w:tc>
              <w:tc>
                <w:tcPr>
                  <w:tcW w:w="1315" w:type="pct"/>
                  <w:vMerge w:val="restart"/>
                  <w:noWrap w:val="0"/>
                  <w:vAlign w:val="center"/>
                </w:tcPr>
                <w:p>
                  <w:pPr>
                    <w:pStyle w:val="57"/>
                    <w:bidi w:val="0"/>
                    <w:rPr>
                      <w:rFonts w:hint="default" w:ascii="Times New Roman" w:hAnsi="Times New Roman" w:eastAsia="宋体" w:cs="Times New Roman"/>
                      <w:b w:val="0"/>
                      <w:bCs w:val="0"/>
                      <w:highlight w:val="none"/>
                      <w:lang w:val="zh-CN"/>
                    </w:rPr>
                  </w:pPr>
                  <w:r>
                    <w:rPr>
                      <w:rFonts w:hint="default" w:ascii="Times New Roman" w:hAnsi="Times New Roman" w:eastAsia="宋体" w:cs="Times New Roman"/>
                      <w:b w:val="0"/>
                      <w:bCs w:val="0"/>
                      <w:highlight w:val="none"/>
                      <w:lang w:val="zh-CN"/>
                    </w:rPr>
                    <w:t>烟囱或烟道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2319" w:type="pct"/>
                  <w:noWrap w:val="0"/>
                  <w:vAlign w:val="center"/>
                </w:tcPr>
                <w:p>
                  <w:pPr>
                    <w:pStyle w:val="57"/>
                    <w:bidi w:val="0"/>
                    <w:rPr>
                      <w:rFonts w:hint="default" w:ascii="Times New Roman" w:hAnsi="Times New Roman" w:eastAsia="宋体" w:cs="Times New Roman"/>
                      <w:b w:val="0"/>
                      <w:bCs w:val="0"/>
                      <w:highlight w:val="none"/>
                      <w:lang w:val="zh-CN"/>
                    </w:rPr>
                  </w:pPr>
                  <w:r>
                    <w:rPr>
                      <w:rFonts w:hint="default" w:ascii="Times New Roman" w:hAnsi="Times New Roman" w:eastAsia="宋体" w:cs="Times New Roman"/>
                      <w:b w:val="0"/>
                      <w:bCs w:val="0"/>
                      <w:highlight w:val="none"/>
                      <w:lang w:val="zh-CN"/>
                    </w:rPr>
                    <w:t>SO</w:t>
                  </w:r>
                  <w:r>
                    <w:rPr>
                      <w:rFonts w:hint="default" w:ascii="Times New Roman" w:hAnsi="Times New Roman" w:eastAsia="宋体" w:cs="Times New Roman"/>
                      <w:b w:val="0"/>
                      <w:bCs w:val="0"/>
                      <w:highlight w:val="none"/>
                      <w:vertAlign w:val="subscript"/>
                      <w:lang w:val="zh-CN"/>
                    </w:rPr>
                    <w:t>2</w:t>
                  </w:r>
                </w:p>
              </w:tc>
              <w:tc>
                <w:tcPr>
                  <w:tcW w:w="1365" w:type="pct"/>
                  <w:noWrap w:val="0"/>
                  <w:vAlign w:val="center"/>
                </w:tcPr>
                <w:p>
                  <w:pPr>
                    <w:pStyle w:val="57"/>
                    <w:bidi w:val="0"/>
                    <w:rPr>
                      <w:rFonts w:hint="default" w:ascii="Times New Roman" w:hAnsi="Times New Roman" w:eastAsia="宋体" w:cs="Times New Roman"/>
                      <w:b w:val="0"/>
                      <w:bCs w:val="0"/>
                      <w:highlight w:val="none"/>
                      <w:lang w:val="zh-CN"/>
                    </w:rPr>
                  </w:pPr>
                  <w:r>
                    <w:rPr>
                      <w:rFonts w:hint="default" w:ascii="Times New Roman" w:hAnsi="Times New Roman" w:eastAsia="宋体" w:cs="Times New Roman"/>
                      <w:b w:val="0"/>
                      <w:bCs w:val="0"/>
                      <w:highlight w:val="none"/>
                      <w:lang w:val="zh-CN"/>
                    </w:rPr>
                    <w:t>200</w:t>
                  </w:r>
                </w:p>
              </w:tc>
              <w:tc>
                <w:tcPr>
                  <w:tcW w:w="1315" w:type="pct"/>
                  <w:vMerge w:val="continue"/>
                  <w:noWrap w:val="0"/>
                  <w:vAlign w:val="center"/>
                </w:tcPr>
                <w:p>
                  <w:pPr>
                    <w:pStyle w:val="57"/>
                    <w:bidi w:val="0"/>
                    <w:rPr>
                      <w:rFonts w:hint="default" w:ascii="Times New Roman" w:hAnsi="Times New Roman" w:eastAsia="宋体" w:cs="Times New Roman"/>
                      <w:b w:val="0"/>
                      <w:bCs w:val="0"/>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2319" w:type="pct"/>
                  <w:noWrap w:val="0"/>
                  <w:vAlign w:val="center"/>
                </w:tcPr>
                <w:p>
                  <w:pPr>
                    <w:pStyle w:val="57"/>
                    <w:bidi w:val="0"/>
                    <w:rPr>
                      <w:rFonts w:hint="default" w:ascii="Times New Roman" w:hAnsi="Times New Roman" w:eastAsia="宋体" w:cs="Times New Roman"/>
                      <w:b w:val="0"/>
                      <w:bCs w:val="0"/>
                      <w:highlight w:val="none"/>
                      <w:lang w:val="zh-CN"/>
                    </w:rPr>
                  </w:pPr>
                  <w:r>
                    <w:rPr>
                      <w:rFonts w:hint="default" w:ascii="Times New Roman" w:hAnsi="Times New Roman" w:eastAsia="宋体" w:cs="Times New Roman"/>
                      <w:b w:val="0"/>
                      <w:bCs w:val="0"/>
                      <w:highlight w:val="none"/>
                      <w:lang w:val="zh-CN"/>
                    </w:rPr>
                    <w:t>NOx</w:t>
                  </w:r>
                </w:p>
              </w:tc>
              <w:tc>
                <w:tcPr>
                  <w:tcW w:w="1365" w:type="pct"/>
                  <w:noWrap w:val="0"/>
                  <w:vAlign w:val="center"/>
                </w:tcPr>
                <w:p>
                  <w:pPr>
                    <w:pStyle w:val="57"/>
                    <w:bidi w:val="0"/>
                    <w:rPr>
                      <w:rFonts w:hint="default" w:ascii="Times New Roman" w:hAnsi="Times New Roman" w:eastAsia="宋体" w:cs="Times New Roman"/>
                      <w:b w:val="0"/>
                      <w:bCs w:val="0"/>
                      <w:highlight w:val="none"/>
                      <w:lang w:val="zh-CN"/>
                    </w:rPr>
                  </w:pPr>
                  <w:r>
                    <w:rPr>
                      <w:rFonts w:hint="default" w:ascii="Times New Roman" w:hAnsi="Times New Roman" w:eastAsia="宋体" w:cs="Times New Roman"/>
                      <w:b w:val="0"/>
                      <w:bCs w:val="0"/>
                      <w:highlight w:val="none"/>
                      <w:lang w:val="zh-CN"/>
                    </w:rPr>
                    <w:t>250</w:t>
                  </w:r>
                </w:p>
              </w:tc>
              <w:tc>
                <w:tcPr>
                  <w:tcW w:w="1315" w:type="pct"/>
                  <w:vMerge w:val="continue"/>
                  <w:noWrap w:val="0"/>
                  <w:vAlign w:val="center"/>
                </w:tcPr>
                <w:p>
                  <w:pPr>
                    <w:pStyle w:val="57"/>
                    <w:bidi w:val="0"/>
                    <w:rPr>
                      <w:rFonts w:hint="default" w:ascii="Times New Roman" w:hAnsi="Times New Roman" w:eastAsia="宋体" w:cs="Times New Roman"/>
                      <w:b w:val="0"/>
                      <w:bCs w:val="0"/>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319" w:type="pct"/>
                  <w:noWrap w:val="0"/>
                  <w:vAlign w:val="center"/>
                </w:tcPr>
                <w:p>
                  <w:pPr>
                    <w:pStyle w:val="57"/>
                    <w:bidi w:val="0"/>
                    <w:rPr>
                      <w:rFonts w:hint="default" w:ascii="Times New Roman" w:hAnsi="Times New Roman" w:eastAsia="宋体" w:cs="Times New Roman"/>
                      <w:b w:val="0"/>
                      <w:bCs w:val="0"/>
                      <w:highlight w:val="none"/>
                      <w:lang w:val="zh-CN"/>
                    </w:rPr>
                  </w:pPr>
                  <w:r>
                    <w:rPr>
                      <w:rFonts w:hint="default" w:ascii="Times New Roman" w:hAnsi="Times New Roman" w:eastAsia="宋体" w:cs="Times New Roman"/>
                      <w:b w:val="0"/>
                      <w:bCs w:val="0"/>
                      <w:highlight w:val="none"/>
                      <w:lang w:val="zh-CN"/>
                    </w:rPr>
                    <w:t>烟气黑度（林格曼黑度，级）</w:t>
                  </w:r>
                </w:p>
              </w:tc>
              <w:tc>
                <w:tcPr>
                  <w:tcW w:w="1365" w:type="pct"/>
                  <w:noWrap w:val="0"/>
                  <w:vAlign w:val="center"/>
                </w:tcPr>
                <w:p>
                  <w:pPr>
                    <w:pStyle w:val="57"/>
                    <w:bidi w:val="0"/>
                    <w:rPr>
                      <w:rFonts w:hint="default" w:ascii="Times New Roman" w:hAnsi="Times New Roman" w:eastAsia="宋体" w:cs="Times New Roman"/>
                      <w:b w:val="0"/>
                      <w:bCs w:val="0"/>
                      <w:highlight w:val="none"/>
                      <w:lang w:val="zh-CN"/>
                    </w:rPr>
                  </w:pPr>
                  <w:r>
                    <w:rPr>
                      <w:rFonts w:hint="default" w:ascii="Times New Roman" w:hAnsi="Times New Roman" w:eastAsia="宋体" w:cs="Times New Roman"/>
                      <w:b w:val="0"/>
                      <w:bCs w:val="0"/>
                      <w:highlight w:val="none"/>
                      <w:lang w:val="zh-CN"/>
                    </w:rPr>
                    <w:t>≦1</w:t>
                  </w:r>
                </w:p>
              </w:tc>
              <w:tc>
                <w:tcPr>
                  <w:tcW w:w="1315" w:type="pct"/>
                  <w:noWrap w:val="0"/>
                  <w:vAlign w:val="center"/>
                </w:tcPr>
                <w:p>
                  <w:pPr>
                    <w:pStyle w:val="57"/>
                    <w:bidi w:val="0"/>
                    <w:rPr>
                      <w:rFonts w:hint="default" w:ascii="Times New Roman" w:hAnsi="Times New Roman" w:eastAsia="宋体" w:cs="Times New Roman"/>
                      <w:b w:val="0"/>
                      <w:bCs w:val="0"/>
                      <w:highlight w:val="none"/>
                      <w:lang w:val="zh-CN"/>
                    </w:rPr>
                  </w:pPr>
                  <w:r>
                    <w:rPr>
                      <w:rFonts w:hint="default" w:ascii="Times New Roman" w:hAnsi="Times New Roman" w:eastAsia="宋体" w:cs="Times New Roman"/>
                      <w:b w:val="0"/>
                      <w:bCs w:val="0"/>
                      <w:highlight w:val="none"/>
                      <w:lang w:val="zh-CN"/>
                    </w:rPr>
                    <w:t>烟囱排放口</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3、噪声：</w:t>
            </w:r>
            <w:r>
              <w:rPr>
                <w:rFonts w:hint="default" w:ascii="Times New Roman" w:hAnsi="Times New Roman" w:eastAsia="宋体" w:cs="Times New Roman"/>
                <w:sz w:val="24"/>
                <w:szCs w:val="24"/>
                <w:highlight w:val="none"/>
                <w:u w:val="none" w:color="auto"/>
              </w:rPr>
              <w:t>施工期建筑施工场界噪声排放执行《建筑施工场界环境噪声排放标准》（GB12523-2011）标准</w:t>
            </w:r>
            <w:r>
              <w:rPr>
                <w:rFonts w:ascii="宋体" w:hAnsi="宋体" w:eastAsia="宋体" w:cs="宋体"/>
                <w:sz w:val="24"/>
                <w:szCs w:val="24"/>
                <w:highlight w:val="none"/>
                <w:u w:val="none" w:color="auto"/>
              </w:rPr>
              <w:t>限值,夜间不进行作业；</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运营期项目厂界区域噪声执行《工业企业厂界环境噪声排放标准》（GB12348-2008）2类标准。</w:t>
            </w:r>
          </w:p>
          <w:p>
            <w:pPr>
              <w:pStyle w:val="57"/>
              <w:bidi w:val="0"/>
              <w:rPr>
                <w:rFonts w:hint="default"/>
                <w:highlight w:val="none"/>
              </w:rPr>
            </w:pPr>
            <w:r>
              <w:rPr>
                <w:rFonts w:hint="default"/>
                <w:b/>
                <w:bCs/>
                <w:highlight w:val="none"/>
              </w:rPr>
              <w:t>表</w:t>
            </w:r>
            <w:r>
              <w:rPr>
                <w:rFonts w:hint="default"/>
                <w:b/>
                <w:bCs/>
                <w:highlight w:val="none"/>
                <w:lang w:val="en-US" w:eastAsia="zh-CN"/>
              </w:rPr>
              <w:t>3</w:t>
            </w:r>
            <w:r>
              <w:rPr>
                <w:rFonts w:hint="default"/>
                <w:b/>
                <w:bCs/>
                <w:highlight w:val="none"/>
              </w:rPr>
              <w:t>-</w:t>
            </w:r>
            <w:r>
              <w:rPr>
                <w:rFonts w:hint="eastAsia"/>
                <w:b/>
                <w:bCs/>
                <w:highlight w:val="none"/>
                <w:lang w:val="en-US" w:eastAsia="zh-CN"/>
              </w:rPr>
              <w:t>8</w:t>
            </w:r>
            <w:r>
              <w:rPr>
                <w:rFonts w:hint="default"/>
                <w:b/>
                <w:bCs/>
                <w:highlight w:val="none"/>
                <w:lang w:val="en-US" w:eastAsia="zh-CN"/>
              </w:rPr>
              <w:t xml:space="preserve"> </w:t>
            </w:r>
            <w:r>
              <w:rPr>
                <w:rFonts w:hint="default"/>
                <w:b/>
                <w:bCs/>
                <w:highlight w:val="none"/>
              </w:rPr>
              <w:t>工业企业厂界环境噪声排放标准限值单位：dB（A）</w:t>
            </w:r>
          </w:p>
          <w:tbl>
            <w:tblPr>
              <w:tblStyle w:val="23"/>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84"/>
              <w:gridCol w:w="1815"/>
              <w:gridCol w:w="2880"/>
              <w:gridCol w:w="287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36" w:type="pct"/>
                  <w:gridSpan w:val="2"/>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rPr>
                  </w:pPr>
                  <w:r>
                    <w:rPr>
                      <w:rFonts w:hint="default"/>
                      <w:highlight w:val="none"/>
                    </w:rPr>
                    <w:t>类别</w:t>
                  </w:r>
                </w:p>
              </w:tc>
              <w:tc>
                <w:tcPr>
                  <w:tcW w:w="1683"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rPr>
                  </w:pPr>
                  <w:r>
                    <w:rPr>
                      <w:rFonts w:hint="default"/>
                      <w:highlight w:val="none"/>
                    </w:rPr>
                    <w:t>昼间</w:t>
                  </w:r>
                </w:p>
              </w:tc>
              <w:tc>
                <w:tcPr>
                  <w:tcW w:w="1679"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rPr>
                  </w:pPr>
                  <w:r>
                    <w:rPr>
                      <w:rFonts w:hint="default"/>
                      <w:highlight w:val="none"/>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36" w:type="pct"/>
                  <w:gridSpan w:val="2"/>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lang w:val="en-US" w:eastAsia="zh-CN"/>
                    </w:rPr>
                  </w:pPr>
                  <w:r>
                    <w:rPr>
                      <w:rFonts w:hint="default"/>
                      <w:highlight w:val="none"/>
                      <w:lang w:val="en-US" w:eastAsia="zh-CN"/>
                    </w:rPr>
                    <w:t>施工期</w:t>
                  </w:r>
                </w:p>
              </w:tc>
              <w:tc>
                <w:tcPr>
                  <w:tcW w:w="1683"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lang w:val="en-US" w:eastAsia="zh-CN"/>
                    </w:rPr>
                  </w:pPr>
                  <w:r>
                    <w:rPr>
                      <w:rFonts w:hint="default"/>
                      <w:highlight w:val="none"/>
                      <w:lang w:val="en-US" w:eastAsia="zh-CN"/>
                    </w:rPr>
                    <w:t>70</w:t>
                  </w:r>
                </w:p>
              </w:tc>
              <w:tc>
                <w:tcPr>
                  <w:tcW w:w="1679"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lang w:val="en-US" w:eastAsia="zh-CN"/>
                    </w:rPr>
                  </w:pPr>
                  <w:r>
                    <w:rPr>
                      <w:rFonts w:hint="default"/>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75" w:type="pct"/>
                  <w:tcBorders>
                    <w:top w:val="single" w:color="auto" w:sz="6" w:space="0"/>
                    <w:left w:val="single" w:color="auto" w:sz="6" w:space="0"/>
                    <w:bottom w:val="single" w:color="auto" w:sz="6" w:space="0"/>
                    <w:right w:val="single" w:color="auto" w:sz="4" w:space="0"/>
                  </w:tcBorders>
                  <w:noWrap w:val="0"/>
                  <w:vAlign w:val="center"/>
                </w:tcPr>
                <w:p>
                  <w:pPr>
                    <w:pStyle w:val="57"/>
                    <w:bidi w:val="0"/>
                    <w:rPr>
                      <w:rFonts w:hint="default"/>
                      <w:highlight w:val="none"/>
                      <w:lang w:val="en-US" w:eastAsia="zh-CN"/>
                    </w:rPr>
                  </w:pPr>
                  <w:r>
                    <w:rPr>
                      <w:rFonts w:hint="default"/>
                      <w:highlight w:val="none"/>
                      <w:lang w:val="en-US" w:eastAsia="zh-CN"/>
                    </w:rPr>
                    <w:t>运营期</w:t>
                  </w:r>
                </w:p>
              </w:tc>
              <w:tc>
                <w:tcPr>
                  <w:tcW w:w="1060" w:type="pct"/>
                  <w:tcBorders>
                    <w:top w:val="single" w:color="auto" w:sz="6" w:space="0"/>
                    <w:left w:val="single" w:color="auto" w:sz="4" w:space="0"/>
                    <w:bottom w:val="single" w:color="auto" w:sz="6" w:space="0"/>
                    <w:right w:val="single" w:color="auto" w:sz="6" w:space="0"/>
                  </w:tcBorders>
                  <w:noWrap w:val="0"/>
                  <w:vAlign w:val="center"/>
                </w:tcPr>
                <w:p>
                  <w:pPr>
                    <w:pStyle w:val="57"/>
                    <w:bidi w:val="0"/>
                    <w:rPr>
                      <w:rFonts w:hint="default"/>
                      <w:highlight w:val="none"/>
                    </w:rPr>
                  </w:pPr>
                  <w:r>
                    <w:rPr>
                      <w:rFonts w:hint="default"/>
                      <w:highlight w:val="none"/>
                    </w:rPr>
                    <w:t>2类</w:t>
                  </w:r>
                </w:p>
              </w:tc>
              <w:tc>
                <w:tcPr>
                  <w:tcW w:w="1683"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rPr>
                  </w:pPr>
                  <w:r>
                    <w:rPr>
                      <w:rFonts w:hint="default"/>
                      <w:highlight w:val="none"/>
                    </w:rPr>
                    <w:t>60</w:t>
                  </w:r>
                </w:p>
              </w:tc>
              <w:tc>
                <w:tcPr>
                  <w:tcW w:w="1679"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rPr>
                  </w:pPr>
                  <w:r>
                    <w:rPr>
                      <w:rFonts w:hint="default"/>
                      <w:highlight w:val="none"/>
                    </w:rPr>
                    <w:t>50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4、固体废物：一般固体废物执行《一般工业废物储存、处置场污染控制标准》（GB18599-20</w:t>
            </w:r>
            <w:r>
              <w:rPr>
                <w:rFonts w:hint="eastAsia"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20</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生活垃圾执行《生活垃圾填埋场污染控制标准》（GB16889-2008）</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总量控制指标</w:t>
            </w:r>
          </w:p>
        </w:tc>
        <w:tc>
          <w:tcPr>
            <w:tcW w:w="8566" w:type="dxa"/>
            <w:tcBorders>
              <w:tl2br w:val="nil"/>
              <w:tr2bl w:val="nil"/>
            </w:tcBorders>
            <w:vAlign w:val="center"/>
          </w:tcPr>
          <w:p>
            <w:pPr>
              <w:keepNext w:val="0"/>
              <w:keepLines w:val="0"/>
              <w:suppressLineNumbers w:val="0"/>
              <w:tabs>
                <w:tab w:val="left" w:pos="2508"/>
              </w:tabs>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本工程生产过程中产生了废水经沉淀池处理后回用于生产工艺，不外排；工作人员的生活污水采用化粪池处理后用作农肥。</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因此</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不设总量控制指标</w:t>
            </w:r>
            <w:r>
              <w:rPr>
                <w:rFonts w:hint="eastAsia"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p>
        </w:tc>
      </w:tr>
    </w:tbl>
    <w:p>
      <w:pPr>
        <w:pStyle w:val="18"/>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sectPr>
          <w:pgSz w:w="11906" w:h="16838"/>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bookmarkStart w:id="21" w:name="_Toc2643"/>
      <w:r>
        <w:rPr>
          <w:rFonts w:hint="default" w:ascii="Times New Roman" w:hAnsi="Times New Roman" w:cs="Times New Roman" w:eastAsiaTheme="minorEastAsia"/>
          <w:b/>
          <w:color w:val="000000" w:themeColor="text1"/>
          <w:sz w:val="36"/>
          <w:szCs w:val="36"/>
          <w:highlight w:val="none"/>
          <w:u w:val="none" w:color="auto"/>
          <w:lang w:val="en-US" w:eastAsia="zh-CN"/>
          <w14:textFill>
            <w14:solidFill>
              <w14:schemeClr w14:val="tx1"/>
            </w14:solidFill>
          </w14:textFill>
        </w:rPr>
        <w:t>四、主要环境影响和保护措施</w:t>
      </w:r>
      <w:bookmarkEnd w:id="21"/>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84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施工期环境保护措施</w:t>
            </w:r>
          </w:p>
        </w:tc>
        <w:tc>
          <w:tcPr>
            <w:tcW w:w="8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jc w:val="both"/>
              <w:textAlignment w:val="auto"/>
              <w:rPr>
                <w:rFonts w:hint="default" w:ascii="Times New Roman" w:hAnsi="Times New Roman" w:eastAsia="宋体" w:cs="Times New Roman"/>
                <w:b/>
                <w:color w:val="auto"/>
                <w:spacing w:val="0"/>
                <w:kern w:val="21"/>
                <w:sz w:val="28"/>
                <w:szCs w:val="28"/>
                <w:highlight w:val="none"/>
                <w:u w:val="none" w:color="auto"/>
                <w:lang w:val="en-US" w:eastAsia="zh-CN" w:bidi="ar-SA"/>
              </w:rPr>
            </w:pPr>
            <w:r>
              <w:rPr>
                <w:rFonts w:hint="eastAsia" w:ascii="Times New Roman" w:hAnsi="Times New Roman" w:eastAsia="宋体" w:cs="Times New Roman"/>
                <w:b/>
                <w:bCs/>
                <w:color w:val="000000"/>
                <w:sz w:val="24"/>
                <w:szCs w:val="24"/>
                <w:highlight w:val="none"/>
                <w:u w:val="none" w:color="auto"/>
                <w:lang w:val="en-US" w:eastAsia="zh-CN"/>
              </w:rPr>
              <w:t>1、</w:t>
            </w:r>
            <w:r>
              <w:rPr>
                <w:rFonts w:ascii="Times New Roman" w:hAnsi="Times New Roman" w:eastAsia="宋体" w:cs="Times New Roman"/>
                <w:b/>
                <w:bCs/>
                <w:color w:val="000000"/>
                <w:sz w:val="24"/>
                <w:szCs w:val="24"/>
                <w:highlight w:val="none"/>
                <w:u w:val="none" w:color="auto"/>
              </w:rPr>
              <w:t>施工期主要污染工序及防治措施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在建设期间，各项施工活动将会对周围环境产生短期不良影响，主要影响因素有扬尘、噪声、建筑垃圾和污水等，以噪声和扬尘尤为明显；但随着施工期的结束，这些影响也将消失；因此，施工时应该采取有效防治措施，将施工期环境影响降至最低。</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000000"/>
                <w:sz w:val="24"/>
                <w:szCs w:val="24"/>
                <w:highlight w:val="none"/>
                <w:u w:val="none" w:color="auto"/>
              </w:rPr>
            </w:pPr>
            <w:r>
              <w:rPr>
                <w:rFonts w:hint="eastAsia" w:ascii="Times New Roman" w:hAnsi="Times New Roman" w:cs="Times New Roman"/>
                <w:b/>
                <w:color w:val="000000"/>
                <w:sz w:val="24"/>
                <w:szCs w:val="24"/>
                <w:highlight w:val="none"/>
                <w:u w:val="none" w:color="auto"/>
                <w:lang w:val="en-US" w:eastAsia="zh-CN"/>
              </w:rPr>
              <w:t>1.1</w:t>
            </w:r>
            <w:r>
              <w:rPr>
                <w:rFonts w:ascii="Times New Roman" w:hAnsi="Times New Roman" w:eastAsia="宋体" w:cs="Times New Roman"/>
                <w:b/>
                <w:color w:val="000000"/>
                <w:sz w:val="24"/>
                <w:szCs w:val="24"/>
                <w:highlight w:val="none"/>
                <w:u w:val="none" w:color="auto"/>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（1）噪声污染源</w:t>
            </w:r>
            <w:r>
              <w:rPr>
                <w:rFonts w:hint="eastAsia" w:ascii="Times New Roman" w:hAnsi="Times New Roman" w:eastAsia="宋体" w:cs="Times New Roman"/>
                <w:color w:val="000000"/>
                <w:sz w:val="24"/>
                <w:szCs w:val="24"/>
                <w:highlight w:val="none"/>
                <w:u w:val="none" w:color="auto"/>
              </w:rPr>
              <w:t>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在施工过程中，各种施工机械设备的运转以及各类车辆的运行将不可避免地产生噪声污染，各种施工机械、运输车辆等均属噪声源。根据有关资料，主要施工机械的噪声源源强见</w:t>
            </w:r>
            <w:r>
              <w:rPr>
                <w:rFonts w:hint="eastAsia" w:ascii="Times New Roman" w:hAnsi="Times New Roman" w:eastAsia="宋体" w:cs="Times New Roman"/>
                <w:color w:val="000000"/>
                <w:sz w:val="24"/>
                <w:szCs w:val="24"/>
                <w:highlight w:val="none"/>
                <w:u w:val="none" w:color="auto"/>
              </w:rPr>
              <w:t>下</w:t>
            </w:r>
            <w:r>
              <w:rPr>
                <w:rFonts w:ascii="Times New Roman" w:hAnsi="Times New Roman" w:eastAsia="宋体" w:cs="Times New Roman"/>
                <w:color w:val="000000"/>
                <w:sz w:val="24"/>
                <w:szCs w:val="24"/>
                <w:highlight w:val="none"/>
                <w:u w:val="none" w:color="auto"/>
              </w:rPr>
              <w:t>表。</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b/>
                <w:color w:val="000000"/>
                <w:kern w:val="2"/>
                <w:sz w:val="21"/>
                <w:szCs w:val="21"/>
                <w:highlight w:val="none"/>
                <w:u w:val="none" w:color="auto"/>
                <w:lang w:val="en-US" w:eastAsia="zh-CN" w:bidi="ar-SA"/>
              </w:rPr>
            </w:pPr>
            <w:r>
              <w:rPr>
                <w:rFonts w:hint="eastAsia" w:ascii="Times New Roman" w:hAnsi="Times New Roman" w:eastAsia="宋体" w:cs="Times New Roman"/>
                <w:b/>
                <w:color w:val="000000"/>
                <w:kern w:val="2"/>
                <w:sz w:val="21"/>
                <w:szCs w:val="21"/>
                <w:highlight w:val="none"/>
                <w:u w:val="none" w:color="auto"/>
                <w:lang w:val="en-US" w:eastAsia="zh-CN" w:bidi="ar-SA"/>
              </w:rPr>
              <w:t>表</w:t>
            </w:r>
            <w:r>
              <w:rPr>
                <w:rFonts w:hint="eastAsia" w:ascii="Times New Roman" w:hAnsi="Times New Roman" w:cs="Times New Roman"/>
                <w:b/>
                <w:color w:val="000000"/>
                <w:kern w:val="2"/>
                <w:sz w:val="21"/>
                <w:szCs w:val="21"/>
                <w:highlight w:val="none"/>
                <w:u w:val="none" w:color="auto"/>
                <w:lang w:val="en-US" w:eastAsia="zh-CN" w:bidi="ar-SA"/>
              </w:rPr>
              <w:t>4</w:t>
            </w:r>
            <w:r>
              <w:rPr>
                <w:rFonts w:hint="eastAsia" w:ascii="Times New Roman" w:hAnsi="Times New Roman" w:eastAsia="宋体" w:cs="Times New Roman"/>
                <w:b/>
                <w:color w:val="000000"/>
                <w:kern w:val="2"/>
                <w:sz w:val="21"/>
                <w:szCs w:val="21"/>
                <w:highlight w:val="none"/>
                <w:u w:val="none" w:color="auto"/>
                <w:lang w:val="en-US" w:eastAsia="zh-CN" w:bidi="ar-SA"/>
              </w:rPr>
              <w:t xml:space="preserve">-1  </w:t>
            </w:r>
            <w:r>
              <w:rPr>
                <w:rFonts w:ascii="Times New Roman" w:hAnsi="Times New Roman" w:eastAsia="宋体" w:cs="Times New Roman"/>
                <w:b/>
                <w:color w:val="000000"/>
                <w:kern w:val="2"/>
                <w:sz w:val="21"/>
                <w:szCs w:val="21"/>
                <w:highlight w:val="none"/>
                <w:u w:val="none" w:color="auto"/>
                <w:lang w:val="en-US" w:eastAsia="zh-CN" w:bidi="ar-SA"/>
              </w:rPr>
              <w:t>施工机械设备噪声</w:t>
            </w:r>
            <w:r>
              <w:rPr>
                <w:rFonts w:hint="eastAsia" w:ascii="Times New Roman" w:hAnsi="Times New Roman" w:eastAsia="宋体" w:cs="Times New Roman"/>
                <w:b/>
                <w:color w:val="000000"/>
                <w:kern w:val="2"/>
                <w:sz w:val="21"/>
                <w:szCs w:val="21"/>
                <w:highlight w:val="none"/>
                <w:u w:val="none" w:color="auto"/>
                <w:lang w:val="en-US" w:eastAsia="zh-CN" w:bidi="ar-SA"/>
              </w:rPr>
              <w:t xml:space="preserve">  单位：dB(A)</w:t>
            </w:r>
          </w:p>
          <w:tbl>
            <w:tblPr>
              <w:tblStyle w:val="23"/>
              <w:tblW w:w="4991"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3298"/>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trPr>
              <w:tc>
                <w:tcPr>
                  <w:tcW w:w="629" w:type="pct"/>
                  <w:noWrap w:val="0"/>
                  <w:vAlign w:val="center"/>
                </w:tcPr>
                <w:p>
                  <w:pPr>
                    <w:pStyle w:val="57"/>
                    <w:bidi w:val="0"/>
                    <w:rPr>
                      <w:lang w:val="en-US" w:eastAsia="zh-CN"/>
                    </w:rPr>
                  </w:pPr>
                  <w:r>
                    <w:rPr>
                      <w:lang w:val="en-US" w:eastAsia="zh-CN"/>
                    </w:rPr>
                    <w:t>序号</w:t>
                  </w:r>
                </w:p>
              </w:tc>
              <w:tc>
                <w:tcPr>
                  <w:tcW w:w="1999" w:type="pct"/>
                  <w:noWrap w:val="0"/>
                  <w:vAlign w:val="center"/>
                </w:tcPr>
                <w:p>
                  <w:pPr>
                    <w:pStyle w:val="57"/>
                    <w:bidi w:val="0"/>
                    <w:rPr>
                      <w:lang w:val="en-US" w:eastAsia="zh-CN"/>
                    </w:rPr>
                  </w:pPr>
                  <w:r>
                    <w:rPr>
                      <w:lang w:val="en-US" w:eastAsia="zh-CN"/>
                    </w:rPr>
                    <w:t>施工设备名称</w:t>
                  </w:r>
                </w:p>
              </w:tc>
              <w:tc>
                <w:tcPr>
                  <w:tcW w:w="2372" w:type="pct"/>
                  <w:noWrap w:val="0"/>
                  <w:vAlign w:val="center"/>
                </w:tcPr>
                <w:p>
                  <w:pPr>
                    <w:pStyle w:val="57"/>
                    <w:bidi w:val="0"/>
                    <w:rPr>
                      <w:lang w:val="en-US" w:eastAsia="zh-CN"/>
                    </w:rPr>
                  </w:pPr>
                  <w:r>
                    <w:rPr>
                      <w:lang w:val="en-US" w:eastAsia="zh-CN"/>
                    </w:rPr>
                    <w:t>距设备1m处平均噪声级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trPr>
              <w:tc>
                <w:tcPr>
                  <w:tcW w:w="629" w:type="pct"/>
                  <w:noWrap w:val="0"/>
                  <w:vAlign w:val="center"/>
                </w:tcPr>
                <w:p>
                  <w:pPr>
                    <w:pStyle w:val="57"/>
                    <w:bidi w:val="0"/>
                    <w:rPr>
                      <w:lang w:val="en-US" w:eastAsia="zh-CN"/>
                    </w:rPr>
                  </w:pPr>
                  <w:r>
                    <w:rPr>
                      <w:lang w:val="en-US" w:eastAsia="zh-CN"/>
                    </w:rPr>
                    <w:t>1</w:t>
                  </w:r>
                </w:p>
              </w:tc>
              <w:tc>
                <w:tcPr>
                  <w:tcW w:w="1999" w:type="pct"/>
                  <w:noWrap w:val="0"/>
                  <w:vAlign w:val="center"/>
                </w:tcPr>
                <w:p>
                  <w:pPr>
                    <w:pStyle w:val="57"/>
                    <w:bidi w:val="0"/>
                    <w:rPr>
                      <w:lang w:val="en-US" w:eastAsia="zh-CN"/>
                    </w:rPr>
                  </w:pPr>
                  <w:r>
                    <w:rPr>
                      <w:lang w:val="en-US" w:eastAsia="zh-CN"/>
                    </w:rPr>
                    <w:t>挖掘机</w:t>
                  </w:r>
                </w:p>
              </w:tc>
              <w:tc>
                <w:tcPr>
                  <w:tcW w:w="2372" w:type="pct"/>
                  <w:noWrap w:val="0"/>
                  <w:vAlign w:val="center"/>
                </w:tcPr>
                <w:p>
                  <w:pPr>
                    <w:pStyle w:val="57"/>
                    <w:bidi w:val="0"/>
                    <w:rPr>
                      <w:lang w:val="en-US" w:eastAsia="zh-CN"/>
                    </w:rPr>
                  </w:pPr>
                  <w:r>
                    <w:rPr>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trPr>
              <w:tc>
                <w:tcPr>
                  <w:tcW w:w="629" w:type="pct"/>
                  <w:noWrap w:val="0"/>
                  <w:vAlign w:val="center"/>
                </w:tcPr>
                <w:p>
                  <w:pPr>
                    <w:pStyle w:val="57"/>
                    <w:bidi w:val="0"/>
                    <w:rPr>
                      <w:lang w:val="en-US" w:eastAsia="zh-CN"/>
                    </w:rPr>
                  </w:pPr>
                  <w:r>
                    <w:rPr>
                      <w:lang w:val="en-US" w:eastAsia="zh-CN"/>
                    </w:rPr>
                    <w:t>2</w:t>
                  </w:r>
                </w:p>
              </w:tc>
              <w:tc>
                <w:tcPr>
                  <w:tcW w:w="1999" w:type="pct"/>
                  <w:noWrap w:val="0"/>
                  <w:vAlign w:val="center"/>
                </w:tcPr>
                <w:p>
                  <w:pPr>
                    <w:pStyle w:val="57"/>
                    <w:bidi w:val="0"/>
                    <w:rPr>
                      <w:lang w:val="en-US" w:eastAsia="zh-CN"/>
                    </w:rPr>
                  </w:pPr>
                  <w:r>
                    <w:rPr>
                      <w:lang w:val="en-US" w:eastAsia="zh-CN"/>
                    </w:rPr>
                    <w:t>推土机</w:t>
                  </w:r>
                </w:p>
              </w:tc>
              <w:tc>
                <w:tcPr>
                  <w:tcW w:w="2372" w:type="pct"/>
                  <w:noWrap w:val="0"/>
                  <w:vAlign w:val="center"/>
                </w:tcPr>
                <w:p>
                  <w:pPr>
                    <w:pStyle w:val="57"/>
                    <w:bidi w:val="0"/>
                    <w:rPr>
                      <w:lang w:val="en-US" w:eastAsia="zh-CN"/>
                    </w:rPr>
                  </w:pPr>
                  <w:r>
                    <w:rPr>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trPr>
              <w:tc>
                <w:tcPr>
                  <w:tcW w:w="629" w:type="pct"/>
                  <w:noWrap w:val="0"/>
                  <w:vAlign w:val="center"/>
                </w:tcPr>
                <w:p>
                  <w:pPr>
                    <w:pStyle w:val="57"/>
                    <w:bidi w:val="0"/>
                    <w:rPr>
                      <w:lang w:val="en-US" w:eastAsia="zh-CN"/>
                    </w:rPr>
                  </w:pPr>
                  <w:r>
                    <w:rPr>
                      <w:rFonts w:hint="eastAsia"/>
                      <w:lang w:val="en-US" w:eastAsia="zh-CN"/>
                    </w:rPr>
                    <w:t>3</w:t>
                  </w:r>
                </w:p>
              </w:tc>
              <w:tc>
                <w:tcPr>
                  <w:tcW w:w="1999" w:type="pct"/>
                  <w:noWrap w:val="0"/>
                  <w:vAlign w:val="center"/>
                </w:tcPr>
                <w:p>
                  <w:pPr>
                    <w:pStyle w:val="57"/>
                    <w:bidi w:val="0"/>
                    <w:rPr>
                      <w:lang w:val="en-US" w:eastAsia="zh-CN"/>
                    </w:rPr>
                  </w:pPr>
                  <w:r>
                    <w:rPr>
                      <w:lang w:val="en-US" w:eastAsia="zh-CN"/>
                    </w:rPr>
                    <w:t>混凝土振捣棒</w:t>
                  </w:r>
                </w:p>
              </w:tc>
              <w:tc>
                <w:tcPr>
                  <w:tcW w:w="2372" w:type="pct"/>
                  <w:noWrap w:val="0"/>
                  <w:vAlign w:val="center"/>
                </w:tcPr>
                <w:p>
                  <w:pPr>
                    <w:pStyle w:val="57"/>
                    <w:bidi w:val="0"/>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exact"/>
              </w:trPr>
              <w:tc>
                <w:tcPr>
                  <w:tcW w:w="629" w:type="pct"/>
                  <w:noWrap w:val="0"/>
                  <w:vAlign w:val="center"/>
                </w:tcPr>
                <w:p>
                  <w:pPr>
                    <w:pStyle w:val="57"/>
                    <w:bidi w:val="0"/>
                    <w:rPr>
                      <w:lang w:val="en-US" w:eastAsia="zh-CN"/>
                    </w:rPr>
                  </w:pPr>
                  <w:r>
                    <w:rPr>
                      <w:rFonts w:hint="eastAsia"/>
                      <w:lang w:val="en-US" w:eastAsia="zh-CN"/>
                    </w:rPr>
                    <w:t>4</w:t>
                  </w:r>
                </w:p>
              </w:tc>
              <w:tc>
                <w:tcPr>
                  <w:tcW w:w="1999" w:type="pct"/>
                  <w:noWrap w:val="0"/>
                  <w:vAlign w:val="center"/>
                </w:tcPr>
                <w:p>
                  <w:pPr>
                    <w:pStyle w:val="57"/>
                    <w:bidi w:val="0"/>
                  </w:pPr>
                  <w:r>
                    <w:t>载重车</w:t>
                  </w:r>
                </w:p>
              </w:tc>
              <w:tc>
                <w:tcPr>
                  <w:tcW w:w="2372" w:type="pct"/>
                  <w:noWrap w:val="0"/>
                  <w:vAlign w:val="center"/>
                </w:tcPr>
                <w:p>
                  <w:pPr>
                    <w:pStyle w:val="57"/>
                    <w:bidi w:val="0"/>
                  </w:pPr>
                  <w: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trPr>
              <w:tc>
                <w:tcPr>
                  <w:tcW w:w="629" w:type="pct"/>
                  <w:noWrap w:val="0"/>
                  <w:vAlign w:val="center"/>
                </w:tcPr>
                <w:p>
                  <w:pPr>
                    <w:pStyle w:val="57"/>
                    <w:bidi w:val="0"/>
                    <w:rPr>
                      <w:lang w:val="en-US" w:eastAsia="zh-CN"/>
                    </w:rPr>
                  </w:pPr>
                  <w:r>
                    <w:rPr>
                      <w:rFonts w:hint="eastAsia"/>
                      <w:lang w:val="en-US" w:eastAsia="zh-CN"/>
                    </w:rPr>
                    <w:t>5</w:t>
                  </w:r>
                </w:p>
              </w:tc>
              <w:tc>
                <w:tcPr>
                  <w:tcW w:w="1999" w:type="pct"/>
                  <w:noWrap w:val="0"/>
                  <w:vAlign w:val="center"/>
                </w:tcPr>
                <w:p>
                  <w:pPr>
                    <w:pStyle w:val="57"/>
                    <w:bidi w:val="0"/>
                    <w:rPr>
                      <w:lang w:val="en-US" w:eastAsia="zh-CN"/>
                    </w:rPr>
                  </w:pPr>
                  <w:r>
                    <w:rPr>
                      <w:lang w:val="en-US" w:eastAsia="zh-CN"/>
                    </w:rPr>
                    <w:t>重型卡车</w:t>
                  </w:r>
                </w:p>
              </w:tc>
              <w:tc>
                <w:tcPr>
                  <w:tcW w:w="2372" w:type="pct"/>
                  <w:noWrap w:val="0"/>
                  <w:vAlign w:val="center"/>
                </w:tcPr>
                <w:p>
                  <w:pPr>
                    <w:pStyle w:val="57"/>
                    <w:bidi w:val="0"/>
                    <w:rPr>
                      <w:lang w:val="en-US" w:eastAsia="zh-CN"/>
                    </w:rPr>
                  </w:pPr>
                  <w:r>
                    <w:rPr>
                      <w:lang w:val="en-US" w:eastAsia="zh-CN"/>
                    </w:rPr>
                    <w:t>85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（2）防治措施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施工期的噪声主要由施工机械引起，项目拟采取的防噪措施主要是控制噪声源源强和控制噪声的持续时间。具体措施如下：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宋体" w:eastAsia="宋体" w:cs="Times New Roman"/>
                <w:color w:val="000000"/>
                <w:sz w:val="24"/>
                <w:szCs w:val="24"/>
                <w:highlight w:val="none"/>
                <w:u w:val="none" w:color="auto"/>
              </w:rPr>
              <w:t>①</w:t>
            </w:r>
            <w:r>
              <w:rPr>
                <w:rFonts w:ascii="Times New Roman" w:hAnsi="Times New Roman" w:eastAsia="宋体" w:cs="Times New Roman"/>
                <w:color w:val="000000"/>
                <w:sz w:val="24"/>
                <w:szCs w:val="24"/>
                <w:highlight w:val="none"/>
                <w:u w:val="none" w:color="auto"/>
              </w:rPr>
              <w:t>加强施工管理，合理安排施工作业时间，不在夜间进行高噪声施工作业；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宋体" w:eastAsia="宋体" w:cs="Times New Roman"/>
                <w:color w:val="000000"/>
                <w:sz w:val="24"/>
                <w:szCs w:val="24"/>
                <w:highlight w:val="none"/>
                <w:u w:val="none" w:color="auto"/>
              </w:rPr>
              <w:t>②</w:t>
            </w:r>
            <w:r>
              <w:rPr>
                <w:rFonts w:ascii="Times New Roman" w:hAnsi="Times New Roman" w:eastAsia="宋体" w:cs="Times New Roman"/>
                <w:color w:val="000000"/>
                <w:sz w:val="24"/>
                <w:szCs w:val="24"/>
                <w:highlight w:val="none"/>
                <w:u w:val="none" w:color="auto"/>
              </w:rPr>
              <w:t>尽可能以液压工具代替气动工具；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宋体" w:eastAsia="宋体" w:cs="Times New Roman"/>
                <w:color w:val="000000"/>
                <w:sz w:val="24"/>
                <w:szCs w:val="24"/>
                <w:highlight w:val="none"/>
                <w:u w:val="none" w:color="auto"/>
              </w:rPr>
              <w:t>③</w:t>
            </w:r>
            <w:r>
              <w:rPr>
                <w:rFonts w:ascii="Times New Roman" w:hAnsi="Times New Roman" w:eastAsia="宋体" w:cs="Times New Roman"/>
                <w:color w:val="000000"/>
                <w:sz w:val="24"/>
                <w:szCs w:val="24"/>
                <w:highlight w:val="none"/>
                <w:u w:val="none" w:color="auto"/>
              </w:rPr>
              <w:t>在高噪声设备周围设置声波遮挡物；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宋体" w:eastAsia="宋体" w:cs="Times New Roman"/>
                <w:color w:val="000000"/>
                <w:sz w:val="24"/>
                <w:szCs w:val="24"/>
                <w:highlight w:val="none"/>
                <w:u w:val="none" w:color="auto"/>
              </w:rPr>
              <w:t>④</w:t>
            </w:r>
            <w:r>
              <w:rPr>
                <w:rFonts w:ascii="Times New Roman" w:hAnsi="Times New Roman" w:eastAsia="宋体" w:cs="Times New Roman"/>
                <w:color w:val="000000"/>
                <w:sz w:val="24"/>
                <w:szCs w:val="24"/>
                <w:highlight w:val="none"/>
                <w:u w:val="none" w:color="auto"/>
              </w:rPr>
              <w:t>做好劳动保护工作，为高噪声源附近操作作业人员配备防护耳塞或耳罩。</w:t>
            </w:r>
            <w:bookmarkStart w:id="22" w:name="_Toc163038152"/>
            <w:bookmarkStart w:id="23" w:name="_Toc165463789"/>
          </w:p>
          <w:bookmarkEnd w:id="22"/>
          <w:bookmarkEnd w:id="23"/>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000000"/>
                <w:sz w:val="24"/>
                <w:szCs w:val="24"/>
                <w:highlight w:val="none"/>
                <w:u w:val="none" w:color="auto"/>
              </w:rPr>
            </w:pPr>
            <w:r>
              <w:rPr>
                <w:rFonts w:hint="eastAsia" w:ascii="Times New Roman" w:hAnsi="Times New Roman" w:cs="Times New Roman"/>
                <w:b/>
                <w:color w:val="000000"/>
                <w:sz w:val="24"/>
                <w:szCs w:val="24"/>
                <w:highlight w:val="none"/>
                <w:u w:val="none" w:color="auto"/>
                <w:lang w:val="en-US" w:eastAsia="zh-CN"/>
              </w:rPr>
              <w:t>1.2</w:t>
            </w:r>
            <w:r>
              <w:rPr>
                <w:rFonts w:ascii="Times New Roman" w:hAnsi="Times New Roman" w:eastAsia="宋体" w:cs="Times New Roman"/>
                <w:b/>
                <w:color w:val="000000"/>
                <w:sz w:val="24"/>
                <w:szCs w:val="24"/>
                <w:highlight w:val="none"/>
                <w:u w:val="none" w:color="auto"/>
              </w:rPr>
              <w:t>大气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（1）大气污染源强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施工建设过程中主要大气污染物为废气及扬尘。其中废气主要来源于施工机械和运输车辆所排放的尾气，扬尘主要来源于建筑材料（如水泥、石灰、砂子等）在其装卸、运输、堆放过程中，因风力作用产生扬尘污染；运输车辆往来造成地面扬尘；施工中土石方堆放和清运过程中产生扬尘。上述施工过程中产生的废气及扬尘将会造成对周围大气环境的污染，其中又以扬尘的危害较为严重。施工期间产生的扬尘污染主要决定于施工作业方式、材料的堆放以及风力等因素，其中受风力因素的影响最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（2）防治措施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hint="eastAsia" w:ascii="Times New Roman" w:hAnsi="Times New Roman" w:cs="Times New Roman"/>
                <w:color w:val="000000"/>
                <w:sz w:val="24"/>
                <w:szCs w:val="24"/>
                <w:highlight w:val="none"/>
                <w:u w:val="none" w:color="auto"/>
                <w:lang w:val="en-US" w:eastAsia="zh-CN"/>
              </w:rPr>
              <w:t>实行8个100%建筑工地扬尘治理标准。</w:t>
            </w:r>
            <w:r>
              <w:rPr>
                <w:rFonts w:ascii="Times New Roman" w:hAnsi="Times New Roman" w:eastAsia="宋体" w:cs="Times New Roman"/>
                <w:color w:val="000000"/>
                <w:sz w:val="24"/>
                <w:szCs w:val="24"/>
                <w:highlight w:val="none"/>
                <w:u w:val="none" w:color="auto"/>
              </w:rPr>
              <w:t>为避免项目施工扬尘对周围环境造成影响，必须采取合理可行的控制扬尘污染措施，尽量减轻其污染程度，缩小其影响范围。提出如下环保措施：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sz w:val="24"/>
                <w:szCs w:val="24"/>
                <w:highlight w:val="none"/>
                <w:u w:val="none" w:color="auto"/>
                <w:lang w:val="en-US" w:eastAsia="zh-CN"/>
              </w:rPr>
            </w:pPr>
            <w:r>
              <w:rPr>
                <w:rFonts w:hint="default" w:ascii="Times New Roman" w:hAnsi="Times New Roman" w:eastAsia="宋体" w:cs="Times New Roman"/>
                <w:sz w:val="24"/>
                <w:szCs w:val="24"/>
                <w:highlight w:val="none"/>
                <w:u w:val="none" w:color="auto"/>
                <w:lang w:eastAsia="zh-CN"/>
              </w:rPr>
              <w:t>①</w:t>
            </w:r>
            <w:r>
              <w:rPr>
                <w:rFonts w:hint="eastAsia" w:ascii="Times New Roman" w:hAnsi="Times New Roman" w:eastAsia="宋体" w:cs="Times New Roman"/>
                <w:sz w:val="24"/>
                <w:szCs w:val="24"/>
                <w:highlight w:val="none"/>
                <w:u w:val="none" w:color="auto"/>
                <w:lang w:val="en-US" w:eastAsia="zh-CN"/>
              </w:rPr>
              <w:t>现场封闭管理100%，</w:t>
            </w:r>
            <w:r>
              <w:rPr>
                <w:rFonts w:hint="default" w:ascii="Times New Roman" w:hAnsi="Times New Roman" w:eastAsia="宋体" w:cs="Times New Roman"/>
                <w:sz w:val="24"/>
                <w:szCs w:val="24"/>
                <w:highlight w:val="none"/>
                <w:u w:val="none" w:color="auto"/>
                <w:lang w:eastAsia="zh-CN"/>
              </w:rPr>
              <w:t>施工工地周围按照规范设置硬质、密闭围挡。围挡的高度不得低于</w:t>
            </w:r>
            <w:r>
              <w:rPr>
                <w:rFonts w:hint="default" w:ascii="Times New Roman" w:hAnsi="Times New Roman" w:eastAsia="宋体" w:cs="Times New Roman"/>
                <w:sz w:val="24"/>
                <w:szCs w:val="24"/>
                <w:highlight w:val="none"/>
                <w:u w:val="none" w:color="auto"/>
                <w:lang w:val="en-US" w:eastAsia="zh-CN"/>
              </w:rPr>
              <w:t>2m，围挡应当设置不低于0.2m的防溢座；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②易起尘作业面100%湿法施工</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为减少土方堆场对环境的影响，临时土方堆场四周</w:t>
            </w:r>
            <w:r>
              <w:rPr>
                <w:rFonts w:hint="default" w:ascii="Times New Roman" w:hAnsi="Times New Roman" w:eastAsia="宋体" w:cs="Times New Roman"/>
                <w:color w:val="auto"/>
                <w:sz w:val="24"/>
                <w:szCs w:val="24"/>
                <w:highlight w:val="none"/>
                <w:u w:val="none" w:color="auto"/>
              </w:rPr>
              <w:t>采取围挡</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覆盖等防尘措施。加强回填土方堆放场的管理，要制定土方表面压实、定期喷水、覆盖等措施</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施工处</w:t>
            </w:r>
            <w:r>
              <w:rPr>
                <w:rFonts w:hint="default" w:ascii="Times New Roman" w:hAnsi="Times New Roman" w:eastAsia="宋体" w:cs="Times New Roman"/>
                <w:color w:val="auto"/>
                <w:sz w:val="24"/>
                <w:szCs w:val="24"/>
                <w:highlight w:val="none"/>
                <w:u w:val="none" w:color="auto"/>
              </w:rPr>
              <w:t>洒水使作业保持一定的湿度，对施工场地内松散、干涸的</w:t>
            </w:r>
            <w:r>
              <w:rPr>
                <w:rFonts w:hint="default" w:ascii="Times New Roman" w:hAnsi="Times New Roman" w:eastAsia="宋体" w:cs="Times New Roman"/>
                <w:color w:val="auto"/>
                <w:sz w:val="24"/>
                <w:szCs w:val="24"/>
                <w:highlight w:val="none"/>
                <w:u w:val="none" w:color="auto"/>
                <w:lang w:val="en-US" w:eastAsia="zh-CN"/>
              </w:rPr>
              <w:t>土方</w:t>
            </w:r>
            <w:r>
              <w:rPr>
                <w:rFonts w:hint="default" w:ascii="Times New Roman" w:hAnsi="Times New Roman" w:eastAsia="宋体" w:cs="Times New Roman"/>
                <w:color w:val="auto"/>
                <w:sz w:val="24"/>
                <w:szCs w:val="24"/>
                <w:highlight w:val="none"/>
                <w:u w:val="none" w:color="auto"/>
              </w:rPr>
              <w:t>，也应经常洒水防治粉尘，防止粉尘飞扬。</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④裸露黄土及易起尘物料100%覆盖。渣土、泥浆、建筑垃圾及砂石等散体建筑材料的输运，必须采用相应的容器或管道。建筑垃圾、工程渣土在48小时内不能完成清运的，应当在施工工地内设置临时堆放场，临时堆放场应当采取围挡、覆盖等防尘措施；施工现场裸露的场地和集中堆放的土方应采取覆盖、固化或绿化等措施。加强回填土方堆放场的管理，要制定土方表面压实、定期喷水、覆盖等措施</w:t>
            </w:r>
            <w:r>
              <w:rPr>
                <w:rFonts w:hint="default" w:ascii="Times New Roman" w:hAnsi="Times New Roman" w:eastAsia="宋体" w:cs="Times New Roman"/>
                <w:color w:val="auto"/>
                <w:sz w:val="24"/>
                <w:szCs w:val="24"/>
                <w:highlight w:val="none"/>
                <w:u w:val="none" w:color="auto"/>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hint="eastAsia"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⑤</w:t>
            </w:r>
            <w:r>
              <w:rPr>
                <w:rFonts w:hint="eastAsia" w:ascii="Times New Roman" w:hAnsi="Times New Roman" w:eastAsia="宋体" w:cs="Times New Roman"/>
                <w:color w:val="auto"/>
                <w:sz w:val="24"/>
                <w:szCs w:val="24"/>
                <w:highlight w:val="none"/>
                <w:u w:val="none" w:color="auto"/>
                <w:lang w:val="en-US" w:eastAsia="zh-CN"/>
              </w:rPr>
              <w:t>渣土车辆100%密闭运输，</w:t>
            </w:r>
            <w:r>
              <w:rPr>
                <w:rFonts w:hint="default" w:ascii="Times New Roman" w:hAnsi="Times New Roman" w:eastAsia="宋体" w:cs="Times New Roman"/>
                <w:color w:val="auto"/>
                <w:sz w:val="24"/>
                <w:szCs w:val="24"/>
                <w:highlight w:val="none"/>
                <w:u w:val="none" w:color="auto"/>
              </w:rPr>
              <w:t>应尽可能采用密闭车斗，并保证物料不遗撒外漏。若无密闭车斗，物料、垃圾、渣土的装载高度应低于厢板10厘米以上，</w:t>
            </w:r>
            <w:r>
              <w:rPr>
                <w:rFonts w:hint="eastAsia" w:ascii="Times New Roman" w:hAnsi="Times New Roman" w:eastAsia="宋体" w:cs="Times New Roman"/>
                <w:color w:val="auto"/>
                <w:sz w:val="24"/>
                <w:szCs w:val="24"/>
                <w:highlight w:val="none"/>
                <w:u w:val="none" w:color="auto"/>
                <w:lang w:eastAsia="zh-CN"/>
              </w:rPr>
              <w:t>在装载点设喷雾洒水装置抑制扬尘，并控制装载量，</w:t>
            </w:r>
            <w:r>
              <w:rPr>
                <w:rFonts w:hint="default" w:ascii="Times New Roman" w:hAnsi="Times New Roman" w:eastAsia="宋体" w:cs="Times New Roman"/>
                <w:color w:val="auto"/>
                <w:sz w:val="24"/>
                <w:szCs w:val="24"/>
                <w:highlight w:val="none"/>
                <w:u w:val="none" w:color="auto"/>
              </w:rPr>
              <w:t>车斗应用苫布遮盖严实</w:t>
            </w:r>
            <w:r>
              <w:rPr>
                <w:rFonts w:hint="eastAsia" w:ascii="Times New Roman" w:hAnsi="Times New Roman" w:eastAsia="宋体" w:cs="Times New Roman"/>
                <w:color w:val="auto"/>
                <w:sz w:val="24"/>
                <w:szCs w:val="24"/>
                <w:highlight w:val="none"/>
                <w:u w:val="none" w:color="auto"/>
                <w:lang w:eastAsia="zh-CN"/>
              </w:rPr>
              <w:t>，派专人定期打扫，保持路面无积灰</w:t>
            </w:r>
            <w:r>
              <w:rPr>
                <w:rFonts w:hint="default" w:ascii="Times New Roman" w:hAnsi="Times New Roman" w:eastAsia="宋体" w:cs="Times New Roman"/>
                <w:color w:val="auto"/>
                <w:sz w:val="24"/>
                <w:szCs w:val="24"/>
                <w:highlight w:val="none"/>
                <w:u w:val="none" w:color="auto"/>
              </w:rPr>
              <w:t>。苫布边缘至少要遮住槽帮上沿以下15厘米，保证物料、渣土、垃圾等不露出。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hint="eastAsia"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 6 \* GB3 \* MERGEFORMAT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⑥</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t>进出工地的运输车辆</w:t>
            </w:r>
            <w:r>
              <w:rPr>
                <w:rFonts w:hint="eastAsia" w:ascii="Times New Roman" w:hAnsi="Times New Roman" w:eastAsia="宋体" w:cs="Times New Roman"/>
                <w:color w:val="auto"/>
                <w:sz w:val="24"/>
                <w:szCs w:val="24"/>
                <w:highlight w:val="none"/>
                <w:u w:val="none" w:color="auto"/>
                <w:lang w:val="en-US" w:eastAsia="zh-CN"/>
              </w:rPr>
              <w:t>100%清洗，出入口应设置车辆清洗设施（包含冲洗池、冲洗设备、排水沟、沉淀池等），配备高压水枪</w:t>
            </w:r>
            <w:r>
              <w:rPr>
                <w:rFonts w:hint="eastAsia" w:ascii="Times New Roman" w:hAnsi="Times New Roman" w:eastAsia="宋体" w:cs="Times New Roman"/>
                <w:color w:val="auto"/>
                <w:sz w:val="24"/>
                <w:szCs w:val="24"/>
                <w:highlight w:val="none"/>
                <w:u w:val="none" w:color="auto"/>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 7 \* GB3 \* MERGEFORMAT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⑦</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lang w:val="en-US" w:eastAsia="zh-CN"/>
              </w:rPr>
              <w:t>施工现场主要厂区及道路100%硬化</w:t>
            </w:r>
            <w:r>
              <w:rPr>
                <w:rFonts w:hint="eastAsia" w:ascii="Times New Roman" w:hAnsi="Times New Roman" w:eastAsia="宋体" w:cs="Times New Roman"/>
                <w:color w:val="auto"/>
                <w:sz w:val="24"/>
                <w:szCs w:val="24"/>
                <w:highlight w:val="none"/>
                <w:u w:val="none" w:color="auto"/>
                <w:lang w:val="en-US" w:eastAsia="zh-CN"/>
              </w:rPr>
              <w:t>，各类建筑出入口必须硬化，在建工地场区主道路必须按要求进行硬化。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rPr>
              <w:t>⑧</w:t>
            </w:r>
            <w:r>
              <w:rPr>
                <w:rFonts w:hint="eastAsia" w:ascii="Times New Roman" w:hAnsi="Times New Roman" w:eastAsia="宋体" w:cs="Times New Roman"/>
                <w:color w:val="auto"/>
                <w:sz w:val="24"/>
                <w:szCs w:val="24"/>
                <w:highlight w:val="none"/>
                <w:u w:val="none" w:color="auto"/>
                <w:lang w:val="en-US" w:eastAsia="zh-CN"/>
              </w:rPr>
              <w:t>工地内非道路移动机械使用油品及车辆100%达标。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当空气质量为重度污染（空气质量指数 201-300）和气象预报风速达5级以上时，停止开挖土方，并做好覆盖工作；当空气质量为中度污染（空气质量指数 151-200）和风速达4级以上时，停止土方施工，并每隔2小时对施工现场洒水1次；当空气质量为轻度污染（空气质量指数101-150）时，应每隔4小时对施工现场洒水1次。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 7 \* GB3 \* MERGEFORMAT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⑦</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t>各工地应有专人负责逸散性材料、垃圾、渣土、裸地等密闭、覆盖、洒水作业以及车辆清洗作业等，并记录扬尘控制措施的实施情况。施工单位保洁责任区的范围应根据施工扬尘影响情况确定，一般设在施工工地周围20米范围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⑧</w:t>
            </w:r>
            <w:r>
              <w:rPr>
                <w:rFonts w:hint="default" w:ascii="Times New Roman" w:hAnsi="Times New Roman" w:eastAsia="宋体" w:cs="Times New Roman"/>
                <w:color w:val="auto"/>
                <w:sz w:val="24"/>
                <w:szCs w:val="24"/>
                <w:highlight w:val="none"/>
                <w:u w:val="none" w:color="auto"/>
              </w:rPr>
              <w:t>施工结束时，应及时对施工占用场地恢复地面植被。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ascii="Times New Roman" w:hAnsi="Times New Roman" w:eastAsia="宋体" w:cs="Times New Roman"/>
                <w:color w:val="000000"/>
                <w:sz w:val="24"/>
                <w:szCs w:val="24"/>
                <w:highlight w:val="none"/>
                <w:u w:val="none" w:color="auto"/>
              </w:rPr>
            </w:pPr>
            <w:r>
              <w:rPr>
                <w:rFonts w:hint="eastAsia" w:ascii="Times New Roman" w:hAnsi="Times New Roman" w:eastAsia="宋体" w:cs="Times New Roman"/>
                <w:color w:val="auto"/>
                <w:sz w:val="24"/>
                <w:szCs w:val="24"/>
                <w:highlight w:val="none"/>
                <w:u w:val="none" w:color="auto"/>
                <w:lang w:eastAsia="zh-CN"/>
              </w:rPr>
              <w:t>施工期所采取的污染防治措施均为常规防护措施，技术应用可靠，简单易行，主要通过加强施工人员管理实现，采取上述措施施工现场防尘效果显著，这些措施在经济、技术上都是可行的，</w:t>
            </w:r>
            <w:r>
              <w:rPr>
                <w:rFonts w:hint="default" w:ascii="Times New Roman" w:hAnsi="Times New Roman" w:eastAsia="宋体" w:cs="Times New Roman"/>
                <w:color w:val="auto"/>
                <w:sz w:val="24"/>
                <w:szCs w:val="24"/>
                <w:highlight w:val="none"/>
                <w:u w:val="none" w:color="auto"/>
              </w:rPr>
              <w:t>对周围环境空气影响小。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000000"/>
                <w:sz w:val="24"/>
                <w:szCs w:val="24"/>
                <w:highlight w:val="none"/>
                <w:u w:val="none" w:color="auto"/>
              </w:rPr>
            </w:pPr>
            <w:r>
              <w:rPr>
                <w:rFonts w:hint="eastAsia" w:ascii="Times New Roman" w:hAnsi="Times New Roman" w:cs="Times New Roman"/>
                <w:b/>
                <w:color w:val="000000"/>
                <w:sz w:val="24"/>
                <w:szCs w:val="24"/>
                <w:highlight w:val="none"/>
                <w:u w:val="none" w:color="auto"/>
                <w:lang w:val="en-US" w:eastAsia="zh-CN"/>
              </w:rPr>
              <w:t>1.3</w:t>
            </w:r>
            <w:r>
              <w:rPr>
                <w:rFonts w:ascii="Times New Roman" w:hAnsi="Times New Roman" w:eastAsia="宋体" w:cs="Times New Roman"/>
                <w:b/>
                <w:color w:val="000000"/>
                <w:sz w:val="24"/>
                <w:szCs w:val="24"/>
                <w:highlight w:val="none"/>
                <w:u w:val="none" w:color="auto"/>
              </w:rPr>
              <w:t>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（1）水污染源强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施工期废水排放主要来自于建筑工人的生活污水、等。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kern w:val="2"/>
                <w:sz w:val="24"/>
                <w:szCs w:val="21"/>
                <w:highlight w:val="none"/>
                <w:u w:val="none" w:color="auto"/>
                <w:lang w:val="en-US" w:eastAsia="zh-CN" w:bidi="ar-SA"/>
              </w:rPr>
            </w:pPr>
            <w:r>
              <w:rPr>
                <w:rFonts w:ascii="Times New Roman" w:hAnsi="Times New Roman" w:eastAsia="宋体" w:cs="Times New Roman"/>
                <w:color w:val="000000"/>
                <w:kern w:val="2"/>
                <w:sz w:val="24"/>
                <w:szCs w:val="21"/>
                <w:highlight w:val="none"/>
                <w:u w:val="none" w:color="auto"/>
                <w:lang w:val="en-US" w:eastAsia="zh-CN" w:bidi="ar-SA"/>
              </w:rPr>
              <w:t>本项目施工期为</w:t>
            </w:r>
            <w:r>
              <w:rPr>
                <w:rFonts w:hint="eastAsia" w:ascii="Times New Roman" w:hAnsi="Times New Roman" w:cs="Times New Roman"/>
                <w:color w:val="000000"/>
                <w:kern w:val="2"/>
                <w:sz w:val="24"/>
                <w:szCs w:val="21"/>
                <w:highlight w:val="none"/>
                <w:u w:val="none" w:color="auto"/>
                <w:lang w:val="en-US" w:eastAsia="zh-CN" w:bidi="ar-SA"/>
              </w:rPr>
              <w:t>1</w:t>
            </w:r>
            <w:r>
              <w:rPr>
                <w:rFonts w:ascii="Times New Roman" w:hAnsi="Times New Roman" w:eastAsia="宋体" w:cs="Times New Roman"/>
                <w:color w:val="000000"/>
                <w:kern w:val="2"/>
                <w:sz w:val="24"/>
                <w:szCs w:val="21"/>
                <w:highlight w:val="none"/>
                <w:u w:val="none" w:color="auto"/>
                <w:lang w:val="en-US" w:eastAsia="zh-CN" w:bidi="ar-SA"/>
              </w:rPr>
              <w:t>个月，施工人员平均每天10人，工地设临时厕所，定期由附近农民清掏做农肥。施工废水包括开挖和钻孔产生的泥浆水、浇注砼后的冲洗水、机械设备运转的冷却水和洗涤水；暴雨地表径流冲刷浮土、建筑砂石、垃圾、弃土等，夹带大量泥沙和油类等各种污染物，通过设置沉砂池，施工废水经沉淀后用于洒水降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（2）防治措施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Times New Roman" w:hAnsi="Times New Roman" w:eastAsia="宋体" w:cs="Times New Roman"/>
                <w:color w:val="000000"/>
                <w:sz w:val="24"/>
                <w:szCs w:val="24"/>
                <w:highlight w:val="none"/>
                <w:u w:val="none" w:color="auto"/>
              </w:rPr>
            </w:pPr>
            <w:r>
              <w:rPr>
                <w:rFonts w:ascii="Times New Roman" w:hAnsi="宋体" w:eastAsia="宋体" w:cs="Times New Roman"/>
                <w:color w:val="000000"/>
                <w:sz w:val="24"/>
                <w:szCs w:val="24"/>
                <w:highlight w:val="none"/>
                <w:u w:val="none" w:color="auto"/>
              </w:rPr>
              <w:t>①</w:t>
            </w:r>
            <w:r>
              <w:rPr>
                <w:rFonts w:ascii="Times New Roman" w:hAnsi="Times New Roman" w:eastAsia="宋体" w:cs="Times New Roman"/>
                <w:color w:val="000000"/>
                <w:sz w:val="24"/>
                <w:szCs w:val="24"/>
                <w:highlight w:val="none"/>
                <w:u w:val="none" w:color="auto"/>
              </w:rPr>
              <w:t xml:space="preserve"> </w:t>
            </w:r>
            <w:r>
              <w:rPr>
                <w:rFonts w:ascii="Times New Roman" w:hAnsi="宋体" w:eastAsia="宋体" w:cs="Times New Roman"/>
                <w:color w:val="000000"/>
                <w:sz w:val="24"/>
                <w:szCs w:val="24"/>
                <w:highlight w:val="none"/>
                <w:u w:val="none" w:color="auto"/>
              </w:rPr>
              <w:t>做好施工期排水工程，施工前在项目周边设置截排水沟；</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Times New Roman" w:hAnsi="Times New Roman" w:eastAsia="宋体" w:cs="Times New Roman"/>
                <w:color w:val="000000"/>
                <w:sz w:val="24"/>
                <w:szCs w:val="24"/>
                <w:highlight w:val="none"/>
                <w:u w:val="none" w:color="auto"/>
              </w:rPr>
            </w:pPr>
            <w:r>
              <w:rPr>
                <w:rFonts w:ascii="Times New Roman" w:hAnsi="宋体" w:eastAsia="宋体" w:cs="Times New Roman"/>
                <w:color w:val="000000"/>
                <w:sz w:val="24"/>
                <w:szCs w:val="24"/>
                <w:highlight w:val="none"/>
                <w:u w:val="none" w:color="auto"/>
              </w:rPr>
              <w:t>②</w:t>
            </w:r>
            <w:r>
              <w:rPr>
                <w:rFonts w:ascii="Times New Roman" w:hAnsi="Times New Roman" w:eastAsia="宋体" w:cs="Times New Roman"/>
                <w:color w:val="000000"/>
                <w:sz w:val="24"/>
                <w:szCs w:val="24"/>
                <w:highlight w:val="none"/>
                <w:u w:val="none" w:color="auto"/>
              </w:rPr>
              <w:t xml:space="preserve"> </w:t>
            </w:r>
            <w:r>
              <w:rPr>
                <w:rFonts w:ascii="Times New Roman" w:hAnsi="宋体" w:eastAsia="宋体" w:cs="Times New Roman"/>
                <w:color w:val="000000"/>
                <w:sz w:val="24"/>
                <w:szCs w:val="24"/>
                <w:highlight w:val="none"/>
                <w:u w:val="none" w:color="auto"/>
              </w:rPr>
              <w:t>施工场地设置临时厕所，定期由附近农民清掏做农肥；</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Times New Roman" w:hAnsi="Times New Roman" w:eastAsia="宋体" w:cs="Times New Roman"/>
                <w:color w:val="000000"/>
                <w:sz w:val="24"/>
                <w:szCs w:val="24"/>
                <w:highlight w:val="none"/>
                <w:u w:val="none" w:color="auto"/>
              </w:rPr>
            </w:pPr>
            <w:r>
              <w:rPr>
                <w:rFonts w:ascii="Times New Roman" w:hAnsi="宋体" w:eastAsia="宋体" w:cs="Times New Roman"/>
                <w:color w:val="000000"/>
                <w:sz w:val="24"/>
                <w:szCs w:val="24"/>
                <w:highlight w:val="none"/>
                <w:u w:val="none" w:color="auto"/>
              </w:rPr>
              <w:t>③</w:t>
            </w:r>
            <w:r>
              <w:rPr>
                <w:rFonts w:ascii="Times New Roman" w:hAnsi="Times New Roman" w:eastAsia="宋体" w:cs="Times New Roman"/>
                <w:color w:val="000000"/>
                <w:sz w:val="24"/>
                <w:szCs w:val="24"/>
                <w:highlight w:val="none"/>
                <w:u w:val="none" w:color="auto"/>
              </w:rPr>
              <w:t xml:space="preserve"> </w:t>
            </w:r>
            <w:r>
              <w:rPr>
                <w:rFonts w:ascii="Times New Roman" w:hAnsi="宋体" w:eastAsia="宋体" w:cs="Times New Roman"/>
                <w:color w:val="000000"/>
                <w:sz w:val="24"/>
                <w:szCs w:val="24"/>
                <w:highlight w:val="none"/>
                <w:u w:val="none" w:color="auto"/>
              </w:rPr>
              <w:t>施工场地内设置临时沉砂池，施工废水经沉淀后用于洒水降尘。</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000000"/>
                <w:sz w:val="24"/>
                <w:szCs w:val="24"/>
                <w:highlight w:val="none"/>
                <w:u w:val="none" w:color="auto"/>
              </w:rPr>
            </w:pPr>
            <w:r>
              <w:rPr>
                <w:rFonts w:hint="eastAsia" w:ascii="Times New Roman" w:hAnsi="Times New Roman" w:cs="Times New Roman"/>
                <w:b/>
                <w:color w:val="000000"/>
                <w:sz w:val="24"/>
                <w:szCs w:val="24"/>
                <w:highlight w:val="none"/>
                <w:u w:val="none" w:color="auto"/>
                <w:lang w:val="en-US" w:eastAsia="zh-CN"/>
              </w:rPr>
              <w:t>1.4</w:t>
            </w:r>
            <w:r>
              <w:rPr>
                <w:rFonts w:ascii="Times New Roman" w:hAnsi="Times New Roman" w:eastAsia="宋体" w:cs="Times New Roman"/>
                <w:b/>
                <w:color w:val="000000"/>
                <w:sz w:val="24"/>
                <w:szCs w:val="24"/>
                <w:highlight w:val="none"/>
                <w:u w:val="none" w:color="auto"/>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（1）污染源强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项目拟建场址场地较为平坦，开挖土方较少，因此施工期的固废主要为施工人员的生活垃圾、开挖土方和建筑垃圾。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施工期间施工人员产生的生活垃圾通过设置临时垃圾收集桶，交环卫部门处置。建筑垃圾包括少量废弃建材（如砂石、石灰、混凝土、废砖等）以及设备安装过程中产生的废包装材料等，产生量按1.3t/100m</w:t>
            </w:r>
            <w:r>
              <w:rPr>
                <w:rFonts w:ascii="Times New Roman" w:hAnsi="Times New Roman" w:eastAsia="宋体" w:cs="Times New Roman"/>
                <w:color w:val="000000"/>
                <w:sz w:val="24"/>
                <w:szCs w:val="24"/>
                <w:highlight w:val="none"/>
                <w:u w:val="none" w:color="auto"/>
                <w:vertAlign w:val="superscript"/>
              </w:rPr>
              <w:t>2</w:t>
            </w:r>
            <w:r>
              <w:rPr>
                <w:rFonts w:ascii="Times New Roman" w:hAnsi="Times New Roman" w:eastAsia="宋体" w:cs="Times New Roman"/>
                <w:color w:val="000000"/>
                <w:sz w:val="24"/>
                <w:szCs w:val="24"/>
                <w:highlight w:val="none"/>
                <w:u w:val="none" w:color="auto"/>
              </w:rPr>
              <w:t>计，建筑垃圾产生量约为11.83t，经收集后送指定的地点填埋。</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ascii="Times New Roman" w:hAnsi="Times New Roman" w:eastAsia="宋体" w:cs="Times New Roman"/>
                <w:color w:val="000000"/>
                <w:kern w:val="2"/>
                <w:sz w:val="24"/>
                <w:szCs w:val="24"/>
                <w:highlight w:val="none"/>
                <w:u w:val="none" w:color="auto"/>
                <w:lang w:val="en-US" w:eastAsia="zh-CN" w:bidi="ar-SA"/>
              </w:rPr>
            </w:pPr>
            <w:r>
              <w:rPr>
                <w:rFonts w:ascii="Times New Roman" w:hAnsi="Times New Roman" w:eastAsia="宋体" w:cs="Times New Roman"/>
                <w:color w:val="000000"/>
                <w:kern w:val="2"/>
                <w:sz w:val="24"/>
                <w:szCs w:val="24"/>
                <w:highlight w:val="none"/>
                <w:u w:val="none" w:color="auto"/>
                <w:lang w:val="en-US" w:eastAsia="zh-CN" w:bidi="ar-SA"/>
              </w:rPr>
              <w:t>（2）防治措施</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600" w:firstLineChars="250"/>
              <w:jc w:val="both"/>
              <w:textAlignment w:val="auto"/>
              <w:rPr>
                <w:rFonts w:ascii="Times New Roman" w:hAnsi="Times New Roman" w:eastAsia="宋体" w:cs="Times New Roman"/>
                <w:color w:val="000000"/>
                <w:kern w:val="2"/>
                <w:sz w:val="24"/>
                <w:szCs w:val="24"/>
                <w:highlight w:val="none"/>
                <w:u w:val="none" w:color="auto"/>
                <w:lang w:val="en-US" w:eastAsia="zh-CN" w:bidi="ar-SA"/>
              </w:rPr>
            </w:pPr>
            <w:r>
              <w:rPr>
                <w:rFonts w:ascii="Times New Roman" w:hAnsi="宋体" w:eastAsia="宋体" w:cs="Times New Roman"/>
                <w:color w:val="000000"/>
                <w:kern w:val="2"/>
                <w:sz w:val="24"/>
                <w:szCs w:val="24"/>
                <w:highlight w:val="none"/>
                <w:u w:val="none" w:color="auto"/>
                <w:lang w:val="en-US" w:eastAsia="zh-CN" w:bidi="ar-SA"/>
              </w:rPr>
              <w:t>①</w:t>
            </w:r>
            <w:r>
              <w:rPr>
                <w:rFonts w:ascii="Times New Roman" w:hAnsi="Times New Roman" w:eastAsia="宋体" w:cs="Times New Roman"/>
                <w:color w:val="000000"/>
                <w:kern w:val="2"/>
                <w:sz w:val="24"/>
                <w:szCs w:val="24"/>
                <w:highlight w:val="none"/>
                <w:u w:val="none" w:color="auto"/>
                <w:lang w:val="en-US" w:eastAsia="zh-CN" w:bidi="ar-SA"/>
              </w:rPr>
              <w:t xml:space="preserve"> </w:t>
            </w:r>
            <w:r>
              <w:rPr>
                <w:rFonts w:ascii="Times New Roman" w:hAnsi="宋体" w:eastAsia="宋体" w:cs="Times New Roman"/>
                <w:color w:val="000000"/>
                <w:kern w:val="2"/>
                <w:sz w:val="24"/>
                <w:szCs w:val="24"/>
                <w:highlight w:val="none"/>
                <w:u w:val="none" w:color="auto"/>
                <w:lang w:val="en-US" w:eastAsia="zh-CN" w:bidi="ar-SA"/>
              </w:rPr>
              <w:t>设置临时垃圾收集桶，收集的生活垃圾交环卫部门处置；</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600" w:firstLineChars="250"/>
              <w:jc w:val="both"/>
              <w:textAlignment w:val="auto"/>
              <w:rPr>
                <w:rFonts w:ascii="Times New Roman" w:hAnsi="Times New Roman" w:eastAsia="宋体" w:cs="Times New Roman"/>
                <w:color w:val="000000"/>
                <w:kern w:val="2"/>
                <w:sz w:val="24"/>
                <w:szCs w:val="24"/>
                <w:highlight w:val="none"/>
                <w:u w:val="none" w:color="auto"/>
                <w:lang w:val="en-US" w:eastAsia="zh-CN" w:bidi="ar-SA"/>
              </w:rPr>
            </w:pPr>
            <w:r>
              <w:rPr>
                <w:rFonts w:ascii="Times New Roman" w:hAnsi="宋体" w:eastAsia="宋体" w:cs="Times New Roman"/>
                <w:color w:val="000000"/>
                <w:kern w:val="2"/>
                <w:sz w:val="24"/>
                <w:szCs w:val="24"/>
                <w:highlight w:val="none"/>
                <w:u w:val="none" w:color="auto"/>
                <w:lang w:val="en-US" w:eastAsia="zh-CN" w:bidi="ar-SA"/>
              </w:rPr>
              <w:t>②</w:t>
            </w:r>
            <w:r>
              <w:rPr>
                <w:rFonts w:ascii="Times New Roman" w:hAnsi="Times New Roman" w:eastAsia="宋体" w:cs="Times New Roman"/>
                <w:color w:val="000000"/>
                <w:kern w:val="2"/>
                <w:sz w:val="24"/>
                <w:szCs w:val="24"/>
                <w:highlight w:val="none"/>
                <w:u w:val="none" w:color="auto"/>
                <w:lang w:val="en-US" w:eastAsia="zh-CN" w:bidi="ar-SA"/>
              </w:rPr>
              <w:t xml:space="preserve"> </w:t>
            </w:r>
            <w:r>
              <w:rPr>
                <w:rFonts w:ascii="Times New Roman" w:hAnsi="宋体" w:eastAsia="宋体" w:cs="Times New Roman"/>
                <w:color w:val="000000"/>
                <w:kern w:val="2"/>
                <w:sz w:val="24"/>
                <w:szCs w:val="24"/>
                <w:highlight w:val="none"/>
                <w:u w:val="none" w:color="auto"/>
                <w:lang w:val="en-US" w:eastAsia="zh-CN" w:bidi="ar-SA"/>
              </w:rPr>
              <w:t>建筑垃圾经收集后送指定的地点填埋。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000000"/>
                <w:sz w:val="24"/>
                <w:szCs w:val="24"/>
                <w:highlight w:val="none"/>
                <w:u w:val="none" w:color="auto"/>
              </w:rPr>
            </w:pPr>
            <w:bookmarkStart w:id="24" w:name="_Toc5536059"/>
            <w:r>
              <w:rPr>
                <w:rFonts w:hint="eastAsia" w:ascii="Times New Roman" w:hAnsi="Times New Roman" w:cs="Times New Roman"/>
                <w:b/>
                <w:color w:val="000000"/>
                <w:sz w:val="24"/>
                <w:szCs w:val="24"/>
                <w:highlight w:val="none"/>
                <w:u w:val="none" w:color="auto"/>
                <w:lang w:val="en-US" w:eastAsia="zh-CN"/>
              </w:rPr>
              <w:t>1.5</w:t>
            </w:r>
            <w:r>
              <w:rPr>
                <w:rFonts w:ascii="Times New Roman" w:hAnsi="Times New Roman" w:eastAsia="宋体" w:cs="Times New Roman"/>
                <w:b/>
                <w:color w:val="000000"/>
                <w:sz w:val="24"/>
                <w:szCs w:val="24"/>
                <w:highlight w:val="none"/>
                <w:u w:val="none" w:color="auto"/>
              </w:rPr>
              <w:t>水土流失</w:t>
            </w:r>
            <w:bookmarkEnd w:id="2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highlight w:val="none"/>
                <w:u w:val="none" w:color="auto"/>
              </w:rPr>
            </w:pPr>
            <w:r>
              <w:rPr>
                <w:rFonts w:hint="eastAsia" w:ascii="Times New Roman" w:hAnsi="Times New Roman" w:eastAsia="宋体" w:cs="Times New Roman"/>
                <w:color w:val="000000"/>
                <w:sz w:val="24"/>
                <w:szCs w:val="24"/>
                <w:highlight w:val="none"/>
                <w:u w:val="none" w:color="auto"/>
              </w:rPr>
              <w:t>（1）水土流失量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项目建设过程中，将造成部分土地裸露，导致不同程度的水土流失现象，尤其是在雨季或暴雨天气会变得更为突出。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ascii="Times New Roman" w:hAnsi="Times New Roman" w:eastAsia="宋体" w:cs="Times New Roman"/>
                <w:color w:val="000000"/>
                <w:sz w:val="24"/>
                <w:szCs w:val="24"/>
                <w:highlight w:val="none"/>
                <w:u w:val="none" w:color="auto"/>
              </w:rPr>
              <w:t>对施工区的水土流失量采用专家估算法进行预测，经估算确定施</w:t>
            </w:r>
            <w:r>
              <w:rPr>
                <w:rFonts w:ascii="Times New Roman" w:hAnsi="Times New Roman" w:eastAsia="宋体" w:cs="Times New Roman"/>
                <w:color w:val="000000"/>
                <w:kern w:val="0"/>
                <w:sz w:val="24"/>
                <w:szCs w:val="24"/>
                <w:highlight w:val="none"/>
                <w:u w:val="none" w:color="auto"/>
                <w:lang w:val="zh-CN"/>
              </w:rPr>
              <w:t>工期各施工单元土壤侵蚀模数4000~7500t/km</w:t>
            </w:r>
            <w:r>
              <w:rPr>
                <w:rFonts w:ascii="Times New Roman" w:hAnsi="Times New Roman" w:eastAsia="宋体" w:cs="Times New Roman"/>
                <w:color w:val="000000"/>
                <w:kern w:val="0"/>
                <w:sz w:val="24"/>
                <w:szCs w:val="24"/>
                <w:highlight w:val="none"/>
                <w:u w:val="none" w:color="auto"/>
                <w:vertAlign w:val="superscript"/>
                <w:lang w:val="zh-CN"/>
              </w:rPr>
              <w:t>2</w:t>
            </w:r>
            <w:r>
              <w:rPr>
                <w:rFonts w:ascii="Times New Roman" w:hAnsi="Times New Roman" w:eastAsia="宋体" w:cs="Times New Roman"/>
                <w:color w:val="000000"/>
                <w:kern w:val="0"/>
                <w:sz w:val="24"/>
                <w:szCs w:val="24"/>
                <w:highlight w:val="none"/>
                <w:u w:val="none" w:color="auto"/>
                <w:lang w:val="zh-CN"/>
              </w:rPr>
              <w:t>.a，</w:t>
            </w:r>
            <w:r>
              <w:rPr>
                <w:rFonts w:ascii="Times New Roman" w:hAnsi="Times New Roman" w:eastAsia="宋体" w:cs="Times New Roman"/>
                <w:color w:val="000000"/>
                <w:sz w:val="24"/>
                <w:szCs w:val="24"/>
                <w:highlight w:val="none"/>
                <w:u w:val="none" w:color="auto"/>
              </w:rPr>
              <w:t>根据《土壤侵蚀分类分级标准》（SL190-2007），本项目所在区域属于南方红壤丘陵区，该区域容许土壤流失量为500t/（km</w:t>
            </w:r>
            <w:r>
              <w:rPr>
                <w:rFonts w:ascii="Times New Roman" w:hAnsi="Times New Roman" w:eastAsia="宋体" w:cs="Times New Roman"/>
                <w:color w:val="000000"/>
                <w:sz w:val="24"/>
                <w:szCs w:val="24"/>
                <w:highlight w:val="none"/>
                <w:u w:val="none" w:color="auto"/>
                <w:vertAlign w:val="superscript"/>
              </w:rPr>
              <w:t>2</w:t>
            </w:r>
            <w:r>
              <w:rPr>
                <w:rFonts w:ascii="Times New Roman" w:hAnsi="Times New Roman" w:eastAsia="宋体" w:cs="Times New Roman"/>
                <w:color w:val="000000"/>
                <w:sz w:val="24"/>
                <w:szCs w:val="24"/>
                <w:highlight w:val="none"/>
                <w:u w:val="none" w:color="auto"/>
              </w:rPr>
              <w:t>.a）</w:t>
            </w:r>
            <w:r>
              <w:rPr>
                <w:rFonts w:ascii="Times New Roman" w:hAnsi="Times New Roman" w:eastAsia="宋体" w:cs="Times New Roman"/>
                <w:color w:val="000000"/>
                <w:kern w:val="0"/>
                <w:sz w:val="24"/>
                <w:szCs w:val="24"/>
                <w:highlight w:val="none"/>
                <w:u w:val="none" w:color="auto"/>
                <w:lang w:val="zh-CN"/>
              </w:rPr>
              <w:t>。结合本项目的实际情况，确定施工期土壤侵蚀模数的取值为3000</w:t>
            </w:r>
            <w:r>
              <w:rPr>
                <w:rFonts w:ascii="Times New Roman" w:hAnsi="Times New Roman" w:eastAsia="宋体" w:cs="Times New Roman"/>
                <w:color w:val="000000"/>
                <w:sz w:val="24"/>
                <w:szCs w:val="24"/>
                <w:highlight w:val="none"/>
                <w:u w:val="none" w:color="auto"/>
              </w:rPr>
              <w:t>t/km</w:t>
            </w:r>
            <w:r>
              <w:rPr>
                <w:rFonts w:ascii="Times New Roman" w:hAnsi="Times New Roman" w:eastAsia="宋体" w:cs="Times New Roman"/>
                <w:color w:val="000000"/>
                <w:sz w:val="24"/>
                <w:szCs w:val="24"/>
                <w:highlight w:val="none"/>
                <w:u w:val="none" w:color="auto"/>
                <w:vertAlign w:val="superscript"/>
              </w:rPr>
              <w:t>2</w:t>
            </w:r>
            <w:r>
              <w:rPr>
                <w:rFonts w:ascii="Times New Roman" w:hAnsi="Times New Roman" w:eastAsia="宋体" w:cs="Times New Roman"/>
                <w:color w:val="000000"/>
                <w:sz w:val="24"/>
                <w:szCs w:val="24"/>
                <w:highlight w:val="none"/>
                <w:u w:val="none" w:color="auto"/>
              </w:rPr>
              <w:t>·a。</w:t>
            </w:r>
            <w:r>
              <w:rPr>
                <w:rFonts w:ascii="Times New Roman" w:hAnsi="宋体" w:eastAsia="宋体" w:cs="Times New Roman"/>
                <w:color w:val="000000"/>
                <w:sz w:val="24"/>
                <w:szCs w:val="24"/>
                <w:highlight w:val="none"/>
                <w:u w:val="none" w:color="auto"/>
              </w:rPr>
              <w:t>工程建设开挖扰动可能</w:t>
            </w:r>
            <w:r>
              <w:rPr>
                <w:rFonts w:ascii="Times New Roman" w:hAnsi="宋体" w:eastAsia="宋体" w:cs="Times New Roman"/>
                <w:color w:val="000000"/>
                <w:spacing w:val="10"/>
                <w:sz w:val="24"/>
                <w:szCs w:val="24"/>
                <w:highlight w:val="none"/>
                <w:u w:val="none" w:color="auto"/>
              </w:rPr>
              <w:t>产生的水土流失区域为整个施工现场等，</w:t>
            </w:r>
            <w:r>
              <w:rPr>
                <w:rFonts w:ascii="Times New Roman" w:hAnsi="宋体" w:eastAsia="宋体" w:cs="Times New Roman"/>
                <w:color w:val="000000"/>
                <w:sz w:val="24"/>
                <w:szCs w:val="24"/>
                <w:highlight w:val="none"/>
                <w:u w:val="none" w:color="auto"/>
              </w:rPr>
              <w:t>造成的水土流失面积共计</w:t>
            </w:r>
            <w:r>
              <w:rPr>
                <w:rFonts w:ascii="Times New Roman" w:hAnsi="Times New Roman" w:eastAsia="宋体" w:cs="Times New Roman"/>
                <w:color w:val="000000"/>
                <w:sz w:val="24"/>
                <w:szCs w:val="24"/>
                <w:highlight w:val="none"/>
                <w:u w:val="none" w:color="auto"/>
              </w:rPr>
              <w:t>0.0011km</w:t>
            </w:r>
            <w:r>
              <w:rPr>
                <w:rFonts w:ascii="Times New Roman" w:hAnsi="Times New Roman" w:eastAsia="宋体" w:cs="Times New Roman"/>
                <w:color w:val="000000"/>
                <w:sz w:val="24"/>
                <w:szCs w:val="24"/>
                <w:highlight w:val="none"/>
                <w:u w:val="none" w:color="auto"/>
                <w:vertAlign w:val="superscript"/>
              </w:rPr>
              <w:t>2</w:t>
            </w:r>
            <w:r>
              <w:rPr>
                <w:rFonts w:ascii="Times New Roman" w:hAnsi="宋体" w:eastAsia="宋体" w:cs="Times New Roman"/>
                <w:color w:val="000000"/>
                <w:sz w:val="24"/>
                <w:szCs w:val="24"/>
                <w:highlight w:val="none"/>
                <w:u w:val="none" w:color="auto"/>
              </w:rPr>
              <w:t>。本环评采用侵蚀模数法对施工期水土流失量进行预测，预测计算公式如下：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center"/>
              <w:textAlignment w:val="auto"/>
              <w:rPr>
                <w:rFonts w:ascii="Times New Roman" w:hAnsi="Times New Roman" w:eastAsia="宋体" w:cs="Times New Roman"/>
                <w:color w:val="000000"/>
                <w:sz w:val="24"/>
                <w:szCs w:val="24"/>
                <w:highlight w:val="none"/>
                <w:u w:val="none" w:color="auto"/>
                <w:lang w:val="de-DE"/>
              </w:rPr>
            </w:pPr>
            <w:r>
              <w:rPr>
                <w:rFonts w:ascii="Times New Roman" w:hAnsi="Times New Roman" w:eastAsia="宋体" w:cs="Times New Roman"/>
                <w:color w:val="000000"/>
                <w:sz w:val="24"/>
                <w:szCs w:val="24"/>
                <w:highlight w:val="none"/>
                <w:u w:val="none" w:color="auto"/>
                <w:lang w:val="de-DE"/>
              </w:rPr>
              <w:t>W=</w:t>
            </w:r>
            <w:r>
              <w:rPr>
                <w:rFonts w:ascii="Times New Roman" w:hAnsi="Times New Roman" w:eastAsia="宋体" w:cs="Times New Roman"/>
                <w:color w:val="000000"/>
                <w:sz w:val="24"/>
                <w:szCs w:val="24"/>
                <w:highlight w:val="none"/>
                <w:u w:val="none" w:color="auto"/>
              </w:rPr>
              <w:t>Σ</w:t>
            </w:r>
            <w:r>
              <w:rPr>
                <w:rFonts w:ascii="Times New Roman" w:hAnsi="宋体" w:eastAsia="宋体" w:cs="Times New Roman"/>
                <w:color w:val="000000"/>
                <w:sz w:val="24"/>
                <w:szCs w:val="24"/>
                <w:highlight w:val="none"/>
                <w:u w:val="none" w:color="auto"/>
                <w:lang w:val="de-DE"/>
              </w:rPr>
              <w:t>（</w:t>
            </w:r>
            <w:r>
              <w:rPr>
                <w:rFonts w:ascii="Times New Roman" w:hAnsi="Times New Roman" w:eastAsia="宋体" w:cs="Times New Roman"/>
                <w:color w:val="000000"/>
                <w:sz w:val="24"/>
                <w:szCs w:val="24"/>
                <w:highlight w:val="none"/>
                <w:u w:val="none" w:color="auto"/>
                <w:lang w:val="de-DE"/>
              </w:rPr>
              <w:t>F</w:t>
            </w:r>
            <w:r>
              <w:rPr>
                <w:rFonts w:ascii="Times New Roman" w:hAnsi="Times New Roman" w:eastAsia="宋体" w:cs="Times New Roman"/>
                <w:color w:val="000000"/>
                <w:sz w:val="24"/>
                <w:szCs w:val="24"/>
                <w:highlight w:val="none"/>
                <w:u w:val="none" w:color="auto"/>
                <w:vertAlign w:val="subscript"/>
                <w:lang w:val="de-DE"/>
              </w:rPr>
              <w:t>i</w:t>
            </w:r>
            <w:r>
              <w:rPr>
                <w:rFonts w:ascii="Times New Roman" w:hAnsi="Times New Roman" w:eastAsia="宋体" w:cs="Times New Roman"/>
                <w:color w:val="000000"/>
                <w:sz w:val="24"/>
                <w:szCs w:val="24"/>
                <w:highlight w:val="none"/>
                <w:u w:val="none" w:color="auto"/>
                <w:lang w:val="de-DE"/>
              </w:rPr>
              <w:t>×M</w:t>
            </w:r>
            <w:r>
              <w:rPr>
                <w:rFonts w:ascii="Times New Roman" w:hAnsi="Times New Roman" w:eastAsia="宋体" w:cs="Times New Roman"/>
                <w:color w:val="000000"/>
                <w:sz w:val="24"/>
                <w:szCs w:val="24"/>
                <w:highlight w:val="none"/>
                <w:u w:val="none" w:color="auto"/>
                <w:vertAlign w:val="subscript"/>
                <w:lang w:val="de-DE"/>
              </w:rPr>
              <w:t>i</w:t>
            </w:r>
            <w:r>
              <w:rPr>
                <w:rFonts w:ascii="Times New Roman" w:hAnsi="Times New Roman" w:eastAsia="宋体" w:cs="Times New Roman"/>
                <w:color w:val="000000"/>
                <w:sz w:val="24"/>
                <w:szCs w:val="24"/>
                <w:highlight w:val="none"/>
                <w:u w:val="none" w:color="auto"/>
                <w:lang w:val="de-DE"/>
              </w:rPr>
              <w:t>×T</w:t>
            </w:r>
            <w:r>
              <w:rPr>
                <w:rFonts w:ascii="Times New Roman" w:hAnsi="Times New Roman" w:eastAsia="宋体" w:cs="Times New Roman"/>
                <w:color w:val="000000"/>
                <w:sz w:val="24"/>
                <w:szCs w:val="24"/>
                <w:highlight w:val="none"/>
                <w:u w:val="none" w:color="auto"/>
                <w:vertAlign w:val="subscript"/>
                <w:lang w:val="de-DE"/>
              </w:rPr>
              <w:t>i</w:t>
            </w:r>
            <w:r>
              <w:rPr>
                <w:rFonts w:ascii="Times New Roman" w:hAnsi="宋体" w:eastAsia="宋体" w:cs="Times New Roman"/>
                <w:color w:val="000000"/>
                <w:sz w:val="24"/>
                <w:szCs w:val="24"/>
                <w:highlight w:val="none"/>
                <w:u w:val="none" w:color="auto"/>
                <w:lang w:val="de-DE"/>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color w:val="000000"/>
                <w:sz w:val="24"/>
                <w:szCs w:val="24"/>
                <w:highlight w:val="none"/>
                <w:u w:val="none" w:color="auto"/>
                <w:lang w:val="de-DE"/>
              </w:rPr>
            </w:pPr>
            <w:r>
              <w:rPr>
                <w:rFonts w:ascii="Times New Roman" w:hAnsi="宋体" w:eastAsia="宋体" w:cs="Times New Roman"/>
                <w:color w:val="000000"/>
                <w:sz w:val="24"/>
                <w:szCs w:val="24"/>
                <w:highlight w:val="none"/>
                <w:u w:val="none" w:color="auto"/>
              </w:rPr>
              <w:t>式中</w:t>
            </w:r>
            <w:r>
              <w:rPr>
                <w:rFonts w:ascii="Times New Roman" w:hAnsi="宋体" w:eastAsia="宋体" w:cs="Times New Roman"/>
                <w:color w:val="000000"/>
                <w:sz w:val="24"/>
                <w:szCs w:val="24"/>
                <w:highlight w:val="none"/>
                <w:u w:val="none" w:color="auto"/>
                <w:lang w:val="de-DE"/>
              </w:rPr>
              <w:t>：</w:t>
            </w:r>
            <w:r>
              <w:rPr>
                <w:rFonts w:ascii="Times New Roman" w:hAnsi="Times New Roman" w:eastAsia="宋体" w:cs="Times New Roman"/>
                <w:color w:val="000000"/>
                <w:sz w:val="24"/>
                <w:szCs w:val="24"/>
                <w:highlight w:val="none"/>
                <w:u w:val="none" w:color="auto"/>
                <w:lang w:val="de-DE"/>
              </w:rPr>
              <w:t>W—</w:t>
            </w:r>
            <w:r>
              <w:rPr>
                <w:rFonts w:ascii="Times New Roman" w:hAnsi="宋体" w:eastAsia="宋体" w:cs="Times New Roman"/>
                <w:color w:val="000000"/>
                <w:sz w:val="24"/>
                <w:szCs w:val="24"/>
                <w:highlight w:val="none"/>
                <w:u w:val="none" w:color="auto"/>
              </w:rPr>
              <w:t>扰动地表流失量</w:t>
            </w:r>
            <w:r>
              <w:rPr>
                <w:rFonts w:ascii="Times New Roman" w:hAnsi="宋体" w:eastAsia="宋体" w:cs="Times New Roman"/>
                <w:color w:val="000000"/>
                <w:sz w:val="24"/>
                <w:szCs w:val="24"/>
                <w:highlight w:val="none"/>
                <w:u w:val="none" w:color="auto"/>
                <w:lang w:val="de-DE"/>
              </w:rPr>
              <w:t>，</w:t>
            </w:r>
            <w:r>
              <w:rPr>
                <w:rFonts w:ascii="Times New Roman" w:hAnsi="Times New Roman" w:eastAsia="宋体" w:cs="Times New Roman"/>
                <w:color w:val="000000"/>
                <w:sz w:val="24"/>
                <w:szCs w:val="24"/>
                <w:highlight w:val="none"/>
                <w:u w:val="none" w:color="auto"/>
                <w:lang w:val="de-DE"/>
              </w:rPr>
              <w:t>t</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ascii="Times New Roman" w:hAnsi="Times New Roman" w:eastAsia="宋体" w:cs="Times New Roman"/>
                <w:color w:val="000000"/>
                <w:sz w:val="24"/>
                <w:szCs w:val="24"/>
                <w:highlight w:val="none"/>
                <w:u w:val="none" w:color="auto"/>
                <w:lang w:val="de-DE"/>
              </w:rPr>
            </w:pPr>
            <w:r>
              <w:rPr>
                <w:rFonts w:ascii="Times New Roman" w:hAnsi="Times New Roman" w:eastAsia="宋体" w:cs="Times New Roman"/>
                <w:color w:val="000000"/>
                <w:sz w:val="24"/>
                <w:szCs w:val="24"/>
                <w:highlight w:val="none"/>
                <w:u w:val="none" w:color="auto"/>
                <w:lang w:val="de-DE"/>
              </w:rPr>
              <w:t>F</w:t>
            </w:r>
            <w:r>
              <w:rPr>
                <w:rFonts w:ascii="Times New Roman" w:hAnsi="Times New Roman" w:eastAsia="宋体" w:cs="Times New Roman"/>
                <w:color w:val="000000"/>
                <w:sz w:val="24"/>
                <w:szCs w:val="24"/>
                <w:highlight w:val="none"/>
                <w:u w:val="none" w:color="auto"/>
                <w:vertAlign w:val="subscript"/>
                <w:lang w:val="de-DE"/>
              </w:rPr>
              <w:t>i</w:t>
            </w:r>
            <w:r>
              <w:rPr>
                <w:rFonts w:ascii="Times New Roman" w:hAnsi="Times New Roman" w:eastAsia="宋体" w:cs="Times New Roman"/>
                <w:color w:val="000000"/>
                <w:sz w:val="24"/>
                <w:szCs w:val="24"/>
                <w:highlight w:val="none"/>
                <w:u w:val="none" w:color="auto"/>
                <w:lang w:val="de-DE"/>
              </w:rPr>
              <w:t>—</w:t>
            </w:r>
            <w:r>
              <w:rPr>
                <w:rFonts w:ascii="Times New Roman" w:hAnsi="宋体" w:eastAsia="宋体" w:cs="Times New Roman"/>
                <w:color w:val="000000"/>
                <w:sz w:val="24"/>
                <w:szCs w:val="24"/>
                <w:highlight w:val="none"/>
                <w:u w:val="none" w:color="auto"/>
              </w:rPr>
              <w:t>扰动地表面积</w:t>
            </w:r>
            <w:r>
              <w:rPr>
                <w:rFonts w:ascii="Times New Roman" w:hAnsi="宋体" w:eastAsia="宋体" w:cs="Times New Roman"/>
                <w:color w:val="000000"/>
                <w:sz w:val="24"/>
                <w:szCs w:val="24"/>
                <w:highlight w:val="none"/>
                <w:u w:val="none" w:color="auto"/>
                <w:lang w:val="de-DE"/>
              </w:rPr>
              <w:t>，</w:t>
            </w:r>
            <w:r>
              <w:rPr>
                <w:rFonts w:hint="eastAsia" w:ascii="Times New Roman" w:hAnsi="Times New Roman" w:eastAsia="宋体" w:cs="Times New Roman"/>
                <w:color w:val="000000"/>
                <w:sz w:val="24"/>
                <w:szCs w:val="24"/>
                <w:highlight w:val="none"/>
                <w:u w:val="none" w:color="auto"/>
                <w:lang w:val="de-DE"/>
              </w:rPr>
              <w:t>0.0011</w:t>
            </w:r>
            <w:r>
              <w:rPr>
                <w:rFonts w:ascii="Times New Roman" w:hAnsi="Times New Roman" w:eastAsia="宋体" w:cs="Times New Roman"/>
                <w:color w:val="000000"/>
                <w:sz w:val="24"/>
                <w:szCs w:val="24"/>
                <w:highlight w:val="none"/>
                <w:u w:val="none" w:color="auto"/>
                <w:lang w:val="de-DE"/>
              </w:rPr>
              <w:t>km</w:t>
            </w:r>
            <w:r>
              <w:rPr>
                <w:rFonts w:ascii="Times New Roman" w:hAnsi="Times New Roman" w:eastAsia="宋体" w:cs="Times New Roman"/>
                <w:color w:val="000000"/>
                <w:sz w:val="24"/>
                <w:szCs w:val="24"/>
                <w:highlight w:val="none"/>
                <w:u w:val="none" w:color="auto"/>
                <w:vertAlign w:val="superscript"/>
                <w:lang w:val="de-DE"/>
              </w:rPr>
              <w:t>2</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ascii="Times New Roman" w:hAnsi="Times New Roman" w:eastAsia="宋体" w:cs="Times New Roman"/>
                <w:color w:val="000000"/>
                <w:sz w:val="24"/>
                <w:szCs w:val="24"/>
                <w:highlight w:val="none"/>
                <w:u w:val="none" w:color="auto"/>
                <w:lang w:val="de-DE"/>
              </w:rPr>
            </w:pPr>
            <w:r>
              <w:rPr>
                <w:rFonts w:ascii="Times New Roman" w:hAnsi="Times New Roman" w:eastAsia="宋体" w:cs="Times New Roman"/>
                <w:color w:val="000000"/>
                <w:sz w:val="24"/>
                <w:szCs w:val="24"/>
                <w:highlight w:val="none"/>
                <w:u w:val="none" w:color="auto"/>
                <w:lang w:val="de-DE"/>
              </w:rPr>
              <w:t>M</w:t>
            </w:r>
            <w:r>
              <w:rPr>
                <w:rFonts w:ascii="Times New Roman" w:hAnsi="Times New Roman" w:eastAsia="宋体" w:cs="Times New Roman"/>
                <w:color w:val="000000"/>
                <w:sz w:val="24"/>
                <w:szCs w:val="24"/>
                <w:highlight w:val="none"/>
                <w:u w:val="none" w:color="auto"/>
                <w:vertAlign w:val="subscript"/>
                <w:lang w:val="de-DE"/>
              </w:rPr>
              <w:t>i</w:t>
            </w:r>
            <w:r>
              <w:rPr>
                <w:rFonts w:ascii="Times New Roman" w:hAnsi="Times New Roman" w:eastAsia="宋体" w:cs="Times New Roman"/>
                <w:color w:val="000000"/>
                <w:sz w:val="24"/>
                <w:szCs w:val="24"/>
                <w:highlight w:val="none"/>
                <w:u w:val="none" w:color="auto"/>
                <w:lang w:val="de-DE"/>
              </w:rPr>
              <w:t>—</w:t>
            </w:r>
            <w:r>
              <w:rPr>
                <w:rFonts w:ascii="Times New Roman" w:hAnsi="宋体" w:eastAsia="宋体" w:cs="Times New Roman"/>
                <w:color w:val="000000"/>
                <w:sz w:val="24"/>
                <w:szCs w:val="24"/>
                <w:highlight w:val="none"/>
                <w:u w:val="none" w:color="auto"/>
              </w:rPr>
              <w:t>扰动后土壤侵蚀模数</w:t>
            </w:r>
            <w:r>
              <w:rPr>
                <w:rFonts w:ascii="Times New Roman" w:hAnsi="宋体" w:eastAsia="宋体" w:cs="Times New Roman"/>
                <w:color w:val="000000"/>
                <w:sz w:val="24"/>
                <w:szCs w:val="24"/>
                <w:highlight w:val="none"/>
                <w:u w:val="none" w:color="auto"/>
                <w:lang w:val="de-DE"/>
              </w:rPr>
              <w:t>，</w:t>
            </w:r>
            <w:r>
              <w:rPr>
                <w:rFonts w:ascii="Times New Roman" w:hAnsi="Times New Roman" w:eastAsia="宋体" w:cs="Times New Roman"/>
                <w:color w:val="000000"/>
                <w:sz w:val="24"/>
                <w:szCs w:val="24"/>
                <w:highlight w:val="none"/>
                <w:u w:val="none" w:color="auto"/>
                <w:lang w:val="de-DE"/>
              </w:rPr>
              <w:t>3000t/km</w:t>
            </w:r>
            <w:r>
              <w:rPr>
                <w:rFonts w:ascii="Times New Roman" w:hAnsi="Times New Roman" w:eastAsia="宋体" w:cs="Times New Roman"/>
                <w:color w:val="000000"/>
                <w:sz w:val="24"/>
                <w:szCs w:val="24"/>
                <w:highlight w:val="none"/>
                <w:u w:val="none" w:color="auto"/>
                <w:vertAlign w:val="superscript"/>
                <w:lang w:val="de-DE"/>
              </w:rPr>
              <w:t>2</w:t>
            </w:r>
            <w:r>
              <w:rPr>
                <w:rFonts w:ascii="Times New Roman" w:hAnsi="Times New Roman" w:eastAsia="宋体" w:cs="Times New Roman"/>
                <w:color w:val="000000"/>
                <w:sz w:val="24"/>
                <w:szCs w:val="24"/>
                <w:highlight w:val="none"/>
                <w:u w:val="none" w:color="auto"/>
                <w:lang w:val="de-DE"/>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ascii="Times New Roman" w:hAnsi="Times New Roman" w:eastAsia="宋体" w:cs="Times New Roman"/>
                <w:color w:val="000000"/>
                <w:sz w:val="24"/>
                <w:szCs w:val="24"/>
                <w:highlight w:val="none"/>
                <w:u w:val="none" w:color="auto"/>
                <w:lang w:val="de-DE"/>
              </w:rPr>
            </w:pPr>
            <w:r>
              <w:rPr>
                <w:rFonts w:ascii="Times New Roman" w:hAnsi="Times New Roman" w:eastAsia="宋体" w:cs="Times New Roman"/>
                <w:color w:val="000000"/>
                <w:sz w:val="24"/>
                <w:szCs w:val="24"/>
                <w:highlight w:val="none"/>
                <w:u w:val="none" w:color="auto"/>
                <w:lang w:val="de-DE"/>
              </w:rPr>
              <w:t>Ti—</w:t>
            </w:r>
            <w:r>
              <w:rPr>
                <w:rFonts w:ascii="Times New Roman" w:hAnsi="Times New Roman" w:eastAsia="宋体" w:cs="Times New Roman"/>
                <w:color w:val="000000"/>
                <w:sz w:val="24"/>
                <w:szCs w:val="24"/>
                <w:highlight w:val="none"/>
                <w:u w:val="none" w:color="auto"/>
              </w:rPr>
              <w:t>水土流失预测时段</w:t>
            </w:r>
            <w:r>
              <w:rPr>
                <w:rFonts w:ascii="Times New Roman" w:hAnsi="Times New Roman" w:eastAsia="宋体" w:cs="Times New Roman"/>
                <w:color w:val="000000"/>
                <w:sz w:val="24"/>
                <w:szCs w:val="24"/>
                <w:highlight w:val="none"/>
                <w:u w:val="none" w:color="auto"/>
                <w:lang w:val="de-DE"/>
              </w:rPr>
              <w:t>，</w:t>
            </w:r>
            <w:r>
              <w:rPr>
                <w:rFonts w:hint="eastAsia" w:ascii="Times New Roman" w:hAnsi="Times New Roman" w:eastAsia="宋体" w:cs="Times New Roman"/>
                <w:color w:val="000000"/>
                <w:sz w:val="24"/>
                <w:szCs w:val="24"/>
                <w:highlight w:val="none"/>
                <w:u w:val="none" w:color="auto"/>
                <w:lang w:val="de-DE"/>
              </w:rPr>
              <w:t>0.25</w:t>
            </w:r>
            <w:r>
              <w:rPr>
                <w:rFonts w:ascii="Times New Roman" w:hAnsi="Times New Roman" w:eastAsia="宋体" w:cs="Times New Roman"/>
                <w:color w:val="000000"/>
                <w:sz w:val="24"/>
                <w:szCs w:val="24"/>
                <w:highlight w:val="none"/>
                <w:u w:val="none" w:color="auto"/>
                <w:lang w:val="de-DE"/>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lang w:val="de-DE"/>
              </w:rPr>
            </w:pPr>
            <w:r>
              <w:rPr>
                <w:rFonts w:ascii="Times New Roman" w:hAnsi="Times New Roman" w:eastAsia="宋体" w:cs="Times New Roman"/>
                <w:color w:val="000000"/>
                <w:sz w:val="24"/>
                <w:szCs w:val="24"/>
                <w:highlight w:val="none"/>
                <w:u w:val="none" w:color="auto"/>
              </w:rPr>
              <w:t>由此计算出项目区施工期可能造成的新增水土流失量为</w:t>
            </w:r>
            <w:r>
              <w:rPr>
                <w:rFonts w:hint="eastAsia" w:ascii="Times New Roman" w:hAnsi="Times New Roman" w:eastAsia="宋体" w:cs="Times New Roman"/>
                <w:color w:val="000000"/>
                <w:sz w:val="24"/>
                <w:szCs w:val="24"/>
                <w:highlight w:val="none"/>
                <w:u w:val="none" w:color="auto"/>
                <w:lang w:val="de-DE"/>
              </w:rPr>
              <w:t>0.825</w:t>
            </w:r>
            <w:r>
              <w:rPr>
                <w:rFonts w:ascii="Times New Roman" w:hAnsi="Times New Roman" w:eastAsia="宋体" w:cs="Times New Roman"/>
                <w:color w:val="000000"/>
                <w:sz w:val="24"/>
                <w:szCs w:val="24"/>
                <w:highlight w:val="none"/>
                <w:u w:val="none" w:color="auto"/>
                <w:lang w:val="de-DE"/>
              </w:rPr>
              <w:t>t/a</w:t>
            </w:r>
            <w:r>
              <w:rPr>
                <w:rFonts w:ascii="Times New Roman" w:hAnsi="Times New Roman" w:eastAsia="宋体" w:cs="Times New Roman"/>
                <w:color w:val="000000"/>
                <w:sz w:val="24"/>
                <w:szCs w:val="24"/>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highlight w:val="none"/>
                <w:u w:val="none" w:color="auto"/>
              </w:rPr>
            </w:pPr>
            <w:r>
              <w:rPr>
                <w:rFonts w:hint="eastAsia" w:ascii="Times New Roman" w:hAnsi="Times New Roman" w:eastAsia="宋体" w:cs="Times New Roman"/>
                <w:color w:val="000000"/>
                <w:sz w:val="24"/>
                <w:szCs w:val="24"/>
                <w:highlight w:val="none"/>
                <w:u w:val="none" w:color="auto"/>
              </w:rPr>
              <w:t>（2）防治措施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highlight w:val="none"/>
                <w:u w:val="none" w:color="auto"/>
              </w:rPr>
            </w:pPr>
            <w:r>
              <w:rPr>
                <w:rFonts w:hint="eastAsia" w:ascii="宋体" w:hAnsi="宋体" w:eastAsia="宋体" w:cs="Times New Roman"/>
                <w:color w:val="000000"/>
                <w:sz w:val="24"/>
                <w:szCs w:val="24"/>
                <w:highlight w:val="none"/>
                <w:u w:val="none" w:color="auto"/>
              </w:rPr>
              <w:t>①</w:t>
            </w:r>
            <w:r>
              <w:rPr>
                <w:rFonts w:hint="eastAsia" w:ascii="Times New Roman" w:hAnsi="Times New Roman" w:eastAsia="宋体" w:cs="Times New Roman"/>
                <w:color w:val="000000"/>
                <w:sz w:val="24"/>
                <w:szCs w:val="24"/>
                <w:highlight w:val="none"/>
                <w:u w:val="none" w:color="auto"/>
              </w:rPr>
              <w:t xml:space="preserve"> </w:t>
            </w:r>
            <w:r>
              <w:rPr>
                <w:rFonts w:ascii="Times New Roman" w:hAnsi="Times New Roman" w:eastAsia="宋体" w:cs="Times New Roman"/>
                <w:color w:val="000000"/>
                <w:sz w:val="24"/>
                <w:szCs w:val="24"/>
                <w:highlight w:val="none"/>
                <w:u w:val="none" w:color="auto"/>
              </w:rPr>
              <w:t>合理选择施工期</w:t>
            </w:r>
            <w:r>
              <w:rPr>
                <w:rFonts w:hint="eastAsia" w:ascii="Times New Roman" w:hAnsi="Times New Roman" w:eastAsia="宋体" w:cs="Times New Roman"/>
                <w:color w:val="000000"/>
                <w:sz w:val="24"/>
                <w:szCs w:val="24"/>
                <w:highlight w:val="none"/>
                <w:u w:val="none" w:color="auto"/>
              </w:rPr>
              <w:t>以及科学的施工方式。</w:t>
            </w:r>
            <w:r>
              <w:rPr>
                <w:rFonts w:ascii="Times New Roman" w:hAnsi="Times New Roman" w:eastAsia="宋体" w:cs="Times New Roman"/>
                <w:color w:val="000000"/>
                <w:sz w:val="24"/>
                <w:szCs w:val="24"/>
                <w:highlight w:val="none"/>
                <w:u w:val="none" w:color="auto"/>
              </w:rPr>
              <w:t>避免在</w:t>
            </w:r>
            <w:r>
              <w:rPr>
                <w:rFonts w:hint="eastAsia" w:ascii="Times New Roman" w:hAnsi="Times New Roman" w:eastAsia="宋体" w:cs="Times New Roman"/>
                <w:color w:val="000000"/>
                <w:sz w:val="24"/>
                <w:szCs w:val="24"/>
                <w:highlight w:val="none"/>
                <w:u w:val="none" w:color="auto"/>
              </w:rPr>
              <w:t>强</w:t>
            </w:r>
            <w:r>
              <w:rPr>
                <w:rFonts w:ascii="Times New Roman" w:hAnsi="Times New Roman" w:eastAsia="宋体" w:cs="Times New Roman"/>
                <w:color w:val="000000"/>
                <w:sz w:val="24"/>
                <w:szCs w:val="24"/>
                <w:highlight w:val="none"/>
                <w:u w:val="none" w:color="auto"/>
              </w:rPr>
              <w:t>暴雨</w:t>
            </w:r>
            <w:r>
              <w:rPr>
                <w:rFonts w:hint="eastAsia" w:ascii="Times New Roman" w:hAnsi="Times New Roman" w:eastAsia="宋体" w:cs="Times New Roman"/>
                <w:color w:val="000000"/>
                <w:sz w:val="24"/>
                <w:szCs w:val="24"/>
                <w:highlight w:val="none"/>
                <w:u w:val="none" w:color="auto"/>
              </w:rPr>
              <w:t>季节施工</w:t>
            </w:r>
            <w:r>
              <w:rPr>
                <w:rFonts w:ascii="Times New Roman" w:hAnsi="Times New Roman" w:eastAsia="宋体" w:cs="Times New Roman"/>
                <w:color w:val="000000"/>
                <w:sz w:val="24"/>
                <w:szCs w:val="24"/>
                <w:highlight w:val="none"/>
                <w:u w:val="none" w:color="auto"/>
              </w:rPr>
              <w:t>；雨季施工时，应备有防雨布覆盖开挖面和土堆，防治汛期造成水土流失，平时应尽量保持表面平整，减少雨水冲刷；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highlight w:val="none"/>
                <w:u w:val="none" w:color="auto"/>
              </w:rPr>
            </w:pPr>
            <w:r>
              <w:rPr>
                <w:rFonts w:hint="eastAsia" w:ascii="宋体" w:hAnsi="宋体" w:eastAsia="宋体" w:cs="Times New Roman"/>
                <w:color w:val="000000"/>
                <w:sz w:val="24"/>
                <w:szCs w:val="24"/>
                <w:highlight w:val="none"/>
                <w:u w:val="none" w:color="auto"/>
              </w:rPr>
              <w:t>②</w:t>
            </w:r>
            <w:r>
              <w:rPr>
                <w:rFonts w:hint="eastAsia" w:ascii="Times New Roman" w:hAnsi="Times New Roman" w:eastAsia="宋体" w:cs="Times New Roman"/>
                <w:color w:val="000000"/>
                <w:sz w:val="24"/>
                <w:szCs w:val="24"/>
                <w:highlight w:val="none"/>
                <w:u w:val="none" w:color="auto"/>
              </w:rPr>
              <w:t xml:space="preserve"> </w:t>
            </w:r>
            <w:r>
              <w:rPr>
                <w:rFonts w:ascii="Times New Roman" w:hAnsi="Times New Roman" w:eastAsia="宋体" w:cs="Times New Roman"/>
                <w:color w:val="000000"/>
                <w:sz w:val="24"/>
                <w:szCs w:val="24"/>
                <w:highlight w:val="none"/>
                <w:u w:val="none" w:color="auto"/>
              </w:rPr>
              <w:t>施工中</w:t>
            </w:r>
            <w:r>
              <w:rPr>
                <w:rFonts w:hint="eastAsia" w:ascii="Times New Roman" w:hAnsi="Times New Roman" w:eastAsia="宋体" w:cs="Times New Roman"/>
                <w:color w:val="000000"/>
                <w:sz w:val="24"/>
                <w:szCs w:val="24"/>
                <w:highlight w:val="none"/>
                <w:u w:val="none" w:color="auto"/>
              </w:rPr>
              <w:t>应首先选择在厂区四周设置截洪沟、挡土墙的修建，避免暴雨时雨水直接冲涮项目区域</w:t>
            </w:r>
            <w:r>
              <w:rPr>
                <w:rFonts w:ascii="Times New Roman" w:hAnsi="Times New Roman" w:eastAsia="宋体" w:cs="Times New Roman"/>
                <w:color w:val="000000"/>
                <w:sz w:val="24"/>
                <w:szCs w:val="24"/>
                <w:highlight w:val="none"/>
                <w:u w:val="none" w:color="auto"/>
              </w:rPr>
              <w:t>，确保暴雨时不出现大量水土流失。</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宋体" w:hAnsi="宋体" w:eastAsia="宋体" w:cs="Times New Roman"/>
                <w:color w:val="000000"/>
                <w:sz w:val="24"/>
                <w:szCs w:val="24"/>
                <w:highlight w:val="none"/>
                <w:u w:val="none" w:color="auto"/>
              </w:rPr>
              <w:t>③</w:t>
            </w:r>
            <w:r>
              <w:rPr>
                <w:rFonts w:hint="eastAsia" w:ascii="Times New Roman" w:hAnsi="Times New Roman" w:eastAsia="宋体" w:cs="Times New Roman"/>
                <w:color w:val="000000"/>
                <w:sz w:val="24"/>
                <w:szCs w:val="24"/>
                <w:highlight w:val="none"/>
                <w:u w:val="none" w:color="auto"/>
              </w:rPr>
              <w:t xml:space="preserve"> </w:t>
            </w:r>
            <w:r>
              <w:rPr>
                <w:rFonts w:ascii="Times New Roman" w:hAnsi="Times New Roman" w:eastAsia="宋体" w:cs="Times New Roman"/>
                <w:color w:val="000000"/>
                <w:sz w:val="24"/>
                <w:szCs w:val="24"/>
                <w:highlight w:val="none"/>
                <w:u w:val="none" w:color="auto"/>
              </w:rPr>
              <w:t>设备堆放场、材料堆放场的防径流措施应加强，废土、废渣应及时运出填埋，防止出现废土、渣处置不妥而导致的水土流失</w:t>
            </w:r>
            <w:r>
              <w:rPr>
                <w:rFonts w:hint="eastAsia" w:ascii="Times New Roman" w:hAnsi="Times New Roman" w:cs="Times New Roman"/>
                <w:color w:val="000000"/>
                <w:sz w:val="24"/>
                <w:szCs w:val="24"/>
                <w:highlight w:val="none"/>
                <w:u w:val="none" w:color="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运营期环境影响和保护措施</w:t>
            </w:r>
          </w:p>
        </w:tc>
        <w:tc>
          <w:tcPr>
            <w:tcW w:w="8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b/>
                <w:bCs/>
                <w:color w:val="000000"/>
                <w:sz w:val="24"/>
                <w:szCs w:val="24"/>
                <w:highlight w:val="none"/>
                <w:u w:val="none" w:color="auto"/>
              </w:rPr>
            </w:pPr>
            <w:r>
              <w:rPr>
                <w:rFonts w:hint="eastAsia" w:ascii="Times New Roman" w:hAnsi="Times New Roman" w:cs="Times New Roman"/>
                <w:b/>
                <w:bCs/>
                <w:color w:val="000000"/>
                <w:sz w:val="24"/>
                <w:szCs w:val="24"/>
                <w:highlight w:val="none"/>
                <w:u w:val="none" w:color="auto"/>
                <w:lang w:val="en-US" w:eastAsia="zh-CN"/>
              </w:rPr>
              <w:t>1、</w:t>
            </w:r>
            <w:r>
              <w:rPr>
                <w:rFonts w:hint="eastAsia" w:ascii="Times New Roman" w:hAnsi="Times New Roman" w:eastAsia="宋体" w:cs="Times New Roman"/>
                <w:b/>
                <w:bCs/>
                <w:color w:val="000000"/>
                <w:sz w:val="24"/>
                <w:szCs w:val="24"/>
                <w:highlight w:val="none"/>
                <w:u w:val="none" w:color="auto"/>
              </w:rPr>
              <w:t>营运</w:t>
            </w:r>
            <w:r>
              <w:rPr>
                <w:rFonts w:ascii="Times New Roman" w:hAnsi="Times New Roman" w:eastAsia="宋体" w:cs="Times New Roman"/>
                <w:b/>
                <w:bCs/>
                <w:color w:val="000000"/>
                <w:sz w:val="24"/>
                <w:szCs w:val="24"/>
                <w:highlight w:val="none"/>
                <w:u w:val="none" w:color="auto"/>
              </w:rPr>
              <w:t>期主要污染工序及防治措施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95"/>
              <w:textAlignment w:val="auto"/>
              <w:rPr>
                <w:rFonts w:hint="default" w:ascii="Times New Roman" w:hAnsi="Times New Roman" w:eastAsia="宋体" w:cs="Times New Roman"/>
                <w:b/>
                <w:bCs/>
                <w:color w:val="000000"/>
                <w:sz w:val="24"/>
                <w:szCs w:val="24"/>
                <w:highlight w:val="none"/>
                <w:u w:val="none" w:color="auto"/>
              </w:rPr>
            </w:pPr>
            <w:r>
              <w:rPr>
                <w:rFonts w:hint="eastAsia" w:ascii="Times New Roman" w:hAnsi="Times New Roman" w:cs="Times New Roman"/>
                <w:b/>
                <w:bCs/>
                <w:color w:val="000000"/>
                <w:sz w:val="24"/>
                <w:szCs w:val="24"/>
                <w:highlight w:val="none"/>
                <w:u w:val="none" w:color="auto"/>
                <w:lang w:val="en-US" w:eastAsia="zh-CN"/>
              </w:rPr>
              <w:t>1</w:t>
            </w:r>
            <w:r>
              <w:rPr>
                <w:rFonts w:hint="default" w:ascii="Times New Roman" w:hAnsi="Times New Roman" w:cs="Times New Roman"/>
                <w:b/>
                <w:bCs/>
                <w:color w:val="000000"/>
                <w:sz w:val="24"/>
                <w:szCs w:val="24"/>
                <w:highlight w:val="none"/>
                <w:u w:val="none" w:color="auto"/>
                <w:lang w:val="en-US" w:eastAsia="zh-CN"/>
              </w:rPr>
              <w:t>.1</w:t>
            </w:r>
            <w:r>
              <w:rPr>
                <w:rFonts w:hint="default" w:ascii="Times New Roman" w:hAnsi="Times New Roman" w:eastAsia="宋体" w:cs="Times New Roman"/>
                <w:b/>
                <w:bCs/>
                <w:color w:val="000000"/>
                <w:sz w:val="24"/>
                <w:szCs w:val="24"/>
                <w:highlight w:val="none"/>
                <w:u w:val="none" w:color="auto"/>
              </w:rPr>
              <w:t>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000000" w:themeColor="text1"/>
                <w:sz w:val="24"/>
                <w:szCs w:val="24"/>
                <w:highlight w:val="none"/>
                <w:u w:val="none" w:color="auto"/>
                <w14:textFill>
                  <w14:solidFill>
                    <w14:schemeClr w14:val="tx1"/>
                  </w14:solidFill>
                </w14:textFill>
              </w:rPr>
            </w:pPr>
            <w:r>
              <w:rPr>
                <w:rFonts w:hint="eastAsia" w:cs="Times New Roman"/>
                <w:b/>
                <w:bCs/>
                <w:color w:val="000000"/>
                <w:kern w:val="0"/>
                <w:sz w:val="24"/>
                <w:szCs w:val="20"/>
                <w:highlight w:val="none"/>
                <w:u w:val="none" w:color="auto"/>
                <w:lang w:val="en-US" w:eastAsia="zh-CN"/>
              </w:rPr>
              <w:t>1.1.1</w:t>
            </w:r>
            <w:r>
              <w:rPr>
                <w:rFonts w:hint="eastAsia" w:ascii="Times New Roman" w:hAnsi="Times New Roman" w:eastAsia="宋体" w:cs="Times New Roman"/>
                <w:b/>
                <w:bCs/>
                <w:color w:val="000000"/>
                <w:kern w:val="0"/>
                <w:sz w:val="24"/>
                <w:szCs w:val="20"/>
                <w:highlight w:val="none"/>
                <w:u w:val="none" w:color="auto"/>
                <w:lang w:val="en-US" w:eastAsia="zh-CN"/>
              </w:rPr>
              <w:t>废气污染源强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pPr>
            <w:r>
              <w:rPr>
                <w:rFonts w:hint="eastAsia" w:cs="Times New Roman" w:eastAsiaTheme="minorEastAsia"/>
                <w:color w:val="000000" w:themeColor="text1"/>
                <w:sz w:val="24"/>
                <w:highlight w:val="none"/>
                <w:u w:val="none" w:color="auto"/>
                <w:lang w:val="en-US" w:eastAsia="zh-CN"/>
                <w14:textFill>
                  <w14:solidFill>
                    <w14:schemeClr w14:val="tx1"/>
                  </w14:solidFill>
                </w14:textFill>
              </w:rPr>
              <w:t>一号站混凝土生产</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过程中产生的废气主要为混合粉尘、筒仓呼吸粉尘、筒仓放空口粉尘</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稳定土生产过程中产生的废气主要为水泥罐仓产生的粉尘、投料搅拌工序产生的粉尘</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；沥青</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混凝土生产过程中产生的废气主要为导热油锅炉燃油烟气，搅拌楼沥青烟气</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；砂石装卸堆放扬尘、运输车辆扬尘及食堂油烟等。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二号站</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产生的废气主要有混合粉尘、筒仓呼吸粉尘、筒仓放空口粉尘、砂石装卸堆放扬尘</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运输车辆扬尘</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及食堂油烟</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b w:val="0"/>
                <w:bCs w:val="0"/>
                <w:color w:val="000000" w:themeColor="text1"/>
                <w:sz w:val="24"/>
                <w:highlight w:val="none"/>
                <w:u w:val="none" w:color="auto"/>
                <w:lang w:val="en-US" w:eastAsia="zh-CN"/>
                <w14:textFill>
                  <w14:solidFill>
                    <w14:schemeClr w14:val="tx1"/>
                  </w14:solidFill>
                </w14:textFill>
              </w:rPr>
            </w:pPr>
            <w:r>
              <w:rPr>
                <w:rFonts w:hint="eastAsia" w:cs="Times New Roman" w:eastAsiaTheme="minorEastAsia"/>
                <w:b w:val="0"/>
                <w:bCs w:val="0"/>
                <w:color w:val="000000" w:themeColor="text1"/>
                <w:sz w:val="24"/>
                <w:highlight w:val="none"/>
                <w:u w:val="none" w:color="auto"/>
                <w:lang w:val="en-US" w:eastAsia="zh-CN"/>
                <w14:textFill>
                  <w14:solidFill>
                    <w14:schemeClr w14:val="tx1"/>
                  </w14:solidFill>
                </w14:textFill>
              </w:rPr>
              <w:t>（1）</w:t>
            </w:r>
            <w:r>
              <w:rPr>
                <w:rFonts w:hint="eastAsia" w:ascii="Times New Roman" w:hAnsi="Times New Roman" w:cs="Times New Roman" w:eastAsiaTheme="minorEastAsia"/>
                <w:b w:val="0"/>
                <w:bCs w:val="0"/>
                <w:color w:val="000000" w:themeColor="text1"/>
                <w:sz w:val="24"/>
                <w:highlight w:val="none"/>
                <w:u w:val="none" w:color="auto"/>
                <w:lang w:val="en-US" w:eastAsia="zh-CN"/>
                <w14:textFill>
                  <w14:solidFill>
                    <w14:schemeClr w14:val="tx1"/>
                  </w14:solidFill>
                </w14:textFill>
              </w:rPr>
              <w:t>一号站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Cs/>
                <w:color w:val="000000" w:themeColor="text1"/>
                <w:kern w:val="0"/>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①混合粉尘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strike w:val="0"/>
                <w:dstrike w:val="0"/>
                <w:color w:val="000000" w:themeColor="text1"/>
                <w:sz w:val="24"/>
                <w:highlight w:val="yellow"/>
                <w:u w:val="none" w:color="auto"/>
                <w14:textFill>
                  <w14:solidFill>
                    <w14:schemeClr w14:val="tx1"/>
                  </w14:solidFill>
                </w14:textFill>
              </w:rPr>
            </w:pPr>
            <w:r>
              <w:rPr>
                <w:rFonts w:hint="default" w:ascii="Times New Roman" w:hAnsi="Times New Roman" w:cs="Times New Roman" w:eastAsiaTheme="minorEastAsia"/>
                <w:bCs/>
                <w:color w:val="000000" w:themeColor="text1"/>
                <w:kern w:val="0"/>
                <w:sz w:val="24"/>
                <w:highlight w:val="none"/>
                <w:u w:val="none" w:color="auto"/>
                <w14:textFill>
                  <w14:solidFill>
                    <w14:schemeClr w14:val="tx1"/>
                  </w14:solidFill>
                </w14:textFill>
              </w:rPr>
              <w:t>项目</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混凝土</w:t>
            </w:r>
            <w:r>
              <w:rPr>
                <w:rFonts w:hint="default" w:ascii="Times New Roman" w:hAnsi="Times New Roman" w:cs="Times New Roman" w:eastAsiaTheme="minorEastAsia"/>
                <w:bCs/>
                <w:color w:val="000000" w:themeColor="text1"/>
                <w:kern w:val="0"/>
                <w:sz w:val="24"/>
                <w:highlight w:val="none"/>
                <w:u w:val="none" w:color="auto"/>
                <w14:textFill>
                  <w14:solidFill>
                    <w14:schemeClr w14:val="tx1"/>
                  </w14:solidFill>
                </w14:textFill>
              </w:rPr>
              <w:t>搅拌站生产工序均采用电脑集中控制，各工序的连锁、联动的协调性、安全性非常强，原料的输送、计量、投料等过程均封闭进行。</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因为搅拌需加水，搅拌工序可不考虑有粉尘产生。水泥、粉煤灰、砂石以及添加剂按一定比例混合后进入</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搅拌站</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中搅拌，</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搅拌主机为连续运行，即进料和出料始终是连续性的，当原料由管道或输送皮带通过计量泵进入搅拌主机时，搅拌主机的呼吸孔会有粉尘产</w:t>
            </w:r>
            <w:r>
              <w:rPr>
                <w:rFonts w:hint="default" w:ascii="Times New Roman" w:hAnsi="Times New Roman" w:cs="Times New Roman" w:eastAsiaTheme="minorEastAsia"/>
                <w:strike w:val="0"/>
                <w:dstrike w:val="0"/>
                <w:color w:val="000000" w:themeColor="text1"/>
                <w:sz w:val="24"/>
                <w:highlight w:val="none"/>
                <w:u w:val="none" w:color="auto"/>
                <w14:textFill>
                  <w14:solidFill>
                    <w14:schemeClr w14:val="tx1"/>
                  </w14:solidFill>
                </w14:textFill>
              </w:rPr>
              <w:t>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根据《3021水泥制品制造（含3022砼结构构件制造、3029其他水泥类似制品制造）行业系数手册》物料混合搅拌环节颗粒物的产污系数为0.13千克/吨-产品，</w:t>
            </w:r>
            <w:r>
              <w:rPr>
                <w:rFonts w:hint="eastAsia"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一</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号站年产</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6</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万立方混凝土，1立方混凝土约为2.3吨，则本项目年生产</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13.8万</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吨混凝土，因此本项目搅拌混合粉尘产生量为</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17.94</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t/a</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，产生速率为24.92</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kg/</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h</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，项目搅拌混合粉尘采用布袋除尘器收集处理，治理效率为99.</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7</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，则排放量为0.054</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t/a</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，排放速率为0.075</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kg/</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h</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default" w:ascii="Times New Roman" w:hAnsi="Times New Roman" w:cs="Times New Roman" w:eastAsiaTheme="minorEastAsia"/>
                <w:strike w:val="0"/>
                <w:dstrike w:val="0"/>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strike w:val="0"/>
                <w:dstrike w:val="0"/>
                <w:color w:val="000000" w:themeColor="text1"/>
                <w:sz w:val="24"/>
                <w:szCs w:val="24"/>
                <w:highlight w:val="none"/>
                <w:u w:val="none" w:color="auto"/>
                <w14:textFill>
                  <w14:solidFill>
                    <w14:schemeClr w14:val="tx1"/>
                  </w14:solidFill>
                </w14:textFill>
              </w:rPr>
              <w:t>②筒仓顶呼吸孔粉尘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混凝土生产线水泥、粉煤灰均采用筒仓储存</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，稳定土生产线水泥采用筒仓储存</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。水泥、粉煤灰等粉料通过罐车运输进厂，由罐车自带的空压机打入筒仓，此时产生的含尘废气由筒仓顶部呼吸口排出。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混凝土生产线水泥用量</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28020</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t/a</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，共有</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个</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9</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水泥筒仓，则单个筒仓年进料</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104</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次，</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个筒仓年进料共计</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309</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次。类比同类型混凝土搅拌站，本项目运输车进料风量</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3000m</w:t>
            </w:r>
            <w:r>
              <w:rPr>
                <w:rFonts w:hint="default" w:ascii="Times New Roman" w:hAnsi="Times New Roman" w:cs="Times New Roman" w:eastAsiaTheme="minorEastAsia"/>
                <w:color w:val="000000" w:themeColor="text1"/>
                <w:sz w:val="24"/>
                <w:highlight w:val="none"/>
                <w:u w:val="none" w:color="auto"/>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/h</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，进料速率1</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t/min</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，则单个筒仓单次进料时间</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h</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，单个筒仓年总进料时间约</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156</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h</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个筒仓年总进料时间约</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468</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h</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，因此单个筒仓年进料产生的风量为</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46.8</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万</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u w:val="none" w:color="auto"/>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/a</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混凝土生产线粉煤灰用量8</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00</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t/a</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，共有1个</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9</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粉煤灰筒仓，则筒仓年进料共计</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93</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次。类比同类型混凝土搅拌站，本项目运输车进料风量</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3000m</w:t>
            </w:r>
            <w:r>
              <w:rPr>
                <w:rFonts w:hint="default" w:ascii="Times New Roman" w:hAnsi="Times New Roman" w:cs="Times New Roman" w:eastAsiaTheme="minorEastAsia"/>
                <w:color w:val="000000" w:themeColor="text1"/>
                <w:sz w:val="24"/>
                <w:highlight w:val="none"/>
                <w:u w:val="none" w:color="auto"/>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/h</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，进料速率1</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t/min</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，则筒仓单次进料时间</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h</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，筒仓年总进料时间约139.5</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h</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，因此筒仓年进料产生的风量为4</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1.85</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万</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u w:val="none" w:color="auto"/>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/a</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sz w:val="24"/>
                <w:highlight w:val="none"/>
                <w:u w:val="none" w:color="auto"/>
                <w:lang w:val="en-US" w:eastAsia="zh-CN"/>
              </w:rPr>
            </w:pPr>
            <w:r>
              <w:rPr>
                <w:rFonts w:hint="eastAsia" w:ascii="Times New Roman" w:hAnsi="Times New Roman" w:eastAsia="宋体" w:cs="Times New Roman"/>
                <w:color w:val="000000"/>
                <w:sz w:val="24"/>
                <w:highlight w:val="none"/>
                <w:u w:val="none" w:color="auto"/>
                <w:lang w:val="en-US" w:eastAsia="zh-CN"/>
              </w:rPr>
              <w:t>稳定土生产线水泥用量40750t/a，共有3个90t水泥筒仓（其中2个筒仓的规格为95t，1个筒仓的规格为80t），则单个筒仓年平均进料150次，3个筒仓年平均进料共计450次。类比混凝土搅拌站，本项目运输车进料风量3000m</w:t>
            </w:r>
            <w:r>
              <w:rPr>
                <w:rFonts w:hint="eastAsia" w:ascii="Times New Roman" w:hAnsi="Times New Roman" w:eastAsia="宋体" w:cs="Times New Roman"/>
                <w:color w:val="000000"/>
                <w:sz w:val="24"/>
                <w:highlight w:val="none"/>
                <w:u w:val="none" w:color="auto"/>
                <w:vertAlign w:val="superscript"/>
                <w:lang w:val="en-US" w:eastAsia="zh-CN"/>
              </w:rPr>
              <w:t>3</w:t>
            </w:r>
            <w:r>
              <w:rPr>
                <w:rFonts w:hint="eastAsia" w:ascii="Times New Roman" w:hAnsi="Times New Roman" w:eastAsia="宋体" w:cs="Times New Roman"/>
                <w:color w:val="000000"/>
                <w:sz w:val="24"/>
                <w:highlight w:val="none"/>
                <w:u w:val="none" w:color="auto"/>
                <w:lang w:val="en-US" w:eastAsia="zh-CN"/>
              </w:rPr>
              <w:t>/h，进料速率1t/min，则单个筒仓平均单次进料时间1.5h，单个筒仓年总进料时间约225h，3个筒仓年总进料时间约675h，因此单个筒仓年进料产生的风量为67.5万m</w:t>
            </w:r>
            <w:r>
              <w:rPr>
                <w:rFonts w:hint="eastAsia" w:ascii="Times New Roman" w:hAnsi="Times New Roman" w:eastAsia="宋体" w:cs="Times New Roman"/>
                <w:color w:val="000000"/>
                <w:sz w:val="24"/>
                <w:highlight w:val="none"/>
                <w:u w:val="none" w:color="auto"/>
                <w:vertAlign w:val="superscript"/>
                <w:lang w:val="en-US" w:eastAsia="zh-CN"/>
              </w:rPr>
              <w:t>3</w:t>
            </w:r>
            <w:r>
              <w:rPr>
                <w:rFonts w:hint="eastAsia" w:ascii="Times New Roman" w:hAnsi="Times New Roman" w:eastAsia="宋体" w:cs="Times New Roman"/>
                <w:color w:val="000000"/>
                <w:sz w:val="24"/>
                <w:highlight w:val="none"/>
                <w:u w:val="none" w:color="auto"/>
                <w:lang w:val="en-US" w:eastAsia="zh-CN"/>
              </w:rPr>
              <w: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eastAsiaTheme="minorEastAsia"/>
                <w:color w:val="000000" w:themeColor="text1"/>
                <w:sz w:val="24"/>
                <w:highlight w:val="none"/>
                <w:u w:val="none" w:color="auto"/>
                <w:lang w:val="en-US" w:eastAsia="zh-CN"/>
                <w14:textFill>
                  <w14:solidFill>
                    <w14:schemeClr w14:val="tx1"/>
                  </w14:solidFill>
                </w14:textFill>
              </w:rPr>
            </w:pPr>
            <w:r>
              <w:rPr>
                <w:rFonts w:hint="eastAsia" w:cs="Times New Roman"/>
                <w:color w:val="000000"/>
                <w:sz w:val="24"/>
                <w:highlight w:val="none"/>
                <w:u w:val="none" w:color="auto"/>
                <w:lang w:val="en-US" w:eastAsia="zh-CN"/>
              </w:rPr>
              <w:t>一号站</w:t>
            </w:r>
            <w:r>
              <w:rPr>
                <w:rFonts w:hint="eastAsia" w:ascii="Times New Roman" w:hAnsi="Times New Roman" w:eastAsia="宋体" w:cs="Times New Roman"/>
                <w:color w:val="000000"/>
                <w:sz w:val="24"/>
                <w:highlight w:val="none"/>
                <w:u w:val="none" w:color="auto"/>
                <w:lang w:val="en-US" w:eastAsia="zh-CN"/>
              </w:rPr>
              <w:t>混凝土生产线包括</w:t>
            </w:r>
            <w:r>
              <w:rPr>
                <w:rFonts w:hint="eastAsia" w:ascii="Times New Roman" w:hAnsi="Times New Roman" w:cs="Times New Roman"/>
                <w:color w:val="000000"/>
                <w:sz w:val="24"/>
                <w:highlight w:val="none"/>
                <w:u w:val="none" w:color="auto"/>
                <w:lang w:val="en-US" w:eastAsia="zh-CN"/>
              </w:rPr>
              <w:t>3个水泥筒仓、1个粉煤灰筒仓，稳定土生产线包括3个水泥筒仓</w:t>
            </w:r>
            <w:r>
              <w:rPr>
                <w:rFonts w:hint="eastAsia" w:ascii="Times New Roman" w:hAnsi="Times New Roman" w:eastAsia="宋体" w:cs="Times New Roman"/>
                <w:color w:val="000000"/>
                <w:sz w:val="24"/>
                <w:highlight w:val="none"/>
                <w:u w:val="none" w:color="auto"/>
                <w:lang w:val="en-US" w:eastAsia="zh-CN"/>
              </w:rPr>
              <w:t>。上述筒仓废气经自带的滤芯除尘器处理。根据《空气污染排放和控制手册》（美国环境保护局编著，张良壁等译，中国环境科学出版社）中的“十、混凝土配料”推荐的配料工艺潜在的逸散排放因子的排放等级，并出于保守考虑，选取</w:t>
            </w:r>
            <w:r>
              <w:rPr>
                <w:rFonts w:hint="default" w:ascii="Times New Roman" w:hAnsi="Times New Roman" w:eastAsia="宋体" w:cs="Times New Roman"/>
                <w:color w:val="000000"/>
                <w:sz w:val="24"/>
                <w:highlight w:val="none"/>
                <w:u w:val="none" w:color="auto"/>
                <w:lang w:val="en-US" w:eastAsia="zh-CN"/>
              </w:rPr>
              <w:t>0.12kg/t</w:t>
            </w:r>
            <w:r>
              <w:rPr>
                <w:rFonts w:hint="eastAsia" w:ascii="Times New Roman" w:hAnsi="Times New Roman" w:eastAsia="宋体" w:cs="Times New Roman"/>
                <w:color w:val="000000"/>
                <w:sz w:val="24"/>
                <w:highlight w:val="none"/>
                <w:u w:val="none" w:color="auto"/>
                <w:lang w:val="en-US" w:eastAsia="zh-CN"/>
              </w:rPr>
              <w:t>物料核算水泥由罐车经气泵打入筒仓中仓顶的粉尘产生量。项目混凝土生产线水泥筒仓单次装满90</w:t>
            </w:r>
            <w:r>
              <w:rPr>
                <w:rFonts w:hint="default" w:ascii="Times New Roman" w:hAnsi="Times New Roman" w:eastAsia="宋体" w:cs="Times New Roman"/>
                <w:color w:val="000000"/>
                <w:sz w:val="24"/>
                <w:highlight w:val="none"/>
                <w:u w:val="none" w:color="auto"/>
                <w:lang w:val="en-US" w:eastAsia="zh-CN"/>
              </w:rPr>
              <w:t>t</w:t>
            </w:r>
            <w:r>
              <w:rPr>
                <w:rFonts w:hint="eastAsia" w:ascii="Times New Roman" w:hAnsi="Times New Roman" w:eastAsia="宋体" w:cs="Times New Roman"/>
                <w:color w:val="000000"/>
                <w:sz w:val="24"/>
                <w:highlight w:val="none"/>
                <w:u w:val="none" w:color="auto"/>
                <w:lang w:val="en-US" w:eastAsia="zh-CN"/>
              </w:rPr>
              <w:t>水泥时间1.5</w:t>
            </w:r>
            <w:r>
              <w:rPr>
                <w:rFonts w:hint="default" w:ascii="Times New Roman" w:hAnsi="Times New Roman" w:eastAsia="宋体" w:cs="Times New Roman"/>
                <w:color w:val="000000"/>
                <w:sz w:val="24"/>
                <w:highlight w:val="none"/>
                <w:u w:val="none" w:color="auto"/>
                <w:lang w:val="en-US" w:eastAsia="zh-CN"/>
              </w:rPr>
              <w:t>h</w:t>
            </w:r>
            <w:r>
              <w:rPr>
                <w:rFonts w:hint="eastAsia" w:ascii="Times New Roman" w:hAnsi="Times New Roman" w:eastAsia="宋体" w:cs="Times New Roman"/>
                <w:color w:val="000000"/>
                <w:sz w:val="24"/>
                <w:highlight w:val="none"/>
                <w:u w:val="none" w:color="auto"/>
                <w:lang w:val="en-US" w:eastAsia="zh-CN"/>
              </w:rPr>
              <w:t>，则单次装满水泥产生的粉尘量为</w:t>
            </w:r>
            <w:r>
              <w:rPr>
                <w:rFonts w:hint="eastAsia" w:ascii="Times New Roman" w:hAnsi="Times New Roman" w:cs="Times New Roman"/>
                <w:color w:val="000000"/>
                <w:sz w:val="24"/>
                <w:highlight w:val="none"/>
                <w:u w:val="none" w:color="auto"/>
                <w:lang w:val="en-US" w:eastAsia="zh-CN"/>
              </w:rPr>
              <w:t>10.8</w:t>
            </w:r>
            <w:r>
              <w:rPr>
                <w:rFonts w:hint="default" w:ascii="Times New Roman" w:hAnsi="Times New Roman" w:eastAsia="宋体" w:cs="Times New Roman"/>
                <w:color w:val="000000"/>
                <w:sz w:val="24"/>
                <w:highlight w:val="none"/>
                <w:u w:val="none" w:color="auto"/>
                <w:lang w:val="en-US" w:eastAsia="zh-CN"/>
              </w:rPr>
              <w:t>kg</w:t>
            </w:r>
            <w:r>
              <w:rPr>
                <w:rFonts w:hint="eastAsia" w:ascii="Times New Roman" w:hAnsi="Times New Roman" w:eastAsia="宋体" w:cs="Times New Roman"/>
                <w:color w:val="000000"/>
                <w:sz w:val="24"/>
                <w:highlight w:val="none"/>
                <w:u w:val="none" w:color="auto"/>
                <w:lang w:val="en-US" w:eastAsia="zh-CN"/>
              </w:rPr>
              <w:t>，即</w:t>
            </w:r>
            <w:r>
              <w:rPr>
                <w:rFonts w:hint="eastAsia" w:ascii="Times New Roman" w:hAnsi="Times New Roman" w:cs="Times New Roman"/>
                <w:color w:val="000000"/>
                <w:sz w:val="24"/>
                <w:highlight w:val="none"/>
                <w:u w:val="none" w:color="auto"/>
                <w:lang w:val="en-US" w:eastAsia="zh-CN"/>
              </w:rPr>
              <w:t>7.</w:t>
            </w:r>
            <w:r>
              <w:rPr>
                <w:rFonts w:hint="eastAsia" w:cs="Times New Roman"/>
                <w:color w:val="000000"/>
                <w:sz w:val="24"/>
                <w:highlight w:val="none"/>
                <w:u w:val="none" w:color="auto"/>
                <w:lang w:val="en-US" w:eastAsia="zh-CN"/>
              </w:rPr>
              <w:t>2</w:t>
            </w:r>
            <w:r>
              <w:rPr>
                <w:rFonts w:hint="default" w:ascii="Times New Roman" w:hAnsi="Times New Roman" w:eastAsia="宋体" w:cs="Times New Roman"/>
                <w:color w:val="000000"/>
                <w:sz w:val="24"/>
                <w:highlight w:val="none"/>
                <w:u w:val="none" w:color="auto"/>
                <w:lang w:val="en-US" w:eastAsia="zh-CN"/>
              </w:rPr>
              <w:t>kg/h</w:t>
            </w:r>
            <w:r>
              <w:rPr>
                <w:rFonts w:hint="eastAsia" w:ascii="Times New Roman" w:hAnsi="Times New Roman" w:cs="Times New Roman"/>
                <w:color w:val="auto"/>
                <w:sz w:val="24"/>
                <w:highlight w:val="none"/>
                <w:u w:val="none" w:color="auto"/>
                <w:lang w:val="en-US" w:eastAsia="zh-CN"/>
              </w:rPr>
              <w:t>；粉煤灰筒仓单次装满90t粉煤灰时间1.5h，则单次装满粉料产生的粉尘量为10.8kg，即7.2kg/h；项目稳定土生产线水泥筒仓单次装满90t水泥时间1.5h，则单次装满水泥产生的粉尘量为10.8kg，即7.2kg/h。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本项目采用的脉冲布袋除尘器由上箱体、中箱体、灰斗、卸灰系统和控制系统组成，并采用下进气分室结构。含尘空气进气口进入除尘箱，因气体突然扩张，流速骤然降低，颗粒较粗的粉尘，靠其自重力向下沉降，落入灰斗。细小粉尘通过各种效应被吸附在滤袋外壁，经滤袋过滤后的净化空气，通过文氏管进入上箱体，从出气口排出，被吸附在滤袋外壁的粉尘，随着时间的增长，越积越厚，除尘器阻力逐渐上升，处理的气体量不断减少，为了使除尘器经常保持有效状态，设备阻力稳定在一定的范围内，就需要清除吸附在滤袋外面的积灰。消灰过程是由控制仪按规定要求对各个电磁脉冲阀发出指令，依次打开阀门，顺序向各组滤袋内喷吹高压空气。气包内压缩空气经由喷吹管的孔眼穿过文氏管进入滤袋（称为一次风）。而当喷吹的高速气流通过文氏管一一引射器的一刹那，数位于一次的周围空气被诱导同时进入袋内，使滤袋在一瞬间急剧从收缩一一膨胀一一收缩，以及气流反向作用，逐渐吸附在袋壁外面的粉尘清除下来。脉冲布袋除尘器广泛用于打磨、抛光、喷砂、搅拌、倒料等生产工序产生的粉尘除尘净化，其特点是除尘效率高，可捕集粒径大于0.3微米的细小粉尘，</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处理效率</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高达99.7</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以上。脉冲布袋除尘器结构示意图见下图4-1。</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eastAsia" w:ascii="Times New Roman" w:hAnsi="Times New Roman" w:cs="Times New Roman" w:eastAsiaTheme="minorEastAsia"/>
                <w:b/>
                <w:bCs/>
                <w:snapToGrid w:val="0"/>
                <w:color w:val="000000" w:themeColor="text1"/>
                <w:spacing w:val="0"/>
                <w:kern w:val="0"/>
                <w:sz w:val="21"/>
                <w:szCs w:val="21"/>
                <w:highlight w:val="none"/>
                <w:u w:val="none" w:color="auto"/>
                <w:lang w:val="en-US" w:eastAsia="zh-CN" w:bidi="ar-SA"/>
                <w14:textFill>
                  <w14:solidFill>
                    <w14:schemeClr w14:val="tx1"/>
                  </w14:solidFill>
                </w14:textFill>
              </w:rPr>
            </w:pPr>
            <w:r>
              <w:rPr>
                <w:rFonts w:ascii="Times New Roman" w:hAnsi="Times New Roman" w:eastAsia="黑体" w:cs="Times New Roman"/>
                <w:b/>
                <w:bCs/>
                <w:snapToGrid w:val="0"/>
                <w:spacing w:val="0"/>
                <w:kern w:val="0"/>
                <w:sz w:val="21"/>
                <w:szCs w:val="21"/>
                <w:highlight w:val="none"/>
                <w:u w:val="none" w:color="auto"/>
                <w:lang w:val="en-US" w:eastAsia="zh-CN" w:bidi="ar-SA"/>
              </w:rPr>
              <w:drawing>
                <wp:anchor distT="0" distB="0" distL="114300" distR="114300" simplePos="0" relativeHeight="251669504" behindDoc="0" locked="0" layoutInCell="1" allowOverlap="1">
                  <wp:simplePos x="0" y="0"/>
                  <wp:positionH relativeFrom="column">
                    <wp:posOffset>33655</wp:posOffset>
                  </wp:positionH>
                  <wp:positionV relativeFrom="paragraph">
                    <wp:posOffset>88900</wp:posOffset>
                  </wp:positionV>
                  <wp:extent cx="5029200" cy="4123690"/>
                  <wp:effectExtent l="0" t="0" r="0" b="10160"/>
                  <wp:wrapSquare wrapText="bothSides"/>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5"/>
                          <a:srcRect b="261"/>
                          <a:stretch>
                            <a:fillRect/>
                          </a:stretch>
                        </pic:blipFill>
                        <pic:spPr>
                          <a:xfrm>
                            <a:off x="1424940" y="1240155"/>
                            <a:ext cx="5029200" cy="4123690"/>
                          </a:xfrm>
                          <a:prstGeom prst="rect">
                            <a:avLst/>
                          </a:prstGeom>
                          <a:noFill/>
                          <a:ln>
                            <a:noFill/>
                          </a:ln>
                        </pic:spPr>
                      </pic:pic>
                    </a:graphicData>
                  </a:graphic>
                </wp:anchor>
              </w:drawing>
            </w:r>
            <w:r>
              <w:rPr>
                <w:rFonts w:hint="eastAsia" w:ascii="Times New Roman" w:hAnsi="Times New Roman" w:cs="Times New Roman" w:eastAsiaTheme="minorEastAsia"/>
                <w:b/>
                <w:bCs/>
                <w:snapToGrid w:val="0"/>
                <w:color w:val="000000" w:themeColor="text1"/>
                <w:spacing w:val="0"/>
                <w:kern w:val="0"/>
                <w:sz w:val="21"/>
                <w:szCs w:val="21"/>
                <w:highlight w:val="none"/>
                <w:u w:val="none" w:color="auto"/>
                <w:lang w:val="en-US" w:eastAsia="zh-CN" w:bidi="ar-SA"/>
                <w14:textFill>
                  <w14:solidFill>
                    <w14:schemeClr w14:val="tx1"/>
                  </w14:solidFill>
                </w14:textFill>
              </w:rPr>
              <w:t>图4-1 项目使用的脉冲布袋除尘器构造图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该混凝土生产线</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粉尘产排情况见表</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 xml:space="preserve"> 项目混凝土生产线筒仓粉尘污染物产排一览表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925"/>
              <w:gridCol w:w="809"/>
              <w:gridCol w:w="886"/>
              <w:gridCol w:w="869"/>
              <w:gridCol w:w="646"/>
              <w:gridCol w:w="829"/>
              <w:gridCol w:w="753"/>
              <w:gridCol w:w="690"/>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9" w:type="pct"/>
                  <w:vMerge w:val="restart"/>
                  <w:vAlign w:val="center"/>
                </w:tcPr>
                <w:p>
                  <w:pPr>
                    <w:pStyle w:val="57"/>
                    <w:bidi w:val="0"/>
                    <w:rPr>
                      <w:rFonts w:hint="default"/>
                    </w:rPr>
                  </w:pPr>
                  <w:r>
                    <w:rPr>
                      <w:rFonts w:hint="eastAsia"/>
                      <w:lang w:val="en-US" w:eastAsia="zh-CN"/>
                    </w:rPr>
                    <w:t>污染源</w:t>
                  </w:r>
                </w:p>
              </w:tc>
              <w:tc>
                <w:tcPr>
                  <w:tcW w:w="562" w:type="pct"/>
                  <w:vMerge w:val="restart"/>
                  <w:vAlign w:val="center"/>
                </w:tcPr>
                <w:p>
                  <w:pPr>
                    <w:pStyle w:val="57"/>
                    <w:bidi w:val="0"/>
                    <w:rPr>
                      <w:rFonts w:hint="default"/>
                    </w:rPr>
                  </w:pPr>
                  <w:r>
                    <w:rPr>
                      <w:rFonts w:hint="eastAsia"/>
                      <w:lang w:val="en-US" w:eastAsia="zh-CN"/>
                    </w:rPr>
                    <w:t>粉料输送总量（t/a）</w:t>
                  </w:r>
                </w:p>
              </w:tc>
              <w:tc>
                <w:tcPr>
                  <w:tcW w:w="492" w:type="pct"/>
                  <w:vMerge w:val="restart"/>
                  <w:vAlign w:val="center"/>
                </w:tcPr>
                <w:p>
                  <w:pPr>
                    <w:pStyle w:val="57"/>
                    <w:bidi w:val="0"/>
                    <w:rPr>
                      <w:rFonts w:hint="default"/>
                    </w:rPr>
                  </w:pPr>
                  <w:r>
                    <w:rPr>
                      <w:rFonts w:hint="eastAsia"/>
                      <w:lang w:val="en-US" w:eastAsia="zh-CN"/>
                    </w:rPr>
                    <w:t>年进料时间（h）</w:t>
                  </w:r>
                </w:p>
              </w:tc>
              <w:tc>
                <w:tcPr>
                  <w:tcW w:w="538" w:type="pct"/>
                  <w:vMerge w:val="restart"/>
                  <w:vAlign w:val="center"/>
                </w:tcPr>
                <w:p>
                  <w:pPr>
                    <w:pStyle w:val="57"/>
                    <w:bidi w:val="0"/>
                    <w:rPr>
                      <w:rFonts w:hint="default"/>
                      <w:lang w:val="en-US" w:eastAsia="zh-CN"/>
                    </w:rPr>
                  </w:pPr>
                  <w:r>
                    <w:rPr>
                      <w:rFonts w:hint="eastAsia"/>
                      <w:lang w:val="en-US" w:eastAsia="zh-CN"/>
                    </w:rPr>
                    <w:t>废气总量</w:t>
                  </w:r>
                </w:p>
                <w:p>
                  <w:pPr>
                    <w:pStyle w:val="57"/>
                    <w:bidi w:val="0"/>
                    <w:rPr>
                      <w:rFonts w:hint="default"/>
                    </w:rPr>
                  </w:pPr>
                  <w:r>
                    <w:rPr>
                      <w:rFonts w:hint="eastAsia"/>
                      <w:lang w:val="en-US" w:eastAsia="zh-CN"/>
                    </w:rPr>
                    <w:t>（万</w:t>
                  </w:r>
                  <w:r>
                    <w:rPr>
                      <w:rFonts w:hint="default"/>
                      <w:lang w:val="en-US" w:eastAsia="zh-CN"/>
                    </w:rPr>
                    <w:t>m</w:t>
                  </w:r>
                  <w:r>
                    <w:rPr>
                      <w:rFonts w:hint="default"/>
                      <w:vertAlign w:val="superscript"/>
                      <w:lang w:val="en-US" w:eastAsia="zh-CN"/>
                    </w:rPr>
                    <w:t>3</w:t>
                  </w:r>
                  <w:r>
                    <w:rPr>
                      <w:rFonts w:hint="default"/>
                      <w:lang w:val="en-US" w:eastAsia="zh-CN"/>
                    </w:rPr>
                    <w:t>/a</w:t>
                  </w:r>
                  <w:r>
                    <w:rPr>
                      <w:rFonts w:hint="eastAsia"/>
                      <w:lang w:val="en-US" w:eastAsia="zh-CN"/>
                    </w:rPr>
                    <w:t>）</w:t>
                  </w:r>
                </w:p>
              </w:tc>
              <w:tc>
                <w:tcPr>
                  <w:tcW w:w="921" w:type="pct"/>
                  <w:gridSpan w:val="2"/>
                  <w:vAlign w:val="center"/>
                </w:tcPr>
                <w:p>
                  <w:pPr>
                    <w:pStyle w:val="57"/>
                    <w:bidi w:val="0"/>
                    <w:rPr>
                      <w:rFonts w:hint="default"/>
                    </w:rPr>
                  </w:pPr>
                  <w:r>
                    <w:rPr>
                      <w:rFonts w:hint="eastAsia"/>
                      <w:lang w:val="en-US" w:eastAsia="zh-CN"/>
                    </w:rPr>
                    <w:t>粉尘产生情况</w:t>
                  </w:r>
                </w:p>
              </w:tc>
              <w:tc>
                <w:tcPr>
                  <w:tcW w:w="504" w:type="pct"/>
                  <w:vMerge w:val="restart"/>
                  <w:vAlign w:val="center"/>
                </w:tcPr>
                <w:p>
                  <w:pPr>
                    <w:pStyle w:val="57"/>
                    <w:bidi w:val="0"/>
                    <w:rPr>
                      <w:rFonts w:hint="default"/>
                      <w:lang w:val="en-US" w:eastAsia="zh-CN"/>
                    </w:rPr>
                  </w:pPr>
                  <w:r>
                    <w:rPr>
                      <w:rFonts w:hint="eastAsia"/>
                      <w:lang w:val="en-US" w:eastAsia="zh-CN"/>
                    </w:rPr>
                    <w:t>治理措施</w:t>
                  </w:r>
                </w:p>
                <w:p>
                  <w:pPr>
                    <w:pStyle w:val="57"/>
                    <w:bidi w:val="0"/>
                    <w:rPr>
                      <w:rFonts w:hint="default"/>
                    </w:rPr>
                  </w:pPr>
                </w:p>
              </w:tc>
              <w:tc>
                <w:tcPr>
                  <w:tcW w:w="854" w:type="pct"/>
                  <w:gridSpan w:val="2"/>
                  <w:vAlign w:val="center"/>
                </w:tcPr>
                <w:p>
                  <w:pPr>
                    <w:pStyle w:val="57"/>
                    <w:bidi w:val="0"/>
                    <w:rPr>
                      <w:rFonts w:hint="default"/>
                    </w:rPr>
                  </w:pPr>
                  <w:r>
                    <w:rPr>
                      <w:rFonts w:hint="eastAsia"/>
                      <w:lang w:val="en-US" w:eastAsia="zh-CN"/>
                    </w:rPr>
                    <w:t>粉尘排放情况</w:t>
                  </w:r>
                </w:p>
              </w:tc>
              <w:tc>
                <w:tcPr>
                  <w:tcW w:w="616" w:type="pct"/>
                  <w:vMerge w:val="restart"/>
                  <w:vAlign w:val="center"/>
                </w:tcPr>
                <w:p>
                  <w:pPr>
                    <w:pStyle w:val="57"/>
                    <w:bidi w:val="0"/>
                    <w:rPr>
                      <w:rFonts w:hint="default"/>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vMerge w:val="continue"/>
                  <w:vAlign w:val="center"/>
                </w:tcPr>
                <w:p>
                  <w:pPr>
                    <w:pStyle w:val="57"/>
                    <w:bidi w:val="0"/>
                    <w:rPr>
                      <w:rFonts w:hint="default"/>
                    </w:rPr>
                  </w:pPr>
                </w:p>
              </w:tc>
              <w:tc>
                <w:tcPr>
                  <w:tcW w:w="562" w:type="pct"/>
                  <w:vMerge w:val="continue"/>
                  <w:vAlign w:val="center"/>
                </w:tcPr>
                <w:p>
                  <w:pPr>
                    <w:pStyle w:val="57"/>
                    <w:bidi w:val="0"/>
                    <w:rPr>
                      <w:rFonts w:hint="default"/>
                    </w:rPr>
                  </w:pPr>
                </w:p>
              </w:tc>
              <w:tc>
                <w:tcPr>
                  <w:tcW w:w="492" w:type="pct"/>
                  <w:vMerge w:val="continue"/>
                  <w:vAlign w:val="center"/>
                </w:tcPr>
                <w:p>
                  <w:pPr>
                    <w:pStyle w:val="57"/>
                    <w:bidi w:val="0"/>
                    <w:rPr>
                      <w:rFonts w:hint="default"/>
                    </w:rPr>
                  </w:pPr>
                </w:p>
              </w:tc>
              <w:tc>
                <w:tcPr>
                  <w:tcW w:w="538" w:type="pct"/>
                  <w:vMerge w:val="continue"/>
                  <w:vAlign w:val="center"/>
                </w:tcPr>
                <w:p>
                  <w:pPr>
                    <w:pStyle w:val="57"/>
                    <w:bidi w:val="0"/>
                    <w:rPr>
                      <w:rFonts w:hint="default"/>
                    </w:rPr>
                  </w:pPr>
                </w:p>
              </w:tc>
              <w:tc>
                <w:tcPr>
                  <w:tcW w:w="52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rPr>
                  </w:pP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3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rPr>
                  </w:pPr>
                  <w:r>
                    <w:rPr>
                      <w:rFonts w:hint="default" w:ascii="Times New Roman" w:hAnsi="Times New Roman" w:eastAsia="宋体" w:cs="Times New Roman"/>
                      <w:color w:val="auto"/>
                      <w:sz w:val="21"/>
                      <w:szCs w:val="21"/>
                      <w:highlight w:val="none"/>
                      <w:u w:val="none" w:color="auto"/>
                      <w:vertAlign w:val="baseline"/>
                      <w:lang w:val="en-US" w:eastAsia="zh-CN"/>
                    </w:rPr>
                    <w:t>kg/h</w:t>
                  </w:r>
                </w:p>
              </w:tc>
              <w:tc>
                <w:tcPr>
                  <w:tcW w:w="504" w:type="pct"/>
                  <w:vMerge w:val="continue"/>
                  <w:vAlign w:val="center"/>
                </w:tcPr>
                <w:p>
                  <w:pPr>
                    <w:pStyle w:val="57"/>
                    <w:bidi w:val="0"/>
                    <w:rPr>
                      <w:rFonts w:hint="default"/>
                    </w:rPr>
                  </w:pPr>
                </w:p>
              </w:tc>
              <w:tc>
                <w:tcPr>
                  <w:tcW w:w="4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rPr>
                  </w:pP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3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rPr>
                  </w:pPr>
                  <w:r>
                    <w:rPr>
                      <w:rFonts w:hint="default" w:ascii="Times New Roman" w:hAnsi="Times New Roman" w:eastAsia="宋体" w:cs="Times New Roman"/>
                      <w:color w:val="auto"/>
                      <w:sz w:val="21"/>
                      <w:szCs w:val="21"/>
                      <w:highlight w:val="none"/>
                      <w:u w:val="none" w:color="auto"/>
                      <w:vertAlign w:val="baseline"/>
                      <w:lang w:val="en-US" w:eastAsia="zh-CN"/>
                    </w:rPr>
                    <w:t>kg/h</w:t>
                  </w:r>
                </w:p>
              </w:tc>
              <w:tc>
                <w:tcPr>
                  <w:tcW w:w="61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4" w:hRule="atLeast"/>
              </w:trPr>
              <w:tc>
                <w:tcPr>
                  <w:tcW w:w="509" w:type="pct"/>
                  <w:vAlign w:val="center"/>
                </w:tcPr>
                <w:p>
                  <w:pPr>
                    <w:pStyle w:val="57"/>
                    <w:bidi w:val="0"/>
                    <w:rPr>
                      <w:rFonts w:hint="default"/>
                    </w:rPr>
                  </w:pPr>
                  <w:r>
                    <w:rPr>
                      <w:rFonts w:hint="eastAsia"/>
                      <w:lang w:val="en-US" w:eastAsia="zh-CN"/>
                    </w:rPr>
                    <w:t>水泥筒仓（3个）</w:t>
                  </w:r>
                </w:p>
              </w:tc>
              <w:tc>
                <w:tcPr>
                  <w:tcW w:w="562" w:type="pct"/>
                  <w:vAlign w:val="center"/>
                </w:tcPr>
                <w:p>
                  <w:pPr>
                    <w:pStyle w:val="57"/>
                    <w:bidi w:val="0"/>
                    <w:ind w:firstLine="0" w:firstLineChars="0"/>
                    <w:rPr>
                      <w:rFonts w:hint="default"/>
                    </w:rPr>
                  </w:pPr>
                  <w:r>
                    <w:rPr>
                      <w:rFonts w:hint="eastAsia"/>
                      <w:highlight w:val="none"/>
                      <w:lang w:val="en-US" w:eastAsia="zh-CN"/>
                    </w:rPr>
                    <w:t>28020</w:t>
                  </w:r>
                </w:p>
              </w:tc>
              <w:tc>
                <w:tcPr>
                  <w:tcW w:w="492" w:type="pct"/>
                  <w:vAlign w:val="center"/>
                </w:tcPr>
                <w:p>
                  <w:pPr>
                    <w:pStyle w:val="57"/>
                    <w:bidi w:val="0"/>
                    <w:ind w:firstLine="0" w:firstLineChars="0"/>
                    <w:rPr>
                      <w:rFonts w:hint="default"/>
                    </w:rPr>
                  </w:pPr>
                  <w:r>
                    <w:rPr>
                      <w:rFonts w:hint="eastAsia"/>
                      <w:highlight w:val="none"/>
                      <w:lang w:val="en-US" w:eastAsia="zh-CN"/>
                    </w:rPr>
                    <w:t>468</w:t>
                  </w:r>
                </w:p>
              </w:tc>
              <w:tc>
                <w:tcPr>
                  <w:tcW w:w="538" w:type="pct"/>
                  <w:vAlign w:val="center"/>
                </w:tcPr>
                <w:p>
                  <w:pPr>
                    <w:pStyle w:val="57"/>
                    <w:bidi w:val="0"/>
                    <w:rPr>
                      <w:rFonts w:hint="default"/>
                      <w:lang w:val="en-US"/>
                    </w:rPr>
                  </w:pPr>
                  <w:r>
                    <w:rPr>
                      <w:rFonts w:hint="eastAsia"/>
                      <w:lang w:val="en-US" w:eastAsia="zh-CN"/>
                    </w:rPr>
                    <w:t>140.4</w:t>
                  </w:r>
                </w:p>
              </w:tc>
              <w:tc>
                <w:tcPr>
                  <w:tcW w:w="528" w:type="pct"/>
                  <w:vAlign w:val="center"/>
                </w:tcPr>
                <w:p>
                  <w:pPr>
                    <w:pStyle w:val="57"/>
                    <w:bidi w:val="0"/>
                    <w:rPr>
                      <w:rFonts w:hint="default" w:eastAsia="宋体"/>
                      <w:lang w:val="en-US" w:eastAsia="zh-CN"/>
                    </w:rPr>
                  </w:pPr>
                  <w:r>
                    <w:rPr>
                      <w:rFonts w:hint="eastAsia"/>
                      <w:lang w:val="en-US" w:eastAsia="zh-CN"/>
                    </w:rPr>
                    <w:t>3.34</w:t>
                  </w:r>
                </w:p>
              </w:tc>
              <w:tc>
                <w:tcPr>
                  <w:tcW w:w="392" w:type="pct"/>
                  <w:vAlign w:val="center"/>
                </w:tcPr>
                <w:p>
                  <w:pPr>
                    <w:pStyle w:val="57"/>
                    <w:bidi w:val="0"/>
                    <w:rPr>
                      <w:rFonts w:hint="default" w:eastAsia="宋体"/>
                      <w:lang w:val="en-US" w:eastAsia="zh-CN"/>
                    </w:rPr>
                  </w:pPr>
                  <w:r>
                    <w:rPr>
                      <w:rFonts w:hint="eastAsia"/>
                      <w:lang w:val="en-US" w:eastAsia="zh-CN"/>
                    </w:rPr>
                    <w:t>7.1</w:t>
                  </w:r>
                </w:p>
              </w:tc>
              <w:tc>
                <w:tcPr>
                  <w:tcW w:w="504" w:type="pct"/>
                  <w:vMerge w:val="restart"/>
                  <w:vAlign w:val="center"/>
                </w:tcPr>
                <w:p>
                  <w:pPr>
                    <w:pStyle w:val="57"/>
                    <w:bidi w:val="0"/>
                    <w:rPr>
                      <w:rFonts w:hint="default"/>
                    </w:rPr>
                  </w:pPr>
                  <w:r>
                    <w:rPr>
                      <w:rFonts w:hint="eastAsia"/>
                      <w:lang w:val="en-US" w:eastAsia="zh-CN"/>
                    </w:rPr>
                    <w:t>脉冲布袋除尘器7套，除尘效率为99.7%</w:t>
                  </w:r>
                </w:p>
              </w:tc>
              <w:tc>
                <w:tcPr>
                  <w:tcW w:w="458" w:type="pct"/>
                  <w:vAlign w:val="center"/>
                </w:tcPr>
                <w:p>
                  <w:pPr>
                    <w:pStyle w:val="57"/>
                    <w:bidi w:val="0"/>
                    <w:rPr>
                      <w:rFonts w:hint="default" w:eastAsia="宋体"/>
                      <w:lang w:val="en-US" w:eastAsia="zh-CN"/>
                    </w:rPr>
                  </w:pPr>
                  <w:r>
                    <w:rPr>
                      <w:rFonts w:hint="eastAsia"/>
                      <w:lang w:val="en-US" w:eastAsia="zh-CN"/>
                    </w:rPr>
                    <w:t>0.03</w:t>
                  </w:r>
                </w:p>
              </w:tc>
              <w:tc>
                <w:tcPr>
                  <w:tcW w:w="395" w:type="pct"/>
                  <w:vAlign w:val="center"/>
                </w:tcPr>
                <w:p>
                  <w:pPr>
                    <w:pStyle w:val="57"/>
                    <w:bidi w:val="0"/>
                    <w:rPr>
                      <w:rFonts w:hint="default" w:eastAsia="宋体"/>
                      <w:lang w:val="en-US" w:eastAsia="zh-CN"/>
                    </w:rPr>
                  </w:pPr>
                  <w:r>
                    <w:rPr>
                      <w:rFonts w:hint="eastAsia"/>
                      <w:lang w:val="en-US" w:eastAsia="zh-CN"/>
                    </w:rPr>
                    <w:t>0.06</w:t>
                  </w:r>
                </w:p>
              </w:tc>
              <w:tc>
                <w:tcPr>
                  <w:tcW w:w="616" w:type="pct"/>
                  <w:vMerge w:val="restart"/>
                  <w:vAlign w:val="center"/>
                </w:tcPr>
                <w:p>
                  <w:pPr>
                    <w:pStyle w:val="57"/>
                    <w:bidi w:val="0"/>
                    <w:rPr>
                      <w:rFonts w:hint="default"/>
                      <w:lang w:val="en-US" w:eastAsia="zh-CN"/>
                    </w:rPr>
                  </w:pPr>
                  <w:r>
                    <w:rPr>
                      <w:rFonts w:hint="eastAsia"/>
                      <w:lang w:val="en-US" w:eastAsia="zh-CN"/>
                    </w:rPr>
                    <w:t>混凝土生产线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vAlign w:val="center"/>
                </w:tcPr>
                <w:p>
                  <w:pPr>
                    <w:pStyle w:val="57"/>
                    <w:bidi w:val="0"/>
                    <w:rPr>
                      <w:rFonts w:hint="default"/>
                    </w:rPr>
                  </w:pPr>
                  <w:r>
                    <w:rPr>
                      <w:rFonts w:hint="eastAsia"/>
                      <w:lang w:val="en-US" w:eastAsia="zh-CN"/>
                    </w:rPr>
                    <w:t>粉煤灰筒仓（1个）</w:t>
                  </w:r>
                </w:p>
              </w:tc>
              <w:tc>
                <w:tcPr>
                  <w:tcW w:w="562" w:type="pct"/>
                  <w:vAlign w:val="center"/>
                </w:tcPr>
                <w:p>
                  <w:pPr>
                    <w:pStyle w:val="57"/>
                    <w:bidi w:val="0"/>
                    <w:ind w:firstLine="0" w:firstLineChars="0"/>
                    <w:rPr>
                      <w:rFonts w:hint="default"/>
                    </w:rPr>
                  </w:pPr>
                  <w:r>
                    <w:rPr>
                      <w:rFonts w:hint="eastAsia"/>
                      <w:highlight w:val="none"/>
                      <w:lang w:val="en-US" w:eastAsia="zh-CN"/>
                    </w:rPr>
                    <w:t>8400</w:t>
                  </w:r>
                </w:p>
              </w:tc>
              <w:tc>
                <w:tcPr>
                  <w:tcW w:w="492" w:type="pct"/>
                  <w:vAlign w:val="center"/>
                </w:tcPr>
                <w:p>
                  <w:pPr>
                    <w:pStyle w:val="57"/>
                    <w:bidi w:val="0"/>
                    <w:ind w:firstLine="0" w:firstLineChars="0"/>
                    <w:rPr>
                      <w:rFonts w:hint="default"/>
                    </w:rPr>
                  </w:pPr>
                  <w:r>
                    <w:rPr>
                      <w:rFonts w:hint="eastAsia"/>
                      <w:highlight w:val="none"/>
                      <w:lang w:val="en-US" w:eastAsia="zh-CN"/>
                    </w:rPr>
                    <w:t>139.5</w:t>
                  </w:r>
                </w:p>
              </w:tc>
              <w:tc>
                <w:tcPr>
                  <w:tcW w:w="538" w:type="pct"/>
                  <w:vAlign w:val="center"/>
                </w:tcPr>
                <w:p>
                  <w:pPr>
                    <w:pStyle w:val="57"/>
                    <w:bidi w:val="0"/>
                    <w:rPr>
                      <w:rFonts w:hint="default"/>
                      <w:lang w:val="en-US"/>
                    </w:rPr>
                  </w:pPr>
                  <w:r>
                    <w:rPr>
                      <w:rFonts w:hint="eastAsia"/>
                      <w:lang w:val="en-US" w:eastAsia="zh-CN"/>
                    </w:rPr>
                    <w:t>41.85</w:t>
                  </w:r>
                </w:p>
              </w:tc>
              <w:tc>
                <w:tcPr>
                  <w:tcW w:w="528" w:type="pct"/>
                  <w:vAlign w:val="center"/>
                </w:tcPr>
                <w:p>
                  <w:pPr>
                    <w:pStyle w:val="57"/>
                    <w:bidi w:val="0"/>
                    <w:rPr>
                      <w:rFonts w:hint="default" w:eastAsia="宋体"/>
                      <w:lang w:val="en-US" w:eastAsia="zh-CN"/>
                    </w:rPr>
                  </w:pPr>
                  <w:r>
                    <w:rPr>
                      <w:rFonts w:hint="eastAsia"/>
                      <w:lang w:val="en-US" w:eastAsia="zh-CN"/>
                    </w:rPr>
                    <w:t>1.004</w:t>
                  </w:r>
                </w:p>
              </w:tc>
              <w:tc>
                <w:tcPr>
                  <w:tcW w:w="392" w:type="pct"/>
                  <w:vAlign w:val="center"/>
                </w:tcPr>
                <w:p>
                  <w:pPr>
                    <w:pStyle w:val="57"/>
                    <w:bidi w:val="0"/>
                    <w:rPr>
                      <w:rFonts w:hint="default"/>
                    </w:rPr>
                  </w:pPr>
                  <w:r>
                    <w:rPr>
                      <w:rFonts w:hint="default"/>
                      <w:lang w:val="en-US" w:eastAsia="zh-CN"/>
                    </w:rPr>
                    <w:t>7.2</w:t>
                  </w:r>
                </w:p>
              </w:tc>
              <w:tc>
                <w:tcPr>
                  <w:tcW w:w="504" w:type="pct"/>
                  <w:vMerge w:val="continue"/>
                  <w:vAlign w:val="center"/>
                </w:tcPr>
                <w:p>
                  <w:pPr>
                    <w:pStyle w:val="57"/>
                    <w:bidi w:val="0"/>
                    <w:rPr>
                      <w:rFonts w:hint="default"/>
                    </w:rPr>
                  </w:pPr>
                </w:p>
              </w:tc>
              <w:tc>
                <w:tcPr>
                  <w:tcW w:w="458" w:type="pct"/>
                  <w:vAlign w:val="center"/>
                </w:tcPr>
                <w:p>
                  <w:pPr>
                    <w:pStyle w:val="57"/>
                    <w:bidi w:val="0"/>
                    <w:rPr>
                      <w:rFonts w:hint="default" w:eastAsia="宋体"/>
                      <w:lang w:val="en-US" w:eastAsia="zh-CN"/>
                    </w:rPr>
                  </w:pPr>
                  <w:r>
                    <w:rPr>
                      <w:rFonts w:hint="eastAsia"/>
                      <w:lang w:val="en-US" w:eastAsia="zh-CN"/>
                    </w:rPr>
                    <w:t>0.003</w:t>
                  </w:r>
                </w:p>
              </w:tc>
              <w:tc>
                <w:tcPr>
                  <w:tcW w:w="395" w:type="pct"/>
                  <w:vAlign w:val="center"/>
                </w:tcPr>
                <w:p>
                  <w:pPr>
                    <w:pStyle w:val="57"/>
                    <w:bidi w:val="0"/>
                    <w:rPr>
                      <w:rFonts w:hint="default" w:eastAsia="宋体"/>
                      <w:lang w:val="en-US" w:eastAsia="zh-CN"/>
                    </w:rPr>
                  </w:pPr>
                  <w:r>
                    <w:rPr>
                      <w:rFonts w:hint="eastAsia"/>
                      <w:lang w:val="en-US" w:eastAsia="zh-CN"/>
                    </w:rPr>
                    <w:t>0.02</w:t>
                  </w:r>
                </w:p>
              </w:tc>
              <w:tc>
                <w:tcPr>
                  <w:tcW w:w="616" w:type="pct"/>
                  <w:vMerge w:val="continue"/>
                  <w:vAlign w:val="center"/>
                </w:tcPr>
                <w:p>
                  <w:pPr>
                    <w:pStyle w:val="57"/>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9" w:type="pct"/>
                  <w:vAlign w:val="center"/>
                </w:tcPr>
                <w:p>
                  <w:pPr>
                    <w:pStyle w:val="57"/>
                    <w:bidi w:val="0"/>
                    <w:ind w:firstLine="0" w:firstLineChars="0"/>
                    <w:rPr>
                      <w:rFonts w:hint="eastAsia"/>
                      <w:highlight w:val="none"/>
                      <w:lang w:val="en-US" w:eastAsia="zh-CN"/>
                    </w:rPr>
                  </w:pPr>
                  <w:r>
                    <w:rPr>
                      <w:rFonts w:hint="eastAsia"/>
                      <w:highlight w:val="none"/>
                      <w:lang w:val="en-US" w:eastAsia="zh-CN"/>
                    </w:rPr>
                    <w:t>水泥筒仓（3个）</w:t>
                  </w:r>
                </w:p>
              </w:tc>
              <w:tc>
                <w:tcPr>
                  <w:tcW w:w="562" w:type="pct"/>
                  <w:vAlign w:val="center"/>
                </w:tcPr>
                <w:p>
                  <w:pPr>
                    <w:pStyle w:val="57"/>
                    <w:bidi w:val="0"/>
                    <w:ind w:firstLine="0" w:firstLineChars="0"/>
                    <w:rPr>
                      <w:rFonts w:hint="eastAsia"/>
                      <w:highlight w:val="none"/>
                      <w:lang w:val="en-US" w:eastAsia="zh-CN"/>
                    </w:rPr>
                  </w:pPr>
                  <w:r>
                    <w:rPr>
                      <w:rFonts w:hint="eastAsia"/>
                      <w:highlight w:val="none"/>
                      <w:lang w:val="en-US" w:eastAsia="zh-CN"/>
                    </w:rPr>
                    <w:t>40750</w:t>
                  </w:r>
                </w:p>
              </w:tc>
              <w:tc>
                <w:tcPr>
                  <w:tcW w:w="492" w:type="pct"/>
                  <w:vAlign w:val="center"/>
                </w:tcPr>
                <w:p>
                  <w:pPr>
                    <w:pStyle w:val="57"/>
                    <w:bidi w:val="0"/>
                    <w:ind w:firstLine="0" w:firstLineChars="0"/>
                    <w:rPr>
                      <w:rFonts w:hint="eastAsia"/>
                      <w:highlight w:val="none"/>
                      <w:lang w:val="en-US" w:eastAsia="zh-CN"/>
                    </w:rPr>
                  </w:pPr>
                  <w:r>
                    <w:rPr>
                      <w:rFonts w:hint="eastAsia"/>
                      <w:highlight w:val="none"/>
                      <w:lang w:val="en-US" w:eastAsia="zh-CN"/>
                    </w:rPr>
                    <w:t>675</w:t>
                  </w:r>
                </w:p>
              </w:tc>
              <w:tc>
                <w:tcPr>
                  <w:tcW w:w="538" w:type="pct"/>
                  <w:vAlign w:val="center"/>
                </w:tcPr>
                <w:p>
                  <w:pPr>
                    <w:pStyle w:val="57"/>
                    <w:bidi w:val="0"/>
                    <w:ind w:firstLine="0" w:firstLineChars="0"/>
                    <w:rPr>
                      <w:rFonts w:hint="eastAsia"/>
                      <w:highlight w:val="none"/>
                      <w:lang w:val="en-US" w:eastAsia="zh-CN"/>
                    </w:rPr>
                  </w:pPr>
                  <w:r>
                    <w:rPr>
                      <w:rFonts w:hint="eastAsia"/>
                      <w:highlight w:val="none"/>
                      <w:lang w:val="en-US" w:eastAsia="zh-CN"/>
                    </w:rPr>
                    <w:t>202.5‬</w:t>
                  </w:r>
                </w:p>
              </w:tc>
              <w:tc>
                <w:tcPr>
                  <w:tcW w:w="528" w:type="pct"/>
                  <w:vAlign w:val="center"/>
                </w:tcPr>
                <w:p>
                  <w:pPr>
                    <w:pStyle w:val="57"/>
                    <w:bidi w:val="0"/>
                    <w:ind w:firstLine="0" w:firstLineChars="0"/>
                    <w:rPr>
                      <w:rFonts w:hint="default"/>
                      <w:highlight w:val="none"/>
                      <w:lang w:val="en-US" w:eastAsia="zh-CN"/>
                    </w:rPr>
                  </w:pPr>
                  <w:r>
                    <w:rPr>
                      <w:rFonts w:hint="eastAsia"/>
                      <w:highlight w:val="none"/>
                      <w:lang w:val="en-US" w:eastAsia="zh-CN"/>
                    </w:rPr>
                    <w:t>4.86</w:t>
                  </w:r>
                </w:p>
              </w:tc>
              <w:tc>
                <w:tcPr>
                  <w:tcW w:w="392" w:type="pct"/>
                  <w:vAlign w:val="center"/>
                </w:tcPr>
                <w:p>
                  <w:pPr>
                    <w:pStyle w:val="57"/>
                    <w:bidi w:val="0"/>
                    <w:ind w:firstLine="0" w:firstLineChars="0"/>
                    <w:rPr>
                      <w:rFonts w:hint="default"/>
                      <w:highlight w:val="none"/>
                      <w:lang w:val="en-US" w:eastAsia="zh-CN"/>
                    </w:rPr>
                  </w:pPr>
                  <w:r>
                    <w:rPr>
                      <w:rFonts w:hint="default"/>
                      <w:highlight w:val="none"/>
                      <w:lang w:val="en-US" w:eastAsia="zh-CN"/>
                    </w:rPr>
                    <w:t>7.2</w:t>
                  </w:r>
                </w:p>
              </w:tc>
              <w:tc>
                <w:tcPr>
                  <w:tcW w:w="504" w:type="pct"/>
                  <w:vMerge w:val="continue"/>
                  <w:vAlign w:val="center"/>
                </w:tcPr>
                <w:p>
                  <w:pPr>
                    <w:pStyle w:val="57"/>
                    <w:bidi w:val="0"/>
                    <w:rPr>
                      <w:rFonts w:hint="default"/>
                      <w:highlight w:val="none"/>
                    </w:rPr>
                  </w:pPr>
                </w:p>
              </w:tc>
              <w:tc>
                <w:tcPr>
                  <w:tcW w:w="458" w:type="pct"/>
                  <w:vAlign w:val="center"/>
                </w:tcPr>
                <w:p>
                  <w:pPr>
                    <w:pStyle w:val="57"/>
                    <w:bidi w:val="0"/>
                    <w:rPr>
                      <w:rFonts w:hint="default"/>
                      <w:highlight w:val="none"/>
                      <w:lang w:val="en-US" w:eastAsia="zh-CN"/>
                    </w:rPr>
                  </w:pPr>
                  <w:r>
                    <w:rPr>
                      <w:rFonts w:hint="eastAsia"/>
                      <w:highlight w:val="none"/>
                      <w:lang w:val="en-US" w:eastAsia="zh-CN"/>
                    </w:rPr>
                    <w:t>0.015</w:t>
                  </w:r>
                </w:p>
              </w:tc>
              <w:tc>
                <w:tcPr>
                  <w:tcW w:w="395" w:type="pct"/>
                  <w:vAlign w:val="center"/>
                </w:tcPr>
                <w:p>
                  <w:pPr>
                    <w:pStyle w:val="57"/>
                    <w:bidi w:val="0"/>
                    <w:rPr>
                      <w:rFonts w:hint="default"/>
                      <w:highlight w:val="none"/>
                      <w:lang w:val="en-US" w:eastAsia="zh-CN"/>
                    </w:rPr>
                  </w:pPr>
                  <w:r>
                    <w:rPr>
                      <w:rFonts w:hint="eastAsia"/>
                      <w:highlight w:val="none"/>
                      <w:lang w:val="en-US" w:eastAsia="zh-CN"/>
                    </w:rPr>
                    <w:t>0.022</w:t>
                  </w:r>
                </w:p>
              </w:tc>
              <w:tc>
                <w:tcPr>
                  <w:tcW w:w="616" w:type="pct"/>
                  <w:vAlign w:val="center"/>
                </w:tcPr>
                <w:p>
                  <w:pPr>
                    <w:pStyle w:val="57"/>
                    <w:bidi w:val="0"/>
                    <w:rPr>
                      <w:rFonts w:hint="default"/>
                      <w:highlight w:val="none"/>
                      <w:lang w:val="en-US" w:eastAsia="zh-CN"/>
                    </w:rPr>
                  </w:pPr>
                  <w:r>
                    <w:rPr>
                      <w:rFonts w:hint="eastAsia"/>
                      <w:highlight w:val="none"/>
                      <w:lang w:val="en-US" w:eastAsia="zh-CN"/>
                    </w:rPr>
                    <w:t>稳定土生产线</w:t>
                  </w:r>
                </w:p>
              </w:tc>
            </w:tr>
          </w:tbl>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right="0" w:firstLine="480" w:firstLineChars="200"/>
              <w:textAlignment w:val="auto"/>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由上表可知，混凝土生产线筒仓呼吸口粉尘经仓顶自带的脉冲袋式除尘器处理后高空排放，粉尘排放量为0.048</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t/a</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，0.102‬kg/h。</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③筒仓放空口粉尘</w:t>
            </w:r>
          </w:p>
          <w:p>
            <w:pPr>
              <w:pStyle w:val="13"/>
              <w:keepNext w:val="0"/>
              <w:keepLines w:val="0"/>
              <w:pageBreakBefore w:val="0"/>
              <w:widowControl w:val="0"/>
              <w:kinsoku/>
              <w:wordWrap/>
              <w:overflowPunct/>
              <w:topLinePunct w:val="0"/>
              <w:autoSpaceDE/>
              <w:autoSpaceDN/>
              <w:bidi w:val="0"/>
              <w:adjustRightInd w:val="0"/>
              <w:snapToGrid w:val="0"/>
              <w:spacing w:after="0" w:afterLines="-2147483648" w:line="360" w:lineRule="auto"/>
              <w:ind w:left="0" w:leftChars="0" w:firstLine="480" w:firstLineChars="200"/>
              <w:textAlignment w:val="auto"/>
              <w:rPr>
                <w:rFonts w:hint="default" w:ascii="Times New Roman" w:hAnsi="Times New Roman" w:eastAsia="宋体" w:cs="Times New Roman"/>
                <w:color w:val="000000"/>
                <w:sz w:val="24"/>
                <w:szCs w:val="21"/>
                <w:highlight w:val="none"/>
                <w:u w:val="none" w:color="auto"/>
                <w:lang w:val="en-US" w:eastAsia="zh-CN"/>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筒仓放空口在抽料时有粉尘产生。</w:t>
            </w:r>
            <w:r>
              <w:rPr>
                <w:rFonts w:hint="eastAsia" w:ascii="Times New Roman" w:hAnsi="Times New Roman" w:eastAsia="宋体" w:cs="Times New Roman"/>
                <w:sz w:val="24"/>
                <w:highlight w:val="none"/>
                <w:u w:val="none" w:color="auto"/>
                <w:lang w:val="en-US" w:eastAsia="zh-CN"/>
              </w:rPr>
              <w:t>根据《3021水泥制品制造（含3022砼结构构件制造、3029其他水泥类似制品制造）行业系数手册》物料输送环节颗粒物的产污系数为0.12</w:t>
            </w:r>
            <w:r>
              <w:rPr>
                <w:rFonts w:hint="eastAsia" w:ascii="Times New Roman" w:hAnsi="Times New Roman" w:eastAsia="宋体" w:cs="Times New Roman"/>
                <w:sz w:val="24"/>
                <w:highlight w:val="none"/>
                <w:u w:val="none" w:color="auto"/>
                <w:vertAlign w:val="baseline"/>
                <w:lang w:val="en-US" w:eastAsia="zh-CN"/>
              </w:rPr>
              <w:t>千克/吨-产品，</w:t>
            </w:r>
            <w:r>
              <w:rPr>
                <w:rFonts w:hint="eastAsia" w:cs="Times New Roman"/>
                <w:sz w:val="24"/>
                <w:highlight w:val="none"/>
                <w:u w:val="none" w:color="auto"/>
                <w:vertAlign w:val="baseline"/>
                <w:lang w:val="en-US" w:eastAsia="zh-CN"/>
              </w:rPr>
              <w:t>一</w:t>
            </w:r>
            <w:r>
              <w:rPr>
                <w:rFonts w:hint="eastAsia" w:ascii="Times New Roman" w:hAnsi="Times New Roman" w:cs="Times New Roman"/>
                <w:sz w:val="24"/>
                <w:highlight w:val="none"/>
                <w:u w:val="none" w:color="auto"/>
                <w:vertAlign w:val="baseline"/>
                <w:lang w:val="en-US" w:eastAsia="zh-CN"/>
              </w:rPr>
              <w:t>号站</w:t>
            </w:r>
            <w:r>
              <w:rPr>
                <w:rFonts w:hint="eastAsia" w:ascii="Times New Roman" w:hAnsi="Times New Roman" w:eastAsia="宋体" w:cs="Times New Roman"/>
                <w:sz w:val="24"/>
                <w:szCs w:val="24"/>
                <w:highlight w:val="none"/>
                <w:u w:val="none" w:color="auto"/>
                <w:vertAlign w:val="baseline"/>
                <w:lang w:val="en-US" w:eastAsia="zh-CN"/>
              </w:rPr>
              <w:t>年生产</w:t>
            </w:r>
            <w:r>
              <w:rPr>
                <w:rFonts w:hint="eastAsia" w:ascii="Times New Roman" w:hAnsi="Times New Roman" w:cs="Times New Roman"/>
                <w:sz w:val="24"/>
                <w:szCs w:val="24"/>
                <w:highlight w:val="none"/>
                <w:u w:val="none" w:color="auto"/>
                <w:vertAlign w:val="baseline"/>
                <w:lang w:val="en-US" w:eastAsia="zh-CN"/>
              </w:rPr>
              <w:t>13.8</w:t>
            </w:r>
            <w:r>
              <w:rPr>
                <w:rFonts w:hint="eastAsia" w:ascii="Times New Roman" w:hAnsi="Times New Roman" w:eastAsia="宋体" w:cs="Times New Roman"/>
                <w:sz w:val="24"/>
                <w:szCs w:val="24"/>
                <w:highlight w:val="none"/>
                <w:u w:val="none" w:color="auto"/>
                <w:vertAlign w:val="baseline"/>
                <w:lang w:val="en-US" w:eastAsia="zh-CN"/>
              </w:rPr>
              <w:t>万吨混凝土，因此本项目</w:t>
            </w:r>
            <w:r>
              <w:rPr>
                <w:rFonts w:hint="eastAsia" w:cs="Times New Roman"/>
                <w:sz w:val="24"/>
                <w:szCs w:val="24"/>
                <w:highlight w:val="none"/>
                <w:u w:val="none" w:color="auto"/>
                <w:vertAlign w:val="baseline"/>
                <w:lang w:val="en-US" w:eastAsia="zh-CN"/>
              </w:rPr>
              <w:t>混凝土</w:t>
            </w:r>
            <w:r>
              <w:rPr>
                <w:rFonts w:hint="eastAsia" w:ascii="Times New Roman" w:hAnsi="Times New Roman" w:eastAsia="宋体" w:cs="Times New Roman"/>
                <w:sz w:val="24"/>
                <w:szCs w:val="24"/>
                <w:highlight w:val="none"/>
                <w:u w:val="none" w:color="auto"/>
                <w:vertAlign w:val="baseline"/>
                <w:lang w:val="en-US" w:eastAsia="zh-CN"/>
              </w:rPr>
              <w:t>搅拌混合粉尘产生量为</w:t>
            </w:r>
            <w:r>
              <w:rPr>
                <w:rFonts w:hint="eastAsia" w:ascii="Times New Roman" w:hAnsi="Times New Roman" w:cs="Times New Roman"/>
                <w:sz w:val="24"/>
                <w:szCs w:val="24"/>
                <w:highlight w:val="none"/>
                <w:u w:val="none" w:color="auto"/>
                <w:vertAlign w:val="baseline"/>
                <w:lang w:val="en-US" w:eastAsia="zh-CN"/>
              </w:rPr>
              <w:t>16.56</w:t>
            </w:r>
            <w:r>
              <w:rPr>
                <w:rFonts w:hint="eastAsia" w:ascii="Times New Roman" w:hAnsi="Times New Roman" w:eastAsia="宋体" w:cs="Times New Roman"/>
                <w:sz w:val="24"/>
                <w:szCs w:val="24"/>
                <w:highlight w:val="none"/>
                <w:u w:val="none" w:color="auto"/>
                <w:vertAlign w:val="baseline"/>
                <w:lang w:val="en-US" w:eastAsia="zh-CN"/>
              </w:rPr>
              <w:t>t/a，产生速率为</w:t>
            </w:r>
            <w:r>
              <w:rPr>
                <w:rFonts w:hint="eastAsia" w:ascii="Times New Roman" w:hAnsi="Times New Roman" w:cs="Times New Roman"/>
                <w:sz w:val="24"/>
                <w:szCs w:val="24"/>
                <w:highlight w:val="none"/>
                <w:u w:val="none" w:color="auto"/>
                <w:vertAlign w:val="baseline"/>
                <w:lang w:val="en-US" w:eastAsia="zh-CN"/>
              </w:rPr>
              <w:t>23</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kg/h</w:t>
            </w:r>
            <w:r>
              <w:rPr>
                <w:rFonts w:hint="eastAsia" w:ascii="Times New Roman" w:hAnsi="Times New Roman" w:eastAsia="宋体" w:cs="Times New Roman"/>
                <w:sz w:val="24"/>
                <w:szCs w:val="24"/>
                <w:highlight w:val="none"/>
                <w:u w:val="none" w:color="auto"/>
                <w:vertAlign w:val="baseline"/>
                <w:lang w:val="en-US" w:eastAsia="zh-CN"/>
              </w:rPr>
              <w:t>，该粉尘通过在筒仓放空口处安装自动衔接输料口，同时出料车辆接料口也相应配套自动衔接口，待每次放料结束后先关闭筒仓放料口阀门，然后出料车辆才能行驶，如此不仅加强了输接料口的密封性，同时也减少了原料的损耗，从而降低了粉尘的排放量，通过采取上述措施后，其粉尘排放量可减少90%，</w:t>
            </w:r>
            <w:r>
              <w:rPr>
                <w:rFonts w:hint="eastAsia" w:cs="Times New Roman"/>
                <w:sz w:val="24"/>
                <w:szCs w:val="24"/>
                <w:highlight w:val="none"/>
                <w:u w:val="none" w:color="auto"/>
                <w:vertAlign w:val="baseline"/>
                <w:lang w:val="en-US" w:eastAsia="zh-CN"/>
              </w:rPr>
              <w:t>排放量为1.656t/a，</w:t>
            </w:r>
            <w:r>
              <w:rPr>
                <w:rFonts w:hint="eastAsia" w:ascii="Times New Roman" w:hAnsi="Times New Roman" w:eastAsia="宋体" w:cs="Times New Roman"/>
                <w:sz w:val="24"/>
                <w:szCs w:val="24"/>
                <w:highlight w:val="none"/>
                <w:u w:val="none" w:color="auto"/>
                <w:vertAlign w:val="baseline"/>
                <w:lang w:val="en-US" w:eastAsia="zh-CN"/>
              </w:rPr>
              <w:t>该粉尘为无组织排放。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0"/>
                <w:highlight w:val="none"/>
                <w:lang w:val="en-US"/>
              </w:rPr>
            </w:pPr>
            <w:r>
              <w:rPr>
                <w:rFonts w:hint="eastAsia" w:cs="Times New Roman"/>
                <w:bCs/>
                <w:color w:val="auto"/>
                <w:sz w:val="24"/>
                <w:szCs w:val="22"/>
                <w:highlight w:val="none"/>
                <w:lang w:val="en-US" w:eastAsia="zh-CN"/>
              </w:rPr>
              <w:t>④</w:t>
            </w:r>
            <w:r>
              <w:rPr>
                <w:rFonts w:hint="eastAsia" w:ascii="Times New Roman" w:hAnsi="Times New Roman" w:eastAsia="宋体" w:cs="Times New Roman"/>
                <w:bCs/>
                <w:color w:val="auto"/>
                <w:sz w:val="24"/>
                <w:szCs w:val="22"/>
                <w:highlight w:val="none"/>
                <w:lang w:eastAsia="zh-CN"/>
              </w:rPr>
              <w:t>稳定土</w:t>
            </w:r>
            <w:r>
              <w:rPr>
                <w:rFonts w:hint="default" w:ascii="Times New Roman" w:hAnsi="Times New Roman" w:eastAsia="宋体" w:cs="Times New Roman"/>
                <w:bCs/>
                <w:color w:val="auto"/>
                <w:sz w:val="24"/>
                <w:szCs w:val="22"/>
                <w:highlight w:val="none"/>
                <w:lang w:eastAsia="zh-CN"/>
              </w:rPr>
              <w:t>生产过程中投料搅拌粉尘、料仓粉尘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0"/>
                <w:highlight w:val="none"/>
                <w:lang w:eastAsia="zh-CN"/>
              </w:rPr>
            </w:pPr>
            <w:r>
              <w:rPr>
                <w:rFonts w:hint="default" w:ascii="Times New Roman" w:hAnsi="Times New Roman" w:eastAsia="宋体" w:cs="Times New Roman"/>
                <w:color w:val="auto"/>
                <w:sz w:val="24"/>
                <w:szCs w:val="20"/>
                <w:highlight w:val="none"/>
                <w:lang w:eastAsia="zh-CN"/>
              </w:rPr>
              <w:t>项目</w:t>
            </w:r>
            <w:r>
              <w:rPr>
                <w:rFonts w:hint="eastAsia" w:ascii="Times New Roman" w:hAnsi="Times New Roman" w:eastAsia="宋体" w:cs="Times New Roman"/>
                <w:color w:val="auto"/>
                <w:sz w:val="24"/>
                <w:szCs w:val="20"/>
                <w:highlight w:val="none"/>
                <w:lang w:eastAsia="zh-CN"/>
              </w:rPr>
              <w:t>稳定土</w:t>
            </w:r>
            <w:r>
              <w:rPr>
                <w:rFonts w:hint="eastAsia" w:ascii="Times New Roman" w:hAnsi="Times New Roman" w:eastAsia="宋体" w:cs="Times New Roman"/>
                <w:bCs/>
                <w:color w:val="auto"/>
                <w:sz w:val="24"/>
                <w:szCs w:val="22"/>
                <w:highlight w:val="none"/>
                <w:lang w:eastAsia="zh-CN"/>
              </w:rPr>
              <w:t>生产过程</w:t>
            </w:r>
            <w:r>
              <w:rPr>
                <w:rFonts w:hint="default" w:ascii="Times New Roman" w:hAnsi="Times New Roman" w:eastAsia="宋体" w:cs="Times New Roman"/>
                <w:bCs/>
                <w:color w:val="auto"/>
                <w:sz w:val="24"/>
                <w:szCs w:val="22"/>
                <w:highlight w:val="none"/>
                <w:lang w:eastAsia="zh-CN"/>
              </w:rPr>
              <w:t>中</w:t>
            </w:r>
            <w:r>
              <w:rPr>
                <w:rFonts w:hint="eastAsia" w:ascii="Times New Roman" w:hAnsi="Times New Roman" w:eastAsia="宋体" w:cs="Times New Roman"/>
                <w:bCs/>
                <w:color w:val="auto"/>
                <w:sz w:val="24"/>
                <w:szCs w:val="22"/>
                <w:highlight w:val="none"/>
                <w:lang w:eastAsia="zh-CN"/>
              </w:rPr>
              <w:t>进出料和</w:t>
            </w:r>
            <w:r>
              <w:rPr>
                <w:rFonts w:hint="default" w:ascii="Times New Roman" w:hAnsi="Times New Roman" w:eastAsia="宋体" w:cs="Times New Roman"/>
                <w:bCs/>
                <w:color w:val="auto"/>
                <w:sz w:val="24"/>
                <w:szCs w:val="22"/>
                <w:highlight w:val="none"/>
                <w:lang w:eastAsia="zh-CN"/>
              </w:rPr>
              <w:t>投料搅拌工序会产生少量粉尘。</w:t>
            </w:r>
            <w:r>
              <w:rPr>
                <w:rFonts w:hint="default" w:ascii="Times New Roman" w:hAnsi="Times New Roman" w:eastAsia="宋体" w:cs="Times New Roman"/>
                <w:color w:val="auto"/>
                <w:sz w:val="24"/>
                <w:szCs w:val="20"/>
                <w:highlight w:val="none"/>
                <w:lang w:eastAsia="zh-CN"/>
              </w:rPr>
              <w:t>粉料以封闭式</w:t>
            </w:r>
            <w:r>
              <w:rPr>
                <w:rFonts w:hint="eastAsia" w:ascii="Times New Roman" w:hAnsi="Times New Roman" w:eastAsia="宋体" w:cs="Times New Roman"/>
                <w:color w:val="auto"/>
                <w:sz w:val="24"/>
                <w:szCs w:val="20"/>
                <w:highlight w:val="none"/>
                <w:lang w:eastAsia="zh-CN"/>
              </w:rPr>
              <w:t>轮式</w:t>
            </w:r>
            <w:r>
              <w:rPr>
                <w:rFonts w:hint="default" w:ascii="Times New Roman" w:hAnsi="Times New Roman" w:eastAsia="宋体" w:cs="Times New Roman"/>
                <w:color w:val="auto"/>
                <w:sz w:val="24"/>
                <w:szCs w:val="20"/>
                <w:highlight w:val="none"/>
                <w:lang w:eastAsia="zh-CN"/>
              </w:rPr>
              <w:t>输送机送给粉料秤供料，称料后由管道进入粉料合料斗，再通过粉料合料斗投至搅拌机。项目粉料的输送、计量均为封闭式，因此，该过程产生的粉尘量不大，且在停机后沉降下来，回收后用于生产，此粉尘对外环境影响较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000000" w:themeColor="text1"/>
                <w:sz w:val="24"/>
                <w:highlight w:val="none"/>
                <w:u w:val="none" w:color="auto"/>
                <w14:textFill>
                  <w14:solidFill>
                    <w14:schemeClr w14:val="tx1"/>
                  </w14:solidFill>
                </w14:textFill>
              </w:rPr>
            </w:pPr>
            <w:r>
              <w:rPr>
                <w:rFonts w:hint="default" w:ascii="Times New Roman" w:hAnsi="Times New Roman" w:eastAsia="宋体" w:cs="Times New Roman"/>
                <w:color w:val="auto"/>
                <w:sz w:val="24"/>
                <w:szCs w:val="22"/>
                <w:highlight w:val="none"/>
                <w:lang w:eastAsia="zh-CN"/>
              </w:rPr>
              <w:t>根据建设单位提供资料，项目搅拌机回气和粉料合料斗回气均通过管道与预加料斗连接，建设单位拟在</w:t>
            </w:r>
            <w:r>
              <w:rPr>
                <w:rFonts w:hint="eastAsia" w:ascii="Times New Roman" w:hAnsi="Times New Roman" w:eastAsia="宋体" w:cs="Times New Roman"/>
                <w:color w:val="auto"/>
                <w:sz w:val="24"/>
                <w:szCs w:val="22"/>
                <w:highlight w:val="none"/>
                <w:lang w:eastAsia="zh-CN"/>
              </w:rPr>
              <w:t>稳定土</w:t>
            </w:r>
            <w:r>
              <w:rPr>
                <w:rFonts w:hint="default" w:ascii="Times New Roman" w:hAnsi="Times New Roman" w:eastAsia="宋体" w:cs="Times New Roman"/>
                <w:color w:val="auto"/>
                <w:sz w:val="24"/>
                <w:szCs w:val="22"/>
                <w:highlight w:val="none"/>
                <w:lang w:eastAsia="zh-CN"/>
              </w:rPr>
              <w:t>搅拌机的预加料斗上部配套安装一台脉冲式布袋除尘器，</w:t>
            </w:r>
            <w:r>
              <w:rPr>
                <w:rFonts w:hint="eastAsia" w:ascii="Times New Roman" w:hAnsi="Times New Roman" w:eastAsia="宋体" w:cs="Times New Roman"/>
                <w:color w:val="auto"/>
                <w:sz w:val="24"/>
                <w:szCs w:val="22"/>
                <w:highlight w:val="none"/>
                <w:lang w:eastAsia="zh-CN"/>
              </w:rPr>
              <w:t>处理效率</w:t>
            </w:r>
            <w:r>
              <w:rPr>
                <w:rFonts w:hint="eastAsia" w:ascii="Times New Roman" w:hAnsi="Times New Roman" w:eastAsia="宋体" w:cs="Times New Roman"/>
                <w:color w:val="auto"/>
                <w:sz w:val="24"/>
                <w:szCs w:val="22"/>
                <w:highlight w:val="none"/>
                <w:lang w:val="en-US" w:eastAsia="zh-CN"/>
              </w:rPr>
              <w:t>99.9%，</w:t>
            </w:r>
            <w:r>
              <w:rPr>
                <w:rFonts w:hint="default" w:ascii="Times New Roman" w:hAnsi="Times New Roman" w:eastAsia="宋体" w:cs="Times New Roman"/>
                <w:color w:val="auto"/>
                <w:sz w:val="24"/>
                <w:szCs w:val="22"/>
                <w:highlight w:val="none"/>
                <w:lang w:eastAsia="zh-CN"/>
              </w:rPr>
              <w:t>用于处理项目</w:t>
            </w:r>
            <w:r>
              <w:rPr>
                <w:rFonts w:hint="eastAsia" w:ascii="Times New Roman" w:hAnsi="Times New Roman" w:eastAsia="宋体" w:cs="Times New Roman"/>
                <w:bCs/>
                <w:color w:val="auto"/>
                <w:sz w:val="24"/>
                <w:szCs w:val="22"/>
                <w:highlight w:val="none"/>
                <w:lang w:eastAsia="zh-CN"/>
              </w:rPr>
              <w:t>生产过程</w:t>
            </w:r>
            <w:r>
              <w:rPr>
                <w:rFonts w:hint="default" w:ascii="Times New Roman" w:hAnsi="Times New Roman" w:eastAsia="宋体" w:cs="Times New Roman"/>
                <w:bCs/>
                <w:color w:val="auto"/>
                <w:sz w:val="24"/>
                <w:szCs w:val="22"/>
                <w:highlight w:val="none"/>
                <w:lang w:eastAsia="zh-CN"/>
              </w:rPr>
              <w:t>中</w:t>
            </w:r>
            <w:r>
              <w:rPr>
                <w:rFonts w:hint="default" w:ascii="Times New Roman" w:hAnsi="Times New Roman" w:eastAsia="宋体" w:cs="Times New Roman"/>
                <w:color w:val="auto"/>
                <w:sz w:val="24"/>
                <w:szCs w:val="22"/>
                <w:highlight w:val="none"/>
                <w:lang w:eastAsia="zh-CN"/>
              </w:rPr>
              <w:t>的投料粉尘和搅拌粉尘。类比同类搅拌站，粉尘产生浓度为</w:t>
            </w:r>
            <w:r>
              <w:rPr>
                <w:rFonts w:hint="eastAsia" w:ascii="Times New Roman" w:hAnsi="Times New Roman" w:eastAsia="宋体" w:cs="Times New Roman"/>
                <w:color w:val="auto"/>
                <w:sz w:val="24"/>
                <w:szCs w:val="22"/>
                <w:highlight w:val="none"/>
                <w:lang w:val="en-US" w:eastAsia="zh-CN"/>
              </w:rPr>
              <w:t>8</w:t>
            </w:r>
            <w:r>
              <w:rPr>
                <w:rFonts w:hint="default" w:ascii="Times New Roman" w:hAnsi="Times New Roman" w:eastAsia="宋体" w:cs="Times New Roman"/>
                <w:color w:val="auto"/>
                <w:sz w:val="24"/>
                <w:szCs w:val="22"/>
                <w:highlight w:val="none"/>
                <w:lang w:val="en-US" w:eastAsia="zh-CN"/>
              </w:rPr>
              <w:t>000mg/m</w:t>
            </w:r>
            <w:r>
              <w:rPr>
                <w:rFonts w:hint="default" w:ascii="Times New Roman" w:hAnsi="Times New Roman" w:eastAsia="宋体" w:cs="Times New Roman"/>
                <w:color w:val="auto"/>
                <w:sz w:val="24"/>
                <w:szCs w:val="22"/>
                <w:highlight w:val="none"/>
                <w:vertAlign w:val="superscript"/>
                <w:lang w:val="en-US" w:eastAsia="zh-CN"/>
              </w:rPr>
              <w:t>3</w:t>
            </w:r>
            <w:r>
              <w:rPr>
                <w:rFonts w:hint="default" w:ascii="Times New Roman" w:hAnsi="Times New Roman" w:eastAsia="宋体" w:cs="Times New Roman"/>
                <w:color w:val="auto"/>
                <w:sz w:val="24"/>
                <w:szCs w:val="22"/>
                <w:highlight w:val="none"/>
                <w:lang w:val="en-US" w:eastAsia="zh-CN"/>
              </w:rPr>
              <w:t>，除尘器</w:t>
            </w:r>
            <w:r>
              <w:rPr>
                <w:rFonts w:hint="eastAsia" w:ascii="Times New Roman" w:hAnsi="Times New Roman" w:eastAsia="宋体" w:cs="Times New Roman"/>
                <w:color w:val="auto"/>
                <w:sz w:val="24"/>
                <w:szCs w:val="22"/>
                <w:highlight w:val="none"/>
                <w:lang w:val="en-US" w:eastAsia="zh-CN"/>
              </w:rPr>
              <w:t>设计</w:t>
            </w:r>
            <w:r>
              <w:rPr>
                <w:rFonts w:hint="default" w:ascii="Times New Roman" w:hAnsi="Times New Roman" w:eastAsia="宋体" w:cs="Times New Roman"/>
                <w:color w:val="auto"/>
                <w:sz w:val="24"/>
                <w:szCs w:val="22"/>
                <w:highlight w:val="none"/>
                <w:lang w:val="en-US" w:eastAsia="zh-CN"/>
              </w:rPr>
              <w:t>风量为5000m</w:t>
            </w:r>
            <w:r>
              <w:rPr>
                <w:rFonts w:hint="default" w:ascii="Times New Roman" w:hAnsi="Times New Roman" w:eastAsia="宋体" w:cs="Times New Roman"/>
                <w:color w:val="auto"/>
                <w:sz w:val="24"/>
                <w:szCs w:val="22"/>
                <w:highlight w:val="none"/>
                <w:vertAlign w:val="superscript"/>
                <w:lang w:val="en-US" w:eastAsia="zh-CN"/>
              </w:rPr>
              <w:t>3</w:t>
            </w:r>
            <w:r>
              <w:rPr>
                <w:rFonts w:hint="default" w:ascii="Times New Roman" w:hAnsi="Times New Roman" w:eastAsia="宋体" w:cs="Times New Roman"/>
                <w:color w:val="auto"/>
                <w:sz w:val="24"/>
                <w:szCs w:val="22"/>
                <w:highlight w:val="none"/>
                <w:lang w:val="en-US" w:eastAsia="zh-CN"/>
              </w:rPr>
              <w:t>/h，粉尘产生速率为</w:t>
            </w:r>
            <w:r>
              <w:rPr>
                <w:rFonts w:hint="eastAsia" w:ascii="Times New Roman" w:hAnsi="Times New Roman" w:eastAsia="宋体" w:cs="Times New Roman"/>
                <w:color w:val="auto"/>
                <w:sz w:val="24"/>
                <w:szCs w:val="22"/>
                <w:highlight w:val="none"/>
                <w:lang w:val="en-US" w:eastAsia="zh-CN"/>
              </w:rPr>
              <w:t>4</w:t>
            </w:r>
            <w:r>
              <w:rPr>
                <w:rFonts w:hint="default" w:ascii="Times New Roman" w:hAnsi="Times New Roman" w:eastAsia="宋体" w:cs="Times New Roman"/>
                <w:color w:val="auto"/>
                <w:sz w:val="24"/>
                <w:szCs w:val="22"/>
                <w:highlight w:val="none"/>
                <w:lang w:val="en-US" w:eastAsia="zh-CN"/>
              </w:rPr>
              <w:t>0kg/h。根据建设单位提供资料，该工段全年运行</w:t>
            </w:r>
            <w:r>
              <w:rPr>
                <w:rFonts w:hint="eastAsia" w:eastAsia="宋体" w:cs="Times New Roman"/>
                <w:color w:val="auto"/>
                <w:sz w:val="24"/>
                <w:szCs w:val="22"/>
                <w:highlight w:val="none"/>
                <w:lang w:val="en-US" w:eastAsia="zh-CN"/>
              </w:rPr>
              <w:t>90</w:t>
            </w:r>
            <w:r>
              <w:rPr>
                <w:rFonts w:hint="default" w:ascii="Times New Roman" w:hAnsi="Times New Roman" w:eastAsia="宋体" w:cs="Times New Roman"/>
                <w:color w:val="auto"/>
                <w:sz w:val="24"/>
                <w:szCs w:val="22"/>
                <w:highlight w:val="none"/>
                <w:lang w:val="en-US" w:eastAsia="zh-CN"/>
              </w:rPr>
              <w:t>d，每天运行8h，则粉尘产生</w:t>
            </w:r>
            <w:r>
              <w:rPr>
                <w:rFonts w:hint="eastAsia" w:cs="Times New Roman"/>
                <w:color w:val="auto"/>
                <w:sz w:val="24"/>
                <w:szCs w:val="22"/>
                <w:highlight w:val="none"/>
                <w:lang w:val="en-US" w:eastAsia="zh-CN"/>
              </w:rPr>
              <w:t>28.8</w:t>
            </w:r>
            <w:r>
              <w:rPr>
                <w:rFonts w:hint="default" w:ascii="Times New Roman" w:hAnsi="Times New Roman" w:eastAsia="宋体" w:cs="Times New Roman"/>
                <w:color w:val="auto"/>
                <w:sz w:val="24"/>
                <w:szCs w:val="22"/>
                <w:highlight w:val="none"/>
                <w:lang w:val="en-US" w:eastAsia="zh-CN"/>
              </w:rPr>
              <w:t>t/a，</w:t>
            </w:r>
            <w:r>
              <w:rPr>
                <w:rFonts w:hint="default" w:ascii="Times New Roman" w:hAnsi="Times New Roman" w:eastAsia="宋体" w:cs="Times New Roman"/>
                <w:color w:val="auto"/>
                <w:sz w:val="24"/>
                <w:szCs w:val="20"/>
                <w:highlight w:val="none"/>
              </w:rPr>
              <w:t>经</w:t>
            </w:r>
            <w:r>
              <w:rPr>
                <w:rFonts w:hint="default" w:ascii="Times New Roman" w:hAnsi="Times New Roman" w:eastAsia="宋体" w:cs="Times New Roman"/>
                <w:iCs/>
                <w:color w:val="auto"/>
                <w:sz w:val="24"/>
                <w:szCs w:val="21"/>
                <w:highlight w:val="none"/>
                <w:lang w:eastAsia="zh-CN"/>
              </w:rPr>
              <w:t>脉冲式除尘器</w:t>
            </w:r>
            <w:r>
              <w:rPr>
                <w:rFonts w:hint="default" w:ascii="Times New Roman" w:hAnsi="Times New Roman" w:eastAsia="宋体" w:cs="Times New Roman"/>
                <w:color w:val="auto"/>
                <w:sz w:val="24"/>
                <w:szCs w:val="20"/>
                <w:highlight w:val="none"/>
              </w:rPr>
              <w:t>处理后由15m高排气筒排放</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排放量约</w:t>
            </w:r>
            <w:r>
              <w:rPr>
                <w:rFonts w:hint="default" w:ascii="Times New Roman" w:hAnsi="Times New Roman" w:eastAsia="宋体" w:cs="Times New Roman"/>
                <w:color w:val="auto"/>
                <w:sz w:val="24"/>
                <w:szCs w:val="20"/>
                <w:highlight w:val="none"/>
                <w:lang w:val="en-US" w:eastAsia="zh-CN"/>
              </w:rPr>
              <w:t>0.</w:t>
            </w:r>
            <w:r>
              <w:rPr>
                <w:rFonts w:hint="eastAsia" w:ascii="Times New Roman" w:hAnsi="Times New Roman" w:eastAsia="宋体" w:cs="Times New Roman"/>
                <w:color w:val="auto"/>
                <w:sz w:val="24"/>
                <w:szCs w:val="20"/>
                <w:highlight w:val="none"/>
                <w:lang w:val="en-US" w:eastAsia="zh-CN"/>
              </w:rPr>
              <w:t>0</w:t>
            </w:r>
            <w:r>
              <w:rPr>
                <w:rFonts w:hint="eastAsia" w:cs="Times New Roman"/>
                <w:color w:val="auto"/>
                <w:sz w:val="24"/>
                <w:szCs w:val="20"/>
                <w:highlight w:val="none"/>
                <w:lang w:val="en-US" w:eastAsia="zh-CN"/>
              </w:rPr>
              <w:t>288</w:t>
            </w:r>
            <w:r>
              <w:rPr>
                <w:rFonts w:hint="default" w:ascii="Times New Roman" w:hAnsi="Times New Roman" w:eastAsia="宋体" w:cs="Times New Roman"/>
                <w:color w:val="auto"/>
                <w:sz w:val="24"/>
                <w:szCs w:val="20"/>
                <w:highlight w:val="none"/>
              </w:rPr>
              <w:t>t/a，排放速率约</w:t>
            </w:r>
            <w:r>
              <w:rPr>
                <w:rFonts w:hint="default" w:ascii="Times New Roman" w:hAnsi="Times New Roman" w:eastAsia="宋体" w:cs="Times New Roman"/>
                <w:color w:val="auto"/>
                <w:sz w:val="24"/>
                <w:szCs w:val="20"/>
                <w:highlight w:val="none"/>
                <w:lang w:val="en-US" w:eastAsia="zh-CN"/>
              </w:rPr>
              <w:t>0.0</w:t>
            </w:r>
            <w:r>
              <w:rPr>
                <w:rFonts w:hint="eastAsia" w:ascii="Times New Roman" w:hAnsi="Times New Roman" w:eastAsia="宋体" w:cs="Times New Roman"/>
                <w:color w:val="auto"/>
                <w:sz w:val="24"/>
                <w:szCs w:val="20"/>
                <w:highlight w:val="none"/>
                <w:lang w:val="en-US" w:eastAsia="zh-CN"/>
              </w:rPr>
              <w:t>4</w:t>
            </w:r>
            <w:r>
              <w:rPr>
                <w:rFonts w:hint="default" w:ascii="Times New Roman" w:hAnsi="Times New Roman" w:eastAsia="宋体" w:cs="Times New Roman"/>
                <w:color w:val="auto"/>
                <w:sz w:val="24"/>
                <w:szCs w:val="20"/>
                <w:highlight w:val="none"/>
              </w:rPr>
              <w:t>kg/h，排放浓度约</w:t>
            </w:r>
            <w:r>
              <w:rPr>
                <w:rFonts w:hint="eastAsia" w:ascii="Times New Roman" w:hAnsi="Times New Roman" w:eastAsia="宋体" w:cs="Times New Roman"/>
                <w:color w:val="auto"/>
                <w:sz w:val="24"/>
                <w:szCs w:val="20"/>
                <w:highlight w:val="none"/>
                <w:lang w:val="en-US" w:eastAsia="zh-CN"/>
              </w:rPr>
              <w:t>8</w:t>
            </w:r>
            <w:r>
              <w:rPr>
                <w:rFonts w:hint="default" w:ascii="Times New Roman" w:hAnsi="Times New Roman" w:eastAsia="宋体" w:cs="Times New Roman"/>
                <w:color w:val="auto"/>
                <w:sz w:val="24"/>
                <w:szCs w:val="20"/>
                <w:highlight w:val="none"/>
              </w:rPr>
              <w:t>mg/m</w:t>
            </w:r>
            <w:r>
              <w:rPr>
                <w:rFonts w:hint="default" w:ascii="Times New Roman" w:hAnsi="Times New Roman" w:eastAsia="宋体" w:cs="Times New Roman"/>
                <w:color w:val="auto"/>
                <w:sz w:val="24"/>
                <w:szCs w:val="20"/>
                <w:highlight w:val="none"/>
                <w:vertAlign w:val="superscript"/>
              </w:rPr>
              <w:t>3</w:t>
            </w:r>
            <w:r>
              <w:rPr>
                <w:rFonts w:hint="default" w:ascii="Times New Roman" w:hAnsi="Times New Roman" w:eastAsia="宋体" w:cs="Times New Roman"/>
                <w:color w:val="auto"/>
                <w:sz w:val="24"/>
                <w:szCs w:val="20"/>
                <w:highlight w:val="none"/>
              </w:rPr>
              <w:t>，满足</w:t>
            </w:r>
            <w:r>
              <w:rPr>
                <w:rFonts w:hint="default" w:ascii="Times New Roman" w:hAnsi="Times New Roman" w:eastAsia="宋体" w:cs="Times New Roman"/>
                <w:color w:val="auto"/>
                <w:sz w:val="24"/>
                <w:szCs w:val="22"/>
                <w:highlight w:val="none"/>
              </w:rPr>
              <w:t>《大气污染物综合排放标准》（GB16297-1996）表2中二级标准要求</w:t>
            </w:r>
            <w:r>
              <w:rPr>
                <w:rFonts w:hint="eastAsia" w:ascii="Times New Roman" w:hAnsi="Times New Roman" w:eastAsia="宋体" w:cs="Times New Roman"/>
                <w:color w:val="auto"/>
                <w:sz w:val="24"/>
                <w:szCs w:val="2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宋体" w:hAnsi="宋体" w:cs="宋体"/>
                <w:color w:val="000000" w:themeColor="text1"/>
                <w:sz w:val="24"/>
                <w:szCs w:val="24"/>
                <w:highlight w:val="none"/>
                <w:u w:val="none" w:color="auto"/>
                <w:lang w:val="en-US" w:eastAsia="zh-CN"/>
                <w14:textFill>
                  <w14:solidFill>
                    <w14:schemeClr w14:val="tx1"/>
                  </w14:solidFill>
                </w14:textFill>
              </w:rPr>
              <w:t>⑤</w:t>
            </w:r>
            <w:r>
              <w:rPr>
                <w:rFonts w:hint="default" w:ascii="Times New Roman" w:hAnsi="Times New Roman" w:eastAsia="宋体" w:cs="Times New Roman"/>
                <w:sz w:val="24"/>
                <w:szCs w:val="24"/>
              </w:rPr>
              <w:t>导热油锅炉燃油烟气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根据建设单位提供资料，锅炉排放烟气中主要污染物为烟尘、SO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X</w:t>
            </w:r>
            <w:r>
              <w:rPr>
                <w:rFonts w:hint="default" w:ascii="Times New Roman" w:hAnsi="Times New Roman" w:eastAsia="宋体" w:cs="Times New Roman"/>
                <w:sz w:val="24"/>
                <w:szCs w:val="24"/>
              </w:rPr>
              <w:t>，查阅《第二次全国污染物普查工业污染源产排污系数手册（初稿）》中4430燃油锅炉中污染物排放经验系数</w:t>
            </w:r>
            <w:r>
              <w:rPr>
                <w:rFonts w:hint="eastAsia" w:ascii="Times New Roman" w:hAnsi="Times New Roman" w:eastAsia="宋体" w:cs="Times New Roman"/>
                <w:sz w:val="24"/>
                <w:szCs w:val="24"/>
                <w:lang w:eastAsia="zh-CN"/>
              </w:rPr>
              <w:t>计算污染物产生量可得，</w:t>
            </w:r>
            <w:r>
              <w:rPr>
                <w:rFonts w:hint="eastAsia" w:ascii="Times New Roman" w:hAnsi="Times New Roman" w:eastAsia="宋体" w:cs="Times New Roman"/>
                <w:sz w:val="24"/>
                <w:szCs w:val="24"/>
                <w:lang w:val="en-US" w:eastAsia="zh-CN"/>
              </w:rPr>
              <w:t>工业废气量1196.43万标立方米</w:t>
            </w:r>
            <w:r>
              <w:rPr>
                <w:rFonts w:hint="default" w:ascii="Times New Roman" w:hAnsi="Times New Roman" w:eastAsia="宋体" w:cs="Times New Roman"/>
                <w:sz w:val="24"/>
                <w:szCs w:val="24"/>
                <w:highlight w:val="none"/>
              </w:rPr>
              <w:t>，导热油锅炉烟气中烟尘、SO</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、NO</w:t>
            </w:r>
            <w:r>
              <w:rPr>
                <w:rFonts w:hint="default" w:ascii="Times New Roman" w:hAnsi="Times New Roman" w:eastAsia="宋体" w:cs="Times New Roman"/>
                <w:sz w:val="24"/>
                <w:szCs w:val="24"/>
                <w:highlight w:val="none"/>
                <w:vertAlign w:val="subscript"/>
              </w:rPr>
              <w:t>X</w:t>
            </w:r>
            <w:r>
              <w:rPr>
                <w:rFonts w:hint="default" w:ascii="Times New Roman" w:hAnsi="Times New Roman" w:eastAsia="宋体" w:cs="Times New Roman"/>
                <w:sz w:val="24"/>
                <w:szCs w:val="24"/>
                <w:highlight w:val="none"/>
              </w:rPr>
              <w:t>污染物</w:t>
            </w:r>
            <w:r>
              <w:rPr>
                <w:rFonts w:hint="eastAsia" w:cs="Times New Roman"/>
                <w:sz w:val="24"/>
                <w:szCs w:val="24"/>
                <w:highlight w:val="none"/>
                <w:lang w:val="en-US" w:eastAsia="zh-CN"/>
              </w:rPr>
              <w:t>产生量分别为0.17t/a、12.8t/a、2.0t/a，产生</w:t>
            </w:r>
            <w:r>
              <w:rPr>
                <w:rFonts w:hint="default" w:ascii="Times New Roman" w:hAnsi="Times New Roman" w:eastAsia="宋体" w:cs="Times New Roman"/>
                <w:sz w:val="24"/>
                <w:szCs w:val="24"/>
                <w:highlight w:val="none"/>
              </w:rPr>
              <w:t>浓度分别为</w:t>
            </w:r>
            <w:r>
              <w:rPr>
                <w:rFonts w:hint="eastAsia" w:cs="Times New Roman"/>
                <w:sz w:val="24"/>
                <w:szCs w:val="24"/>
                <w:highlight w:val="none"/>
                <w:lang w:val="en-US" w:eastAsia="zh-CN"/>
              </w:rPr>
              <w:t>0.02</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1.48</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0.23</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rPr>
              <w:t>污染物排放浓度均满足《锅炉大气污染物排放标准》(GB13271-2014)中燃油锅炉烟气排放标准（烟尘≤30mg/m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、SO</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≤200mg/m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、NO</w:t>
            </w:r>
            <w:r>
              <w:rPr>
                <w:rFonts w:hint="default" w:ascii="Times New Roman" w:hAnsi="Times New Roman" w:eastAsia="宋体" w:cs="Times New Roman"/>
                <w:sz w:val="24"/>
                <w:szCs w:val="24"/>
                <w:highlight w:val="none"/>
                <w:vertAlign w:val="subscript"/>
              </w:rPr>
              <w:t>X</w:t>
            </w:r>
            <w:r>
              <w:rPr>
                <w:rFonts w:hint="default" w:ascii="Times New Roman" w:hAnsi="Times New Roman" w:eastAsia="宋体" w:cs="Times New Roman"/>
                <w:sz w:val="24"/>
                <w:szCs w:val="24"/>
                <w:highlight w:val="none"/>
              </w:rPr>
              <w:t>≤250mg/m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），对周边</w:t>
            </w:r>
            <w:r>
              <w:rPr>
                <w:rFonts w:hint="default" w:ascii="Times New Roman" w:hAnsi="Times New Roman" w:eastAsia="宋体" w:cs="Times New Roman"/>
                <w:sz w:val="24"/>
                <w:szCs w:val="24"/>
              </w:rPr>
              <w:t>大气环境影响程度小。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sz w:val="24"/>
                <w:szCs w:val="24"/>
              </w:rPr>
              <w:t>另外，根据《锅炉大气污染物排放标准》（GB13271-2014），燃油锅炉烟囱高度不得低于8m，还应高于周围200m范围内建筑3m以上。根据现场勘查，项目排气筒周边200m范围内，均为平房，无高层建筑，因此，本项目导热油炉排气筒高度设置为15m可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cs="Times New Roman"/>
                <w:sz w:val="24"/>
                <w:szCs w:val="24"/>
                <w:lang w:val="en-US" w:eastAsia="zh-CN"/>
              </w:rPr>
              <w:t>⑥</w:t>
            </w:r>
            <w:r>
              <w:rPr>
                <w:rFonts w:hint="default" w:ascii="Times New Roman" w:hAnsi="Times New Roman" w:eastAsia="宋体" w:cs="Times New Roman"/>
                <w:sz w:val="24"/>
                <w:szCs w:val="24"/>
              </w:rPr>
              <w:t>搅拌楼沥青烟气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参考《工业生产中的有害物质手册》第一卷（化学工业出版社，1987年12月出版）及《有机化合物污染化学》（清华大学出版社，1990年8月出版），每吨石油沥青在加热过程中可产生562.5g沥青烟气，沥青烟中苯</w:t>
            </w:r>
            <w:r>
              <w:rPr>
                <w:rFonts w:hint="eastAsia" w:cs="Times New Roman"/>
                <w:sz w:val="24"/>
                <w:szCs w:val="24"/>
                <w:lang w:val="en-US" w:eastAsia="zh-CN"/>
              </w:rPr>
              <w:t>并</w:t>
            </w:r>
            <w:r>
              <w:rPr>
                <w:rFonts w:hint="default" w:ascii="Times New Roman" w:hAnsi="Times New Roman" w:eastAsia="宋体" w:cs="Times New Roman"/>
                <w:sz w:val="24"/>
                <w:szCs w:val="24"/>
              </w:rPr>
              <w:t>[a]芘含量约0.01~0.02‰，本次评价取平均值0.015‰，</w:t>
            </w:r>
            <w:r>
              <w:rPr>
                <w:rFonts w:hint="default" w:ascii="Times New Roman" w:hAnsi="Times New Roman" w:eastAsia="宋体" w:cs="Times New Roman"/>
                <w:sz w:val="24"/>
                <w:szCs w:val="24"/>
                <w:highlight w:val="none"/>
              </w:rPr>
              <w:t>根据本项目沥青年用量为</w:t>
            </w:r>
            <w:r>
              <w:rPr>
                <w:rFonts w:hint="eastAsia" w:cs="Times New Roman"/>
                <w:sz w:val="24"/>
                <w:szCs w:val="24"/>
                <w:highlight w:val="none"/>
                <w:lang w:val="en-US" w:eastAsia="zh-CN"/>
              </w:rPr>
              <w:t>84</w:t>
            </w:r>
            <w:r>
              <w:rPr>
                <w:rFonts w:hint="default" w:ascii="Times New Roman" w:hAnsi="Times New Roman" w:eastAsia="宋体" w:cs="Times New Roman"/>
                <w:sz w:val="24"/>
                <w:szCs w:val="24"/>
                <w:highlight w:val="none"/>
              </w:rPr>
              <w:t>00吨，则项目沥青烟产生量为</w:t>
            </w:r>
            <w:r>
              <w:rPr>
                <w:rFonts w:hint="eastAsia" w:cs="Times New Roman"/>
                <w:sz w:val="24"/>
                <w:szCs w:val="24"/>
                <w:highlight w:val="none"/>
                <w:lang w:val="en-US" w:eastAsia="zh-CN"/>
              </w:rPr>
              <w:t>4.725</w:t>
            </w:r>
            <w:r>
              <w:rPr>
                <w:rFonts w:hint="default" w:ascii="Times New Roman" w:hAnsi="Times New Roman" w:eastAsia="宋体" w:cs="Times New Roman"/>
                <w:sz w:val="24"/>
                <w:szCs w:val="24"/>
                <w:highlight w:val="none"/>
              </w:rPr>
              <w:t>t/a，</w:t>
            </w:r>
            <w:r>
              <w:rPr>
                <w:rFonts w:hint="eastAsia" w:cs="Times New Roman"/>
                <w:sz w:val="24"/>
                <w:szCs w:val="24"/>
                <w:highlight w:val="none"/>
                <w:lang w:val="en-US" w:eastAsia="zh-CN"/>
              </w:rPr>
              <w:t>6.56</w:t>
            </w:r>
            <w:r>
              <w:rPr>
                <w:rFonts w:hint="default" w:ascii="Times New Roman" w:hAnsi="Times New Roman" w:eastAsia="宋体" w:cs="Times New Roman"/>
                <w:sz w:val="24"/>
                <w:szCs w:val="24"/>
                <w:highlight w:val="none"/>
              </w:rPr>
              <w:t>kg/h；苯并[a]芘产生量约为</w:t>
            </w:r>
            <w:r>
              <w:rPr>
                <w:rFonts w:hint="eastAsia" w:cs="Times New Roman"/>
                <w:sz w:val="24"/>
                <w:szCs w:val="24"/>
                <w:highlight w:val="none"/>
                <w:lang w:val="en-US" w:eastAsia="zh-CN"/>
              </w:rPr>
              <w:t>70.875</w:t>
            </w:r>
            <w:r>
              <w:rPr>
                <w:rFonts w:hint="default" w:ascii="Times New Roman" w:hAnsi="Times New Roman" w:eastAsia="宋体" w:cs="Times New Roman"/>
                <w:sz w:val="24"/>
                <w:szCs w:val="24"/>
                <w:highlight w:val="none"/>
              </w:rPr>
              <w:t>g/a，0.0</w:t>
            </w:r>
            <w:r>
              <w:rPr>
                <w:rFonts w:hint="eastAsia" w:cs="Times New Roman"/>
                <w:sz w:val="24"/>
                <w:szCs w:val="24"/>
                <w:highlight w:val="none"/>
                <w:lang w:val="en-US" w:eastAsia="zh-CN"/>
              </w:rPr>
              <w:t>98</w:t>
            </w:r>
            <w:r>
              <w:rPr>
                <w:rFonts w:hint="default" w:ascii="Times New Roman" w:hAnsi="Times New Roman" w:eastAsia="宋体" w:cs="Times New Roman"/>
                <w:sz w:val="24"/>
                <w:szCs w:val="24"/>
                <w:highlight w:val="none"/>
              </w:rPr>
              <w:t>g/h。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沥青烟产生于搅拌楼出料口、沥青罐呼吸口，建设单位拟在沥青罐呼吸口、搅拌楼出料口处设置沥青烟收集设施对其进行收集。沥青烟主要在沥青高温融化时散出，项目加热、储存位于沥青罐内，大部分的沥青烟通过呼吸口排出，搅拌楼出料口主要在出料时才会排放沥青烟。经调查、类比，沥青罐呼吸口为圆筒形状，其散发的沥青烟约占沥青烟总产生量的90%，拟将沥青烟收集系统做成圆形管道状，将沥青罐呼吸口插入其中，并在连接处做好密闭措施，则该处散发的沥青烟收集率可达100%，</w:t>
            </w:r>
            <w:r>
              <w:rPr>
                <w:rFonts w:hint="default" w:ascii="Times New Roman" w:hAnsi="Times New Roman" w:eastAsia="宋体" w:cs="Times New Roman"/>
                <w:sz w:val="24"/>
                <w:szCs w:val="24"/>
                <w:highlight w:val="none"/>
              </w:rPr>
              <w:t>即收集的苯并[a]芘为</w:t>
            </w:r>
            <w:r>
              <w:rPr>
                <w:rFonts w:hint="default" w:ascii="Times New Roman" w:hAnsi="Times New Roman" w:eastAsia="宋体" w:cs="Times New Roman"/>
                <w:sz w:val="24"/>
                <w:szCs w:val="24"/>
                <w:highlight w:val="none"/>
                <w:lang w:val="en-US" w:eastAsia="zh-CN"/>
              </w:rPr>
              <w:t>70.875</w:t>
            </w:r>
            <w:r>
              <w:rPr>
                <w:rFonts w:hint="default" w:ascii="Times New Roman" w:hAnsi="Times New Roman" w:eastAsia="宋体" w:cs="Times New Roman"/>
                <w:sz w:val="24"/>
                <w:szCs w:val="24"/>
                <w:highlight w:val="none"/>
              </w:rPr>
              <w:t>g/a，沥青烟为</w:t>
            </w:r>
            <w:r>
              <w:rPr>
                <w:rFonts w:hint="default" w:ascii="Times New Roman" w:hAnsi="Times New Roman" w:eastAsia="宋体" w:cs="Times New Roman"/>
                <w:sz w:val="24"/>
                <w:szCs w:val="24"/>
                <w:highlight w:val="none"/>
                <w:lang w:val="en-US" w:eastAsia="zh-CN"/>
              </w:rPr>
              <w:t>4.725</w:t>
            </w:r>
            <w:r>
              <w:rPr>
                <w:rFonts w:hint="default" w:ascii="Times New Roman" w:hAnsi="Times New Roman" w:eastAsia="宋体" w:cs="Times New Roman"/>
                <w:sz w:val="24"/>
                <w:szCs w:val="24"/>
                <w:highlight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搅拌楼的出料口散发的沥青烟约占沥青烟总量的10%，即出料口苯并[a]芘</w:t>
            </w:r>
            <w:r>
              <w:rPr>
                <w:rFonts w:hint="default" w:ascii="Times New Roman" w:hAnsi="Times New Roman" w:eastAsia="宋体" w:cs="Times New Roman"/>
                <w:sz w:val="24"/>
                <w:szCs w:val="24"/>
                <w:highlight w:val="none"/>
              </w:rPr>
              <w:t>为</w:t>
            </w:r>
            <w:r>
              <w:rPr>
                <w:rFonts w:hint="eastAsia" w:cs="Times New Roman"/>
                <w:sz w:val="24"/>
                <w:szCs w:val="24"/>
                <w:highlight w:val="none"/>
                <w:lang w:val="en-US" w:eastAsia="zh-CN"/>
              </w:rPr>
              <w:t>7.0875</w:t>
            </w:r>
            <w:r>
              <w:rPr>
                <w:rFonts w:hint="default" w:ascii="Times New Roman" w:hAnsi="Times New Roman" w:eastAsia="宋体" w:cs="Times New Roman"/>
                <w:sz w:val="24"/>
                <w:szCs w:val="24"/>
                <w:highlight w:val="none"/>
              </w:rPr>
              <w:t>g/a，沥青烟为</w:t>
            </w:r>
            <w:r>
              <w:rPr>
                <w:rFonts w:hint="eastAsia" w:cs="Times New Roman"/>
                <w:sz w:val="24"/>
                <w:szCs w:val="24"/>
                <w:highlight w:val="none"/>
                <w:lang w:val="en-US" w:eastAsia="zh-CN"/>
              </w:rPr>
              <w:t>0.4725</w:t>
            </w:r>
            <w:r>
              <w:rPr>
                <w:rFonts w:hint="default" w:ascii="Times New Roman" w:hAnsi="Times New Roman" w:eastAsia="宋体" w:cs="Times New Roman"/>
                <w:sz w:val="24"/>
                <w:szCs w:val="24"/>
                <w:highlight w:val="none"/>
              </w:rPr>
              <w:t>t/a。集</w:t>
            </w:r>
            <w:r>
              <w:rPr>
                <w:rFonts w:hint="default" w:ascii="Times New Roman" w:hAnsi="Times New Roman" w:eastAsia="宋体" w:cs="Times New Roman"/>
                <w:sz w:val="24"/>
                <w:szCs w:val="24"/>
              </w:rPr>
              <w:t>气收集系统拟设置在沥青搅拌楼出料口的上方，搅拌楼</w:t>
            </w:r>
            <w:r>
              <w:rPr>
                <w:rFonts w:hint="default" w:ascii="Times New Roman" w:hAnsi="Times New Roman" w:eastAsia="宋体" w:cs="Times New Roman"/>
                <w:sz w:val="24"/>
                <w:szCs w:val="24"/>
                <w:highlight w:val="none"/>
              </w:rPr>
              <w:t>出料口的旁侧，收集率约为90%，即产生的有组织苯并[a]芘为</w:t>
            </w:r>
            <w:r>
              <w:rPr>
                <w:rFonts w:hint="eastAsia" w:cs="Times New Roman"/>
                <w:sz w:val="24"/>
                <w:szCs w:val="24"/>
                <w:highlight w:val="none"/>
                <w:lang w:val="en-US" w:eastAsia="zh-CN"/>
              </w:rPr>
              <w:t>6.38</w:t>
            </w:r>
            <w:r>
              <w:rPr>
                <w:rFonts w:hint="default" w:ascii="Times New Roman" w:hAnsi="Times New Roman" w:eastAsia="宋体" w:cs="Times New Roman"/>
                <w:sz w:val="24"/>
                <w:szCs w:val="24"/>
                <w:highlight w:val="none"/>
              </w:rPr>
              <w:t>g/a，沥青烟为0.</w:t>
            </w:r>
            <w:r>
              <w:rPr>
                <w:rFonts w:hint="eastAsia" w:cs="Times New Roman"/>
                <w:sz w:val="24"/>
                <w:szCs w:val="24"/>
                <w:highlight w:val="none"/>
                <w:lang w:val="en-US" w:eastAsia="zh-CN"/>
              </w:rPr>
              <w:t>43</w:t>
            </w:r>
            <w:r>
              <w:rPr>
                <w:rFonts w:hint="default" w:ascii="Times New Roman" w:hAnsi="Times New Roman" w:eastAsia="宋体" w:cs="Times New Roman"/>
                <w:sz w:val="24"/>
                <w:szCs w:val="24"/>
                <w:highlight w:val="none"/>
              </w:rPr>
              <w:t>t/a；无组织排放的苯并[a]芘为</w:t>
            </w:r>
            <w:r>
              <w:rPr>
                <w:rFonts w:hint="eastAsia" w:cs="Times New Roman"/>
                <w:sz w:val="24"/>
                <w:szCs w:val="24"/>
                <w:highlight w:val="none"/>
                <w:lang w:val="en-US" w:eastAsia="zh-CN"/>
              </w:rPr>
              <w:t>0.638</w:t>
            </w:r>
            <w:r>
              <w:rPr>
                <w:rFonts w:hint="default" w:ascii="Times New Roman" w:hAnsi="Times New Roman" w:eastAsia="宋体" w:cs="Times New Roman"/>
                <w:sz w:val="24"/>
                <w:szCs w:val="24"/>
                <w:highlight w:val="none"/>
              </w:rPr>
              <w:t>g/a，沥青烟为</w:t>
            </w:r>
            <w:r>
              <w:rPr>
                <w:rFonts w:hint="eastAsia" w:cs="Times New Roman"/>
                <w:sz w:val="24"/>
                <w:szCs w:val="24"/>
                <w:highlight w:val="none"/>
                <w:lang w:val="en-US" w:eastAsia="zh-CN"/>
              </w:rPr>
              <w:t>0.043</w:t>
            </w:r>
            <w:r>
              <w:rPr>
                <w:rFonts w:hint="default" w:ascii="Times New Roman" w:hAnsi="Times New Roman" w:eastAsia="宋体" w:cs="Times New Roman"/>
                <w:sz w:val="24"/>
                <w:szCs w:val="24"/>
                <w:highlight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因此，项目沥青烟有组织排放废气收集情况为：</w:t>
            </w:r>
            <w:r>
              <w:rPr>
                <w:rFonts w:hint="default" w:ascii="Times New Roman" w:hAnsi="Times New Roman" w:eastAsia="宋体" w:cs="Times New Roman"/>
                <w:sz w:val="24"/>
                <w:szCs w:val="24"/>
                <w:highlight w:val="none"/>
              </w:rPr>
              <w:t>沥青烟为</w:t>
            </w:r>
            <w:r>
              <w:rPr>
                <w:rFonts w:hint="eastAsia" w:cs="Times New Roman"/>
                <w:sz w:val="24"/>
                <w:szCs w:val="24"/>
                <w:highlight w:val="none"/>
                <w:lang w:val="en-US" w:eastAsia="zh-CN"/>
              </w:rPr>
              <w:t>5.155</w:t>
            </w:r>
            <w:r>
              <w:rPr>
                <w:rFonts w:hint="default" w:ascii="Times New Roman" w:hAnsi="Times New Roman" w:eastAsia="宋体" w:cs="Times New Roman"/>
                <w:sz w:val="24"/>
                <w:szCs w:val="24"/>
                <w:highlight w:val="none"/>
              </w:rPr>
              <w:t>t/a，苯并[a]芘为</w:t>
            </w:r>
            <w:r>
              <w:rPr>
                <w:rFonts w:hint="eastAsia" w:cs="Times New Roman"/>
                <w:sz w:val="24"/>
                <w:szCs w:val="24"/>
                <w:highlight w:val="none"/>
                <w:lang w:val="en-US" w:eastAsia="zh-CN"/>
              </w:rPr>
              <w:t>77.255</w:t>
            </w:r>
            <w:r>
              <w:rPr>
                <w:rFonts w:hint="default" w:ascii="Times New Roman" w:hAnsi="Times New Roman" w:eastAsia="宋体" w:cs="Times New Roman"/>
                <w:sz w:val="24"/>
                <w:szCs w:val="24"/>
                <w:highlight w:val="none"/>
              </w:rPr>
              <w:t>g/a</w:t>
            </w:r>
            <w:r>
              <w:rPr>
                <w:rFonts w:hint="default" w:ascii="Times New Roman" w:hAnsi="Times New Roman" w:eastAsia="宋体" w:cs="Times New Roman"/>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sz w:val="24"/>
                <w:szCs w:val="24"/>
              </w:rPr>
              <w:t>根据建设单位提供的技术资料，本项目拟采用活性炭吸附措施，其处理效率可达到95%，处理后的沥青烟气通过引风机（风量为40000m³/h）排入排气筒，沥青烟有组织排放量</w:t>
            </w:r>
            <w:r>
              <w:rPr>
                <w:rFonts w:hint="default" w:ascii="Times New Roman" w:hAnsi="Times New Roman" w:eastAsia="宋体" w:cs="Times New Roman"/>
                <w:sz w:val="24"/>
                <w:szCs w:val="24"/>
                <w:highlight w:val="none"/>
              </w:rPr>
              <w:t>为0.</w:t>
            </w:r>
            <w:r>
              <w:rPr>
                <w:rFonts w:hint="eastAsia" w:cs="Times New Roman"/>
                <w:sz w:val="24"/>
                <w:szCs w:val="24"/>
                <w:highlight w:val="none"/>
                <w:lang w:val="en-US" w:eastAsia="zh-CN"/>
              </w:rPr>
              <w:t>26</w:t>
            </w:r>
            <w:r>
              <w:rPr>
                <w:rFonts w:hint="default" w:ascii="Times New Roman" w:hAnsi="Times New Roman" w:eastAsia="宋体" w:cs="Times New Roman"/>
                <w:sz w:val="24"/>
                <w:szCs w:val="24"/>
                <w:highlight w:val="none"/>
              </w:rPr>
              <w:t>t/a，排放速率为0.</w:t>
            </w:r>
            <w:r>
              <w:rPr>
                <w:rFonts w:hint="eastAsia" w:cs="Times New Roman"/>
                <w:sz w:val="24"/>
                <w:szCs w:val="24"/>
                <w:highlight w:val="none"/>
                <w:lang w:val="en-US" w:eastAsia="zh-CN"/>
              </w:rPr>
              <w:t>36</w:t>
            </w:r>
            <w:r>
              <w:rPr>
                <w:rFonts w:hint="default" w:ascii="Times New Roman" w:hAnsi="Times New Roman" w:eastAsia="宋体" w:cs="Times New Roman"/>
                <w:sz w:val="24"/>
                <w:szCs w:val="24"/>
                <w:highlight w:val="none"/>
              </w:rPr>
              <w:t>kg/h，浓度</w:t>
            </w:r>
            <w:r>
              <w:rPr>
                <w:rFonts w:hint="eastAsia" w:cs="Times New Roman"/>
                <w:sz w:val="24"/>
                <w:szCs w:val="24"/>
                <w:highlight w:val="none"/>
                <w:lang w:val="en-US" w:eastAsia="zh-CN"/>
              </w:rPr>
              <w:t>9.0</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；苯并[a]芘有组织排放量为</w:t>
            </w:r>
            <w:r>
              <w:rPr>
                <w:rFonts w:hint="eastAsia" w:cs="Times New Roman"/>
                <w:sz w:val="24"/>
                <w:szCs w:val="24"/>
                <w:highlight w:val="none"/>
                <w:lang w:val="en-US" w:eastAsia="zh-CN"/>
              </w:rPr>
              <w:t>3.86</w:t>
            </w:r>
            <w:r>
              <w:rPr>
                <w:rFonts w:hint="default" w:ascii="Times New Roman" w:hAnsi="Times New Roman" w:eastAsia="宋体" w:cs="Times New Roman"/>
                <w:sz w:val="24"/>
                <w:szCs w:val="24"/>
                <w:highlight w:val="none"/>
              </w:rPr>
              <w:t>g/a，排放速率为</w:t>
            </w:r>
            <w:r>
              <w:rPr>
                <w:rFonts w:hint="eastAsia" w:cs="Times New Roman"/>
                <w:sz w:val="24"/>
                <w:szCs w:val="24"/>
                <w:highlight w:val="none"/>
                <w:lang w:val="en-US" w:eastAsia="zh-CN"/>
              </w:rPr>
              <w:t>5.36</w:t>
            </w:r>
            <w:r>
              <w:rPr>
                <w:rFonts w:hint="default" w:ascii="Times New Roman" w:hAnsi="Times New Roman" w:eastAsia="宋体" w:cs="Times New Roman"/>
                <w:sz w:val="24"/>
                <w:szCs w:val="24"/>
                <w:highlight w:val="none"/>
              </w:rPr>
              <w:t>mg/h，浓度0.</w:t>
            </w:r>
            <w:r>
              <w:rPr>
                <w:rFonts w:hint="eastAsia" w:cs="Times New Roman"/>
                <w:sz w:val="24"/>
                <w:szCs w:val="24"/>
                <w:highlight w:val="none"/>
                <w:lang w:val="en-US" w:eastAsia="zh-CN"/>
              </w:rPr>
              <w:t>134</w:t>
            </w:r>
            <w:r>
              <w:rPr>
                <w:rFonts w:hint="default" w:ascii="Times New Roman" w:hAnsi="Times New Roman" w:eastAsia="宋体" w:cs="Times New Roman"/>
                <w:sz w:val="24"/>
                <w:szCs w:val="24"/>
                <w:highlight w:val="none"/>
              </w:rPr>
              <w:t>µg/m</w:t>
            </w:r>
            <w:r>
              <w:rPr>
                <w:rFonts w:hint="default" w:ascii="Times New Roman" w:hAnsi="Times New Roman" w:eastAsia="宋体" w:cs="Times New Roman"/>
                <w:sz w:val="24"/>
                <w:szCs w:val="24"/>
                <w:highlight w:val="none"/>
                <w:vertAlign w:val="superscript"/>
              </w:rPr>
              <w:t>3</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rPr>
              <w:t>有组织沥青烟气再经排气筒外排，排气筒的高度应高于15m，且高于周边200m范围内的建筑5m以上。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yellow"/>
              </w:rPr>
            </w:pPr>
            <w:r>
              <w:rPr>
                <w:rFonts w:hint="default" w:ascii="Times New Roman" w:hAnsi="Times New Roman" w:eastAsia="宋体" w:cs="Times New Roman"/>
                <w:sz w:val="24"/>
                <w:szCs w:val="24"/>
              </w:rPr>
              <w:t>无组织排放的苯并[a]芘为</w:t>
            </w:r>
            <w:r>
              <w:rPr>
                <w:rFonts w:hint="default" w:ascii="Times New Roman" w:hAnsi="Times New Roman" w:eastAsia="宋体" w:cs="Times New Roman"/>
                <w:sz w:val="24"/>
                <w:szCs w:val="24"/>
                <w:lang w:val="en-US" w:eastAsia="zh-CN"/>
              </w:rPr>
              <w:t>0.638</w:t>
            </w:r>
            <w:r>
              <w:rPr>
                <w:rFonts w:hint="default" w:ascii="Times New Roman" w:hAnsi="Times New Roman" w:eastAsia="宋体" w:cs="Times New Roman"/>
                <w:sz w:val="24"/>
                <w:szCs w:val="24"/>
              </w:rPr>
              <w:t>g/a，沥青烟为</w:t>
            </w:r>
            <w:r>
              <w:rPr>
                <w:rFonts w:hint="default" w:ascii="Times New Roman" w:hAnsi="Times New Roman" w:eastAsia="宋体" w:cs="Times New Roman"/>
                <w:sz w:val="24"/>
                <w:szCs w:val="24"/>
                <w:lang w:val="en-US" w:eastAsia="zh-CN"/>
              </w:rPr>
              <w:t>0.043</w:t>
            </w:r>
            <w:r>
              <w:rPr>
                <w:rFonts w:hint="default" w:ascii="Times New Roman" w:hAnsi="Times New Roman" w:eastAsia="宋体" w:cs="Times New Roman"/>
                <w:sz w:val="24"/>
                <w:szCs w:val="24"/>
              </w:rPr>
              <w:t>t/</w:t>
            </w:r>
            <w:r>
              <w:rPr>
                <w:rFonts w:hint="default" w:ascii="Times New Roman" w:hAnsi="Times New Roman" w:eastAsia="宋体" w:cs="Times New Roman"/>
                <w:sz w:val="24"/>
                <w:szCs w:val="24"/>
                <w:highlight w:val="none"/>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环评要求项目搅拌楼出料口装车区设置密封结构，在出料口设置集气罩收集后经风管引入活性炭吸附装置进行净化，净化效率95%，</w:t>
            </w:r>
            <w:r>
              <w:rPr>
                <w:rFonts w:hint="eastAsia" w:ascii="Times New Roman" w:hAnsi="Times New Roman" w:eastAsia="宋体" w:cs="Times New Roman"/>
                <w:sz w:val="24"/>
                <w:szCs w:val="24"/>
                <w:u w:val="none"/>
                <w:lang w:eastAsia="zh-CN"/>
              </w:rPr>
              <w:t>根据《排污许可证申请与核发技术规范 石墨及其他非金属矿物制品制造（HJ1119—2020）》附录</w:t>
            </w:r>
            <w:r>
              <w:rPr>
                <w:rFonts w:hint="eastAsia" w:ascii="Times New Roman" w:hAnsi="Times New Roman" w:eastAsia="宋体" w:cs="Times New Roman"/>
                <w:sz w:val="24"/>
                <w:szCs w:val="24"/>
                <w:u w:val="none"/>
                <w:lang w:val="en-US" w:eastAsia="zh-CN"/>
              </w:rPr>
              <w:t>A废水和废气污染防治可行性技术参考表，表A.5可知：</w:t>
            </w:r>
            <w:r>
              <w:rPr>
                <w:rFonts w:hint="eastAsia" w:ascii="Times New Roman" w:hAnsi="Times New Roman" w:eastAsia="宋体" w:cs="Times New Roman"/>
                <w:sz w:val="24"/>
                <w:szCs w:val="24"/>
                <w:u w:val="none"/>
                <w:lang w:eastAsia="zh-CN"/>
              </w:rPr>
              <w:t>活性炭吸附对</w:t>
            </w:r>
            <w:r>
              <w:rPr>
                <w:rFonts w:hint="default" w:ascii="Times New Roman" w:hAnsi="Times New Roman" w:eastAsia="宋体" w:cs="Times New Roman"/>
                <w:sz w:val="24"/>
                <w:szCs w:val="24"/>
                <w:u w:val="none"/>
              </w:rPr>
              <w:t>沥青烟气（沥青烟及苯并[a]芘）</w:t>
            </w:r>
            <w:r>
              <w:rPr>
                <w:rFonts w:hint="eastAsia" w:ascii="Times New Roman" w:hAnsi="Times New Roman" w:eastAsia="宋体" w:cs="Times New Roman"/>
                <w:sz w:val="24"/>
                <w:szCs w:val="24"/>
                <w:u w:val="none"/>
                <w:lang w:eastAsia="zh-CN"/>
              </w:rPr>
              <w:t>为可行技术。</w:t>
            </w:r>
            <w:r>
              <w:rPr>
                <w:rFonts w:hint="default" w:ascii="Times New Roman" w:hAnsi="Times New Roman" w:eastAsia="宋体" w:cs="Times New Roman"/>
                <w:sz w:val="24"/>
                <w:szCs w:val="24"/>
              </w:rPr>
              <w:t>处理后的沥青烟气通过引风机（风量为40000m³/h）排入排气筒，排气筒高度15米。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u w:val="single"/>
              </w:rPr>
            </w:pPr>
            <w:r>
              <w:rPr>
                <w:rFonts w:hint="default" w:ascii="Times New Roman" w:hAnsi="Times New Roman" w:eastAsia="宋体" w:cs="Times New Roman"/>
                <w:sz w:val="24"/>
                <w:szCs w:val="24"/>
              </w:rPr>
              <w:t>为延长活性炭的使用周期，环评建议建设单位在进气烟口加设滤网以阻挡沥青油烟中少量油脂对活性碳空隙造</w:t>
            </w:r>
            <w:r>
              <w:rPr>
                <w:rFonts w:hint="default" w:ascii="Times New Roman" w:hAnsi="Times New Roman" w:eastAsia="宋体" w:cs="Times New Roman"/>
                <w:sz w:val="24"/>
                <w:szCs w:val="24"/>
                <w:highlight w:val="none"/>
              </w:rPr>
              <w:t>成堵塞。当吸附剂活性炭饱和后，将替换下来的废活性炭统一放置在固定容器中，然后委托有资质危险废物处置单位定期回收处置。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sz w:val="24"/>
                <w:szCs w:val="24"/>
              </w:rPr>
              <w:t>综上所述，本项目正常排放的主要大气污染物的浓度较小，低于相应标准限值，本项目产生的沥青烟气对周围环境空气影响在可接受范围内。</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eastAsia" w:cs="Times New Roman" w:eastAsiaTheme="minorEastAsia"/>
                <w:color w:val="000000" w:themeColor="text1"/>
                <w:sz w:val="24"/>
                <w:highlight w:val="none"/>
                <w:u w:val="none" w:color="auto"/>
                <w:lang w:val="en-US" w:eastAsia="zh-CN"/>
                <w14:textFill>
                  <w14:solidFill>
                    <w14:schemeClr w14:val="tx1"/>
                  </w14:solidFill>
                </w14:textFill>
              </w:rPr>
              <w:t>⑦</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砂石装卸堆放扬尘</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项目砂石料的卸料、堆放过程有粉尘产生，项目砂石料</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装卸、</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堆放在</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料仓内进行</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料仓为封闭式结构，</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除进料处外，</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料仓顶部及</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其余各方位均</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封</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闭，同时建设单位拟采取</w:t>
            </w:r>
            <w:r>
              <w:rPr>
                <w:rFonts w:hint="default" w:ascii="Times New Roman" w:hAnsi="Times New Roman" w:cs="Times New Roman" w:eastAsiaTheme="minorEastAsia"/>
                <w:bCs/>
                <w:color w:val="000000" w:themeColor="text1"/>
                <w:sz w:val="24"/>
                <w:highlight w:val="none"/>
                <w:u w:val="none" w:color="auto"/>
                <w:lang w:val="en-US" w:eastAsia="zh-CN"/>
                <w14:textFill>
                  <w14:solidFill>
                    <w14:schemeClr w14:val="tx1"/>
                  </w14:solidFill>
                </w14:textFill>
              </w:rPr>
              <w:t>除尘水雾机</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进行降尘处理，尽可能减少作业粉尘的产生及排放。经类比调查，该部分无组织粉尘产生量约为使用量的0.001%，项目砂石使用量为</w:t>
            </w:r>
            <w:r>
              <w:rPr>
                <w:rFonts w:hint="eastAsia" w:cs="Times New Roman" w:eastAsiaTheme="minorEastAsia"/>
                <w:bCs/>
                <w:color w:val="000000" w:themeColor="text1"/>
                <w:sz w:val="24"/>
                <w:highlight w:val="none"/>
                <w:u w:val="none" w:color="auto"/>
                <w:lang w:val="en-US" w:eastAsia="zh-CN"/>
                <w14:textFill>
                  <w14:solidFill>
                    <w14:schemeClr w14:val="tx1"/>
                  </w14:solidFill>
                </w14:textFill>
              </w:rPr>
              <w:t>1029661.05</w:t>
            </w:r>
            <w:r>
              <w:rPr>
                <w:rFonts w:hint="eastAsia" w:ascii="Times New Roman" w:hAnsi="Times New Roman" w:cs="Times New Roman" w:eastAsiaTheme="minorEastAsia"/>
                <w:bCs/>
                <w:color w:val="000000" w:themeColor="text1"/>
                <w:sz w:val="24"/>
                <w:highlight w:val="none"/>
                <w:u w:val="none" w:color="auto"/>
                <w:lang w:val="en-US" w:eastAsia="zh-CN"/>
                <w14:textFill>
                  <w14:solidFill>
                    <w14:schemeClr w14:val="tx1"/>
                  </w14:solidFill>
                </w14:textFill>
              </w:rPr>
              <w:t>t</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/a，则产生量为</w:t>
            </w:r>
            <w:r>
              <w:rPr>
                <w:rFonts w:hint="eastAsia" w:cs="Times New Roman" w:eastAsiaTheme="minorEastAsia"/>
                <w:bCs/>
                <w:color w:val="000000" w:themeColor="text1"/>
                <w:sz w:val="24"/>
                <w:highlight w:val="none"/>
                <w:u w:val="none" w:color="auto"/>
                <w:lang w:val="en-US" w:eastAsia="zh-CN"/>
                <w14:textFill>
                  <w14:solidFill>
                    <w14:schemeClr w14:val="tx1"/>
                  </w14:solidFill>
                </w14:textFill>
              </w:rPr>
              <w:t>10.3</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t/a，</w:t>
            </w:r>
            <w:r>
              <w:rPr>
                <w:rFonts w:hint="eastAsia" w:cs="Times New Roman" w:eastAsiaTheme="minorEastAsia"/>
                <w:bCs/>
                <w:color w:val="000000" w:themeColor="text1"/>
                <w:sz w:val="24"/>
                <w:highlight w:val="none"/>
                <w:u w:val="none" w:color="auto"/>
                <w:lang w:val="en-US" w:eastAsia="zh-CN"/>
                <w14:textFill>
                  <w14:solidFill>
                    <w14:schemeClr w14:val="tx1"/>
                  </w14:solidFill>
                </w14:textFill>
              </w:rPr>
              <w:t>14.3</w:t>
            </w:r>
            <w:r>
              <w:rPr>
                <w:rFonts w:hint="default" w:ascii="Times New Roman" w:hAnsi="Times New Roman" w:cs="Times New Roman" w:eastAsiaTheme="minorEastAsia"/>
                <w:bCs/>
                <w:color w:val="000000" w:themeColor="text1"/>
                <w:sz w:val="24"/>
                <w:highlight w:val="none"/>
                <w:u w:val="none" w:color="auto"/>
                <w:lang w:val="en-US" w:eastAsia="zh-CN"/>
                <w14:textFill>
                  <w14:solidFill>
                    <w14:schemeClr w14:val="tx1"/>
                  </w14:solidFill>
                </w14:textFill>
              </w:rPr>
              <w:t>kg/h，</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采取措施后，降尘效率以</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96</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%计，故预计</w:t>
            </w:r>
            <w:r>
              <w:rPr>
                <w:rFonts w:hint="eastAsia" w:cs="Times New Roman" w:eastAsiaTheme="minorEastAsia"/>
                <w:bCs/>
                <w:color w:val="000000" w:themeColor="text1"/>
                <w:sz w:val="24"/>
                <w:highlight w:val="none"/>
                <w:u w:val="none" w:color="auto"/>
                <w:lang w:val="en-US" w:eastAsia="zh-CN"/>
                <w14:textFill>
                  <w14:solidFill>
                    <w14:schemeClr w14:val="tx1"/>
                  </w14:solidFill>
                </w14:textFill>
              </w:rPr>
              <w:t>原料堆场</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起尘量为</w:t>
            </w:r>
            <w:r>
              <w:rPr>
                <w:rFonts w:hint="default" w:ascii="Times New Roman" w:hAnsi="Times New Roman" w:cs="Times New Roman" w:eastAsiaTheme="minorEastAsia"/>
                <w:bCs/>
                <w:color w:val="000000" w:themeColor="text1"/>
                <w:sz w:val="24"/>
                <w:highlight w:val="none"/>
                <w:u w:val="none" w:color="auto"/>
                <w:lang w:val="en-US" w:eastAsia="zh-CN"/>
                <w14:textFill>
                  <w14:solidFill>
                    <w14:schemeClr w14:val="tx1"/>
                  </w14:solidFill>
                </w14:textFill>
              </w:rPr>
              <w:t>0.</w:t>
            </w:r>
            <w:r>
              <w:rPr>
                <w:rFonts w:hint="eastAsia" w:cs="Times New Roman" w:eastAsiaTheme="minorEastAsia"/>
                <w:bCs/>
                <w:color w:val="000000" w:themeColor="text1"/>
                <w:sz w:val="24"/>
                <w:highlight w:val="none"/>
                <w:u w:val="none" w:color="auto"/>
                <w:lang w:val="en-US" w:eastAsia="zh-CN"/>
                <w14:textFill>
                  <w14:solidFill>
                    <w14:schemeClr w14:val="tx1"/>
                  </w14:solidFill>
                </w14:textFill>
              </w:rPr>
              <w:t>412</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t/a，</w:t>
            </w:r>
            <w:r>
              <w:rPr>
                <w:rFonts w:hint="default" w:ascii="Times New Roman" w:hAnsi="Times New Roman" w:cs="Times New Roman" w:eastAsiaTheme="minorEastAsia"/>
                <w:bCs/>
                <w:color w:val="000000" w:themeColor="text1"/>
                <w:sz w:val="24"/>
                <w:highlight w:val="none"/>
                <w:u w:val="none" w:color="auto"/>
                <w:lang w:val="en-US" w:eastAsia="zh-CN"/>
                <w14:textFill>
                  <w14:solidFill>
                    <w14:schemeClr w14:val="tx1"/>
                  </w14:solidFill>
                </w14:textFill>
              </w:rPr>
              <w:t>0.</w:t>
            </w:r>
            <w:r>
              <w:rPr>
                <w:rFonts w:hint="eastAsia" w:cs="Times New Roman" w:eastAsiaTheme="minorEastAsia"/>
                <w:bCs/>
                <w:color w:val="000000" w:themeColor="text1"/>
                <w:sz w:val="24"/>
                <w:highlight w:val="none"/>
                <w:u w:val="none" w:color="auto"/>
                <w:lang w:val="en-US" w:eastAsia="zh-CN"/>
                <w14:textFill>
                  <w14:solidFill>
                    <w14:schemeClr w14:val="tx1"/>
                  </w14:solidFill>
                </w14:textFill>
              </w:rPr>
              <w:t>57</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kg/h</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为无组织排放</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eastAsia" w:ascii="宋体" w:hAnsi="宋体" w:cs="宋体"/>
                <w:color w:val="000000" w:themeColor="text1"/>
                <w:sz w:val="24"/>
                <w:highlight w:val="none"/>
                <w:u w:val="none" w:color="auto"/>
                <w:lang w:val="en-US" w:eastAsia="zh-CN"/>
                <w14:textFill>
                  <w14:solidFill>
                    <w14:schemeClr w14:val="tx1"/>
                  </w14:solidFill>
                </w14:textFill>
              </w:rPr>
              <w:t>⑧</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车辆道路扬尘</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车辆行驶产生的扬尘，在道路完全干燥的情况下，可按下列经验公式计算：</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1680" w:firstLineChars="7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Q=0.123(V/5)(W/6.8)</w:t>
            </w:r>
            <w:r>
              <w:rPr>
                <w:rFonts w:hint="default" w:ascii="Times New Roman" w:hAnsi="Times New Roman" w:cs="Times New Roman" w:eastAsiaTheme="minorEastAsia"/>
                <w:bCs/>
                <w:color w:val="000000" w:themeColor="text1"/>
                <w:sz w:val="24"/>
                <w:highlight w:val="none"/>
                <w:u w:val="none" w:color="auto"/>
                <w:vertAlign w:val="superscript"/>
                <w:lang w:val="en-US" w:eastAsia="zh-CN"/>
                <w14:textFill>
                  <w14:solidFill>
                    <w14:schemeClr w14:val="tx1"/>
                  </w14:solidFill>
                </w14:textFill>
              </w:rPr>
              <w:t>0.85</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(P/0.5)0.75L</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1680" w:firstLineChars="7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式中：Q—汽车行驶时的扬尘，kg/辆；</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1680" w:firstLineChars="7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V—汽车速度，km/h；</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1680" w:firstLineChars="7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W—汽车载重量，t；</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1680" w:firstLineChars="7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P—道路表面颗粒物量，kg/m</w:t>
            </w:r>
            <w:r>
              <w:rPr>
                <w:rFonts w:hint="default" w:ascii="Times New Roman" w:hAnsi="Times New Roman" w:cs="Times New Roman" w:eastAsiaTheme="minorEastAsia"/>
                <w:bCs/>
                <w:color w:val="000000" w:themeColor="text1"/>
                <w:sz w:val="24"/>
                <w:highlight w:val="none"/>
                <w:u w:val="none" w:color="auto"/>
                <w:vertAlign w:val="superscript"/>
                <w14:textFill>
                  <w14:solidFill>
                    <w14:schemeClr w14:val="tx1"/>
                  </w14:solidFill>
                </w14:textFill>
              </w:rPr>
              <w:t>2</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1680" w:firstLineChars="7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L—道路长度，km。</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70" w:firstLineChars="196"/>
              <w:textAlignment w:val="auto"/>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本项目车辆在厂区内行驶距离按50m计，平均每天发车空、重载各</w:t>
            </w:r>
            <w:r>
              <w:rPr>
                <w:rFonts w:hint="eastAsia" w:cs="Times New Roman" w:eastAsiaTheme="minorEastAsia"/>
                <w:color w:val="000000" w:themeColor="text1"/>
                <w:sz w:val="24"/>
                <w:szCs w:val="24"/>
                <w:highlight w:val="none"/>
                <w:u w:val="none" w:color="auto"/>
                <w:lang w:val="en-US" w:eastAsia="zh-CN" w:bidi="ar"/>
                <w14:textFill>
                  <w14:solidFill>
                    <w14:schemeClr w14:val="tx1"/>
                  </w14:solidFill>
                </w14:textFill>
              </w:rPr>
              <w:t>30</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辆次，空车重约5.0t，重车重约25t，以速度10km/h行驶，根据本项目的情况，评价要求项目建设方对厂区内地面进行水泥硬化，并派专人进行路面清扫、洒水，以减少道路扬尘。基于这种情况，本环评对道路路况以0.2kg/m</w:t>
            </w:r>
            <w:r>
              <w:rPr>
                <w:rFonts w:hint="default" w:ascii="Times New Roman" w:hAnsi="Times New Roman" w:cs="Times New Roman" w:eastAsiaTheme="minorEastAsia"/>
                <w:color w:val="000000" w:themeColor="text1"/>
                <w:sz w:val="24"/>
                <w:szCs w:val="24"/>
                <w:highlight w:val="none"/>
                <w:u w:val="none" w:color="auto"/>
                <w:vertAlign w:val="superscript"/>
                <w:lang w:bidi="ar"/>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计，则经计算，项目汽车运输动力起尘量合计0.</w:t>
            </w:r>
            <w:r>
              <w:rPr>
                <w:rFonts w:hint="eastAsia" w:cs="Times New Roman" w:eastAsiaTheme="minorEastAsia"/>
                <w:color w:val="000000" w:themeColor="text1"/>
                <w:sz w:val="24"/>
                <w:szCs w:val="24"/>
                <w:highlight w:val="none"/>
                <w:u w:val="none" w:color="auto"/>
                <w:lang w:val="en-US" w:eastAsia="zh-CN" w:bidi="ar"/>
                <w14:textFill>
                  <w14:solidFill>
                    <w14:schemeClr w14:val="tx1"/>
                  </w14:solidFill>
                </w14:textFill>
              </w:rPr>
              <w:t>414</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kg/d，0.0</w:t>
            </w:r>
            <w:r>
              <w:rPr>
                <w:rFonts w:hint="eastAsia" w:cs="Times New Roman" w:eastAsiaTheme="minorEastAsia"/>
                <w:color w:val="000000" w:themeColor="text1"/>
                <w:sz w:val="24"/>
                <w:szCs w:val="24"/>
                <w:highlight w:val="none"/>
                <w:u w:val="none" w:color="auto"/>
                <w:lang w:val="en-US" w:eastAsia="zh-CN" w:bidi="ar"/>
                <w14:textFill>
                  <w14:solidFill>
                    <w14:schemeClr w14:val="tx1"/>
                  </w14:solidFill>
                </w14:textFill>
              </w:rPr>
              <w:t>37</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t/a</w:t>
            </w:r>
            <w:r>
              <w:rPr>
                <w:rFonts w:hint="default" w:ascii="Times New Roman" w:hAnsi="Times New Roman" w:cs="Times New Roman" w:eastAsiaTheme="minorEastAsia"/>
                <w:color w:val="000000" w:themeColor="text1"/>
                <w:sz w:val="24"/>
                <w:szCs w:val="24"/>
                <w:highlight w:val="none"/>
                <w:u w:val="none" w:color="auto"/>
                <w:lang w:eastAsia="zh-CN" w:bidi="ar"/>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0.0</w:t>
            </w:r>
            <w:r>
              <w:rPr>
                <w:rFonts w:hint="eastAsia" w:cs="Times New Roman" w:eastAsiaTheme="minorEastAsia"/>
                <w:color w:val="000000" w:themeColor="text1"/>
                <w:sz w:val="24"/>
                <w:szCs w:val="24"/>
                <w:highlight w:val="none"/>
                <w:u w:val="none" w:color="auto"/>
                <w:lang w:val="en-US" w:eastAsia="zh-CN" w:bidi="ar"/>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kg/</w:t>
            </w:r>
            <w:r>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h</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为减少项目建设对当地环境的影响，在运输过程中要限制车速，不允许超载，车辆出厂前进行清洗，砂石运输车辆加盖篷布，并对车辆行驶的厂区内路面及运输路线实施洒水抑尘，每天洒水4~5次。采取上述措施后，车辆运输扬尘可减少80%，故车辆运输产生的粉尘量为0.00</w:t>
            </w:r>
            <w:r>
              <w:rPr>
                <w:rFonts w:hint="eastAsia" w:cs="Times New Roman" w:eastAsiaTheme="minorEastAsia"/>
                <w:color w:val="000000" w:themeColor="text1"/>
                <w:sz w:val="24"/>
                <w:szCs w:val="24"/>
                <w:highlight w:val="none"/>
                <w:u w:val="none" w:color="auto"/>
                <w:lang w:val="en-US" w:eastAsia="zh-CN" w:bidi="ar"/>
                <w14:textFill>
                  <w14:solidFill>
                    <w14:schemeClr w14:val="tx1"/>
                  </w14:solidFill>
                </w14:textFill>
              </w:rPr>
              <w:t>74</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t/a，</w:t>
            </w:r>
            <w:r>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0.0</w:t>
            </w:r>
            <w:r>
              <w:rPr>
                <w:rFonts w:hint="eastAsia" w:cs="Times New Roman" w:eastAsiaTheme="minorEastAsia"/>
                <w:color w:val="000000" w:themeColor="text1"/>
                <w:sz w:val="24"/>
                <w:szCs w:val="24"/>
                <w:highlight w:val="none"/>
                <w:u w:val="none" w:color="auto"/>
                <w:lang w:val="en-US" w:eastAsia="zh-CN" w:bidi="ar"/>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kg/h，</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为无组织排放。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bCs/>
                <w:sz w:val="24"/>
                <w:szCs w:val="24"/>
                <w:lang w:val="en-US" w:eastAsia="zh-CN"/>
              </w:rPr>
            </w:pPr>
            <w:r>
              <w:rPr>
                <w:rFonts w:hint="eastAsia" w:eastAsia="新宋体" w:cs="Times New Roman"/>
                <w:bCs/>
                <w:sz w:val="24"/>
                <w:szCs w:val="24"/>
                <w:lang w:val="en-US" w:eastAsia="zh-CN"/>
              </w:rPr>
              <w:t>⑨</w:t>
            </w:r>
            <w:r>
              <w:rPr>
                <w:rFonts w:hint="default" w:ascii="Times New Roman" w:hAnsi="Times New Roman" w:eastAsia="新宋体" w:cs="Times New Roman"/>
                <w:bCs/>
                <w:sz w:val="24"/>
                <w:szCs w:val="24"/>
                <w:lang w:val="en-US" w:eastAsia="zh-CN"/>
              </w:rPr>
              <w:t>油烟废气</w:t>
            </w:r>
          </w:p>
          <w:p>
            <w:pPr>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本厂区内设食堂，烹调食物过程中有油烟产生，</w:t>
            </w:r>
            <w:r>
              <w:rPr>
                <w:rFonts w:hint="default" w:ascii="Times New Roman" w:hAnsi="Times New Roman" w:eastAsia="新宋体" w:cs="Times New Roman"/>
                <w:bCs/>
                <w:i w:val="0"/>
                <w:iCs w:val="0"/>
                <w:sz w:val="24"/>
                <w:szCs w:val="24"/>
                <w:highlight w:val="none"/>
              </w:rPr>
              <w:t>厨房采用</w:t>
            </w:r>
            <w:r>
              <w:rPr>
                <w:rFonts w:hint="default" w:ascii="Times New Roman" w:hAnsi="Times New Roman" w:eastAsia="新宋体" w:cs="Times New Roman"/>
                <w:i w:val="0"/>
                <w:iCs w:val="0"/>
                <w:sz w:val="24"/>
                <w:szCs w:val="24"/>
                <w:highlight w:val="none"/>
              </w:rPr>
              <w:t>管道</w:t>
            </w:r>
            <w:r>
              <w:rPr>
                <w:rFonts w:hint="default" w:ascii="Times New Roman" w:hAnsi="Times New Roman" w:eastAsia="新宋体" w:cs="Times New Roman"/>
                <w:i w:val="0"/>
                <w:iCs w:val="0"/>
                <w:sz w:val="24"/>
                <w:szCs w:val="24"/>
                <w:highlight w:val="none"/>
                <w:lang w:val="en-US" w:eastAsia="zh-CN"/>
              </w:rPr>
              <w:t>天然气</w:t>
            </w:r>
            <w:r>
              <w:rPr>
                <w:rFonts w:hint="default" w:ascii="Times New Roman" w:hAnsi="Times New Roman" w:eastAsia="新宋体" w:cs="Times New Roman"/>
                <w:i w:val="0"/>
                <w:iCs w:val="0"/>
                <w:sz w:val="24"/>
                <w:szCs w:val="24"/>
                <w:highlight w:val="none"/>
              </w:rPr>
              <w:t>做为燃料，</w:t>
            </w:r>
            <w:r>
              <w:rPr>
                <w:rFonts w:hint="default" w:ascii="Times New Roman" w:hAnsi="Times New Roman" w:eastAsia="新宋体" w:cs="Times New Roman"/>
                <w:bCs/>
                <w:i w:val="0"/>
                <w:iCs w:val="0"/>
                <w:sz w:val="24"/>
                <w:szCs w:val="24"/>
                <w:highlight w:val="none"/>
              </w:rPr>
              <w:t>厨房设有</w:t>
            </w:r>
            <w:r>
              <w:rPr>
                <w:rFonts w:hint="default" w:ascii="Times New Roman" w:hAnsi="Times New Roman" w:eastAsia="新宋体" w:cs="Times New Roman"/>
                <w:i w:val="0"/>
                <w:iCs w:val="0"/>
                <w:kern w:val="0"/>
                <w:sz w:val="24"/>
                <w:szCs w:val="24"/>
                <w:highlight w:val="none"/>
              </w:rPr>
              <w:t>单眼炒炉、双眼双撑炒菜炉1-2座，</w:t>
            </w:r>
            <w:r>
              <w:rPr>
                <w:rFonts w:hint="default" w:ascii="Times New Roman" w:hAnsi="Times New Roman" w:eastAsia="新宋体" w:cs="Times New Roman"/>
                <w:i w:val="0"/>
                <w:iCs w:val="0"/>
                <w:sz w:val="24"/>
                <w:szCs w:val="24"/>
                <w:highlight w:val="none"/>
              </w:rPr>
              <w:t>其余为加热量较小的蒸柜、煲仔炉。以下按就餐人数</w:t>
            </w:r>
            <w:r>
              <w:rPr>
                <w:rFonts w:hint="eastAsia" w:eastAsia="新宋体" w:cs="Times New Roman"/>
                <w:i w:val="0"/>
                <w:iCs w:val="0"/>
                <w:sz w:val="24"/>
                <w:szCs w:val="24"/>
                <w:highlight w:val="none"/>
                <w:lang w:val="en-US" w:eastAsia="zh-CN"/>
              </w:rPr>
              <w:t>140</w:t>
            </w:r>
            <w:r>
              <w:rPr>
                <w:rFonts w:hint="default" w:ascii="Times New Roman" w:hAnsi="Times New Roman" w:eastAsia="新宋体" w:cs="Times New Roman"/>
                <w:i w:val="0"/>
                <w:iCs w:val="0"/>
                <w:sz w:val="24"/>
                <w:szCs w:val="24"/>
                <w:highlight w:val="none"/>
              </w:rPr>
              <w:t>人分析，</w:t>
            </w:r>
            <w:r>
              <w:rPr>
                <w:rFonts w:hint="default" w:ascii="Times New Roman" w:hAnsi="Times New Roman" w:eastAsia="新宋体" w:cs="Times New Roman"/>
                <w:sz w:val="24"/>
                <w:szCs w:val="24"/>
                <w:highlight w:val="none"/>
              </w:rPr>
              <w:t>项</w:t>
            </w:r>
            <w:r>
              <w:rPr>
                <w:rFonts w:hint="eastAsia" w:eastAsia="新宋体" w:cs="Times New Roman"/>
                <w:sz w:val="24"/>
                <w:szCs w:val="24"/>
                <w:highlight w:val="none"/>
                <w:lang w:val="en-US" w:eastAsia="zh-CN"/>
              </w:rPr>
              <w:t>目</w:t>
            </w:r>
            <w:r>
              <w:rPr>
                <w:rFonts w:hint="default" w:ascii="Times New Roman" w:hAnsi="Times New Roman" w:eastAsia="新宋体" w:cs="Times New Roman"/>
                <w:sz w:val="24"/>
                <w:szCs w:val="24"/>
                <w:highlight w:val="none"/>
              </w:rPr>
              <w:t>每人每日消耗食油约为30g/d·人，则项目烹饪过程食油消耗量为</w:t>
            </w:r>
            <w:r>
              <w:rPr>
                <w:rFonts w:hint="eastAsia" w:eastAsia="新宋体" w:cs="Times New Roman"/>
                <w:sz w:val="24"/>
                <w:szCs w:val="24"/>
                <w:highlight w:val="none"/>
                <w:lang w:val="en-US" w:eastAsia="zh-CN"/>
              </w:rPr>
              <w:t>378</w:t>
            </w:r>
            <w:r>
              <w:rPr>
                <w:rFonts w:hint="default" w:ascii="Times New Roman" w:hAnsi="Times New Roman" w:eastAsia="新宋体" w:cs="Times New Roman"/>
                <w:sz w:val="24"/>
                <w:szCs w:val="24"/>
                <w:highlight w:val="none"/>
              </w:rPr>
              <w:t>kg/a。厨房所排油烟废气中油烟含量相对较低，一般占耗油量的1.2%，则项目产生的油烟量约为</w:t>
            </w:r>
            <w:r>
              <w:rPr>
                <w:rFonts w:hint="eastAsia" w:eastAsia="新宋体" w:cs="Times New Roman"/>
                <w:sz w:val="24"/>
                <w:szCs w:val="24"/>
                <w:highlight w:val="none"/>
                <w:lang w:val="en-US" w:eastAsia="zh-CN"/>
              </w:rPr>
              <w:t>4.536</w:t>
            </w:r>
            <w:r>
              <w:rPr>
                <w:rFonts w:hint="default" w:ascii="Times New Roman" w:hAnsi="Times New Roman" w:eastAsia="新宋体" w:cs="Times New Roman"/>
                <w:sz w:val="24"/>
                <w:szCs w:val="24"/>
                <w:highlight w:val="none"/>
              </w:rPr>
              <w:t>kg/a</w:t>
            </w:r>
            <w:r>
              <w:rPr>
                <w:rFonts w:hint="eastAsia" w:ascii="Times New Roman" w:hAnsi="Times New Roman" w:eastAsia="宋体" w:cs="Times New Roman"/>
                <w:sz w:val="24"/>
                <w:szCs w:val="24"/>
                <w:highlight w:val="none"/>
                <w:lang w:val="en-US" w:eastAsia="zh-CN"/>
              </w:rPr>
              <w:t>。</w:t>
            </w:r>
          </w:p>
          <w:p>
            <w:pPr>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本次环评建议安装高效油烟净化机，风量为2000m</w:t>
            </w:r>
            <w:r>
              <w:rPr>
                <w:rFonts w:hint="default" w:ascii="Times New Roman" w:hAnsi="Times New Roman" w:eastAsia="宋体" w:cs="Times New Roman"/>
                <w:kern w:val="2"/>
                <w:sz w:val="24"/>
                <w:szCs w:val="24"/>
                <w:highlight w:val="none"/>
                <w:vertAlign w:val="superscript"/>
                <w:lang w:val="en-US" w:eastAsia="zh-CN" w:bidi="ar-SA"/>
              </w:rPr>
              <w:t>3</w:t>
            </w:r>
            <w:r>
              <w:rPr>
                <w:rFonts w:hint="default" w:ascii="Times New Roman" w:hAnsi="Times New Roman" w:eastAsia="宋体" w:cs="Times New Roman"/>
                <w:kern w:val="2"/>
                <w:sz w:val="24"/>
                <w:szCs w:val="24"/>
                <w:highlight w:val="none"/>
                <w:lang w:val="en-US" w:eastAsia="zh-CN" w:bidi="ar-SA"/>
              </w:rPr>
              <w:t>/h，油烟净化装置去除率达70%</w:t>
            </w:r>
            <w:r>
              <w:rPr>
                <w:rFonts w:hint="eastAsia"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油烟通过排气管引至食堂屋顶排放，根据类比分析，厨房工作时间按4小时</w:t>
            </w:r>
            <w:r>
              <w:rPr>
                <w:rFonts w:hint="eastAsia" w:cs="Times New Roman"/>
                <w:kern w:val="2"/>
                <w:sz w:val="24"/>
                <w:szCs w:val="24"/>
                <w:highlight w:val="none"/>
                <w:lang w:val="en-US" w:eastAsia="zh-CN" w:bidi="ar-SA"/>
              </w:rPr>
              <w:t>9</w:t>
            </w:r>
            <w:r>
              <w:rPr>
                <w:rFonts w:hint="default" w:ascii="Times New Roman" w:hAnsi="Times New Roman" w:eastAsia="宋体" w:cs="Times New Roman"/>
                <w:kern w:val="2"/>
                <w:sz w:val="24"/>
                <w:szCs w:val="24"/>
                <w:highlight w:val="none"/>
                <w:lang w:val="en-US" w:eastAsia="zh-CN" w:bidi="ar-SA"/>
              </w:rPr>
              <w:t>0天计算，该项目产生的油烟浓度为6.</w:t>
            </w:r>
            <w:r>
              <w:rPr>
                <w:rFonts w:hint="eastAsia" w:cs="Times New Roman"/>
                <w:kern w:val="2"/>
                <w:sz w:val="24"/>
                <w:szCs w:val="24"/>
                <w:highlight w:val="none"/>
                <w:lang w:val="en-US" w:eastAsia="zh-CN" w:bidi="ar-SA"/>
              </w:rPr>
              <w:t>3</w:t>
            </w:r>
            <w:r>
              <w:rPr>
                <w:rFonts w:hint="default" w:ascii="Times New Roman" w:hAnsi="Times New Roman" w:eastAsia="宋体" w:cs="Times New Roman"/>
                <w:kern w:val="2"/>
                <w:sz w:val="24"/>
                <w:szCs w:val="24"/>
                <w:highlight w:val="none"/>
                <w:lang w:val="en-US" w:eastAsia="zh-CN" w:bidi="ar-SA"/>
              </w:rPr>
              <w:t>mg/m</w:t>
            </w:r>
            <w:r>
              <w:rPr>
                <w:rFonts w:hint="default" w:ascii="Times New Roman" w:hAnsi="Times New Roman" w:eastAsia="宋体" w:cs="Times New Roman"/>
                <w:kern w:val="2"/>
                <w:sz w:val="24"/>
                <w:szCs w:val="24"/>
                <w:highlight w:val="none"/>
                <w:vertAlign w:val="superscript"/>
                <w:lang w:val="en-US" w:eastAsia="zh-CN" w:bidi="ar-SA"/>
              </w:rPr>
              <w:t>3</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经处理后废气</w:t>
            </w:r>
            <w:r>
              <w:rPr>
                <w:rFonts w:hint="eastAsia" w:cs="Times New Roman"/>
                <w:kern w:val="2"/>
                <w:sz w:val="24"/>
                <w:szCs w:val="24"/>
                <w:highlight w:val="none"/>
                <w:lang w:val="en-US" w:eastAsia="zh-CN" w:bidi="ar-SA"/>
              </w:rPr>
              <w:t>产生量为1.36kg/a，</w:t>
            </w:r>
            <w:r>
              <w:rPr>
                <w:rFonts w:hint="default" w:ascii="Times New Roman" w:hAnsi="Times New Roman" w:eastAsia="宋体" w:cs="Times New Roman"/>
                <w:kern w:val="2"/>
                <w:sz w:val="24"/>
                <w:szCs w:val="24"/>
                <w:highlight w:val="none"/>
                <w:lang w:val="en-US" w:eastAsia="zh-CN" w:bidi="ar-SA"/>
              </w:rPr>
              <w:t>排放速率和浓度分别为0.003</w:t>
            </w:r>
            <w:r>
              <w:rPr>
                <w:rFonts w:hint="eastAsia" w:cs="Times New Roman"/>
                <w:kern w:val="2"/>
                <w:sz w:val="24"/>
                <w:szCs w:val="24"/>
                <w:highlight w:val="none"/>
                <w:lang w:val="en-US" w:eastAsia="zh-CN" w:bidi="ar-SA"/>
              </w:rPr>
              <w:t>8</w:t>
            </w:r>
            <w:r>
              <w:rPr>
                <w:rFonts w:hint="default" w:ascii="Times New Roman" w:hAnsi="Times New Roman" w:eastAsia="宋体" w:cs="Times New Roman"/>
                <w:kern w:val="2"/>
                <w:sz w:val="24"/>
                <w:szCs w:val="24"/>
                <w:highlight w:val="none"/>
                <w:lang w:val="en-US" w:eastAsia="zh-CN" w:bidi="ar-SA"/>
              </w:rPr>
              <w:t>kg/h、1.8</w:t>
            </w:r>
            <w:r>
              <w:rPr>
                <w:rFonts w:hint="eastAsia" w:cs="Times New Roman"/>
                <w:kern w:val="2"/>
                <w:sz w:val="24"/>
                <w:szCs w:val="24"/>
                <w:highlight w:val="none"/>
                <w:lang w:val="en-US" w:eastAsia="zh-CN" w:bidi="ar-SA"/>
              </w:rPr>
              <w:t>9</w:t>
            </w:r>
            <w:r>
              <w:rPr>
                <w:rFonts w:hint="default" w:ascii="Times New Roman" w:hAnsi="Times New Roman" w:eastAsia="宋体" w:cs="Times New Roman"/>
                <w:kern w:val="2"/>
                <w:sz w:val="24"/>
                <w:szCs w:val="24"/>
                <w:highlight w:val="none"/>
                <w:lang w:val="en-US" w:eastAsia="zh-CN" w:bidi="ar-SA"/>
              </w:rPr>
              <w:t>mg/m</w:t>
            </w:r>
            <w:r>
              <w:rPr>
                <w:rFonts w:hint="default" w:ascii="Times New Roman" w:hAnsi="Times New Roman" w:eastAsia="宋体" w:cs="Times New Roman"/>
                <w:kern w:val="2"/>
                <w:sz w:val="24"/>
                <w:szCs w:val="24"/>
                <w:highlight w:val="none"/>
                <w:vertAlign w:val="superscript"/>
                <w:lang w:val="en-US" w:eastAsia="zh-CN" w:bidi="ar-SA"/>
              </w:rPr>
              <w:t>3</w:t>
            </w:r>
            <w:r>
              <w:rPr>
                <w:rFonts w:hint="default" w:ascii="Times New Roman" w:hAnsi="Times New Roman" w:eastAsia="宋体" w:cs="Times New Roman"/>
                <w:kern w:val="2"/>
                <w:sz w:val="24"/>
                <w:szCs w:val="24"/>
                <w:highlight w:val="none"/>
                <w:lang w:val="en-US" w:eastAsia="zh-CN" w:bidi="ar-SA"/>
              </w:rPr>
              <w:t>，可达到《饮食业油烟排放标准》(GB18483-2001)排放标准限值即油烟浓度</w:t>
            </w:r>
            <w:r>
              <w:rPr>
                <w:rFonts w:hint="default" w:ascii="Times New Roman" w:hAnsi="Times New Roman" w:eastAsia="微软雅黑"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2.0mg/m</w:t>
            </w:r>
            <w:r>
              <w:rPr>
                <w:rFonts w:hint="default" w:ascii="Times New Roman" w:hAnsi="Times New Roman" w:eastAsia="宋体" w:cs="Times New Roman"/>
                <w:kern w:val="2"/>
                <w:sz w:val="24"/>
                <w:szCs w:val="24"/>
                <w:highlight w:val="none"/>
                <w:vertAlign w:val="superscript"/>
                <w:lang w:val="en-US" w:eastAsia="zh-CN" w:bidi="ar-SA"/>
              </w:rPr>
              <w:t>3</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对环境的影响较小。</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1"/>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环境监测计划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000000"/>
                <w:sz w:val="24"/>
                <w:szCs w:val="24"/>
                <w:highlight w:val="none"/>
                <w:u w:val="none" w:color="auto"/>
                <w:lang w:val="en-US" w:eastAsia="zh-CN"/>
              </w:rPr>
            </w:pPr>
            <w:r>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建设单位应按照《排污单位自行监测技术指南 总则》（HJ819-2017）制定公司的监测计划和工作方案，具体废气监测计划见下表。</w:t>
            </w:r>
          </w:p>
          <w:p>
            <w:pPr>
              <w:spacing w:line="240" w:lineRule="auto"/>
              <w:ind w:left="0" w:leftChars="0" w:firstLine="0" w:firstLineChars="0"/>
              <w:jc w:val="cente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4-</w:t>
            </w:r>
            <w:r>
              <w:rPr>
                <w:rFonts w:hint="eastAsia" w:cs="Times New Roman" w:eastAsiaTheme="minorEastAsia"/>
                <w:b/>
                <w:color w:val="000000" w:themeColor="text1"/>
                <w:sz w:val="21"/>
                <w:szCs w:val="21"/>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 xml:space="preserve"> </w:t>
            </w:r>
            <w:r>
              <w:rPr>
                <w:rFonts w:hint="default"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项目建成后</w:t>
            </w:r>
            <w:r>
              <w:rPr>
                <w:rFonts w:hint="eastAsia"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大气</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污染源监测计划</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22"/>
              <w:gridCol w:w="1390"/>
              <w:gridCol w:w="702"/>
              <w:gridCol w:w="1198"/>
              <w:gridCol w:w="1114"/>
              <w:gridCol w:w="313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37" w:type="pct"/>
                  <w:tcBorders>
                    <w:top w:val="single" w:color="auto" w:sz="4" w:space="0"/>
                    <w:left w:val="single" w:color="auto" w:sz="4" w:space="0"/>
                    <w:bottom w:val="single" w:color="auto" w:sz="6" w:space="0"/>
                    <w:right w:val="single" w:color="auto" w:sz="6" w:space="0"/>
                  </w:tcBorders>
                  <w:noWrap w:val="0"/>
                  <w:vAlign w:val="center"/>
                </w:tcPr>
                <w:p>
                  <w:pPr>
                    <w:pStyle w:val="57"/>
                    <w:bidi w:val="0"/>
                    <w:rPr>
                      <w:rFonts w:hint="default"/>
                      <w:highlight w:val="none"/>
                    </w:rPr>
                  </w:pPr>
                  <w:r>
                    <w:rPr>
                      <w:rFonts w:hint="default"/>
                      <w:highlight w:val="none"/>
                    </w:rPr>
                    <w:t>类型</w:t>
                  </w:r>
                </w:p>
              </w:tc>
              <w:tc>
                <w:tcPr>
                  <w:tcW w:w="841" w:type="pct"/>
                  <w:tcBorders>
                    <w:top w:val="single" w:color="auto" w:sz="4" w:space="0"/>
                    <w:left w:val="single" w:color="auto" w:sz="6" w:space="0"/>
                    <w:bottom w:val="single" w:color="auto" w:sz="6" w:space="0"/>
                    <w:right w:val="single" w:color="auto" w:sz="6" w:space="0"/>
                  </w:tcBorders>
                  <w:noWrap w:val="0"/>
                  <w:vAlign w:val="center"/>
                </w:tcPr>
                <w:p>
                  <w:pPr>
                    <w:pStyle w:val="57"/>
                    <w:bidi w:val="0"/>
                    <w:rPr>
                      <w:rFonts w:hint="default"/>
                      <w:highlight w:val="none"/>
                    </w:rPr>
                  </w:pPr>
                  <w:r>
                    <w:rPr>
                      <w:rFonts w:hint="default"/>
                      <w:highlight w:val="none"/>
                    </w:rPr>
                    <w:t>监测点位</w:t>
                  </w:r>
                </w:p>
              </w:tc>
              <w:tc>
                <w:tcPr>
                  <w:tcW w:w="425" w:type="pct"/>
                  <w:tcBorders>
                    <w:top w:val="single" w:color="auto" w:sz="4" w:space="0"/>
                    <w:left w:val="single" w:color="auto" w:sz="6" w:space="0"/>
                    <w:bottom w:val="single" w:color="auto" w:sz="6" w:space="0"/>
                    <w:right w:val="single" w:color="auto" w:sz="6" w:space="0"/>
                  </w:tcBorders>
                  <w:noWrap w:val="0"/>
                  <w:vAlign w:val="center"/>
                </w:tcPr>
                <w:p>
                  <w:pPr>
                    <w:pStyle w:val="57"/>
                    <w:bidi w:val="0"/>
                    <w:rPr>
                      <w:rFonts w:hint="default"/>
                      <w:highlight w:val="none"/>
                    </w:rPr>
                  </w:pPr>
                  <w:r>
                    <w:rPr>
                      <w:rFonts w:hint="default"/>
                      <w:highlight w:val="none"/>
                    </w:rPr>
                    <w:t>点数</w:t>
                  </w:r>
                </w:p>
              </w:tc>
              <w:tc>
                <w:tcPr>
                  <w:tcW w:w="725" w:type="pct"/>
                  <w:tcBorders>
                    <w:top w:val="single" w:color="auto" w:sz="4" w:space="0"/>
                    <w:left w:val="single" w:color="auto" w:sz="6" w:space="0"/>
                    <w:bottom w:val="single" w:color="auto" w:sz="6" w:space="0"/>
                    <w:right w:val="single" w:color="auto" w:sz="6" w:space="0"/>
                  </w:tcBorders>
                  <w:noWrap w:val="0"/>
                  <w:vAlign w:val="center"/>
                </w:tcPr>
                <w:p>
                  <w:pPr>
                    <w:pStyle w:val="57"/>
                    <w:bidi w:val="0"/>
                    <w:rPr>
                      <w:rFonts w:hint="default"/>
                      <w:highlight w:val="none"/>
                    </w:rPr>
                  </w:pPr>
                  <w:r>
                    <w:rPr>
                      <w:rFonts w:hint="default"/>
                      <w:highlight w:val="none"/>
                    </w:rPr>
                    <w:t>监测项目</w:t>
                  </w:r>
                </w:p>
              </w:tc>
              <w:tc>
                <w:tcPr>
                  <w:tcW w:w="674" w:type="pct"/>
                  <w:tcBorders>
                    <w:top w:val="single" w:color="auto" w:sz="4" w:space="0"/>
                    <w:left w:val="single" w:color="auto" w:sz="6" w:space="0"/>
                    <w:bottom w:val="single" w:color="auto" w:sz="6" w:space="0"/>
                    <w:right w:val="single" w:color="auto" w:sz="4" w:space="0"/>
                  </w:tcBorders>
                  <w:noWrap w:val="0"/>
                  <w:vAlign w:val="center"/>
                </w:tcPr>
                <w:p>
                  <w:pPr>
                    <w:pStyle w:val="57"/>
                    <w:bidi w:val="0"/>
                    <w:rPr>
                      <w:rFonts w:hint="default"/>
                      <w:highlight w:val="none"/>
                    </w:rPr>
                  </w:pPr>
                  <w:r>
                    <w:rPr>
                      <w:rFonts w:hint="default"/>
                      <w:highlight w:val="none"/>
                    </w:rPr>
                    <w:t>监测频率</w:t>
                  </w:r>
                </w:p>
              </w:tc>
              <w:tc>
                <w:tcPr>
                  <w:tcW w:w="1895" w:type="pct"/>
                  <w:tcBorders>
                    <w:top w:val="single" w:color="auto" w:sz="4" w:space="0"/>
                    <w:left w:val="single" w:color="auto" w:sz="6" w:space="0"/>
                    <w:bottom w:val="single" w:color="auto" w:sz="6" w:space="0"/>
                    <w:right w:val="single" w:color="auto" w:sz="4" w:space="0"/>
                  </w:tcBorders>
                  <w:noWrap w:val="0"/>
                  <w:vAlign w:val="center"/>
                </w:tcPr>
                <w:p>
                  <w:pPr>
                    <w:pStyle w:val="57"/>
                    <w:bidi w:val="0"/>
                    <w:jc w:val="center"/>
                    <w:rPr>
                      <w:rFonts w:hint="default"/>
                      <w:highlight w:val="none"/>
                    </w:rPr>
                  </w:pPr>
                  <w:r>
                    <w:rPr>
                      <w:rFonts w:hint="default"/>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37" w:type="pct"/>
                  <w:tcBorders>
                    <w:top w:val="single" w:color="auto" w:sz="6" w:space="0"/>
                    <w:left w:val="single" w:color="auto" w:sz="4" w:space="0"/>
                    <w:bottom w:val="single" w:color="auto" w:sz="6" w:space="0"/>
                    <w:right w:val="single" w:color="auto" w:sz="6" w:space="0"/>
                  </w:tcBorders>
                  <w:noWrap w:val="0"/>
                  <w:vAlign w:val="center"/>
                </w:tcPr>
                <w:p>
                  <w:pPr>
                    <w:pStyle w:val="57"/>
                    <w:bidi w:val="0"/>
                    <w:rPr>
                      <w:rFonts w:hint="eastAsia"/>
                      <w:highlight w:val="none"/>
                      <w:lang w:val="en-US" w:eastAsia="zh-CN"/>
                    </w:rPr>
                  </w:pPr>
                  <w:r>
                    <w:rPr>
                      <w:rFonts w:hint="eastAsia"/>
                      <w:highlight w:val="none"/>
                      <w:lang w:val="en-US" w:eastAsia="zh-CN"/>
                    </w:rPr>
                    <w:t>无组织废气</w:t>
                  </w:r>
                </w:p>
              </w:tc>
              <w:tc>
                <w:tcPr>
                  <w:tcW w:w="841"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lang w:val="en-US" w:eastAsia="zh-CN"/>
                    </w:rPr>
                  </w:pPr>
                  <w:r>
                    <w:rPr>
                      <w:rFonts w:hint="default"/>
                      <w:highlight w:val="none"/>
                      <w:lang w:val="en-US" w:eastAsia="zh-CN"/>
                    </w:rPr>
                    <w:t>上风向、下风向厂界</w:t>
                  </w:r>
                </w:p>
              </w:tc>
              <w:tc>
                <w:tcPr>
                  <w:tcW w:w="425"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lang w:val="en-US" w:eastAsia="zh-CN"/>
                    </w:rPr>
                  </w:pPr>
                  <w:r>
                    <w:rPr>
                      <w:rFonts w:hint="default"/>
                      <w:highlight w:val="none"/>
                      <w:lang w:val="en-US" w:eastAsia="zh-CN"/>
                    </w:rPr>
                    <w:t>2个</w:t>
                  </w:r>
                </w:p>
              </w:tc>
              <w:tc>
                <w:tcPr>
                  <w:tcW w:w="725"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lang w:val="en-US" w:eastAsia="zh-CN"/>
                    </w:rPr>
                  </w:pPr>
                  <w:r>
                    <w:rPr>
                      <w:rFonts w:hint="default"/>
                      <w:highlight w:val="none"/>
                      <w:lang w:val="en-US" w:eastAsia="zh-CN"/>
                    </w:rPr>
                    <w:t>TSP</w:t>
                  </w:r>
                  <w:r>
                    <w:rPr>
                      <w:rFonts w:hint="eastAsia"/>
                      <w:highlight w:val="none"/>
                      <w:lang w:val="en-US" w:eastAsia="zh-CN"/>
                    </w:rPr>
                    <w:t>、沥青烟、苯并[a]芘</w:t>
                  </w:r>
                </w:p>
              </w:tc>
              <w:tc>
                <w:tcPr>
                  <w:tcW w:w="674" w:type="pct"/>
                  <w:tcBorders>
                    <w:top w:val="single" w:color="auto" w:sz="6" w:space="0"/>
                    <w:left w:val="single" w:color="auto" w:sz="6" w:space="0"/>
                    <w:bottom w:val="single" w:color="auto" w:sz="6" w:space="0"/>
                    <w:right w:val="single" w:color="auto" w:sz="4" w:space="0"/>
                  </w:tcBorders>
                  <w:noWrap w:val="0"/>
                  <w:vAlign w:val="center"/>
                </w:tcPr>
                <w:p>
                  <w:pPr>
                    <w:pStyle w:val="57"/>
                    <w:bidi w:val="0"/>
                    <w:rPr>
                      <w:rFonts w:hint="default"/>
                      <w:highlight w:val="none"/>
                      <w:lang w:val="en-US" w:eastAsia="zh-CN"/>
                    </w:rPr>
                  </w:pPr>
                  <w:r>
                    <w:rPr>
                      <w:rFonts w:hint="default"/>
                      <w:highlight w:val="none"/>
                      <w:lang w:val="en-US" w:eastAsia="zh-CN"/>
                    </w:rPr>
                    <w:t>每年一次</w:t>
                  </w:r>
                </w:p>
              </w:tc>
              <w:tc>
                <w:tcPr>
                  <w:tcW w:w="1895" w:type="pct"/>
                  <w:tcBorders>
                    <w:left w:val="single" w:color="auto" w:sz="6" w:space="0"/>
                    <w:right w:val="single" w:color="auto" w:sz="4" w:space="0"/>
                  </w:tcBorders>
                  <w:noWrap w:val="0"/>
                  <w:vAlign w:val="center"/>
                </w:tcPr>
                <w:p>
                  <w:pPr>
                    <w:pStyle w:val="57"/>
                    <w:bidi w:val="0"/>
                    <w:rPr>
                      <w:rFonts w:hint="default"/>
                      <w:highlight w:val="none"/>
                      <w:lang w:val="en-US" w:eastAsia="zh-CN"/>
                    </w:rPr>
                  </w:pPr>
                  <w:r>
                    <w:rPr>
                      <w:rFonts w:hint="default"/>
                      <w:highlight w:val="none"/>
                      <w:lang w:val="en-US" w:eastAsia="zh-CN"/>
                    </w:rPr>
                    <w:t>《水泥工业大气污染物排放标准》（GB4915-2013）无组织排放监控浓度限值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37" w:type="pct"/>
                  <w:vMerge w:val="restart"/>
                  <w:tcBorders>
                    <w:top w:val="single" w:color="auto" w:sz="6" w:space="0"/>
                    <w:left w:val="single" w:color="auto" w:sz="4" w:space="0"/>
                    <w:right w:val="single" w:color="auto" w:sz="6" w:space="0"/>
                  </w:tcBorders>
                  <w:noWrap w:val="0"/>
                  <w:vAlign w:val="center"/>
                </w:tcPr>
                <w:p>
                  <w:pPr>
                    <w:pStyle w:val="57"/>
                    <w:bidi w:val="0"/>
                    <w:rPr>
                      <w:rFonts w:hint="default"/>
                      <w:highlight w:val="none"/>
                      <w:lang w:val="en-US" w:eastAsia="zh-CN"/>
                    </w:rPr>
                  </w:pPr>
                  <w:r>
                    <w:rPr>
                      <w:rFonts w:hint="eastAsia"/>
                      <w:highlight w:val="none"/>
                      <w:lang w:val="en-US" w:eastAsia="zh-CN"/>
                    </w:rPr>
                    <w:t>有组织废气</w:t>
                  </w:r>
                </w:p>
              </w:tc>
              <w:tc>
                <w:tcPr>
                  <w:tcW w:w="841"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lang w:val="en-US" w:eastAsia="zh-CN"/>
                    </w:rPr>
                  </w:pPr>
                  <w:r>
                    <w:rPr>
                      <w:rFonts w:hint="default"/>
                      <w:highlight w:val="none"/>
                      <w:lang w:val="en-US" w:eastAsia="zh-CN"/>
                    </w:rPr>
                    <w:t>导热油炉锅炉废气</w:t>
                  </w:r>
                  <w:r>
                    <w:rPr>
                      <w:rFonts w:hint="eastAsia"/>
                      <w:highlight w:val="none"/>
                      <w:lang w:val="en-US" w:eastAsia="zh-CN"/>
                    </w:rPr>
                    <w:t>排放口</w:t>
                  </w:r>
                </w:p>
              </w:tc>
              <w:tc>
                <w:tcPr>
                  <w:tcW w:w="425"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lang w:val="en-US" w:eastAsia="zh-CN"/>
                    </w:rPr>
                  </w:pPr>
                  <w:r>
                    <w:rPr>
                      <w:rFonts w:hint="eastAsia"/>
                      <w:highlight w:val="none"/>
                      <w:lang w:val="en-US" w:eastAsia="zh-CN"/>
                    </w:rPr>
                    <w:t>1个</w:t>
                  </w:r>
                </w:p>
              </w:tc>
              <w:tc>
                <w:tcPr>
                  <w:tcW w:w="725"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lang w:val="en-US" w:eastAsia="zh-CN"/>
                    </w:rPr>
                  </w:pPr>
                  <w:r>
                    <w:rPr>
                      <w:rFonts w:hint="default"/>
                      <w:highlight w:val="none"/>
                      <w:lang w:val="en-US" w:eastAsia="zh-CN"/>
                    </w:rPr>
                    <w:t>烟尘、氮氧化物、二氧化硫</w:t>
                  </w:r>
                </w:p>
              </w:tc>
              <w:tc>
                <w:tcPr>
                  <w:tcW w:w="674" w:type="pct"/>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每月一次</w:t>
                  </w:r>
                </w:p>
              </w:tc>
              <w:tc>
                <w:tcPr>
                  <w:tcW w:w="1895" w:type="pct"/>
                  <w:tcBorders>
                    <w:left w:val="single" w:color="auto" w:sz="6" w:space="0"/>
                    <w:right w:val="single" w:color="auto" w:sz="4" w:space="0"/>
                  </w:tcBorders>
                  <w:noWrap w:val="0"/>
                  <w:vAlign w:val="center"/>
                </w:tcPr>
                <w:p>
                  <w:pPr>
                    <w:pStyle w:val="57"/>
                    <w:bidi w:val="0"/>
                    <w:rPr>
                      <w:rFonts w:hint="default"/>
                      <w:highlight w:val="none"/>
                      <w:lang w:val="en-US" w:eastAsia="zh-CN"/>
                    </w:rPr>
                  </w:pPr>
                  <w:r>
                    <w:rPr>
                      <w:rFonts w:hint="default"/>
                      <w:highlight w:val="none"/>
                      <w:lang w:val="en-US" w:eastAsia="zh-CN"/>
                    </w:rPr>
                    <w:t>《锅炉大气污染物排放标准》(GB13271-2014)中燃油锅炉烟气排放标准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437" w:type="pct"/>
                  <w:vMerge w:val="continue"/>
                  <w:tcBorders>
                    <w:left w:val="single" w:color="auto" w:sz="4" w:space="0"/>
                    <w:bottom w:val="single" w:color="auto" w:sz="6" w:space="0"/>
                    <w:right w:val="single" w:color="auto" w:sz="6" w:space="0"/>
                  </w:tcBorders>
                  <w:noWrap w:val="0"/>
                  <w:vAlign w:val="center"/>
                </w:tcPr>
                <w:p>
                  <w:pPr>
                    <w:pStyle w:val="57"/>
                    <w:bidi w:val="0"/>
                    <w:rPr>
                      <w:rFonts w:hint="eastAsia"/>
                      <w:highlight w:val="none"/>
                      <w:lang w:val="en-US" w:eastAsia="zh-CN"/>
                    </w:rPr>
                  </w:pPr>
                </w:p>
              </w:tc>
              <w:tc>
                <w:tcPr>
                  <w:tcW w:w="841"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lang w:val="en-US" w:eastAsia="zh-CN"/>
                    </w:rPr>
                  </w:pPr>
                  <w:r>
                    <w:rPr>
                      <w:rFonts w:hint="default"/>
                      <w:highlight w:val="none"/>
                      <w:lang w:val="en-US" w:eastAsia="zh-CN"/>
                    </w:rPr>
                    <w:t>搅拌楼排放口</w:t>
                  </w:r>
                </w:p>
              </w:tc>
              <w:tc>
                <w:tcPr>
                  <w:tcW w:w="425"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lang w:val="en-US" w:eastAsia="zh-CN"/>
                    </w:rPr>
                  </w:pPr>
                  <w:r>
                    <w:rPr>
                      <w:rFonts w:hint="default"/>
                      <w:highlight w:val="none"/>
                      <w:lang w:val="en-US" w:eastAsia="zh-CN"/>
                    </w:rPr>
                    <w:t>1个</w:t>
                  </w:r>
                </w:p>
              </w:tc>
              <w:tc>
                <w:tcPr>
                  <w:tcW w:w="725"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highlight w:val="none"/>
                      <w:lang w:val="en-US" w:eastAsia="zh-CN"/>
                    </w:rPr>
                  </w:pPr>
                  <w:r>
                    <w:rPr>
                      <w:rFonts w:hint="default"/>
                      <w:highlight w:val="none"/>
                      <w:lang w:val="en-US" w:eastAsia="zh-CN"/>
                    </w:rPr>
                    <w:t>沥青烟、苯并[a]芘</w:t>
                  </w:r>
                </w:p>
              </w:tc>
              <w:tc>
                <w:tcPr>
                  <w:tcW w:w="674" w:type="pct"/>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每年一次</w:t>
                  </w:r>
                </w:p>
              </w:tc>
              <w:tc>
                <w:tcPr>
                  <w:tcW w:w="1895" w:type="pct"/>
                  <w:tcBorders>
                    <w:left w:val="single" w:color="auto" w:sz="6" w:space="0"/>
                    <w:right w:val="single" w:color="auto" w:sz="4" w:space="0"/>
                  </w:tcBorders>
                  <w:noWrap w:val="0"/>
                  <w:vAlign w:val="center"/>
                </w:tcPr>
                <w:p>
                  <w:pPr>
                    <w:pStyle w:val="57"/>
                    <w:bidi w:val="0"/>
                    <w:rPr>
                      <w:rFonts w:hint="default"/>
                      <w:highlight w:val="none"/>
                      <w:lang w:val="en-US" w:eastAsia="zh-CN"/>
                    </w:rPr>
                  </w:pPr>
                  <w:r>
                    <w:rPr>
                      <w:rFonts w:hint="default"/>
                      <w:highlight w:val="none"/>
                      <w:lang w:val="en-US" w:eastAsia="zh-CN"/>
                    </w:rPr>
                    <w:t>《大气污染物综合排放标准》（GB16297-1996）表2中二级标准要求</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b w:val="0"/>
                <w:bCs w:val="0"/>
                <w:color w:val="000000" w:themeColor="text1"/>
                <w:sz w:val="24"/>
                <w:highlight w:val="none"/>
                <w:u w:val="none" w:color="auto"/>
                <w:lang w:val="en-US" w:eastAsia="zh-CN"/>
                <w14:textFill>
                  <w14:solidFill>
                    <w14:schemeClr w14:val="tx1"/>
                  </w14:solidFill>
                </w14:textFill>
              </w:rPr>
            </w:pPr>
            <w:r>
              <w:rPr>
                <w:rFonts w:hint="eastAsia" w:cs="Times New Roman" w:eastAsiaTheme="minorEastAsia"/>
                <w:b w:val="0"/>
                <w:bCs w:val="0"/>
                <w:color w:val="000000" w:themeColor="text1"/>
                <w:sz w:val="24"/>
                <w:highlight w:val="none"/>
                <w:u w:val="none" w:color="auto"/>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highlight w:val="none"/>
                <w:u w:val="none" w:color="auto"/>
                <w:lang w:val="en-US" w:eastAsia="zh-CN"/>
                <w14:textFill>
                  <w14:solidFill>
                    <w14:schemeClr w14:val="tx1"/>
                  </w14:solidFill>
                </w14:textFill>
              </w:rPr>
              <w:t>二号站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Cs/>
                <w:color w:val="000000" w:themeColor="text1"/>
                <w:kern w:val="0"/>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①混合粉尘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strike w:val="0"/>
                <w:dstrike w:val="0"/>
                <w:color w:val="000000" w:themeColor="text1"/>
                <w:sz w:val="24"/>
                <w:highlight w:val="yellow"/>
                <w:u w:val="none" w:color="auto"/>
                <w14:textFill>
                  <w14:solidFill>
                    <w14:schemeClr w14:val="tx1"/>
                  </w14:solidFill>
                </w14:textFill>
              </w:rPr>
            </w:pPr>
            <w:r>
              <w:rPr>
                <w:rFonts w:hint="default" w:ascii="Times New Roman" w:hAnsi="Times New Roman" w:cs="Times New Roman" w:eastAsiaTheme="minorEastAsia"/>
                <w:bCs/>
                <w:color w:val="000000" w:themeColor="text1"/>
                <w:kern w:val="0"/>
                <w:sz w:val="24"/>
                <w:highlight w:val="none"/>
                <w:u w:val="none" w:color="auto"/>
                <w14:textFill>
                  <w14:solidFill>
                    <w14:schemeClr w14:val="tx1"/>
                  </w14:solidFill>
                </w14:textFill>
              </w:rPr>
              <w:t>项目</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混凝土</w:t>
            </w:r>
            <w:r>
              <w:rPr>
                <w:rFonts w:hint="default" w:ascii="Times New Roman" w:hAnsi="Times New Roman" w:cs="Times New Roman" w:eastAsiaTheme="minorEastAsia"/>
                <w:bCs/>
                <w:color w:val="000000" w:themeColor="text1"/>
                <w:kern w:val="0"/>
                <w:sz w:val="24"/>
                <w:highlight w:val="none"/>
                <w:u w:val="none" w:color="auto"/>
                <w14:textFill>
                  <w14:solidFill>
                    <w14:schemeClr w14:val="tx1"/>
                  </w14:solidFill>
                </w14:textFill>
              </w:rPr>
              <w:t>搅拌站生产工序均采用电脑集中控制，各工序的连锁、联动的协调性、安全性非常强，原料的输送、计量、投料等过程均封闭进行。</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因为搅拌需加水，搅拌工序可不考虑有粉尘产生。水泥、粉煤灰、砂石以及添加剂按一定比例混合后进入</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搅拌站</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中搅拌，</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搅拌主机为连续运行，即进料和出料始终是连续性的，当原料由管道或输送皮带通过计量泵进入搅拌主机时，搅拌主机的呼吸孔会有粉尘产</w:t>
            </w:r>
            <w:r>
              <w:rPr>
                <w:rFonts w:hint="default" w:ascii="Times New Roman" w:hAnsi="Times New Roman" w:cs="Times New Roman" w:eastAsiaTheme="minorEastAsia"/>
                <w:strike w:val="0"/>
                <w:dstrike w:val="0"/>
                <w:color w:val="000000" w:themeColor="text1"/>
                <w:sz w:val="24"/>
                <w:highlight w:val="none"/>
                <w:u w:val="none" w:color="auto"/>
                <w14:textFill>
                  <w14:solidFill>
                    <w14:schemeClr w14:val="tx1"/>
                  </w14:solidFill>
                </w14:textFill>
              </w:rPr>
              <w:t>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Cs/>
                <w:strike w:val="0"/>
                <w:dstrike w:val="0"/>
                <w:color w:val="000000" w:themeColor="text1"/>
                <w:kern w:val="0"/>
                <w:sz w:val="24"/>
                <w:highlight w:val="yellow"/>
                <w:u w:val="none" w:color="auto"/>
                <w:lang w:val="en-US" w:eastAsia="zh-CN"/>
                <w14:textFill>
                  <w14:solidFill>
                    <w14:schemeClr w14:val="tx1"/>
                  </w14:solidFill>
                </w14:textFill>
              </w:rPr>
            </w:pP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根据《3021水泥制品制造（含3022砼结构构件制造、3029其他水泥类似制品制造）行业系数手册》物料混合搅拌环节颗粒物的产污系数为0.13千克/吨-产品，二号站年产</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6</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万立方混凝土，1立方混凝土约为2.3吨，则本项目年生产</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13.8万</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吨混凝土，因此本项目搅拌混合粉尘产生量为</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17.94</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t/a</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，产生速率为24.92</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kg/</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h</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，项目搅拌混合粉尘采用布袋除尘器收集处理，治理效率为99.</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7</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，则排放量为0.054</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t/a</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，排放速率为0.075</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kg/</w:t>
            </w:r>
            <w:r>
              <w:rPr>
                <w:rFonts w:hint="eastAsia"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h</w:t>
            </w:r>
            <w:r>
              <w:rPr>
                <w:rFonts w:hint="default" w:ascii="Times New Roman" w:hAnsi="Times New Roman" w:cs="Times New Roman" w:eastAsiaTheme="minorEastAsia"/>
                <w:bCs/>
                <w:strike w:val="0"/>
                <w:dstrike w:val="0"/>
                <w:color w:val="000000" w:themeColor="text1"/>
                <w:kern w:val="0"/>
                <w:sz w:val="24"/>
                <w:highlight w:val="none"/>
                <w:u w:val="none" w:color="auto"/>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default" w:ascii="Times New Roman" w:hAnsi="Times New Roman" w:cs="Times New Roman" w:eastAsiaTheme="minorEastAsia"/>
                <w:strike w:val="0"/>
                <w:dstrike w:val="0"/>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strike w:val="0"/>
                <w:dstrike w:val="0"/>
                <w:color w:val="000000" w:themeColor="text1"/>
                <w:sz w:val="24"/>
                <w:szCs w:val="24"/>
                <w:highlight w:val="none"/>
                <w:u w:val="none" w:color="auto"/>
                <w14:textFill>
                  <w14:solidFill>
                    <w14:schemeClr w14:val="tx1"/>
                  </w14:solidFill>
                </w14:textFill>
              </w:rPr>
              <w:t>②筒仓顶呼吸孔粉尘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混凝土生产线水泥、粉煤灰均采用筒仓储存。水泥、粉煤灰等粉料通过罐车运输进厂，由罐车自带的空压机打入筒仓，此时产生的含尘废气由筒仓顶部呼吸口排出。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混凝土生产线水泥用量</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28020</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t/a</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，共有2个</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9</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水泥筒仓，则单个筒仓年进料</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155</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次，2个筒仓年进料共计</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310</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次。类比同类型混凝土搅拌站，本项目运输车进料风量</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3000m</w:t>
            </w:r>
            <w:r>
              <w:rPr>
                <w:rFonts w:hint="default" w:ascii="Times New Roman" w:hAnsi="Times New Roman" w:cs="Times New Roman" w:eastAsiaTheme="minorEastAsia"/>
                <w:color w:val="000000" w:themeColor="text1"/>
                <w:sz w:val="24"/>
                <w:highlight w:val="none"/>
                <w:u w:val="none" w:color="auto"/>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/h</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，进料速率1</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t/min</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，则单个筒仓单次进料时间</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h</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，单个筒仓年总进料时间约</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232.5</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h</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，2个筒仓年总进料时间约</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465</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h</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，因此单个筒仓年进料产生的风量为</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69.75</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万</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u w:val="none" w:color="auto"/>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/a</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混凝土生产线粉煤灰用量8</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00</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t/a</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，共有1个</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9</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粉煤灰筒仓，则筒仓年进料共计</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93</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次。类比同类型混凝土搅拌站，本项目运输车进料风量</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3000m</w:t>
            </w:r>
            <w:r>
              <w:rPr>
                <w:rFonts w:hint="default" w:ascii="Times New Roman" w:hAnsi="Times New Roman" w:cs="Times New Roman" w:eastAsiaTheme="minorEastAsia"/>
                <w:color w:val="000000" w:themeColor="text1"/>
                <w:sz w:val="24"/>
                <w:highlight w:val="none"/>
                <w:u w:val="none" w:color="auto"/>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/h</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，进料速率1</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t/min</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，则筒仓单次进料时间</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h</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，筒仓年总进料时间约139.5</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h</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，因此筒仓年进料产生的风量为4</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1.85</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万</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u w:val="none" w:color="auto"/>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/a</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sz w:val="24"/>
                <w:highlight w:val="none"/>
                <w:u w:val="none" w:color="auto"/>
                <w:lang w:val="en-US" w:eastAsia="zh-CN"/>
              </w:rPr>
              <w:t>二号站混凝土生产线包括2个水泥筒仓、1个粉煤灰筒仓。上述筒仓废气经自带的滤芯除尘器处理。根据《空气污染排放和控制手册》（美国环境保护局编著，张良壁等译，中国环境科学出版社）中的“十、混凝土配料”推荐的配料工艺潜在的逸散排放因子的排放等级，并出于保守考虑，选取</w:t>
            </w:r>
            <w:r>
              <w:rPr>
                <w:rFonts w:hint="default" w:ascii="Times New Roman" w:hAnsi="Times New Roman" w:eastAsia="宋体" w:cs="Times New Roman"/>
                <w:color w:val="000000"/>
                <w:sz w:val="24"/>
                <w:highlight w:val="none"/>
                <w:u w:val="none" w:color="auto"/>
                <w:lang w:val="en-US" w:eastAsia="zh-CN"/>
              </w:rPr>
              <w:t>0.12kg/t</w:t>
            </w:r>
            <w:r>
              <w:rPr>
                <w:rFonts w:hint="eastAsia" w:ascii="Times New Roman" w:hAnsi="Times New Roman" w:eastAsia="宋体" w:cs="Times New Roman"/>
                <w:color w:val="000000"/>
                <w:sz w:val="24"/>
                <w:highlight w:val="none"/>
                <w:u w:val="none" w:color="auto"/>
                <w:lang w:val="en-US" w:eastAsia="zh-CN"/>
              </w:rPr>
              <w:t>物料核算水泥由罐车经气泵打入筒仓中仓顶的粉尘产生量。水泥筒仓单次装满90</w:t>
            </w:r>
            <w:r>
              <w:rPr>
                <w:rFonts w:hint="default" w:ascii="Times New Roman" w:hAnsi="Times New Roman" w:eastAsia="宋体" w:cs="Times New Roman"/>
                <w:color w:val="000000"/>
                <w:sz w:val="24"/>
                <w:highlight w:val="none"/>
                <w:u w:val="none" w:color="auto"/>
                <w:lang w:val="en-US" w:eastAsia="zh-CN"/>
              </w:rPr>
              <w:t>t</w:t>
            </w:r>
            <w:r>
              <w:rPr>
                <w:rFonts w:hint="eastAsia" w:ascii="Times New Roman" w:hAnsi="Times New Roman" w:eastAsia="宋体" w:cs="Times New Roman"/>
                <w:color w:val="000000"/>
                <w:sz w:val="24"/>
                <w:highlight w:val="none"/>
                <w:u w:val="none" w:color="auto"/>
                <w:lang w:val="en-US" w:eastAsia="zh-CN"/>
              </w:rPr>
              <w:t>水泥时间1.5</w:t>
            </w:r>
            <w:r>
              <w:rPr>
                <w:rFonts w:hint="default" w:ascii="Times New Roman" w:hAnsi="Times New Roman" w:eastAsia="宋体" w:cs="Times New Roman"/>
                <w:color w:val="000000"/>
                <w:sz w:val="24"/>
                <w:highlight w:val="none"/>
                <w:u w:val="none" w:color="auto"/>
                <w:lang w:val="en-US" w:eastAsia="zh-CN"/>
              </w:rPr>
              <w:t>h</w:t>
            </w:r>
            <w:r>
              <w:rPr>
                <w:rFonts w:hint="eastAsia" w:ascii="Times New Roman" w:hAnsi="Times New Roman" w:eastAsia="宋体" w:cs="Times New Roman"/>
                <w:color w:val="000000"/>
                <w:sz w:val="24"/>
                <w:highlight w:val="none"/>
                <w:u w:val="none" w:color="auto"/>
                <w:lang w:val="en-US" w:eastAsia="zh-CN"/>
              </w:rPr>
              <w:t>，则单次装满水泥产生的粉尘量为</w:t>
            </w:r>
            <w:r>
              <w:rPr>
                <w:rFonts w:hint="eastAsia" w:ascii="Times New Roman" w:hAnsi="Times New Roman" w:cs="Times New Roman"/>
                <w:color w:val="000000"/>
                <w:sz w:val="24"/>
                <w:highlight w:val="none"/>
                <w:u w:val="none" w:color="auto"/>
                <w:lang w:val="en-US" w:eastAsia="zh-CN"/>
              </w:rPr>
              <w:t>10.8</w:t>
            </w:r>
            <w:r>
              <w:rPr>
                <w:rFonts w:hint="default" w:ascii="Times New Roman" w:hAnsi="Times New Roman" w:eastAsia="宋体" w:cs="Times New Roman"/>
                <w:color w:val="000000"/>
                <w:sz w:val="24"/>
                <w:highlight w:val="none"/>
                <w:u w:val="none" w:color="auto"/>
                <w:lang w:val="en-US" w:eastAsia="zh-CN"/>
              </w:rPr>
              <w:t>kg</w:t>
            </w:r>
            <w:r>
              <w:rPr>
                <w:rFonts w:hint="eastAsia" w:ascii="Times New Roman" w:hAnsi="Times New Roman" w:eastAsia="宋体" w:cs="Times New Roman"/>
                <w:color w:val="000000"/>
                <w:sz w:val="24"/>
                <w:highlight w:val="none"/>
                <w:u w:val="none" w:color="auto"/>
                <w:lang w:val="en-US" w:eastAsia="zh-CN"/>
              </w:rPr>
              <w:t>，即</w:t>
            </w:r>
            <w:r>
              <w:rPr>
                <w:rFonts w:hint="eastAsia" w:ascii="Times New Roman" w:hAnsi="Times New Roman" w:cs="Times New Roman"/>
                <w:color w:val="000000"/>
                <w:sz w:val="24"/>
                <w:highlight w:val="none"/>
                <w:u w:val="none" w:color="auto"/>
                <w:lang w:val="en-US" w:eastAsia="zh-CN"/>
              </w:rPr>
              <w:t>7.</w:t>
            </w:r>
            <w:r>
              <w:rPr>
                <w:rFonts w:hint="eastAsia" w:cs="Times New Roman"/>
                <w:color w:val="000000"/>
                <w:sz w:val="24"/>
                <w:highlight w:val="none"/>
                <w:u w:val="none" w:color="auto"/>
                <w:lang w:val="en-US" w:eastAsia="zh-CN"/>
              </w:rPr>
              <w:t>2</w:t>
            </w:r>
            <w:r>
              <w:rPr>
                <w:rFonts w:hint="default" w:ascii="Times New Roman" w:hAnsi="Times New Roman" w:eastAsia="宋体" w:cs="Times New Roman"/>
                <w:color w:val="000000"/>
                <w:sz w:val="24"/>
                <w:highlight w:val="none"/>
                <w:u w:val="none" w:color="auto"/>
                <w:lang w:val="en-US" w:eastAsia="zh-CN"/>
              </w:rPr>
              <w:t>kg/h</w:t>
            </w:r>
            <w:r>
              <w:rPr>
                <w:rFonts w:hint="eastAsia" w:ascii="Times New Roman" w:hAnsi="Times New Roman" w:cs="Times New Roman"/>
                <w:color w:val="auto"/>
                <w:sz w:val="24"/>
                <w:highlight w:val="none"/>
                <w:u w:val="none" w:color="auto"/>
                <w:lang w:val="en-US" w:eastAsia="zh-CN"/>
              </w:rPr>
              <w:t>；粉煤灰筒仓单次装满90t粉煤灰时间1.5h，则单次装满粉料产生的粉尘量为10.8kg，即7.2kg/h。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本项目采用的脉冲布袋除尘器由上箱体、中箱体、灰斗、卸灰系统和控制系统组成，并采用下进气分室结构。含尘空气进气口进入除尘箱，因气体突然扩张，流速骤然降低，颗粒较粗的粉尘，靠其自重力向下沉降，落入灰斗。细小粉尘通过各种效应被吸附在滤袋外壁，经滤袋过滤后的净化空气，通过文氏管进入上箱体，从出气口排出，被吸附在滤袋外壁的粉尘，随着时间的增长，越积越厚，除尘器阻力逐渐上升，处理的气体量不断减少，为了使除尘器经常保持有效状态，设备阻力稳定在一定的范围内，就需要清除吸附在滤袋外面的积灰。消灰过程是由控制仪按规定要求对各个电磁脉冲阀发出指令，依次打开阀门，顺序向各组滤袋内喷吹高压空气。气包内压缩空气经由喷吹管的孔眼穿过文氏管进入滤袋（称为一次风）。而当喷吹的高速气流通过文氏管一一引射器的一刹那，数位于一次的周围空气被诱导同时进入袋内，使滤袋在一瞬间急剧从收缩一一膨胀一一收缩，以及气流反向作用，逐渐吸附在袋壁外面的粉尘清除下来。脉冲布袋除尘器广泛用于打磨、抛光、喷砂、搅拌、倒料等生产工序产生的粉尘除尘净化，其特点是除尘效率高，可捕集粒径大于0.3微米的细小粉尘，</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处理效率</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高达99.7</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以上。脉冲布袋除尘器结构示意图见下图4-1。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center"/>
              <w:textAlignment w:val="auto"/>
              <w:rPr>
                <w:rFonts w:hint="eastAsia" w:ascii="Times New Roman" w:hAnsi="Times New Roman" w:cs="Times New Roman" w:eastAsiaTheme="minorEastAsia"/>
                <w:b/>
                <w:bCs/>
                <w:snapToGrid w:val="0"/>
                <w:color w:val="000000" w:themeColor="text1"/>
                <w:spacing w:val="0"/>
                <w:kern w:val="0"/>
                <w:sz w:val="21"/>
                <w:szCs w:val="21"/>
                <w:highlight w:val="none"/>
                <w:u w:val="none" w:color="auto"/>
                <w:lang w:val="en-US" w:eastAsia="zh-CN" w:bidi="ar-SA"/>
                <w14:textFill>
                  <w14:solidFill>
                    <w14:schemeClr w14:val="tx1"/>
                  </w14:solidFill>
                </w14:textFill>
              </w:rPr>
            </w:pPr>
            <w:r>
              <w:rPr>
                <w:rFonts w:ascii="Times New Roman" w:hAnsi="Times New Roman" w:eastAsia="黑体" w:cs="Times New Roman"/>
                <w:b/>
                <w:bCs/>
                <w:snapToGrid w:val="0"/>
                <w:spacing w:val="0"/>
                <w:kern w:val="0"/>
                <w:sz w:val="21"/>
                <w:szCs w:val="21"/>
                <w:highlight w:val="none"/>
                <w:u w:val="none" w:color="auto"/>
                <w:lang w:val="en-US" w:eastAsia="zh-CN" w:bidi="ar-SA"/>
              </w:rPr>
              <w:drawing>
                <wp:anchor distT="0" distB="0" distL="114300" distR="114300" simplePos="0" relativeHeight="251666432" behindDoc="0" locked="0" layoutInCell="1" allowOverlap="1">
                  <wp:simplePos x="0" y="0"/>
                  <wp:positionH relativeFrom="column">
                    <wp:posOffset>33655</wp:posOffset>
                  </wp:positionH>
                  <wp:positionV relativeFrom="paragraph">
                    <wp:posOffset>88900</wp:posOffset>
                  </wp:positionV>
                  <wp:extent cx="5029200" cy="4123690"/>
                  <wp:effectExtent l="0" t="0" r="0" b="10160"/>
                  <wp:wrapSquare wrapText="bothSides"/>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rcRect b="261"/>
                          <a:stretch>
                            <a:fillRect/>
                          </a:stretch>
                        </pic:blipFill>
                        <pic:spPr>
                          <a:xfrm>
                            <a:off x="1424940" y="1240155"/>
                            <a:ext cx="5029200" cy="4123690"/>
                          </a:xfrm>
                          <a:prstGeom prst="rect">
                            <a:avLst/>
                          </a:prstGeom>
                          <a:noFill/>
                          <a:ln>
                            <a:noFill/>
                          </a:ln>
                        </pic:spPr>
                      </pic:pic>
                    </a:graphicData>
                  </a:graphic>
                </wp:anchor>
              </w:drawing>
            </w:r>
            <w:r>
              <w:rPr>
                <w:rFonts w:hint="eastAsia" w:ascii="Times New Roman" w:hAnsi="Times New Roman" w:cs="Times New Roman" w:eastAsiaTheme="minorEastAsia"/>
                <w:b/>
                <w:bCs/>
                <w:snapToGrid w:val="0"/>
                <w:color w:val="000000" w:themeColor="text1"/>
                <w:spacing w:val="0"/>
                <w:kern w:val="0"/>
                <w:sz w:val="21"/>
                <w:szCs w:val="21"/>
                <w:highlight w:val="none"/>
                <w:u w:val="none" w:color="auto"/>
                <w:lang w:val="en-US" w:eastAsia="zh-CN" w:bidi="ar-SA"/>
                <w14:textFill>
                  <w14:solidFill>
                    <w14:schemeClr w14:val="tx1"/>
                  </w14:solidFill>
                </w14:textFill>
              </w:rPr>
              <w:t>图4-</w:t>
            </w:r>
            <w:r>
              <w:rPr>
                <w:rFonts w:hint="eastAsia" w:cs="Times New Roman" w:eastAsiaTheme="minorEastAsia"/>
                <w:b/>
                <w:bCs/>
                <w:snapToGrid w:val="0"/>
                <w:color w:val="000000" w:themeColor="text1"/>
                <w:spacing w:val="0"/>
                <w:kern w:val="0"/>
                <w:sz w:val="21"/>
                <w:szCs w:val="21"/>
                <w:highlight w:val="none"/>
                <w:u w:val="none" w:color="auto"/>
                <w:lang w:val="en-US" w:eastAsia="zh-CN" w:bidi="ar-SA"/>
                <w14:textFill>
                  <w14:solidFill>
                    <w14:schemeClr w14:val="tx1"/>
                  </w14:solidFill>
                </w14:textFill>
              </w:rPr>
              <w:t>2</w:t>
            </w:r>
            <w:r>
              <w:rPr>
                <w:rFonts w:hint="eastAsia" w:ascii="Times New Roman" w:hAnsi="Times New Roman" w:cs="Times New Roman" w:eastAsiaTheme="minorEastAsia"/>
                <w:b/>
                <w:bCs/>
                <w:snapToGrid w:val="0"/>
                <w:color w:val="000000" w:themeColor="text1"/>
                <w:spacing w:val="0"/>
                <w:kern w:val="0"/>
                <w:sz w:val="21"/>
                <w:szCs w:val="21"/>
                <w:highlight w:val="none"/>
                <w:u w:val="none" w:color="auto"/>
                <w:lang w:val="en-US" w:eastAsia="zh-CN" w:bidi="ar-SA"/>
                <w14:textFill>
                  <w14:solidFill>
                    <w14:schemeClr w14:val="tx1"/>
                  </w14:solidFill>
                </w14:textFill>
              </w:rPr>
              <w:t xml:space="preserve"> 项目使用的脉冲布袋除尘器构造图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该商品混凝土生产线</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粉尘产排情况见表</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w:t>
            </w:r>
            <w:r>
              <w:rPr>
                <w:rFonts w:hint="eastAsia" w:cs="Times New Roman"/>
                <w:b/>
                <w:bCs/>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 xml:space="preserve"> 项目混凝土生产线筒仓粉尘污染物产排一览表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1053"/>
              <w:gridCol w:w="921"/>
              <w:gridCol w:w="1010"/>
              <w:gridCol w:w="865"/>
              <w:gridCol w:w="865"/>
              <w:gridCol w:w="944"/>
              <w:gridCol w:w="858"/>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vMerge w:val="restart"/>
                  <w:vAlign w:val="center"/>
                </w:tcPr>
                <w:p>
                  <w:pPr>
                    <w:pStyle w:val="57"/>
                    <w:bidi w:val="0"/>
                    <w:rPr>
                      <w:rFonts w:hint="default"/>
                    </w:rPr>
                  </w:pPr>
                  <w:r>
                    <w:rPr>
                      <w:rFonts w:hint="eastAsia"/>
                      <w:lang w:val="en-US" w:eastAsia="zh-CN"/>
                    </w:rPr>
                    <w:t>污染源</w:t>
                  </w:r>
                </w:p>
              </w:tc>
              <w:tc>
                <w:tcPr>
                  <w:tcW w:w="637" w:type="pct"/>
                  <w:vMerge w:val="restart"/>
                  <w:vAlign w:val="center"/>
                </w:tcPr>
                <w:p>
                  <w:pPr>
                    <w:pStyle w:val="57"/>
                    <w:bidi w:val="0"/>
                    <w:rPr>
                      <w:rFonts w:hint="default"/>
                    </w:rPr>
                  </w:pPr>
                  <w:r>
                    <w:rPr>
                      <w:rFonts w:hint="eastAsia"/>
                      <w:lang w:val="en-US" w:eastAsia="zh-CN"/>
                    </w:rPr>
                    <w:t>粉料输送总量（t/a）</w:t>
                  </w:r>
                </w:p>
              </w:tc>
              <w:tc>
                <w:tcPr>
                  <w:tcW w:w="557" w:type="pct"/>
                  <w:vMerge w:val="restart"/>
                  <w:vAlign w:val="center"/>
                </w:tcPr>
                <w:p>
                  <w:pPr>
                    <w:pStyle w:val="57"/>
                    <w:bidi w:val="0"/>
                    <w:rPr>
                      <w:rFonts w:hint="default"/>
                    </w:rPr>
                  </w:pPr>
                  <w:r>
                    <w:rPr>
                      <w:rFonts w:hint="eastAsia"/>
                      <w:lang w:val="en-US" w:eastAsia="zh-CN"/>
                    </w:rPr>
                    <w:t>年进料时间（h）</w:t>
                  </w:r>
                </w:p>
              </w:tc>
              <w:tc>
                <w:tcPr>
                  <w:tcW w:w="611" w:type="pct"/>
                  <w:vMerge w:val="restart"/>
                  <w:vAlign w:val="center"/>
                </w:tcPr>
                <w:p>
                  <w:pPr>
                    <w:pStyle w:val="57"/>
                    <w:bidi w:val="0"/>
                    <w:rPr>
                      <w:rFonts w:hint="default"/>
                      <w:lang w:val="en-US" w:eastAsia="zh-CN"/>
                    </w:rPr>
                  </w:pPr>
                  <w:r>
                    <w:rPr>
                      <w:rFonts w:hint="eastAsia"/>
                      <w:lang w:val="en-US" w:eastAsia="zh-CN"/>
                    </w:rPr>
                    <w:t>废气总量</w:t>
                  </w:r>
                </w:p>
                <w:p>
                  <w:pPr>
                    <w:pStyle w:val="57"/>
                    <w:bidi w:val="0"/>
                    <w:rPr>
                      <w:rFonts w:hint="default"/>
                    </w:rPr>
                  </w:pPr>
                  <w:r>
                    <w:rPr>
                      <w:rFonts w:hint="eastAsia"/>
                      <w:lang w:val="en-US" w:eastAsia="zh-CN"/>
                    </w:rPr>
                    <w:t>（万</w:t>
                  </w:r>
                  <w:r>
                    <w:rPr>
                      <w:rFonts w:hint="default"/>
                      <w:lang w:val="en-US" w:eastAsia="zh-CN"/>
                    </w:rPr>
                    <w:t>m</w:t>
                  </w:r>
                  <w:r>
                    <w:rPr>
                      <w:rFonts w:hint="default"/>
                      <w:vertAlign w:val="superscript"/>
                      <w:lang w:val="en-US" w:eastAsia="zh-CN"/>
                    </w:rPr>
                    <w:t>3</w:t>
                  </w:r>
                  <w:r>
                    <w:rPr>
                      <w:rFonts w:hint="default"/>
                      <w:lang w:val="en-US" w:eastAsia="zh-CN"/>
                    </w:rPr>
                    <w:t>/a</w:t>
                  </w:r>
                  <w:r>
                    <w:rPr>
                      <w:rFonts w:hint="eastAsia"/>
                      <w:lang w:val="en-US" w:eastAsia="zh-CN"/>
                    </w:rPr>
                    <w:t>）</w:t>
                  </w:r>
                </w:p>
              </w:tc>
              <w:tc>
                <w:tcPr>
                  <w:tcW w:w="1046" w:type="pct"/>
                  <w:gridSpan w:val="2"/>
                  <w:vAlign w:val="center"/>
                </w:tcPr>
                <w:p>
                  <w:pPr>
                    <w:pStyle w:val="57"/>
                    <w:bidi w:val="0"/>
                    <w:rPr>
                      <w:rFonts w:hint="default"/>
                    </w:rPr>
                  </w:pPr>
                  <w:r>
                    <w:rPr>
                      <w:rFonts w:hint="eastAsia"/>
                      <w:lang w:val="en-US" w:eastAsia="zh-CN"/>
                    </w:rPr>
                    <w:t>粉尘产生情况</w:t>
                  </w:r>
                </w:p>
              </w:tc>
              <w:tc>
                <w:tcPr>
                  <w:tcW w:w="571" w:type="pct"/>
                  <w:vMerge w:val="restart"/>
                  <w:vAlign w:val="center"/>
                </w:tcPr>
                <w:p>
                  <w:pPr>
                    <w:pStyle w:val="57"/>
                    <w:bidi w:val="0"/>
                    <w:rPr>
                      <w:rFonts w:hint="default"/>
                      <w:lang w:val="en-US" w:eastAsia="zh-CN"/>
                    </w:rPr>
                  </w:pPr>
                  <w:r>
                    <w:rPr>
                      <w:rFonts w:hint="eastAsia"/>
                      <w:lang w:val="en-US" w:eastAsia="zh-CN"/>
                    </w:rPr>
                    <w:t>治理措施</w:t>
                  </w:r>
                </w:p>
                <w:p>
                  <w:pPr>
                    <w:pStyle w:val="57"/>
                    <w:bidi w:val="0"/>
                    <w:rPr>
                      <w:rFonts w:hint="default"/>
                    </w:rPr>
                  </w:pPr>
                </w:p>
              </w:tc>
              <w:tc>
                <w:tcPr>
                  <w:tcW w:w="997" w:type="pct"/>
                  <w:gridSpan w:val="2"/>
                  <w:vAlign w:val="center"/>
                </w:tcPr>
                <w:p>
                  <w:pPr>
                    <w:pStyle w:val="57"/>
                    <w:bidi w:val="0"/>
                    <w:rPr>
                      <w:rFonts w:hint="default"/>
                    </w:rPr>
                  </w:pPr>
                  <w:r>
                    <w:rPr>
                      <w:rFonts w:hint="eastAsia"/>
                      <w:lang w:val="en-US" w:eastAsia="zh-CN"/>
                    </w:rPr>
                    <w:t>粉尘排放情况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vMerge w:val="continue"/>
                  <w:vAlign w:val="center"/>
                </w:tcPr>
                <w:p>
                  <w:pPr>
                    <w:pStyle w:val="57"/>
                    <w:bidi w:val="0"/>
                    <w:rPr>
                      <w:rFonts w:hint="default"/>
                    </w:rPr>
                  </w:pPr>
                </w:p>
              </w:tc>
              <w:tc>
                <w:tcPr>
                  <w:tcW w:w="637" w:type="pct"/>
                  <w:vMerge w:val="continue"/>
                  <w:vAlign w:val="center"/>
                </w:tcPr>
                <w:p>
                  <w:pPr>
                    <w:pStyle w:val="57"/>
                    <w:bidi w:val="0"/>
                    <w:rPr>
                      <w:rFonts w:hint="default"/>
                    </w:rPr>
                  </w:pPr>
                </w:p>
              </w:tc>
              <w:tc>
                <w:tcPr>
                  <w:tcW w:w="557" w:type="pct"/>
                  <w:vMerge w:val="continue"/>
                  <w:vAlign w:val="center"/>
                </w:tcPr>
                <w:p>
                  <w:pPr>
                    <w:pStyle w:val="57"/>
                    <w:bidi w:val="0"/>
                    <w:rPr>
                      <w:rFonts w:hint="default"/>
                    </w:rPr>
                  </w:pPr>
                </w:p>
              </w:tc>
              <w:tc>
                <w:tcPr>
                  <w:tcW w:w="611" w:type="pct"/>
                  <w:vMerge w:val="continue"/>
                  <w:vAlign w:val="center"/>
                </w:tcPr>
                <w:p>
                  <w:pPr>
                    <w:pStyle w:val="57"/>
                    <w:bidi w:val="0"/>
                    <w:rPr>
                      <w:rFonts w:hint="default"/>
                    </w:rPr>
                  </w:pPr>
                </w:p>
              </w:tc>
              <w:tc>
                <w:tcPr>
                  <w:tcW w:w="52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rPr>
                  </w:pP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52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rPr>
                  </w:pPr>
                  <w:r>
                    <w:rPr>
                      <w:rFonts w:hint="default" w:ascii="Times New Roman" w:hAnsi="Times New Roman" w:eastAsia="宋体" w:cs="Times New Roman"/>
                      <w:color w:val="auto"/>
                      <w:sz w:val="21"/>
                      <w:szCs w:val="21"/>
                      <w:highlight w:val="none"/>
                      <w:u w:val="none" w:color="auto"/>
                      <w:vertAlign w:val="baseline"/>
                      <w:lang w:val="en-US" w:eastAsia="zh-CN"/>
                    </w:rPr>
                    <w:t>kg/h</w:t>
                  </w:r>
                </w:p>
              </w:tc>
              <w:tc>
                <w:tcPr>
                  <w:tcW w:w="571" w:type="pct"/>
                  <w:vMerge w:val="continue"/>
                  <w:vAlign w:val="center"/>
                </w:tcPr>
                <w:p>
                  <w:pPr>
                    <w:pStyle w:val="57"/>
                    <w:bidi w:val="0"/>
                    <w:rPr>
                      <w:rFonts w:hint="default"/>
                    </w:rPr>
                  </w:pPr>
                </w:p>
              </w:tc>
              <w:tc>
                <w:tcPr>
                  <w:tcW w:w="51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rPr>
                  </w:pP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4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rPr>
                  </w:pPr>
                  <w:r>
                    <w:rPr>
                      <w:rFonts w:hint="default" w:ascii="Times New Roman" w:hAnsi="Times New Roman" w:eastAsia="宋体" w:cs="Times New Roman"/>
                      <w:color w:val="auto"/>
                      <w:sz w:val="21"/>
                      <w:szCs w:val="21"/>
                      <w:highlight w:val="none"/>
                      <w:u w:val="none" w:color="auto"/>
                      <w:vertAlign w:val="baseline"/>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577" w:type="pct"/>
                  <w:vAlign w:val="center"/>
                </w:tcPr>
                <w:p>
                  <w:pPr>
                    <w:pStyle w:val="57"/>
                    <w:bidi w:val="0"/>
                    <w:rPr>
                      <w:rFonts w:hint="default"/>
                    </w:rPr>
                  </w:pPr>
                  <w:r>
                    <w:rPr>
                      <w:rFonts w:hint="eastAsia"/>
                      <w:lang w:val="en-US" w:eastAsia="zh-CN"/>
                    </w:rPr>
                    <w:t>水泥筒仓（2个）</w:t>
                  </w:r>
                </w:p>
              </w:tc>
              <w:tc>
                <w:tcPr>
                  <w:tcW w:w="637" w:type="pct"/>
                  <w:vAlign w:val="center"/>
                </w:tcPr>
                <w:p>
                  <w:pPr>
                    <w:pStyle w:val="57"/>
                    <w:bidi w:val="0"/>
                    <w:ind w:firstLine="0" w:firstLineChars="0"/>
                    <w:rPr>
                      <w:rFonts w:hint="default"/>
                    </w:rPr>
                  </w:pPr>
                  <w:r>
                    <w:rPr>
                      <w:rFonts w:hint="default"/>
                      <w:lang w:val="en-US" w:eastAsia="zh-CN"/>
                    </w:rPr>
                    <w:t>28020</w:t>
                  </w:r>
                </w:p>
              </w:tc>
              <w:tc>
                <w:tcPr>
                  <w:tcW w:w="557" w:type="pct"/>
                  <w:vAlign w:val="center"/>
                </w:tcPr>
                <w:p>
                  <w:pPr>
                    <w:pStyle w:val="57"/>
                    <w:bidi w:val="0"/>
                    <w:ind w:firstLine="0" w:firstLineChars="0"/>
                    <w:rPr>
                      <w:rFonts w:hint="default"/>
                    </w:rPr>
                  </w:pPr>
                  <w:r>
                    <w:rPr>
                      <w:rFonts w:hint="default"/>
                      <w:lang w:val="en-US" w:eastAsia="zh-CN"/>
                    </w:rPr>
                    <w:t>465</w:t>
                  </w:r>
                </w:p>
              </w:tc>
              <w:tc>
                <w:tcPr>
                  <w:tcW w:w="611" w:type="pct"/>
                  <w:vAlign w:val="center"/>
                </w:tcPr>
                <w:p>
                  <w:pPr>
                    <w:pStyle w:val="57"/>
                    <w:bidi w:val="0"/>
                    <w:rPr>
                      <w:rFonts w:hint="default"/>
                      <w:lang w:val="en-US"/>
                    </w:rPr>
                  </w:pPr>
                  <w:r>
                    <w:rPr>
                      <w:rFonts w:hint="default"/>
                      <w:lang w:val="en-US"/>
                    </w:rPr>
                    <w:t>139.5</w:t>
                  </w:r>
                </w:p>
              </w:tc>
              <w:tc>
                <w:tcPr>
                  <w:tcW w:w="523" w:type="pct"/>
                  <w:vAlign w:val="center"/>
                </w:tcPr>
                <w:p>
                  <w:pPr>
                    <w:pStyle w:val="57"/>
                    <w:bidi w:val="0"/>
                    <w:rPr>
                      <w:rFonts w:hint="default" w:eastAsia="宋体"/>
                      <w:lang w:val="en-US" w:eastAsia="zh-CN"/>
                    </w:rPr>
                  </w:pPr>
                  <w:r>
                    <w:rPr>
                      <w:rFonts w:hint="eastAsia"/>
                      <w:lang w:val="en-US" w:eastAsia="zh-CN"/>
                    </w:rPr>
                    <w:t>3.348</w:t>
                  </w:r>
                </w:p>
              </w:tc>
              <w:tc>
                <w:tcPr>
                  <w:tcW w:w="523" w:type="pct"/>
                  <w:vAlign w:val="center"/>
                </w:tcPr>
                <w:p>
                  <w:pPr>
                    <w:pStyle w:val="57"/>
                    <w:bidi w:val="0"/>
                    <w:rPr>
                      <w:rFonts w:hint="default" w:eastAsia="宋体"/>
                      <w:lang w:val="en-US" w:eastAsia="zh-CN"/>
                    </w:rPr>
                  </w:pPr>
                  <w:r>
                    <w:rPr>
                      <w:rFonts w:hint="default" w:eastAsia="宋体"/>
                      <w:lang w:val="en-US" w:eastAsia="zh-CN"/>
                    </w:rPr>
                    <w:t>7.2</w:t>
                  </w:r>
                </w:p>
              </w:tc>
              <w:tc>
                <w:tcPr>
                  <w:tcW w:w="571" w:type="pct"/>
                  <w:vMerge w:val="restart"/>
                  <w:vAlign w:val="center"/>
                </w:tcPr>
                <w:p>
                  <w:pPr>
                    <w:pStyle w:val="57"/>
                    <w:bidi w:val="0"/>
                    <w:rPr>
                      <w:rFonts w:hint="default"/>
                    </w:rPr>
                  </w:pPr>
                  <w:r>
                    <w:rPr>
                      <w:rFonts w:hint="eastAsia"/>
                      <w:lang w:val="en-US" w:eastAsia="zh-CN"/>
                    </w:rPr>
                    <w:t>脉冲布袋除尘器7套，除尘效率为99.7%</w:t>
                  </w:r>
                </w:p>
              </w:tc>
              <w:tc>
                <w:tcPr>
                  <w:tcW w:w="519" w:type="pct"/>
                  <w:vAlign w:val="center"/>
                </w:tcPr>
                <w:p>
                  <w:pPr>
                    <w:pStyle w:val="57"/>
                    <w:bidi w:val="0"/>
                    <w:rPr>
                      <w:rFonts w:hint="default" w:eastAsia="宋体"/>
                      <w:lang w:val="en-US" w:eastAsia="zh-CN"/>
                    </w:rPr>
                  </w:pPr>
                  <w:r>
                    <w:rPr>
                      <w:rFonts w:hint="default" w:eastAsia="宋体"/>
                      <w:lang w:val="en-US" w:eastAsia="zh-CN"/>
                    </w:rPr>
                    <w:t>0.01</w:t>
                  </w:r>
                </w:p>
              </w:tc>
              <w:tc>
                <w:tcPr>
                  <w:tcW w:w="478" w:type="pct"/>
                  <w:vAlign w:val="center"/>
                </w:tcPr>
                <w:p>
                  <w:pPr>
                    <w:pStyle w:val="57"/>
                    <w:bidi w:val="0"/>
                    <w:rPr>
                      <w:rFonts w:hint="default" w:eastAsia="宋体"/>
                      <w:lang w:val="en-US" w:eastAsia="zh-CN"/>
                    </w:rPr>
                  </w:pPr>
                  <w:r>
                    <w:rPr>
                      <w:rFonts w:hint="default" w:eastAsia="宋体"/>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vAlign w:val="center"/>
                </w:tcPr>
                <w:p>
                  <w:pPr>
                    <w:pStyle w:val="57"/>
                    <w:bidi w:val="0"/>
                    <w:rPr>
                      <w:rFonts w:hint="default"/>
                    </w:rPr>
                  </w:pPr>
                  <w:r>
                    <w:rPr>
                      <w:rFonts w:hint="eastAsia"/>
                      <w:lang w:val="en-US" w:eastAsia="zh-CN"/>
                    </w:rPr>
                    <w:t>粉煤灰筒仓（1个）</w:t>
                  </w:r>
                </w:p>
              </w:tc>
              <w:tc>
                <w:tcPr>
                  <w:tcW w:w="637" w:type="pct"/>
                  <w:vAlign w:val="center"/>
                </w:tcPr>
                <w:p>
                  <w:pPr>
                    <w:pStyle w:val="57"/>
                    <w:bidi w:val="0"/>
                    <w:ind w:firstLine="0" w:firstLineChars="0"/>
                    <w:rPr>
                      <w:rFonts w:hint="default"/>
                    </w:rPr>
                  </w:pPr>
                  <w:r>
                    <w:rPr>
                      <w:rFonts w:hint="default"/>
                      <w:lang w:val="en-US" w:eastAsia="zh-CN"/>
                    </w:rPr>
                    <w:t>8400</w:t>
                  </w:r>
                </w:p>
              </w:tc>
              <w:tc>
                <w:tcPr>
                  <w:tcW w:w="557" w:type="pct"/>
                  <w:vAlign w:val="center"/>
                </w:tcPr>
                <w:p>
                  <w:pPr>
                    <w:pStyle w:val="57"/>
                    <w:bidi w:val="0"/>
                    <w:ind w:firstLine="0" w:firstLineChars="0"/>
                    <w:rPr>
                      <w:rFonts w:hint="default"/>
                    </w:rPr>
                  </w:pPr>
                  <w:r>
                    <w:rPr>
                      <w:rFonts w:hint="default"/>
                      <w:lang w:val="en-US" w:eastAsia="zh-CN"/>
                    </w:rPr>
                    <w:t>139.5</w:t>
                  </w:r>
                </w:p>
              </w:tc>
              <w:tc>
                <w:tcPr>
                  <w:tcW w:w="611" w:type="pct"/>
                  <w:vAlign w:val="center"/>
                </w:tcPr>
                <w:p>
                  <w:pPr>
                    <w:pStyle w:val="57"/>
                    <w:bidi w:val="0"/>
                    <w:rPr>
                      <w:rFonts w:hint="default"/>
                      <w:lang w:val="en-US"/>
                    </w:rPr>
                  </w:pPr>
                  <w:r>
                    <w:rPr>
                      <w:rFonts w:hint="default"/>
                      <w:lang w:val="en-US" w:eastAsia="zh-CN"/>
                    </w:rPr>
                    <w:t>41.85</w:t>
                  </w:r>
                </w:p>
              </w:tc>
              <w:tc>
                <w:tcPr>
                  <w:tcW w:w="865" w:type="dxa"/>
                  <w:vAlign w:val="center"/>
                </w:tcPr>
                <w:p>
                  <w:pPr>
                    <w:pStyle w:val="57"/>
                    <w:bidi w:val="0"/>
                    <w:ind w:firstLine="0" w:firstLineChars="0"/>
                    <w:rPr>
                      <w:rFonts w:hint="default" w:eastAsia="宋体"/>
                      <w:lang w:val="en-US" w:eastAsia="zh-CN"/>
                    </w:rPr>
                  </w:pPr>
                  <w:r>
                    <w:rPr>
                      <w:rFonts w:hint="eastAsia"/>
                      <w:lang w:val="en-US" w:eastAsia="zh-CN"/>
                    </w:rPr>
                    <w:t>1.004</w:t>
                  </w:r>
                </w:p>
              </w:tc>
              <w:tc>
                <w:tcPr>
                  <w:tcW w:w="865" w:type="dxa"/>
                  <w:vAlign w:val="center"/>
                </w:tcPr>
                <w:p>
                  <w:pPr>
                    <w:pStyle w:val="57"/>
                    <w:bidi w:val="0"/>
                    <w:ind w:firstLine="0" w:firstLineChars="0"/>
                    <w:rPr>
                      <w:rFonts w:hint="default"/>
                    </w:rPr>
                  </w:pPr>
                  <w:r>
                    <w:rPr>
                      <w:rFonts w:hint="default"/>
                      <w:lang w:val="en-US" w:eastAsia="zh-CN"/>
                    </w:rPr>
                    <w:t>7.2</w:t>
                  </w:r>
                </w:p>
              </w:tc>
              <w:tc>
                <w:tcPr>
                  <w:tcW w:w="571" w:type="pct"/>
                  <w:vMerge w:val="continue"/>
                  <w:vAlign w:val="center"/>
                </w:tcPr>
                <w:p>
                  <w:pPr>
                    <w:pStyle w:val="57"/>
                    <w:bidi w:val="0"/>
                    <w:rPr>
                      <w:rFonts w:hint="default"/>
                    </w:rPr>
                  </w:pPr>
                </w:p>
              </w:tc>
              <w:tc>
                <w:tcPr>
                  <w:tcW w:w="858" w:type="dxa"/>
                  <w:vAlign w:val="center"/>
                </w:tcPr>
                <w:p>
                  <w:pPr>
                    <w:pStyle w:val="57"/>
                    <w:bidi w:val="0"/>
                    <w:ind w:firstLine="0" w:firstLineChars="0"/>
                    <w:rPr>
                      <w:rFonts w:hint="default" w:eastAsia="宋体"/>
                      <w:lang w:val="en-US" w:eastAsia="zh-CN"/>
                    </w:rPr>
                  </w:pPr>
                  <w:r>
                    <w:rPr>
                      <w:rFonts w:hint="eastAsia"/>
                      <w:lang w:val="en-US" w:eastAsia="zh-CN"/>
                    </w:rPr>
                    <w:t>0.003</w:t>
                  </w:r>
                </w:p>
              </w:tc>
              <w:tc>
                <w:tcPr>
                  <w:tcW w:w="792" w:type="dxa"/>
                  <w:vAlign w:val="center"/>
                </w:tcPr>
                <w:p>
                  <w:pPr>
                    <w:pStyle w:val="57"/>
                    <w:bidi w:val="0"/>
                    <w:ind w:firstLine="0" w:firstLineChars="0"/>
                    <w:rPr>
                      <w:rFonts w:hint="default" w:eastAsia="宋体"/>
                      <w:lang w:val="en-US" w:eastAsia="zh-CN"/>
                    </w:rPr>
                  </w:pPr>
                  <w:r>
                    <w:rPr>
                      <w:rFonts w:hint="eastAsia"/>
                      <w:lang w:val="en-US" w:eastAsia="zh-CN"/>
                    </w:rPr>
                    <w:t>0.02</w:t>
                  </w:r>
                </w:p>
              </w:tc>
            </w:tr>
          </w:tbl>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right="0" w:firstLine="480" w:firstLineChars="200"/>
              <w:textAlignment w:val="auto"/>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由上表可知，筒仓呼吸口粉尘经仓顶自带的脉冲袋式除尘器处理后高空排放，粉尘排放量为0.01</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t/a</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，0.0</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kg/h。</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③筒仓放空口粉尘</w:t>
            </w:r>
          </w:p>
          <w:p>
            <w:pPr>
              <w:pStyle w:val="13"/>
              <w:keepNext w:val="0"/>
              <w:keepLines w:val="0"/>
              <w:pageBreakBefore w:val="0"/>
              <w:widowControl w:val="0"/>
              <w:kinsoku/>
              <w:wordWrap/>
              <w:overflowPunct/>
              <w:topLinePunct w:val="0"/>
              <w:autoSpaceDE/>
              <w:autoSpaceDN/>
              <w:bidi w:val="0"/>
              <w:adjustRightInd w:val="0"/>
              <w:snapToGrid w:val="0"/>
              <w:spacing w:after="0" w:afterLines="-2147483648" w:line="360" w:lineRule="auto"/>
              <w:ind w:left="0" w:leftChars="0" w:firstLine="480" w:firstLineChars="200"/>
              <w:textAlignment w:val="auto"/>
              <w:rPr>
                <w:rFonts w:hint="default" w:ascii="Times New Roman" w:hAnsi="Times New Roman" w:eastAsia="宋体" w:cs="Times New Roman"/>
                <w:color w:val="000000"/>
                <w:sz w:val="24"/>
                <w:szCs w:val="21"/>
                <w:highlight w:val="none"/>
                <w:u w:val="none" w:color="auto"/>
                <w:lang w:val="en-US" w:eastAsia="zh-CN"/>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筒仓放空口在抽料时有粉尘产生。</w:t>
            </w:r>
            <w:r>
              <w:rPr>
                <w:rFonts w:hint="eastAsia" w:ascii="Times New Roman" w:hAnsi="Times New Roman" w:eastAsia="宋体" w:cs="Times New Roman"/>
                <w:sz w:val="24"/>
                <w:highlight w:val="none"/>
                <w:u w:val="none" w:color="auto"/>
                <w:lang w:val="en-US" w:eastAsia="zh-CN"/>
              </w:rPr>
              <w:t>根据《3021水泥制品制造（含3022砼结构构件制造、3029其他水泥类似制品制造）行业系数手册》物料输送环节颗粒物的产污系数为0.12</w:t>
            </w:r>
            <w:r>
              <w:rPr>
                <w:rFonts w:hint="eastAsia" w:ascii="Times New Roman" w:hAnsi="Times New Roman" w:eastAsia="宋体" w:cs="Times New Roman"/>
                <w:sz w:val="24"/>
                <w:highlight w:val="none"/>
                <w:u w:val="none" w:color="auto"/>
                <w:vertAlign w:val="baseline"/>
                <w:lang w:val="en-US" w:eastAsia="zh-CN"/>
              </w:rPr>
              <w:t>千克/吨-产品，</w:t>
            </w:r>
            <w:r>
              <w:rPr>
                <w:rFonts w:hint="eastAsia" w:ascii="Times New Roman" w:hAnsi="Times New Roman" w:cs="Times New Roman"/>
                <w:sz w:val="24"/>
                <w:highlight w:val="none"/>
                <w:u w:val="none" w:color="auto"/>
                <w:vertAlign w:val="baseline"/>
                <w:lang w:val="en-US" w:eastAsia="zh-CN"/>
              </w:rPr>
              <w:t>二号站</w:t>
            </w:r>
            <w:r>
              <w:rPr>
                <w:rFonts w:hint="eastAsia" w:ascii="Times New Roman" w:hAnsi="Times New Roman" w:eastAsia="宋体" w:cs="Times New Roman"/>
                <w:sz w:val="24"/>
                <w:szCs w:val="24"/>
                <w:highlight w:val="none"/>
                <w:u w:val="none" w:color="auto"/>
                <w:vertAlign w:val="baseline"/>
                <w:lang w:val="en-US" w:eastAsia="zh-CN"/>
              </w:rPr>
              <w:t>年生产</w:t>
            </w:r>
            <w:r>
              <w:rPr>
                <w:rFonts w:hint="eastAsia" w:ascii="Times New Roman" w:hAnsi="Times New Roman" w:cs="Times New Roman"/>
                <w:sz w:val="24"/>
                <w:szCs w:val="24"/>
                <w:highlight w:val="none"/>
                <w:u w:val="none" w:color="auto"/>
                <w:vertAlign w:val="baseline"/>
                <w:lang w:val="en-US" w:eastAsia="zh-CN"/>
              </w:rPr>
              <w:t>13.8</w:t>
            </w:r>
            <w:r>
              <w:rPr>
                <w:rFonts w:hint="eastAsia" w:ascii="Times New Roman" w:hAnsi="Times New Roman" w:eastAsia="宋体" w:cs="Times New Roman"/>
                <w:sz w:val="24"/>
                <w:szCs w:val="24"/>
                <w:highlight w:val="none"/>
                <w:u w:val="none" w:color="auto"/>
                <w:vertAlign w:val="baseline"/>
                <w:lang w:val="en-US" w:eastAsia="zh-CN"/>
              </w:rPr>
              <w:t>万吨混凝土，因此本项目搅拌混合粉尘产生量为</w:t>
            </w:r>
            <w:r>
              <w:rPr>
                <w:rFonts w:hint="eastAsia" w:ascii="Times New Roman" w:hAnsi="Times New Roman" w:cs="Times New Roman"/>
                <w:sz w:val="24"/>
                <w:szCs w:val="24"/>
                <w:highlight w:val="none"/>
                <w:u w:val="none" w:color="auto"/>
                <w:vertAlign w:val="baseline"/>
                <w:lang w:val="en-US" w:eastAsia="zh-CN"/>
              </w:rPr>
              <w:t>16.56</w:t>
            </w:r>
            <w:r>
              <w:rPr>
                <w:rFonts w:hint="eastAsia" w:ascii="Times New Roman" w:hAnsi="Times New Roman" w:eastAsia="宋体" w:cs="Times New Roman"/>
                <w:sz w:val="24"/>
                <w:szCs w:val="24"/>
                <w:highlight w:val="none"/>
                <w:u w:val="none" w:color="auto"/>
                <w:vertAlign w:val="baseline"/>
                <w:lang w:val="en-US" w:eastAsia="zh-CN"/>
              </w:rPr>
              <w:t>t/a，产生速率为</w:t>
            </w:r>
            <w:r>
              <w:rPr>
                <w:rFonts w:hint="eastAsia" w:ascii="Times New Roman" w:hAnsi="Times New Roman" w:cs="Times New Roman"/>
                <w:sz w:val="24"/>
                <w:szCs w:val="24"/>
                <w:highlight w:val="none"/>
                <w:u w:val="none" w:color="auto"/>
                <w:vertAlign w:val="baseline"/>
                <w:lang w:val="en-US" w:eastAsia="zh-CN"/>
              </w:rPr>
              <w:t>23</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kg/h</w:t>
            </w:r>
            <w:r>
              <w:rPr>
                <w:rFonts w:hint="eastAsia" w:ascii="Times New Roman" w:hAnsi="Times New Roman" w:eastAsia="宋体" w:cs="Times New Roman"/>
                <w:sz w:val="24"/>
                <w:szCs w:val="24"/>
                <w:highlight w:val="none"/>
                <w:u w:val="none" w:color="auto"/>
                <w:vertAlign w:val="baseline"/>
                <w:lang w:val="en-US" w:eastAsia="zh-CN"/>
              </w:rPr>
              <w:t>，该粉尘通过在筒仓放空口处安装自动衔接输料口，同时出料车辆接料口也相应配套自动衔接口，待每次放料结束后先关闭筒仓放料口阀门，然后出料车辆才能行驶，如此不仅加强了输接料口的密封性，同时也减少了原料的损耗，从而降低了粉尘的排放量，通过采取上述措施后，其粉尘排放量可减少90%</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排放量为1.656t/a，</w:t>
            </w:r>
            <w:r>
              <w:rPr>
                <w:rFonts w:hint="eastAsia" w:ascii="Times New Roman" w:hAnsi="Times New Roman" w:eastAsia="宋体" w:cs="Times New Roman"/>
                <w:sz w:val="24"/>
                <w:szCs w:val="24"/>
                <w:highlight w:val="none"/>
                <w:u w:val="none" w:color="auto"/>
                <w:vertAlign w:val="baseline"/>
                <w:lang w:val="en-US" w:eastAsia="zh-CN"/>
              </w:rPr>
              <w:t>该粉尘为无组织排放。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eastAsia" w:ascii="宋体" w:hAnsi="宋体" w:eastAsia="宋体" w:cs="宋体"/>
                <w:color w:val="000000" w:themeColor="text1"/>
                <w:sz w:val="24"/>
                <w:highlight w:val="none"/>
                <w:u w:val="none" w:color="auto"/>
                <w14:textFill>
                  <w14:solidFill>
                    <w14:schemeClr w14:val="tx1"/>
                  </w14:solidFill>
                </w14:textFill>
              </w:rPr>
              <w:t>④</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砂石装卸堆放扬尘</w:t>
            </w:r>
          </w:p>
          <w:p>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项目砂石料的卸料、堆放过程有粉尘产生，项目砂石料</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装卸、</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堆放在</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料仓内进行</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料仓为封闭式结构，</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除进料处外，</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料仓顶部及</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其余各方位均</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封</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闭，同时建设单位拟采取</w:t>
            </w:r>
            <w:r>
              <w:rPr>
                <w:rFonts w:hint="default" w:ascii="Times New Roman" w:hAnsi="Times New Roman" w:cs="Times New Roman" w:eastAsiaTheme="minorEastAsia"/>
                <w:bCs/>
                <w:color w:val="000000" w:themeColor="text1"/>
                <w:sz w:val="24"/>
                <w:highlight w:val="none"/>
                <w:u w:val="none" w:color="auto"/>
                <w:lang w:val="en-US" w:eastAsia="zh-CN"/>
                <w14:textFill>
                  <w14:solidFill>
                    <w14:schemeClr w14:val="tx1"/>
                  </w14:solidFill>
                </w14:textFill>
              </w:rPr>
              <w:t>除尘水雾机</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进行降尘处理，尽可能减少作业粉尘的产生及排放。经类比调查，该部分无组织粉尘产生量约为使用量的0.001%，项目砂石使用量为</w:t>
            </w:r>
            <w:r>
              <w:rPr>
                <w:rFonts w:hint="eastAsia" w:ascii="Times New Roman" w:hAnsi="Times New Roman" w:cs="Times New Roman" w:eastAsiaTheme="minorEastAsia"/>
                <w:bCs/>
                <w:color w:val="000000" w:themeColor="text1"/>
                <w:sz w:val="24"/>
                <w:highlight w:val="none"/>
                <w:u w:val="none" w:color="auto"/>
                <w:lang w:val="en-US" w:eastAsia="zh-CN"/>
                <w14:textFill>
                  <w14:solidFill>
                    <w14:schemeClr w14:val="tx1"/>
                  </w14:solidFill>
                </w14:textFill>
              </w:rPr>
              <w:t>100860t</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/a，则产生量为</w:t>
            </w:r>
            <w:r>
              <w:rPr>
                <w:rFonts w:hint="eastAsia" w:cs="Times New Roman" w:eastAsiaTheme="minorEastAsia"/>
                <w:bCs/>
                <w:color w:val="000000" w:themeColor="text1"/>
                <w:sz w:val="24"/>
                <w:highlight w:val="none"/>
                <w:u w:val="none" w:color="auto"/>
                <w:lang w:val="en-US" w:eastAsia="zh-CN"/>
                <w14:textFill>
                  <w14:solidFill>
                    <w14:schemeClr w14:val="tx1"/>
                  </w14:solidFill>
                </w14:textFill>
              </w:rPr>
              <w:t>1.0086</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t/a，</w:t>
            </w:r>
            <w:r>
              <w:rPr>
                <w:rFonts w:hint="eastAsia" w:cs="Times New Roman" w:eastAsiaTheme="minorEastAsia"/>
                <w:bCs/>
                <w:color w:val="000000" w:themeColor="text1"/>
                <w:sz w:val="24"/>
                <w:highlight w:val="none"/>
                <w:u w:val="none" w:color="auto"/>
                <w:lang w:val="en-US" w:eastAsia="zh-CN"/>
                <w14:textFill>
                  <w14:solidFill>
                    <w14:schemeClr w14:val="tx1"/>
                  </w14:solidFill>
                </w14:textFill>
              </w:rPr>
              <w:t>1.4</w:t>
            </w:r>
            <w:r>
              <w:rPr>
                <w:rFonts w:hint="default" w:ascii="Times New Roman" w:hAnsi="Times New Roman" w:cs="Times New Roman" w:eastAsiaTheme="minorEastAsia"/>
                <w:bCs/>
                <w:color w:val="000000" w:themeColor="text1"/>
                <w:sz w:val="24"/>
                <w:highlight w:val="none"/>
                <w:u w:val="none" w:color="auto"/>
                <w:lang w:val="en-US" w:eastAsia="zh-CN"/>
                <w14:textFill>
                  <w14:solidFill>
                    <w14:schemeClr w14:val="tx1"/>
                  </w14:solidFill>
                </w14:textFill>
              </w:rPr>
              <w:t>kg/h，</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采取措施后，降尘效率以</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96</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%计，故预计</w:t>
            </w:r>
            <w:r>
              <w:rPr>
                <w:rFonts w:hint="default" w:ascii="Times New Roman" w:hAnsi="Times New Roman" w:cs="Times New Roman" w:eastAsiaTheme="minorEastAsia"/>
                <w:bCs/>
                <w:color w:val="000000" w:themeColor="text1"/>
                <w:sz w:val="24"/>
                <w:highlight w:val="none"/>
                <w:u w:val="none" w:color="auto"/>
                <w:lang w:val="sq-AL" w:eastAsia="zh-CN"/>
                <w14:textFill>
                  <w14:solidFill>
                    <w14:schemeClr w14:val="tx1"/>
                  </w14:solidFill>
                </w14:textFill>
              </w:rPr>
              <w:t>原料库房</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起尘量为</w:t>
            </w:r>
            <w:r>
              <w:rPr>
                <w:rFonts w:hint="default" w:ascii="Times New Roman" w:hAnsi="Times New Roman" w:cs="Times New Roman" w:eastAsiaTheme="minorEastAsia"/>
                <w:bCs/>
                <w:color w:val="000000" w:themeColor="text1"/>
                <w:sz w:val="24"/>
                <w:highlight w:val="none"/>
                <w:u w:val="none" w:color="auto"/>
                <w:lang w:val="en-US" w:eastAsia="zh-CN"/>
                <w14:textFill>
                  <w14:solidFill>
                    <w14:schemeClr w14:val="tx1"/>
                  </w14:solidFill>
                </w14:textFill>
              </w:rPr>
              <w:t>0.0</w:t>
            </w:r>
            <w:r>
              <w:rPr>
                <w:rFonts w:hint="eastAsia" w:ascii="Times New Roman" w:hAnsi="Times New Roman" w:cs="Times New Roman" w:eastAsiaTheme="minorEastAsia"/>
                <w:bCs/>
                <w:color w:val="000000" w:themeColor="text1"/>
                <w:sz w:val="24"/>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t/a，</w:t>
            </w:r>
            <w:r>
              <w:rPr>
                <w:rFonts w:hint="default" w:ascii="Times New Roman" w:hAnsi="Times New Roman" w:cs="Times New Roman" w:eastAsiaTheme="minorEastAsia"/>
                <w:bCs/>
                <w:color w:val="000000" w:themeColor="text1"/>
                <w:sz w:val="24"/>
                <w:highlight w:val="none"/>
                <w:u w:val="none" w:color="auto"/>
                <w:lang w:val="en-US" w:eastAsia="zh-CN"/>
                <w14:textFill>
                  <w14:solidFill>
                    <w14:schemeClr w14:val="tx1"/>
                  </w14:solidFill>
                </w14:textFill>
              </w:rPr>
              <w:t>0.0</w:t>
            </w:r>
            <w:r>
              <w:rPr>
                <w:rFonts w:hint="eastAsia" w:cs="Times New Roman" w:eastAsiaTheme="minorEastAsia"/>
                <w:bCs/>
                <w:color w:val="000000" w:themeColor="text1"/>
                <w:sz w:val="24"/>
                <w:highlight w:val="none"/>
                <w:u w:val="none" w:color="auto"/>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kg/h</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为无组织排放</w:t>
            </w:r>
            <w:r>
              <w:rPr>
                <w:rFonts w:hint="default" w:ascii="Times New Roman" w:hAnsi="Times New Roman" w:cs="Times New Roman" w:eastAsiaTheme="minorEastAsia"/>
                <w:bCs/>
                <w:color w:val="000000" w:themeColor="text1"/>
                <w:sz w:val="24"/>
                <w:highlight w:val="none"/>
                <w:u w:val="none" w:color="auto"/>
                <w:lang w:val="sq-AL"/>
                <w14:textFill>
                  <w14:solidFill>
                    <w14:schemeClr w14:val="tx1"/>
                  </w14:solidFill>
                </w14:textFill>
              </w:rPr>
              <w:t>。</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eastAsia" w:ascii="宋体" w:hAnsi="宋体" w:eastAsia="宋体" w:cs="宋体"/>
                <w:color w:val="000000" w:themeColor="text1"/>
                <w:sz w:val="24"/>
                <w:highlight w:val="none"/>
                <w:u w:val="none" w:color="auto"/>
                <w14:textFill>
                  <w14:solidFill>
                    <w14:schemeClr w14:val="tx1"/>
                  </w14:solidFill>
                </w14:textFill>
              </w:rPr>
              <w:t>⑤</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车辆道路扬尘</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车辆行驶产生的扬尘，在道路完全干燥的情况下，可按下列经验公式计算：</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1680" w:firstLineChars="7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Q=0.123(V/5)(W/6.8)</w:t>
            </w:r>
            <w:r>
              <w:rPr>
                <w:rFonts w:hint="default" w:ascii="Times New Roman" w:hAnsi="Times New Roman" w:cs="Times New Roman" w:eastAsiaTheme="minorEastAsia"/>
                <w:bCs/>
                <w:color w:val="000000" w:themeColor="text1"/>
                <w:sz w:val="24"/>
                <w:highlight w:val="none"/>
                <w:u w:val="none" w:color="auto"/>
                <w:vertAlign w:val="superscript"/>
                <w:lang w:val="en-US" w:eastAsia="zh-CN"/>
                <w14:textFill>
                  <w14:solidFill>
                    <w14:schemeClr w14:val="tx1"/>
                  </w14:solidFill>
                </w14:textFill>
              </w:rPr>
              <w:t>0.85</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(P/0.5)0.75L</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1680" w:firstLineChars="7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式中：Q—汽车行驶时的扬尘，kg/辆；</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1680" w:firstLineChars="7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V—汽车速度，km/h；</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1680" w:firstLineChars="7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W—汽车载重量，t；</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1680" w:firstLineChars="7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P—道路表面颗粒物量，kg/m</w:t>
            </w:r>
            <w:r>
              <w:rPr>
                <w:rFonts w:hint="default" w:ascii="Times New Roman" w:hAnsi="Times New Roman" w:cs="Times New Roman" w:eastAsiaTheme="minorEastAsia"/>
                <w:bCs/>
                <w:color w:val="000000" w:themeColor="text1"/>
                <w:sz w:val="24"/>
                <w:highlight w:val="none"/>
                <w:u w:val="none" w:color="auto"/>
                <w:vertAlign w:val="superscript"/>
                <w14:textFill>
                  <w14:solidFill>
                    <w14:schemeClr w14:val="tx1"/>
                  </w14:solidFill>
                </w14:textFill>
              </w:rPr>
              <w:t>2</w:t>
            </w: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1680" w:firstLineChars="700"/>
              <w:textAlignment w:val="auto"/>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bCs/>
                <w:color w:val="000000" w:themeColor="text1"/>
                <w:sz w:val="24"/>
                <w:highlight w:val="none"/>
                <w:u w:val="none" w:color="auto"/>
                <w14:textFill>
                  <w14:solidFill>
                    <w14:schemeClr w14:val="tx1"/>
                  </w14:solidFill>
                </w14:textFill>
              </w:rPr>
              <w:t>L—道路长度，km。</w:t>
            </w:r>
          </w:p>
          <w:p>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line="360" w:lineRule="auto"/>
              <w:ind w:left="0" w:right="0" w:firstLine="470" w:firstLineChars="196"/>
              <w:textAlignment w:val="auto"/>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本项目车辆在厂区内行驶距离按50m计，平均每天发车空、重载各10辆次，空车重约5.0t，重车重约25t，以速度10km/h行驶，根据本项目的情况，评价要求项目建设方对厂区内地面进行水泥硬化，并派专人进行路面清扫、洒水，以减少道路扬尘。基于这种情况，本环评对道路路况以0.2kg/m</w:t>
            </w:r>
            <w:r>
              <w:rPr>
                <w:rFonts w:hint="default" w:ascii="Times New Roman" w:hAnsi="Times New Roman" w:cs="Times New Roman" w:eastAsiaTheme="minorEastAsia"/>
                <w:color w:val="000000" w:themeColor="text1"/>
                <w:sz w:val="24"/>
                <w:szCs w:val="24"/>
                <w:highlight w:val="none"/>
                <w:u w:val="none" w:color="auto"/>
                <w:vertAlign w:val="superscript"/>
                <w:lang w:bidi="ar"/>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计，则经计算，项目汽车运输动力起尘量合计0.14kg/d，0.035t/a</w:t>
            </w:r>
            <w:r>
              <w:rPr>
                <w:rFonts w:hint="default" w:ascii="Times New Roman" w:hAnsi="Times New Roman" w:cs="Times New Roman" w:eastAsiaTheme="minorEastAsia"/>
                <w:color w:val="000000" w:themeColor="text1"/>
                <w:sz w:val="24"/>
                <w:szCs w:val="24"/>
                <w:highlight w:val="none"/>
                <w:u w:val="none" w:color="auto"/>
                <w:lang w:eastAsia="zh-CN" w:bidi="ar"/>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0.018</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kg/</w:t>
            </w:r>
            <w:r>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h</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为减少项目建设对当地环境的影响，在运输过程中要限制车速，不允许超载，车辆出厂前进行清洗，砂石运输车辆加盖篷布，并对车辆行驶的厂区内路面及运输路线实施洒水抑尘，每天洒水4~5次。采取上述措施后，车辆运输扬尘可减少80%，故车辆运输产生的粉尘量为0.006t/a，</w:t>
            </w:r>
            <w:r>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0.003kg/h，</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为无组织排放。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bCs/>
                <w:sz w:val="24"/>
                <w:szCs w:val="24"/>
                <w:lang w:val="en-US" w:eastAsia="zh-CN"/>
              </w:rPr>
            </w:pPr>
            <w:r>
              <w:rPr>
                <w:rFonts w:hint="eastAsia" w:ascii="Times New Roman" w:hAnsi="Times New Roman" w:eastAsia="新宋体" w:cs="Times New Roman"/>
                <w:bCs/>
                <w:sz w:val="24"/>
                <w:szCs w:val="24"/>
                <w:lang w:val="en-US" w:eastAsia="zh-CN"/>
              </w:rPr>
              <w:t>⑥</w:t>
            </w:r>
            <w:r>
              <w:rPr>
                <w:rFonts w:hint="default" w:ascii="Times New Roman" w:hAnsi="Times New Roman" w:eastAsia="新宋体" w:cs="Times New Roman"/>
                <w:bCs/>
                <w:sz w:val="24"/>
                <w:szCs w:val="24"/>
                <w:lang w:val="en-US" w:eastAsia="zh-CN"/>
              </w:rPr>
              <w:t>油烟废气</w:t>
            </w:r>
          </w:p>
          <w:p>
            <w:pPr>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本厂区内设食堂，烹调食物过程中有油烟产生，</w:t>
            </w:r>
            <w:r>
              <w:rPr>
                <w:rFonts w:hint="default" w:ascii="Times New Roman" w:hAnsi="Times New Roman" w:eastAsia="新宋体" w:cs="Times New Roman"/>
                <w:bCs/>
                <w:i w:val="0"/>
                <w:iCs w:val="0"/>
                <w:sz w:val="24"/>
                <w:szCs w:val="24"/>
                <w:highlight w:val="none"/>
              </w:rPr>
              <w:t>厨房采用</w:t>
            </w:r>
            <w:r>
              <w:rPr>
                <w:rFonts w:hint="default" w:ascii="Times New Roman" w:hAnsi="Times New Roman" w:eastAsia="新宋体" w:cs="Times New Roman"/>
                <w:i w:val="0"/>
                <w:iCs w:val="0"/>
                <w:sz w:val="24"/>
                <w:szCs w:val="24"/>
                <w:highlight w:val="none"/>
              </w:rPr>
              <w:t>管道</w:t>
            </w:r>
            <w:r>
              <w:rPr>
                <w:rFonts w:hint="default" w:ascii="Times New Roman" w:hAnsi="Times New Roman" w:eastAsia="新宋体" w:cs="Times New Roman"/>
                <w:i w:val="0"/>
                <w:iCs w:val="0"/>
                <w:sz w:val="24"/>
                <w:szCs w:val="24"/>
                <w:highlight w:val="none"/>
                <w:lang w:val="en-US" w:eastAsia="zh-CN"/>
              </w:rPr>
              <w:t>天然气</w:t>
            </w:r>
            <w:r>
              <w:rPr>
                <w:rFonts w:hint="default" w:ascii="Times New Roman" w:hAnsi="Times New Roman" w:eastAsia="新宋体" w:cs="Times New Roman"/>
                <w:i w:val="0"/>
                <w:iCs w:val="0"/>
                <w:sz w:val="24"/>
                <w:szCs w:val="24"/>
                <w:highlight w:val="none"/>
              </w:rPr>
              <w:t>做为燃料，</w:t>
            </w:r>
            <w:r>
              <w:rPr>
                <w:rFonts w:hint="default" w:ascii="Times New Roman" w:hAnsi="Times New Roman" w:eastAsia="新宋体" w:cs="Times New Roman"/>
                <w:bCs/>
                <w:i w:val="0"/>
                <w:iCs w:val="0"/>
                <w:sz w:val="24"/>
                <w:szCs w:val="24"/>
                <w:highlight w:val="none"/>
              </w:rPr>
              <w:t>厨房设有</w:t>
            </w:r>
            <w:r>
              <w:rPr>
                <w:rFonts w:hint="default" w:ascii="Times New Roman" w:hAnsi="Times New Roman" w:eastAsia="新宋体" w:cs="Times New Roman"/>
                <w:i w:val="0"/>
                <w:iCs w:val="0"/>
                <w:kern w:val="0"/>
                <w:sz w:val="24"/>
                <w:szCs w:val="24"/>
                <w:highlight w:val="none"/>
              </w:rPr>
              <w:t>单眼炒炉、双眼双撑炒菜炉1-2座，</w:t>
            </w:r>
            <w:r>
              <w:rPr>
                <w:rFonts w:hint="default" w:ascii="Times New Roman" w:hAnsi="Times New Roman" w:eastAsia="新宋体" w:cs="Times New Roman"/>
                <w:i w:val="0"/>
                <w:iCs w:val="0"/>
                <w:sz w:val="24"/>
                <w:szCs w:val="24"/>
                <w:highlight w:val="none"/>
              </w:rPr>
              <w:t>其余为加热量较小的蒸柜、煲仔炉。以下按就餐人数</w:t>
            </w:r>
            <w:r>
              <w:rPr>
                <w:rFonts w:hint="eastAsia" w:ascii="Times New Roman" w:hAnsi="Times New Roman" w:eastAsia="新宋体" w:cs="Times New Roman"/>
                <w:i w:val="0"/>
                <w:iCs w:val="0"/>
                <w:sz w:val="24"/>
                <w:szCs w:val="24"/>
                <w:highlight w:val="none"/>
                <w:lang w:val="en-US" w:eastAsia="zh-CN"/>
              </w:rPr>
              <w:t>30</w:t>
            </w:r>
            <w:r>
              <w:rPr>
                <w:rFonts w:hint="default" w:ascii="Times New Roman" w:hAnsi="Times New Roman" w:eastAsia="新宋体" w:cs="Times New Roman"/>
                <w:i w:val="0"/>
                <w:iCs w:val="0"/>
                <w:sz w:val="24"/>
                <w:szCs w:val="24"/>
                <w:highlight w:val="none"/>
              </w:rPr>
              <w:t>人分析，</w:t>
            </w:r>
            <w:r>
              <w:rPr>
                <w:rFonts w:hint="default" w:ascii="Times New Roman" w:hAnsi="Times New Roman" w:eastAsia="新宋体" w:cs="Times New Roman"/>
                <w:sz w:val="24"/>
                <w:szCs w:val="24"/>
                <w:highlight w:val="none"/>
              </w:rPr>
              <w:t>项</w:t>
            </w:r>
            <w:r>
              <w:rPr>
                <w:rFonts w:hint="eastAsia" w:ascii="Times New Roman" w:hAnsi="Times New Roman" w:eastAsia="新宋体" w:cs="Times New Roman"/>
                <w:sz w:val="24"/>
                <w:szCs w:val="24"/>
                <w:highlight w:val="none"/>
                <w:lang w:val="en-US" w:eastAsia="zh-CN"/>
              </w:rPr>
              <w:t>目</w:t>
            </w:r>
            <w:r>
              <w:rPr>
                <w:rFonts w:hint="default" w:ascii="Times New Roman" w:hAnsi="Times New Roman" w:eastAsia="新宋体" w:cs="Times New Roman"/>
                <w:sz w:val="24"/>
                <w:szCs w:val="24"/>
                <w:highlight w:val="none"/>
              </w:rPr>
              <w:t>每人每日消耗食油约为30g/d·人，则项目烹饪过程食油消耗量为</w:t>
            </w:r>
            <w:r>
              <w:rPr>
                <w:rFonts w:hint="eastAsia" w:ascii="Times New Roman" w:hAnsi="Times New Roman" w:eastAsia="新宋体" w:cs="Times New Roman"/>
                <w:sz w:val="24"/>
                <w:szCs w:val="24"/>
                <w:highlight w:val="none"/>
                <w:lang w:val="en-US" w:eastAsia="zh-CN"/>
              </w:rPr>
              <w:t>81</w:t>
            </w:r>
            <w:r>
              <w:rPr>
                <w:rFonts w:hint="default" w:ascii="Times New Roman" w:hAnsi="Times New Roman" w:eastAsia="新宋体" w:cs="Times New Roman"/>
                <w:sz w:val="24"/>
                <w:szCs w:val="24"/>
                <w:highlight w:val="none"/>
              </w:rPr>
              <w:t>kg/a。厨房所排油烟废气中油烟含量相对较低，一般占耗油量的1.2%，则项目产生的油烟量约为</w:t>
            </w:r>
            <w:r>
              <w:rPr>
                <w:rFonts w:hint="eastAsia" w:ascii="Times New Roman" w:hAnsi="Times New Roman" w:eastAsia="新宋体" w:cs="Times New Roman"/>
                <w:sz w:val="24"/>
                <w:szCs w:val="24"/>
                <w:highlight w:val="none"/>
                <w:lang w:val="en-US" w:eastAsia="zh-CN"/>
              </w:rPr>
              <w:t>0.972</w:t>
            </w:r>
            <w:r>
              <w:rPr>
                <w:rFonts w:hint="default" w:ascii="Times New Roman" w:hAnsi="Times New Roman" w:eastAsia="新宋体" w:cs="Times New Roman"/>
                <w:sz w:val="24"/>
                <w:szCs w:val="24"/>
                <w:highlight w:val="none"/>
              </w:rPr>
              <w:t>kg/a</w:t>
            </w:r>
            <w:r>
              <w:rPr>
                <w:rFonts w:hint="eastAsia" w:ascii="Times New Roman" w:hAnsi="Times New Roman" w:eastAsia="宋体" w:cs="Times New Roman"/>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新宋体" w:cs="Times New Roman"/>
                <w:bCs/>
                <w:sz w:val="24"/>
                <w:szCs w:val="24"/>
              </w:rPr>
            </w:pPr>
            <w:r>
              <w:rPr>
                <w:rFonts w:hint="default" w:ascii="Times New Roman" w:hAnsi="Times New Roman" w:eastAsia="宋体" w:cs="Times New Roman"/>
                <w:kern w:val="2"/>
                <w:sz w:val="24"/>
                <w:szCs w:val="24"/>
                <w:highlight w:val="none"/>
                <w:lang w:val="en-US" w:eastAsia="zh-CN" w:bidi="ar-SA"/>
              </w:rPr>
              <w:t>本次环评建议安装高效油烟净化机，风量为2000m</w:t>
            </w:r>
            <w:r>
              <w:rPr>
                <w:rFonts w:hint="default" w:ascii="Times New Roman" w:hAnsi="Times New Roman" w:eastAsia="宋体" w:cs="Times New Roman"/>
                <w:kern w:val="2"/>
                <w:sz w:val="24"/>
                <w:szCs w:val="24"/>
                <w:highlight w:val="none"/>
                <w:vertAlign w:val="superscript"/>
                <w:lang w:val="en-US" w:eastAsia="zh-CN" w:bidi="ar-SA"/>
              </w:rPr>
              <w:t>3</w:t>
            </w:r>
            <w:r>
              <w:rPr>
                <w:rFonts w:hint="default" w:ascii="Times New Roman" w:hAnsi="Times New Roman" w:eastAsia="宋体" w:cs="Times New Roman"/>
                <w:kern w:val="2"/>
                <w:sz w:val="24"/>
                <w:szCs w:val="24"/>
                <w:highlight w:val="none"/>
                <w:lang w:val="en-US" w:eastAsia="zh-CN" w:bidi="ar-SA"/>
              </w:rPr>
              <w:t>/h，油烟净化装置去除率达70%</w:t>
            </w:r>
            <w:r>
              <w:rPr>
                <w:rFonts w:hint="eastAsia" w:ascii="Times New Roman" w:hAnsi="Times New Roman"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油烟通过排气管引至食堂屋顶排放，根据类比分析，厨房工作时间按4小时</w:t>
            </w:r>
            <w:r>
              <w:rPr>
                <w:rFonts w:hint="eastAsia" w:ascii="Times New Roman" w:hAnsi="Times New Roman" w:cs="Times New Roman"/>
                <w:kern w:val="2"/>
                <w:sz w:val="24"/>
                <w:szCs w:val="24"/>
                <w:highlight w:val="none"/>
                <w:lang w:val="en-US" w:eastAsia="zh-CN" w:bidi="ar-SA"/>
              </w:rPr>
              <w:t>9</w:t>
            </w:r>
            <w:r>
              <w:rPr>
                <w:rFonts w:hint="default" w:ascii="Times New Roman" w:hAnsi="Times New Roman" w:eastAsia="宋体" w:cs="Times New Roman"/>
                <w:kern w:val="2"/>
                <w:sz w:val="24"/>
                <w:szCs w:val="24"/>
                <w:highlight w:val="none"/>
                <w:lang w:val="en-US" w:eastAsia="zh-CN" w:bidi="ar-SA"/>
              </w:rPr>
              <w:t>0天计算，该项目产生的油烟浓度为</w:t>
            </w:r>
            <w:r>
              <w:rPr>
                <w:rFonts w:hint="eastAsia" w:ascii="Times New Roman" w:hAnsi="Times New Roman" w:cs="Times New Roman"/>
                <w:kern w:val="2"/>
                <w:sz w:val="24"/>
                <w:szCs w:val="24"/>
                <w:highlight w:val="none"/>
                <w:lang w:val="en-US" w:eastAsia="zh-CN" w:bidi="ar-SA"/>
              </w:rPr>
              <w:t>1.35</w:t>
            </w:r>
            <w:r>
              <w:rPr>
                <w:rFonts w:hint="default" w:ascii="Times New Roman" w:hAnsi="Times New Roman" w:eastAsia="宋体" w:cs="Times New Roman"/>
                <w:kern w:val="2"/>
                <w:sz w:val="24"/>
                <w:szCs w:val="24"/>
                <w:highlight w:val="none"/>
                <w:lang w:val="en-US" w:eastAsia="zh-CN" w:bidi="ar-SA"/>
              </w:rPr>
              <w:t>mg/m</w:t>
            </w:r>
            <w:r>
              <w:rPr>
                <w:rFonts w:hint="default" w:ascii="Times New Roman" w:hAnsi="Times New Roman" w:eastAsia="宋体" w:cs="Times New Roman"/>
                <w:kern w:val="2"/>
                <w:sz w:val="24"/>
                <w:szCs w:val="24"/>
                <w:highlight w:val="none"/>
                <w:vertAlign w:val="superscript"/>
                <w:lang w:val="en-US" w:eastAsia="zh-CN" w:bidi="ar-SA"/>
              </w:rPr>
              <w:t>3</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经处理后废气</w:t>
            </w:r>
            <w:r>
              <w:rPr>
                <w:rFonts w:hint="eastAsia" w:ascii="Times New Roman" w:hAnsi="Times New Roman" w:cs="Times New Roman"/>
                <w:kern w:val="2"/>
                <w:sz w:val="24"/>
                <w:szCs w:val="24"/>
                <w:highlight w:val="none"/>
                <w:lang w:val="en-US" w:eastAsia="zh-CN" w:bidi="ar-SA"/>
              </w:rPr>
              <w:t>产生量为0.29kg/a，</w:t>
            </w:r>
            <w:r>
              <w:rPr>
                <w:rFonts w:hint="default" w:ascii="Times New Roman" w:hAnsi="Times New Roman" w:eastAsia="宋体" w:cs="Times New Roman"/>
                <w:kern w:val="2"/>
                <w:sz w:val="24"/>
                <w:szCs w:val="24"/>
                <w:highlight w:val="none"/>
                <w:lang w:val="en-US" w:eastAsia="zh-CN" w:bidi="ar-SA"/>
              </w:rPr>
              <w:t>排放速率和浓度分别为0.00</w:t>
            </w:r>
            <w:r>
              <w:rPr>
                <w:rFonts w:hint="eastAsia" w:ascii="Times New Roman" w:hAnsi="Times New Roman" w:cs="Times New Roman"/>
                <w:kern w:val="2"/>
                <w:sz w:val="24"/>
                <w:szCs w:val="24"/>
                <w:highlight w:val="none"/>
                <w:lang w:val="en-US" w:eastAsia="zh-CN" w:bidi="ar-SA"/>
              </w:rPr>
              <w:t>08</w:t>
            </w:r>
            <w:r>
              <w:rPr>
                <w:rFonts w:hint="default" w:ascii="Times New Roman" w:hAnsi="Times New Roman" w:eastAsia="宋体" w:cs="Times New Roman"/>
                <w:kern w:val="2"/>
                <w:sz w:val="24"/>
                <w:szCs w:val="24"/>
                <w:highlight w:val="none"/>
                <w:lang w:val="en-US" w:eastAsia="zh-CN" w:bidi="ar-SA"/>
              </w:rPr>
              <w:t>kg/h、</w:t>
            </w:r>
            <w:r>
              <w:rPr>
                <w:rFonts w:hint="eastAsia" w:ascii="Times New Roman" w:hAnsi="Times New Roman" w:cs="Times New Roman"/>
                <w:kern w:val="2"/>
                <w:sz w:val="24"/>
                <w:szCs w:val="24"/>
                <w:highlight w:val="none"/>
                <w:lang w:val="en-US" w:eastAsia="zh-CN" w:bidi="ar-SA"/>
              </w:rPr>
              <w:t>0.4</w:t>
            </w:r>
            <w:r>
              <w:rPr>
                <w:rFonts w:hint="default" w:ascii="Times New Roman" w:hAnsi="Times New Roman" w:eastAsia="宋体" w:cs="Times New Roman"/>
                <w:kern w:val="2"/>
                <w:sz w:val="24"/>
                <w:szCs w:val="24"/>
                <w:highlight w:val="none"/>
                <w:lang w:val="en-US" w:eastAsia="zh-CN" w:bidi="ar-SA"/>
              </w:rPr>
              <w:t>mg/m</w:t>
            </w:r>
            <w:r>
              <w:rPr>
                <w:rFonts w:hint="default" w:ascii="Times New Roman" w:hAnsi="Times New Roman" w:eastAsia="宋体" w:cs="Times New Roman"/>
                <w:kern w:val="2"/>
                <w:sz w:val="24"/>
                <w:szCs w:val="24"/>
                <w:highlight w:val="none"/>
                <w:vertAlign w:val="superscript"/>
                <w:lang w:val="en-US" w:eastAsia="zh-CN" w:bidi="ar-SA"/>
              </w:rPr>
              <w:t>3</w:t>
            </w:r>
            <w:r>
              <w:rPr>
                <w:rFonts w:hint="default" w:ascii="Times New Roman" w:hAnsi="Times New Roman" w:eastAsia="宋体" w:cs="Times New Roman"/>
                <w:kern w:val="2"/>
                <w:sz w:val="24"/>
                <w:szCs w:val="24"/>
                <w:highlight w:val="none"/>
                <w:lang w:val="en-US" w:eastAsia="zh-CN" w:bidi="ar-SA"/>
              </w:rPr>
              <w:t>，可达到《饮食业油烟排放标准》(GB18483-2001)排放标准限值即油烟浓度</w:t>
            </w:r>
            <w:r>
              <w:rPr>
                <w:rFonts w:hint="default" w:ascii="Times New Roman" w:hAnsi="Times New Roman" w:eastAsia="微软雅黑"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2.0mg/m</w:t>
            </w:r>
            <w:r>
              <w:rPr>
                <w:rFonts w:hint="default" w:ascii="Times New Roman" w:hAnsi="Times New Roman" w:eastAsia="宋体" w:cs="Times New Roman"/>
                <w:kern w:val="2"/>
                <w:sz w:val="24"/>
                <w:szCs w:val="24"/>
                <w:highlight w:val="none"/>
                <w:vertAlign w:val="superscript"/>
                <w:lang w:val="en-US" w:eastAsia="zh-CN" w:bidi="ar-SA"/>
              </w:rPr>
              <w:t>3</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对环境的影响较小。</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1"/>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t>（</w:t>
            </w:r>
            <w:r>
              <w:rPr>
                <w:rFonts w:hint="eastAsia" w:cs="Times New Roman" w:eastAsiaTheme="minorEastAsia"/>
                <w:b w:val="0"/>
                <w:bCs w:val="0"/>
                <w:color w:val="000000" w:themeColor="text1"/>
                <w:sz w:val="24"/>
                <w:szCs w:val="24"/>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环境监测计划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000000"/>
                <w:sz w:val="24"/>
                <w:szCs w:val="24"/>
                <w:highlight w:val="none"/>
                <w:u w:val="none" w:color="auto"/>
                <w:lang w:val="en-US" w:eastAsia="zh-CN"/>
              </w:rPr>
            </w:pP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为及时了解污染源情况，项目要经常开展污染源和环境质量的监测工作，及时发现环境污染问题，并加以控制和解决。可委托有资质的环境监测单位进行</w:t>
            </w:r>
            <w:r>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据《</w:t>
            </w:r>
            <w:r>
              <w:rPr>
                <w:rFonts w:hint="eastAsia" w:ascii="Times New Roman" w:hAnsi="Times New Roman" w:cs="Times New Roman" w:eastAsiaTheme="minorEastAsia"/>
                <w:color w:val="000000" w:themeColor="text1"/>
                <w:sz w:val="24"/>
                <w:szCs w:val="22"/>
                <w:highlight w:val="none"/>
                <w:u w:val="none" w:color="auto"/>
                <w14:textFill>
                  <w14:solidFill>
                    <w14:schemeClr w14:val="tx1"/>
                  </w14:solidFill>
                </w14:textFill>
              </w:rPr>
              <w:t>固定污染源排污许可</w:t>
            </w: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分类管理名录（2019年版）</w:t>
            </w:r>
            <w:r>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》，本项目属于二十五、非金属矿物制品业-63</w:t>
            </w:r>
            <w:r>
              <w:rPr>
                <w:rFonts w:hint="default" w:ascii="Times New Roman" w:hAnsi="Times New Roman" w:eastAsia="宋体" w:cs="Times New Roman"/>
                <w:sz w:val="24"/>
                <w:szCs w:val="24"/>
                <w:highlight w:val="none"/>
                <w:u w:val="none" w:color="auto"/>
              </w:rPr>
              <w:t>水泥制品制造3021</w:t>
            </w:r>
            <w:r>
              <w:rPr>
                <w:rFonts w:hint="default" w:ascii="Times New Roman" w:hAnsi="Times New Roman" w:eastAsia="宋体" w:cs="Times New Roman"/>
                <w:sz w:val="24"/>
                <w:szCs w:val="24"/>
                <w:highlight w:val="none"/>
                <w:u w:val="none" w:color="auto"/>
                <w:lang w:eastAsia="zh-CN"/>
              </w:rPr>
              <w:t>，</w:t>
            </w:r>
            <w:r>
              <w:rPr>
                <w:rFonts w:hint="eastAsia" w:ascii="Times New Roman" w:hAnsi="Times New Roman" w:eastAsia="宋体" w:cs="Times New Roman"/>
                <w:sz w:val="24"/>
                <w:szCs w:val="24"/>
                <w:highlight w:val="none"/>
                <w:u w:val="none" w:color="auto"/>
                <w:lang w:val="en-US" w:eastAsia="zh-CN"/>
              </w:rPr>
              <w:t>属于登记管理类别。</w:t>
            </w:r>
            <w:r>
              <w:rPr>
                <w:rFonts w:hint="eastAsia" w:ascii="Times New Roman" w:hAnsi="Times New Roman" w:cs="Times New Roman"/>
                <w:sz w:val="24"/>
                <w:szCs w:val="24"/>
                <w:highlight w:val="none"/>
                <w:u w:val="none" w:color="auto"/>
                <w:lang w:val="en-US" w:eastAsia="zh-CN"/>
              </w:rPr>
              <w:t>因此</w:t>
            </w:r>
            <w:r>
              <w:rPr>
                <w:rFonts w:hint="eastAsia" w:ascii="Times New Roman" w:hAnsi="Times New Roman" w:eastAsia="宋体" w:cs="Times New Roman"/>
                <w:sz w:val="24"/>
                <w:szCs w:val="24"/>
                <w:highlight w:val="none"/>
                <w:u w:val="none" w:color="auto"/>
                <w:lang w:val="en-US" w:eastAsia="zh-CN"/>
              </w:rPr>
              <w:t>参照《</w:t>
            </w:r>
            <w:r>
              <w:rPr>
                <w:rFonts w:ascii="宋体" w:hAnsi="宋体" w:eastAsia="宋体" w:cs="宋体"/>
                <w:sz w:val="24"/>
                <w:szCs w:val="24"/>
                <w:highlight w:val="none"/>
                <w:u w:val="none" w:color="auto"/>
              </w:rPr>
              <w:t>排污单位自行监测技术指</w:t>
            </w:r>
            <w:r>
              <w:rPr>
                <w:rFonts w:hint="default" w:ascii="Times New Roman" w:hAnsi="Times New Roman" w:eastAsia="宋体" w:cs="Times New Roman"/>
                <w:sz w:val="24"/>
                <w:szCs w:val="24"/>
                <w:highlight w:val="none"/>
                <w:u w:val="none" w:color="auto"/>
              </w:rPr>
              <w:t>南总则</w:t>
            </w:r>
            <w:r>
              <w:rPr>
                <w:rFonts w:hint="default" w:ascii="Times New Roman" w:hAnsi="Times New Roman" w:eastAsia="宋体" w:cs="Times New Roman"/>
                <w:sz w:val="24"/>
                <w:szCs w:val="24"/>
                <w:highlight w:val="none"/>
                <w:u w:val="none" w:color="auto"/>
                <w:lang w:val="en-US" w:eastAsia="zh-CN"/>
              </w:rPr>
              <w:t>》（</w:t>
            </w:r>
            <w:r>
              <w:rPr>
                <w:rFonts w:hint="default" w:ascii="Times New Roman" w:hAnsi="Times New Roman" w:eastAsia="宋体" w:cs="Times New Roman"/>
                <w:sz w:val="24"/>
                <w:szCs w:val="24"/>
                <w:highlight w:val="none"/>
                <w:u w:val="none" w:color="auto"/>
              </w:rPr>
              <w:t>HJ819-2017</w:t>
            </w:r>
            <w:r>
              <w:rPr>
                <w:rFonts w:hint="default" w:ascii="Times New Roman" w:hAnsi="Times New Roman" w:eastAsia="宋体" w:cs="Times New Roman"/>
                <w:sz w:val="24"/>
                <w:szCs w:val="24"/>
                <w:highlight w:val="none"/>
                <w:u w:val="none" w:color="auto"/>
                <w:lang w:val="en-US" w:eastAsia="zh-CN"/>
              </w:rPr>
              <w:t>）</w:t>
            </w:r>
            <w:r>
              <w:rPr>
                <w:rFonts w:hint="eastAsia" w:ascii="Times New Roman" w:hAnsi="Times New Roman" w:eastAsia="宋体" w:cs="Times New Roman"/>
                <w:sz w:val="24"/>
                <w:szCs w:val="24"/>
                <w:highlight w:val="none"/>
                <w:u w:val="none" w:color="auto"/>
                <w:lang w:val="en-US" w:eastAsia="zh-CN"/>
              </w:rPr>
              <w:t>，</w:t>
            </w: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根据本项目污染物排放实际情况，项目</w:t>
            </w:r>
            <w:r>
              <w:rPr>
                <w:rFonts w:hint="eastAsia"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大气</w:t>
            </w: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常规监测工作计划见表</w:t>
            </w:r>
            <w:r>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w:t>
            </w:r>
          </w:p>
          <w:p>
            <w:pPr>
              <w:spacing w:line="240" w:lineRule="auto"/>
              <w:ind w:left="0" w:leftChars="0" w:firstLine="0" w:firstLineChars="0"/>
              <w:jc w:val="cente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4-</w:t>
            </w:r>
            <w:r>
              <w:rPr>
                <w:rFonts w:hint="eastAsia"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 xml:space="preserve"> </w:t>
            </w:r>
            <w:r>
              <w:rPr>
                <w:rFonts w:hint="default"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项目建成后</w:t>
            </w:r>
            <w:r>
              <w:rPr>
                <w:rFonts w:hint="eastAsia"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大气</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污染源监测计划</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74"/>
              <w:gridCol w:w="1638"/>
              <w:gridCol w:w="702"/>
              <w:gridCol w:w="1198"/>
              <w:gridCol w:w="1114"/>
              <w:gridCol w:w="313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287" w:type="pct"/>
                  <w:tcBorders>
                    <w:top w:val="single" w:color="auto" w:sz="4" w:space="0"/>
                    <w:left w:val="single" w:color="auto" w:sz="4" w:space="0"/>
                    <w:bottom w:val="single" w:color="auto" w:sz="6" w:space="0"/>
                    <w:right w:val="single" w:color="auto" w:sz="6" w:space="0"/>
                  </w:tcBorders>
                  <w:noWrap w:val="0"/>
                  <w:vAlign w:val="center"/>
                </w:tcPr>
                <w:p>
                  <w:pPr>
                    <w:pStyle w:val="57"/>
                    <w:bidi w:val="0"/>
                    <w:rPr>
                      <w:rFonts w:hint="default"/>
                    </w:rPr>
                  </w:pPr>
                  <w:r>
                    <w:rPr>
                      <w:rFonts w:hint="default"/>
                    </w:rPr>
                    <w:t>类型</w:t>
                  </w:r>
                </w:p>
              </w:tc>
              <w:tc>
                <w:tcPr>
                  <w:tcW w:w="991" w:type="pct"/>
                  <w:tcBorders>
                    <w:top w:val="single" w:color="auto" w:sz="4" w:space="0"/>
                    <w:left w:val="single" w:color="auto" w:sz="6" w:space="0"/>
                    <w:bottom w:val="single" w:color="auto" w:sz="6" w:space="0"/>
                    <w:right w:val="single" w:color="auto" w:sz="6" w:space="0"/>
                  </w:tcBorders>
                  <w:noWrap w:val="0"/>
                  <w:vAlign w:val="center"/>
                </w:tcPr>
                <w:p>
                  <w:pPr>
                    <w:pStyle w:val="57"/>
                    <w:bidi w:val="0"/>
                    <w:rPr>
                      <w:rFonts w:hint="default"/>
                    </w:rPr>
                  </w:pPr>
                  <w:r>
                    <w:rPr>
                      <w:rFonts w:hint="default"/>
                    </w:rPr>
                    <w:t>监测点位</w:t>
                  </w:r>
                </w:p>
              </w:tc>
              <w:tc>
                <w:tcPr>
                  <w:tcW w:w="425" w:type="pct"/>
                  <w:tcBorders>
                    <w:top w:val="single" w:color="auto" w:sz="4" w:space="0"/>
                    <w:left w:val="single" w:color="auto" w:sz="6" w:space="0"/>
                    <w:bottom w:val="single" w:color="auto" w:sz="6" w:space="0"/>
                    <w:right w:val="single" w:color="auto" w:sz="6" w:space="0"/>
                  </w:tcBorders>
                  <w:noWrap w:val="0"/>
                  <w:vAlign w:val="center"/>
                </w:tcPr>
                <w:p>
                  <w:pPr>
                    <w:pStyle w:val="57"/>
                    <w:bidi w:val="0"/>
                    <w:rPr>
                      <w:rFonts w:hint="default"/>
                    </w:rPr>
                  </w:pPr>
                  <w:r>
                    <w:rPr>
                      <w:rFonts w:hint="default"/>
                    </w:rPr>
                    <w:t>点数</w:t>
                  </w:r>
                </w:p>
              </w:tc>
              <w:tc>
                <w:tcPr>
                  <w:tcW w:w="725" w:type="pct"/>
                  <w:tcBorders>
                    <w:top w:val="single" w:color="auto" w:sz="4" w:space="0"/>
                    <w:left w:val="single" w:color="auto" w:sz="6" w:space="0"/>
                    <w:bottom w:val="single" w:color="auto" w:sz="6" w:space="0"/>
                    <w:right w:val="single" w:color="auto" w:sz="6" w:space="0"/>
                  </w:tcBorders>
                  <w:noWrap w:val="0"/>
                  <w:vAlign w:val="center"/>
                </w:tcPr>
                <w:p>
                  <w:pPr>
                    <w:pStyle w:val="57"/>
                    <w:bidi w:val="0"/>
                    <w:rPr>
                      <w:rFonts w:hint="default"/>
                    </w:rPr>
                  </w:pPr>
                  <w:r>
                    <w:rPr>
                      <w:rFonts w:hint="default"/>
                    </w:rPr>
                    <w:t>监测项目</w:t>
                  </w:r>
                </w:p>
              </w:tc>
              <w:tc>
                <w:tcPr>
                  <w:tcW w:w="674" w:type="pct"/>
                  <w:tcBorders>
                    <w:top w:val="single" w:color="auto" w:sz="4" w:space="0"/>
                    <w:left w:val="single" w:color="auto" w:sz="6" w:space="0"/>
                    <w:bottom w:val="single" w:color="auto" w:sz="6" w:space="0"/>
                    <w:right w:val="single" w:color="auto" w:sz="4" w:space="0"/>
                  </w:tcBorders>
                  <w:noWrap w:val="0"/>
                  <w:vAlign w:val="center"/>
                </w:tcPr>
                <w:p>
                  <w:pPr>
                    <w:pStyle w:val="57"/>
                    <w:bidi w:val="0"/>
                    <w:rPr>
                      <w:rFonts w:hint="default"/>
                    </w:rPr>
                  </w:pPr>
                  <w:r>
                    <w:rPr>
                      <w:rFonts w:hint="default"/>
                    </w:rPr>
                    <w:t>监测频率</w:t>
                  </w:r>
                </w:p>
              </w:tc>
              <w:tc>
                <w:tcPr>
                  <w:tcW w:w="1895" w:type="pct"/>
                  <w:tcBorders>
                    <w:top w:val="single" w:color="auto" w:sz="4" w:space="0"/>
                    <w:left w:val="single" w:color="auto" w:sz="6" w:space="0"/>
                    <w:bottom w:val="single" w:color="auto" w:sz="6" w:space="0"/>
                    <w:right w:val="single" w:color="auto" w:sz="4" w:space="0"/>
                  </w:tcBorders>
                  <w:noWrap w:val="0"/>
                  <w:vAlign w:val="center"/>
                </w:tcPr>
                <w:p>
                  <w:pPr>
                    <w:pStyle w:val="57"/>
                    <w:bidi w:val="0"/>
                    <w:jc w:val="center"/>
                    <w:rPr>
                      <w:rFonts w:hint="default"/>
                    </w:rPr>
                  </w:pPr>
                  <w:r>
                    <w:rPr>
                      <w:rFonts w:hint="default"/>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287" w:type="pct"/>
                  <w:tcBorders>
                    <w:top w:val="single" w:color="auto" w:sz="6" w:space="0"/>
                    <w:left w:val="single" w:color="auto" w:sz="4" w:space="0"/>
                    <w:bottom w:val="single" w:color="auto" w:sz="6" w:space="0"/>
                    <w:right w:val="single" w:color="auto" w:sz="6" w:space="0"/>
                  </w:tcBorders>
                  <w:noWrap w:val="0"/>
                  <w:vAlign w:val="center"/>
                </w:tcPr>
                <w:p>
                  <w:pPr>
                    <w:pStyle w:val="57"/>
                    <w:bidi w:val="0"/>
                    <w:rPr>
                      <w:rFonts w:hint="eastAsia"/>
                      <w:lang w:val="en-US" w:eastAsia="zh-CN"/>
                    </w:rPr>
                  </w:pPr>
                  <w:r>
                    <w:rPr>
                      <w:rFonts w:hint="eastAsia"/>
                      <w:lang w:val="en-US" w:eastAsia="zh-CN"/>
                    </w:rPr>
                    <w:t>废气</w:t>
                  </w:r>
                </w:p>
              </w:tc>
              <w:tc>
                <w:tcPr>
                  <w:tcW w:w="991"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lang w:val="en-US" w:eastAsia="zh-CN"/>
                    </w:rPr>
                  </w:pPr>
                  <w:r>
                    <w:rPr>
                      <w:rFonts w:hint="default"/>
                      <w:lang w:val="en-US" w:eastAsia="zh-CN"/>
                    </w:rPr>
                    <w:t>上风向、下风向厂界</w:t>
                  </w:r>
                </w:p>
              </w:tc>
              <w:tc>
                <w:tcPr>
                  <w:tcW w:w="425"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lang w:val="en-US" w:eastAsia="zh-CN"/>
                    </w:rPr>
                  </w:pPr>
                  <w:r>
                    <w:rPr>
                      <w:rFonts w:hint="default"/>
                      <w:lang w:val="en-US" w:eastAsia="zh-CN"/>
                    </w:rPr>
                    <w:t>2个</w:t>
                  </w:r>
                </w:p>
              </w:tc>
              <w:tc>
                <w:tcPr>
                  <w:tcW w:w="725" w:type="pct"/>
                  <w:tcBorders>
                    <w:top w:val="single" w:color="auto" w:sz="6" w:space="0"/>
                    <w:left w:val="single" w:color="auto" w:sz="6" w:space="0"/>
                    <w:bottom w:val="single" w:color="auto" w:sz="6" w:space="0"/>
                    <w:right w:val="single" w:color="auto" w:sz="6" w:space="0"/>
                  </w:tcBorders>
                  <w:noWrap w:val="0"/>
                  <w:vAlign w:val="center"/>
                </w:tcPr>
                <w:p>
                  <w:pPr>
                    <w:pStyle w:val="57"/>
                    <w:bidi w:val="0"/>
                    <w:rPr>
                      <w:rFonts w:hint="default"/>
                      <w:lang w:val="en-US" w:eastAsia="zh-CN"/>
                    </w:rPr>
                  </w:pPr>
                  <w:r>
                    <w:rPr>
                      <w:rFonts w:hint="default"/>
                      <w:lang w:val="en-US" w:eastAsia="zh-CN"/>
                    </w:rPr>
                    <w:t>TSP</w:t>
                  </w:r>
                </w:p>
              </w:tc>
              <w:tc>
                <w:tcPr>
                  <w:tcW w:w="674" w:type="pct"/>
                  <w:tcBorders>
                    <w:top w:val="single" w:color="auto" w:sz="6" w:space="0"/>
                    <w:left w:val="single" w:color="auto" w:sz="6" w:space="0"/>
                    <w:bottom w:val="single" w:color="auto" w:sz="6" w:space="0"/>
                    <w:right w:val="single" w:color="auto" w:sz="4" w:space="0"/>
                  </w:tcBorders>
                  <w:noWrap w:val="0"/>
                  <w:vAlign w:val="center"/>
                </w:tcPr>
                <w:p>
                  <w:pPr>
                    <w:pStyle w:val="57"/>
                    <w:bidi w:val="0"/>
                    <w:rPr>
                      <w:rFonts w:hint="default"/>
                      <w:lang w:val="en-US" w:eastAsia="zh-CN"/>
                    </w:rPr>
                  </w:pPr>
                  <w:r>
                    <w:rPr>
                      <w:rFonts w:hint="default"/>
                      <w:lang w:val="en-US" w:eastAsia="zh-CN"/>
                    </w:rPr>
                    <w:t>每年一次</w:t>
                  </w:r>
                </w:p>
              </w:tc>
              <w:tc>
                <w:tcPr>
                  <w:tcW w:w="1895" w:type="pct"/>
                  <w:tcBorders>
                    <w:left w:val="single" w:color="auto" w:sz="6" w:space="0"/>
                    <w:bottom w:val="single" w:color="auto" w:sz="6" w:space="0"/>
                    <w:right w:val="single" w:color="auto" w:sz="4" w:space="0"/>
                  </w:tcBorders>
                  <w:noWrap w:val="0"/>
                  <w:vAlign w:val="center"/>
                </w:tcPr>
                <w:p>
                  <w:pPr>
                    <w:pStyle w:val="57"/>
                    <w:bidi w:val="0"/>
                    <w:rPr>
                      <w:rFonts w:hint="default"/>
                      <w:lang w:val="en-US" w:eastAsia="zh-CN"/>
                    </w:rPr>
                  </w:pPr>
                  <w:r>
                    <w:rPr>
                      <w:rFonts w:hint="default"/>
                      <w:lang w:val="en-US" w:eastAsia="zh-CN"/>
                    </w:rPr>
                    <w:t>《水泥工业大气污染物排放标准》（GB4915-2013）无组织排放监控浓度限值</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sz w:val="24"/>
                <w:szCs w:val="24"/>
                <w:highlight w:val="none"/>
                <w:u w:val="none" w:color="auto"/>
                <w:lang w:val="en-US" w:eastAsia="zh-CN"/>
              </w:rPr>
            </w:pPr>
            <w:r>
              <w:rPr>
                <w:rFonts w:hint="default" w:ascii="Times New Roman" w:hAnsi="Times New Roman" w:eastAsia="宋体" w:cs="Times New Roman"/>
                <w:b/>
                <w:bCs/>
                <w:color w:val="000000"/>
                <w:sz w:val="24"/>
                <w:szCs w:val="24"/>
                <w:highlight w:val="none"/>
                <w:u w:val="none" w:color="auto"/>
                <w:lang w:val="en-US" w:eastAsia="zh-CN"/>
              </w:rPr>
              <w:t>1.2</w:t>
            </w:r>
            <w:r>
              <w:rPr>
                <w:rFonts w:hint="eastAsia" w:ascii="Times New Roman" w:hAnsi="Times New Roman" w:eastAsia="宋体" w:cs="Times New Roman"/>
                <w:b/>
                <w:bCs/>
                <w:color w:val="000000"/>
                <w:sz w:val="24"/>
                <w:szCs w:val="24"/>
                <w:highlight w:val="none"/>
                <w:u w:val="none" w:color="auto"/>
                <w:lang w:val="en-US" w:eastAsia="zh-CN"/>
              </w:rPr>
              <w:t>废水</w:t>
            </w:r>
          </w:p>
          <w:p>
            <w:pPr>
              <w:keepNext w:val="0"/>
              <w:keepLines w:val="0"/>
              <w:pageBreakBefore w:val="0"/>
              <w:widowControl w:val="0"/>
              <w:suppressLineNumbers w:val="0"/>
              <w:kinsoku/>
              <w:wordWrap/>
              <w:overflowPunct/>
              <w:topLinePunct w:val="0"/>
              <w:bidi w:val="0"/>
              <w:adjustRightInd w:val="0"/>
              <w:snapToGrid w:val="0"/>
              <w:spacing w:before="0" w:beforeAutospacing="0" w:after="0" w:afterLines="0" w:afterAutospacing="0" w:line="360" w:lineRule="auto"/>
              <w:ind w:left="0" w:leftChars="0" w:right="0" w:firstLine="482" w:firstLineChars="200"/>
              <w:jc w:val="both"/>
              <w:textAlignment w:val="auto"/>
              <w:rPr>
                <w:rFonts w:hint="default" w:ascii="Times New Roman" w:hAnsi="Times New Roman"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t>1.2.1</w:t>
            </w:r>
            <w:r>
              <w:rPr>
                <w:rFonts w:hint="eastAsia" w:ascii="Times New Roman" w:hAnsi="Times New Roman"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t>废水污染源强</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eastAsia" w:cs="Times New Roman" w:eastAsiaTheme="minorEastAsia"/>
                <w:color w:val="000000" w:themeColor="text1"/>
                <w:sz w:val="24"/>
                <w:highlight w:val="yellow"/>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一号站营运期废水主要为作业区地面的清洗废水，运输车辆清洗废水，喷淋用水</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，生产废水，</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员工日常生活产生的生活污水以及初期雨水</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。项目所用成品砂、石在项目厂区内无需进行水洗。</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二</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号站营运期废水主要为作业区地面的清洗废水，运输车辆清洗废水，喷淋用水，生产废水</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员工日常生活产生的生活污水以及初期雨水</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。项目所用成品砂、石在项目厂区内无需进行水洗。</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2" w:firstLineChars="200"/>
              <w:textAlignment w:val="auto"/>
              <w:rPr>
                <w:rFonts w:hint="eastAsia" w:ascii="Times New Roman" w:hAnsi="Times New Roman" w:cs="Times New Roman" w:eastAsiaTheme="minorEastAsia"/>
                <w:b/>
                <w:bCs/>
                <w:color w:val="000000" w:themeColor="text1"/>
                <w:sz w:val="24"/>
                <w:highlight w:val="none"/>
                <w:u w:val="none" w:color="auto"/>
                <w:lang w:eastAsia="zh-CN"/>
                <w14:textFill>
                  <w14:solidFill>
                    <w14:schemeClr w14:val="tx1"/>
                  </w14:solidFill>
                </w14:textFill>
              </w:rPr>
            </w:pPr>
            <w:r>
              <w:rPr>
                <w:rFonts w:hint="eastAsia" w:cs="Times New Roman" w:eastAsiaTheme="minorEastAsia"/>
                <w:b/>
                <w:bCs/>
                <w:color w:val="000000" w:themeColor="text1"/>
                <w:sz w:val="24"/>
                <w:highlight w:val="none"/>
                <w:u w:val="none" w:color="auto"/>
                <w:lang w:eastAsia="zh-CN"/>
                <w14:textFill>
                  <w14:solidFill>
                    <w14:schemeClr w14:val="tx1"/>
                  </w14:solidFill>
                </w14:textFill>
              </w:rPr>
              <w:t>（</w:t>
            </w:r>
            <w:r>
              <w:rPr>
                <w:rFonts w:hint="eastAsia" w:cs="Times New Roman" w:eastAsiaTheme="minorEastAsia"/>
                <w:b/>
                <w:bCs/>
                <w:color w:val="000000" w:themeColor="text1"/>
                <w:sz w:val="24"/>
                <w:highlight w:val="none"/>
                <w:u w:val="none" w:color="auto"/>
                <w:lang w:val="en-US" w:eastAsia="zh-CN"/>
                <w14:textFill>
                  <w14:solidFill>
                    <w14:schemeClr w14:val="tx1"/>
                  </w14:solidFill>
                </w14:textFill>
              </w:rPr>
              <w:t>1</w:t>
            </w:r>
            <w:r>
              <w:rPr>
                <w:rFonts w:hint="eastAsia" w:cs="Times New Roman" w:eastAsiaTheme="minorEastAsia"/>
                <w:b/>
                <w:bCs/>
                <w:color w:val="000000" w:themeColor="text1"/>
                <w:sz w:val="24"/>
                <w:highlight w:val="none"/>
                <w:u w:val="none" w:color="auto"/>
                <w:lang w:eastAsia="zh-CN"/>
                <w14:textFill>
                  <w14:solidFill>
                    <w14:schemeClr w14:val="tx1"/>
                  </w14:solidFill>
                </w14:textFill>
              </w:rPr>
              <w:t>）</w:t>
            </w:r>
            <w:r>
              <w:rPr>
                <w:rFonts w:hint="eastAsia" w:cs="Times New Roman" w:eastAsiaTheme="minorEastAsia"/>
                <w:b/>
                <w:bCs/>
                <w:color w:val="000000" w:themeColor="text1"/>
                <w:sz w:val="24"/>
                <w:highlight w:val="none"/>
                <w:u w:val="none" w:color="auto"/>
                <w:lang w:val="en-US" w:eastAsia="zh-CN"/>
                <w14:textFill>
                  <w14:solidFill>
                    <w14:schemeClr w14:val="tx1"/>
                  </w14:solidFill>
                </w14:textFill>
              </w:rPr>
              <w:t>一号站</w:t>
            </w:r>
          </w:p>
          <w:p>
            <w:pPr>
              <w:keepNext w:val="0"/>
              <w:keepLines w:val="0"/>
              <w:numPr>
                <w:ilvl w:val="0"/>
                <w:numId w:val="0"/>
              </w:numPr>
              <w:suppressLineNumbers w:val="0"/>
              <w:adjustRightInd w:val="0"/>
              <w:snapToGrid w:val="0"/>
              <w:spacing w:before="0" w:beforeAutospacing="0" w:after="0" w:afterAutospacing="0" w:line="360" w:lineRule="auto"/>
              <w:ind w:right="0" w:rightChars="0" w:firstLine="480" w:firstLineChars="20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作业区地面清洗</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用</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搅拌工作区</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总占地</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面积</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000m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，其冲洗用水量按1.0m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/100m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·d计，则作业区地面冲洗用水为</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30</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/d（</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2700</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/a），排放系数按0.8计，则该部分废水量为</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24</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/d（</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2160</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/a），废水的主要水质污染因子为SS，其浓度约为1000mg/L。</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该部分废水经沉淀池处理后回用于生产</w:t>
            </w:r>
            <w:r>
              <w:rPr>
                <w:rFonts w:hint="eastAsia"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w:t>
            </w:r>
          </w:p>
          <w:p>
            <w:pPr>
              <w:keepNext w:val="0"/>
              <w:keepLines w:val="0"/>
              <w:numPr>
                <w:ilvl w:val="0"/>
                <w:numId w:val="0"/>
              </w:numPr>
              <w:suppressLineNumbers w:val="0"/>
              <w:adjustRightInd w:val="0"/>
              <w:snapToGrid w:val="0"/>
              <w:spacing w:before="0" w:beforeAutospacing="0" w:after="0" w:afterAutospacing="0" w:line="360" w:lineRule="auto"/>
              <w:ind w:right="0" w:rightChars="0" w:firstLine="480" w:firstLineChars="20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运输车辆清洗</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用</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运输车辆出厂区时需清洗，按运输能力计算，每天约需运输</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辆次，每次均需对运输车辆进行冲洗，根据同类型企业的类比调查，车辆冲洗水量大致为0.4</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/辆.次，因此每天冲洗水约</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t，年冲洗水量约</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1800</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t/a，排放系数按0.8计，则该部分废水量为</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1440</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t/a，该废水的主要水质污染因子为SS，其浓度大致为1500mg/L。</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该部分废水经沉淀池处理后回用于生产</w:t>
            </w:r>
            <w:r>
              <w:rPr>
                <w:rFonts w:hint="eastAsia"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70" w:firstLineChars="196"/>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喷淋用水</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70" w:firstLineChars="196"/>
              <w:textAlignment w:val="auto"/>
              <w:rPr>
                <w:rFonts w:hint="eastAsia"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pPr>
            <w:r>
              <w:rPr>
                <w:rFonts w:hint="default" w:ascii="Times New Roman" w:hAnsi="Times New Roman" w:cs="Times New Roman"/>
                <w:color w:val="auto"/>
                <w:sz w:val="24"/>
              </w:rPr>
              <w:t>原料堆场需进行喷淋抑尘，用水量为1L/m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·d，计算得：原料堆场喷淋用水量</w:t>
            </w:r>
            <w:r>
              <w:rPr>
                <w:rFonts w:hint="eastAsia" w:cs="Times New Roman"/>
                <w:color w:val="auto"/>
                <w:sz w:val="24"/>
                <w:lang w:val="en-US" w:eastAsia="zh-CN"/>
              </w:rPr>
              <w:t>0.5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/d，合</w:t>
            </w:r>
            <w:r>
              <w:rPr>
                <w:rFonts w:hint="eastAsia" w:cs="Times New Roman"/>
                <w:color w:val="auto"/>
                <w:sz w:val="24"/>
                <w:lang w:val="en-US" w:eastAsia="zh-CN"/>
              </w:rPr>
              <w:t>45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/a。喷淋水全部蒸发损耗，不产生废水</w:t>
            </w:r>
            <w:r>
              <w:rPr>
                <w:rFonts w:hint="eastAsia" w:cs="Times New Roman"/>
                <w:color w:val="auto"/>
                <w:sz w:val="24"/>
                <w:lang w:eastAsia="zh-CN"/>
              </w:rPr>
              <w:t>。</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70" w:firstLineChars="196"/>
              <w:textAlignment w:val="auto"/>
              <w:rPr>
                <w:rFonts w:hint="default" w:ascii="Times New Roman" w:hAnsi="Times New Roman" w:cs="Times New Roman" w:eastAsiaTheme="minorEastAsia"/>
                <w:color w:val="000000" w:themeColor="text1"/>
                <w:sz w:val="24"/>
                <w:szCs w:val="24"/>
                <w:highlight w:val="none"/>
                <w:u w:val="none" w:color="auto"/>
                <w:lang w:val="en-US"/>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生产用水</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70" w:firstLineChars="196"/>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kern w:val="1"/>
                <w:sz w:val="24"/>
                <w:highlight w:val="none"/>
                <w:u w:val="none" w:color="auto"/>
                <w:lang w:val="en-US" w:eastAsia="zh-CN"/>
                <w14:textFill>
                  <w14:solidFill>
                    <w14:schemeClr w14:val="tx1"/>
                  </w14:solidFill>
                </w14:textFill>
              </w:rPr>
              <w:t>混凝土搅拌</w:t>
            </w:r>
            <w:r>
              <w:rPr>
                <w:rFonts w:hint="eastAsia" w:ascii="Times New Roman" w:hAnsi="Times New Roman" w:cs="Times New Roman" w:eastAsiaTheme="minorEastAsia"/>
                <w:color w:val="000000" w:themeColor="text1"/>
                <w:kern w:val="1"/>
                <w:sz w:val="24"/>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1"/>
                <w:sz w:val="24"/>
                <w:highlight w:val="none"/>
                <w:u w:val="none" w:color="auto"/>
                <w14:textFill>
                  <w14:solidFill>
                    <w14:schemeClr w14:val="tx1"/>
                  </w14:solidFill>
                </w14:textFill>
              </w:rPr>
              <w:t>根据原料配比，</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混凝土生产过程中，砂石、水泥、粉煤灰等混合搅拌需要用水，按照《普通混凝土配合比设计规程》</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JGJ55-2011</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要求，根据实验室的配合比进行混凝土现场拌合，其用水量约为173kg/m</w:t>
            </w:r>
            <w:r>
              <w:rPr>
                <w:rFonts w:hint="default" w:ascii="Times New Roman" w:hAnsi="Times New Roman" w:cs="Times New Roman" w:eastAsiaTheme="minorEastAsia"/>
                <w:color w:val="000000" w:themeColor="text1"/>
                <w:sz w:val="24"/>
                <w:szCs w:val="24"/>
                <w:highlight w:val="none"/>
                <w:u w:val="none" w:color="auto"/>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混凝土</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项目</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生产能力为</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万</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m³</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/a</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666.7m³</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/d</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，则用水量约</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115.3</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/d</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10380</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/a</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搅拌</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用水全部进入产品</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蒸发掉，不外排。</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70" w:firstLineChars="196"/>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稳定土搅拌</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cs="Times New Roman"/>
                <w:color w:val="auto"/>
                <w:sz w:val="24"/>
              </w:rPr>
              <w:t>根据建设单位提供的资料，</w:t>
            </w:r>
            <w:r>
              <w:rPr>
                <w:rFonts w:hint="eastAsia" w:ascii="Times New Roman" w:hAnsi="Times New Roman" w:cs="Times New Roman"/>
                <w:color w:val="auto"/>
                <w:sz w:val="24"/>
                <w:lang w:eastAsia="zh-CN"/>
              </w:rPr>
              <w:t>稳定土</w:t>
            </w:r>
            <w:r>
              <w:rPr>
                <w:rFonts w:hint="default" w:ascii="Times New Roman" w:hAnsi="Times New Roman" w:cs="Times New Roman"/>
                <w:color w:val="auto"/>
                <w:sz w:val="24"/>
              </w:rPr>
              <w:t>配料用水量为</w:t>
            </w:r>
            <w:r>
              <w:rPr>
                <w:rFonts w:hint="eastAsia" w:cs="Times New Roman"/>
                <w:color w:val="auto"/>
                <w:sz w:val="24"/>
                <w:lang w:val="en-US" w:eastAsia="zh-CN"/>
              </w:rPr>
              <w:t>8.15</w:t>
            </w:r>
            <w:r>
              <w:rPr>
                <w:rFonts w:hint="default" w:ascii="Times New Roman" w:hAnsi="Times New Roman" w:cs="Times New Roman"/>
                <w:color w:val="auto"/>
                <w:sz w:val="24"/>
              </w:rPr>
              <w:t>万</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/a，约</w:t>
            </w:r>
            <w:r>
              <w:rPr>
                <w:rFonts w:hint="eastAsia" w:cs="Times New Roman"/>
                <w:color w:val="auto"/>
                <w:sz w:val="24"/>
                <w:lang w:val="en-US" w:eastAsia="zh-CN"/>
              </w:rPr>
              <w:t>905.6</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/d。</w:t>
            </w:r>
            <w:r>
              <w:rPr>
                <w:rFonts w:hint="eastAsia" w:ascii="Times New Roman" w:hAnsi="Times New Roman" w:cs="Times New Roman"/>
                <w:color w:val="auto"/>
                <w:sz w:val="24"/>
                <w:lang w:eastAsia="zh-CN"/>
              </w:rPr>
              <w:t>稳定土</w:t>
            </w:r>
            <w:r>
              <w:rPr>
                <w:rFonts w:hint="default" w:ascii="Times New Roman" w:hAnsi="Times New Roman" w:cs="Times New Roman"/>
                <w:color w:val="auto"/>
                <w:sz w:val="24"/>
              </w:rPr>
              <w:t>配料生产用水全部进入产品，不产生废水。</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70" w:firstLineChars="196"/>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5）生活用水</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70" w:firstLineChars="196"/>
              <w:textAlignment w:val="auto"/>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cs="Times New Roman"/>
                <w:b w:val="0"/>
                <w:bCs w:val="0"/>
                <w:color w:val="auto"/>
                <w:sz w:val="24"/>
                <w:szCs w:val="24"/>
                <w:highlight w:val="none"/>
                <w:lang w:val="en-US" w:eastAsia="zh-CN"/>
              </w:rPr>
              <w:t>一号站</w:t>
            </w:r>
            <w:r>
              <w:rPr>
                <w:rFonts w:hint="default" w:ascii="Times New Roman" w:hAnsi="Times New Roman" w:eastAsia="宋体" w:cs="Times New Roman"/>
                <w:b w:val="0"/>
                <w:bCs w:val="0"/>
                <w:color w:val="auto"/>
                <w:sz w:val="24"/>
                <w:szCs w:val="24"/>
                <w:highlight w:val="none"/>
                <w:lang w:val="en-US" w:eastAsia="zh-CN"/>
              </w:rPr>
              <w:t>劳动定员</w:t>
            </w:r>
            <w:r>
              <w:rPr>
                <w:rFonts w:hint="eastAsia" w:cs="Times New Roman"/>
                <w:b w:val="0"/>
                <w:bCs w:val="0"/>
                <w:color w:val="auto"/>
                <w:sz w:val="24"/>
                <w:szCs w:val="24"/>
                <w:highlight w:val="none"/>
                <w:lang w:val="en-US" w:eastAsia="zh-CN"/>
              </w:rPr>
              <w:t>140</w:t>
            </w:r>
            <w:r>
              <w:rPr>
                <w:rFonts w:hint="default" w:ascii="Times New Roman" w:hAnsi="Times New Roman" w:eastAsia="宋体" w:cs="Times New Roman"/>
                <w:b w:val="0"/>
                <w:bCs w:val="0"/>
                <w:color w:val="auto"/>
                <w:sz w:val="24"/>
                <w:szCs w:val="24"/>
                <w:highlight w:val="none"/>
                <w:lang w:val="en-US" w:eastAsia="zh-CN"/>
              </w:rPr>
              <w:t>人，均在厂区内食宿，生活用水定额</w:t>
            </w:r>
            <w:r>
              <w:rPr>
                <w:rFonts w:hint="eastAsia" w:cs="Times New Roman"/>
                <w:b w:val="0"/>
                <w:bCs w:val="0"/>
                <w:color w:val="auto"/>
                <w:sz w:val="24"/>
                <w:szCs w:val="24"/>
                <w:highlight w:val="none"/>
                <w:lang w:val="en-US" w:eastAsia="zh-CN"/>
              </w:rPr>
              <w:t>按140L/</w:t>
            </w:r>
            <w:r>
              <w:rPr>
                <w:rFonts w:hint="default" w:ascii="Times New Roman" w:hAnsi="Times New Roman" w:eastAsia="宋体" w:cs="Times New Roman"/>
                <w:b w:val="0"/>
                <w:bCs w:val="0"/>
                <w:color w:val="auto"/>
                <w:sz w:val="24"/>
                <w:szCs w:val="24"/>
                <w:highlight w:val="none"/>
                <w:lang w:val="en-US" w:eastAsia="zh-CN"/>
              </w:rPr>
              <w:t>人·d计，则生活用水量为</w:t>
            </w:r>
            <w:r>
              <w:rPr>
                <w:rFonts w:hint="eastAsia" w:cs="Times New Roman"/>
                <w:b w:val="0"/>
                <w:bCs w:val="0"/>
                <w:color w:val="auto"/>
                <w:sz w:val="24"/>
                <w:szCs w:val="24"/>
                <w:highlight w:val="none"/>
                <w:lang w:val="en-US" w:eastAsia="zh-CN"/>
              </w:rPr>
              <w:t>1764</w:t>
            </w:r>
            <w:r>
              <w:rPr>
                <w:rFonts w:hint="default" w:ascii="Times New Roman" w:hAnsi="Times New Roman" w:eastAsia="宋体" w:cs="Times New Roman"/>
                <w:b w:val="0"/>
                <w:bCs w:val="0"/>
                <w:color w:val="auto"/>
                <w:sz w:val="24"/>
                <w:szCs w:val="24"/>
                <w:highlight w:val="none"/>
                <w:lang w:val="en-US" w:eastAsia="zh-CN"/>
              </w:rPr>
              <w:t>m</w:t>
            </w:r>
            <w:r>
              <w:rPr>
                <w:rFonts w:hint="eastAsia"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w:t>
            </w:r>
            <w:r>
              <w:rPr>
                <w:rFonts w:hint="eastAsia" w:cs="Times New Roman"/>
                <w:b w:val="0"/>
                <w:bCs w:val="0"/>
                <w:color w:val="auto"/>
                <w:sz w:val="24"/>
                <w:szCs w:val="24"/>
                <w:highlight w:val="none"/>
                <w:lang w:val="en-US" w:eastAsia="zh-CN"/>
              </w:rPr>
              <w:t>19.6m</w:t>
            </w:r>
            <w:r>
              <w:rPr>
                <w:rFonts w:hint="eastAsia" w:cs="Times New Roman"/>
                <w:b w:val="0"/>
                <w:bCs w:val="0"/>
                <w:color w:val="auto"/>
                <w:sz w:val="24"/>
                <w:szCs w:val="24"/>
                <w:highlight w:val="none"/>
                <w:vertAlign w:val="superscript"/>
                <w:lang w:val="en-US" w:eastAsia="zh-CN"/>
              </w:rPr>
              <w:t>3</w:t>
            </w:r>
            <w:r>
              <w:rPr>
                <w:rFonts w:hint="eastAsia" w:cs="Times New Roman"/>
                <w:b w:val="0"/>
                <w:bCs w:val="0"/>
                <w:color w:val="auto"/>
                <w:sz w:val="24"/>
                <w:szCs w:val="24"/>
                <w:highlight w:val="none"/>
                <w:lang w:val="en-US" w:eastAsia="zh-CN"/>
              </w:rPr>
              <w:t>/d</w:t>
            </w:r>
            <w:r>
              <w:rPr>
                <w:rFonts w:hint="default" w:ascii="Times New Roman" w:hAnsi="Times New Roman" w:eastAsia="宋体" w:cs="Times New Roman"/>
                <w:b w:val="0"/>
                <w:bCs w:val="0"/>
                <w:color w:val="auto"/>
                <w:sz w:val="24"/>
                <w:szCs w:val="24"/>
                <w:highlight w:val="none"/>
                <w:lang w:val="en-US" w:eastAsia="zh-CN"/>
              </w:rPr>
              <w:t>)。排污系数按0</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8计，则生活废水产生量为1411.2m</w:t>
            </w:r>
            <w:r>
              <w:rPr>
                <w:rFonts w:hint="eastAsia"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w:t>
            </w:r>
            <w:r>
              <w:rPr>
                <w:rFonts w:hint="eastAsia" w:cs="Times New Roman"/>
                <w:b w:val="0"/>
                <w:bCs w:val="0"/>
                <w:color w:val="auto"/>
                <w:sz w:val="24"/>
                <w:szCs w:val="24"/>
                <w:highlight w:val="none"/>
                <w:lang w:val="en-US" w:eastAsia="zh-CN"/>
              </w:rPr>
              <w:t>15.68m</w:t>
            </w:r>
            <w:r>
              <w:rPr>
                <w:rFonts w:hint="eastAsia" w:cs="Times New Roman"/>
                <w:b w:val="0"/>
                <w:bCs w:val="0"/>
                <w:color w:val="auto"/>
                <w:sz w:val="24"/>
                <w:szCs w:val="24"/>
                <w:highlight w:val="none"/>
                <w:vertAlign w:val="superscript"/>
                <w:lang w:val="en-US" w:eastAsia="zh-CN"/>
              </w:rPr>
              <w:t>3</w:t>
            </w:r>
            <w:r>
              <w:rPr>
                <w:rFonts w:hint="eastAsia" w:cs="Times New Roman"/>
                <w:b w:val="0"/>
                <w:bCs w:val="0"/>
                <w:color w:val="auto"/>
                <w:sz w:val="24"/>
                <w:szCs w:val="24"/>
                <w:highlight w:val="none"/>
                <w:lang w:val="en-US" w:eastAsia="zh-CN"/>
              </w:rPr>
              <w:t>/d</w:t>
            </w:r>
            <w:r>
              <w:rPr>
                <w:rFonts w:hint="default" w:ascii="Times New Roman" w:hAnsi="Times New Roman" w:eastAsia="宋体" w:cs="Times New Roman"/>
                <w:b w:val="0"/>
                <w:bCs w:val="0"/>
                <w:color w:val="auto"/>
                <w:sz w:val="24"/>
                <w:szCs w:val="24"/>
                <w:highlight w:val="none"/>
                <w:lang w:val="en-US" w:eastAsia="zh-CN"/>
              </w:rPr>
              <w:t>)。生活污水各污染因子浓度分别为</w:t>
            </w:r>
            <w:r>
              <w:rPr>
                <w:rFonts w:hint="eastAsia" w:cs="Times New Roman"/>
                <w:b w:val="0"/>
                <w:bCs w:val="0"/>
                <w:color w:val="auto"/>
                <w:sz w:val="24"/>
                <w:szCs w:val="24"/>
                <w:highlight w:val="none"/>
                <w:lang w:val="en-US" w:eastAsia="zh-CN"/>
              </w:rPr>
              <w:t>：COD：</w:t>
            </w:r>
            <w:r>
              <w:rPr>
                <w:rFonts w:hint="default" w:ascii="Times New Roman" w:hAnsi="Times New Roman" w:eastAsia="宋体" w:cs="Times New Roman"/>
                <w:b w:val="0"/>
                <w:bCs w:val="0"/>
                <w:color w:val="auto"/>
                <w:sz w:val="24"/>
                <w:szCs w:val="24"/>
                <w:highlight w:val="none"/>
                <w:lang w:val="en-US" w:eastAsia="zh-CN"/>
              </w:rPr>
              <w:t>350mg</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L</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BOD</w:t>
            </w:r>
            <w:r>
              <w:rPr>
                <w:rFonts w:hint="eastAsia" w:cs="Times New Roman"/>
                <w:b w:val="0"/>
                <w:bCs w:val="0"/>
                <w:color w:val="auto"/>
                <w:sz w:val="24"/>
                <w:szCs w:val="24"/>
                <w:highlight w:val="none"/>
                <w:vertAlign w:val="subscript"/>
                <w:lang w:val="en-US" w:eastAsia="zh-CN"/>
              </w:rPr>
              <w:t>5</w:t>
            </w:r>
            <w:r>
              <w:rPr>
                <w:rFonts w:hint="eastAsia" w:cs="Times New Roman"/>
                <w:b w:val="0"/>
                <w:bCs w:val="0"/>
                <w:color w:val="auto"/>
                <w:sz w:val="24"/>
                <w:szCs w:val="24"/>
                <w:highlight w:val="none"/>
                <w:vertAlign w:val="baseline"/>
                <w:lang w:val="en-US" w:eastAsia="zh-CN"/>
              </w:rPr>
              <w:t>：200mg/L、SS：150mg/L、NH</w:t>
            </w:r>
            <w:r>
              <w:rPr>
                <w:rFonts w:hint="eastAsia" w:cs="Times New Roman"/>
                <w:b w:val="0"/>
                <w:bCs w:val="0"/>
                <w:color w:val="auto"/>
                <w:sz w:val="24"/>
                <w:szCs w:val="24"/>
                <w:highlight w:val="none"/>
                <w:vertAlign w:val="subscript"/>
                <w:lang w:val="en-US" w:eastAsia="zh-CN"/>
              </w:rPr>
              <w:t>3</w:t>
            </w:r>
            <w:r>
              <w:rPr>
                <w:rFonts w:hint="eastAsia" w:cs="Times New Roman"/>
                <w:b w:val="0"/>
                <w:bCs w:val="0"/>
                <w:color w:val="auto"/>
                <w:sz w:val="24"/>
                <w:szCs w:val="24"/>
                <w:highlight w:val="none"/>
                <w:vertAlign w:val="baseline"/>
                <w:lang w:val="en-US" w:eastAsia="zh-CN"/>
              </w:rPr>
              <w:t>-N：40mg/L。本项目产生的生活污水经隔油池+化粪池处理后用于厂区周边农田浇灌，不外排。</w:t>
            </w:r>
          </w:p>
          <w:p>
            <w:pPr>
              <w:bidi w:val="0"/>
              <w:rPr>
                <w:rFonts w:hint="default"/>
              </w:rPr>
            </w:pPr>
            <w:r>
              <w:rPr>
                <w:rFonts w:hint="eastAsia"/>
                <w:lang w:val="en-US" w:eastAsia="zh-CN"/>
              </w:rPr>
              <w:t>6</w:t>
            </w:r>
            <w:r>
              <w:rPr>
                <w:rFonts w:hint="default"/>
                <w:lang w:val="en-US" w:eastAsia="zh-CN"/>
              </w:rPr>
              <w:t>）</w:t>
            </w:r>
            <w:r>
              <w:rPr>
                <w:rFonts w:hint="eastAsia"/>
                <w:lang w:val="en-US" w:eastAsia="zh-CN"/>
              </w:rPr>
              <w:t>初期雨水</w:t>
            </w:r>
          </w:p>
          <w:p>
            <w:pPr>
              <w:widowControl/>
              <w:adjustRightInd w:val="0"/>
              <w:snapToGrid w:val="0"/>
              <w:spacing w:line="360" w:lineRule="auto"/>
              <w:ind w:firstLine="480" w:firstLineChars="200"/>
              <w:rPr>
                <w:rFonts w:hint="default" w:ascii="Times New Roman" w:hAnsi="Times New Roman" w:eastAsia="宋体" w:cs="Times New Roman"/>
                <w:color w:val="auto"/>
                <w:spacing w:val="0"/>
                <w:kern w:val="21"/>
                <w:sz w:val="24"/>
                <w:szCs w:val="20"/>
                <w:highlight w:val="none"/>
              </w:rPr>
            </w:pPr>
            <w:r>
              <w:rPr>
                <w:rFonts w:hint="default"/>
                <w:lang w:val="en-US" w:eastAsia="zh-CN"/>
              </w:rPr>
              <w:t>由于原辅材料、成品在运输过程中的跑、冒、滴、漏，对厂区内道路路面和地面的清洁度会造成一定程度的污染，主要为颗粒物，经运输车辆不断反复碾压后变成细微粉尘颗粒物，在晴天，运输车辆行驶过程中容易产生道路扬尘。在雨天，经过雨水地表径流冲洗后，产生的初期雨水含有泥浆，不可以直接外排，须经处理后排放。</w:t>
            </w:r>
            <w:r>
              <w:rPr>
                <w:rFonts w:hint="default" w:ascii="Times New Roman" w:hAnsi="Times New Roman" w:eastAsia="宋体" w:cs="Times New Roman"/>
                <w:color w:val="auto"/>
                <w:spacing w:val="0"/>
                <w:kern w:val="21"/>
                <w:sz w:val="24"/>
                <w:szCs w:val="20"/>
                <w:highlight w:val="none"/>
              </w:rPr>
              <w:t>考虑暴雨强度与降雨历时的关系，假设日平均降雨量集中在降雨初期3h（180min）内，进而估计初期（前15min）雨水的量，暴雨强度可按下述公式进行计算：</w:t>
            </w:r>
          </w:p>
          <w:p>
            <w:pPr>
              <w:widowControl w:val="0"/>
              <w:spacing w:after="120" w:line="240" w:lineRule="auto"/>
              <w:ind w:left="29" w:leftChars="12" w:firstLine="640" w:firstLineChars="200"/>
              <w:jc w:val="center"/>
              <w:rPr>
                <w:rFonts w:hint="default" w:ascii="Times New Roman" w:hAnsi="Times New Roman" w:eastAsia="宋体" w:cs="Times New Roman"/>
                <w:color w:val="auto"/>
                <w:spacing w:val="0"/>
                <w:kern w:val="21"/>
                <w:sz w:val="32"/>
                <w:szCs w:val="21"/>
                <w:highlight w:val="none"/>
                <w:u w:val="none"/>
                <w:lang w:val="en-US" w:eastAsia="zh-CN" w:bidi="ar-SA"/>
              </w:rPr>
            </w:pPr>
            <w:r>
              <w:rPr>
                <w:rFonts w:hint="default" w:ascii="Times New Roman" w:hAnsi="Times New Roman" w:eastAsia="宋体" w:cs="Times New Roman"/>
                <w:color w:val="auto"/>
                <w:spacing w:val="0"/>
                <w:kern w:val="21"/>
                <w:sz w:val="32"/>
                <w:szCs w:val="20"/>
                <w:highlight w:val="none"/>
                <w:u w:val="none"/>
                <w:lang w:val="en-US" w:eastAsia="zh-CN" w:bidi="ar-SA"/>
              </w:rPr>
              <w:drawing>
                <wp:inline distT="0" distB="0" distL="114300" distR="114300">
                  <wp:extent cx="2200275" cy="466725"/>
                  <wp:effectExtent l="0" t="0" r="9525" b="952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6">
                            <a:lum/>
                          </a:blip>
                          <a:stretch>
                            <a:fillRect/>
                          </a:stretch>
                        </pic:blipFill>
                        <pic:spPr>
                          <a:xfrm>
                            <a:off x="0" y="0"/>
                            <a:ext cx="2200275" cy="466725"/>
                          </a:xfrm>
                          <a:prstGeom prst="rect">
                            <a:avLst/>
                          </a:prstGeom>
                          <a:noFill/>
                          <a:ln>
                            <a:noFill/>
                          </a:ln>
                        </pic:spPr>
                      </pic:pic>
                    </a:graphicData>
                  </a:graphic>
                </wp:inline>
              </w:drawing>
            </w:r>
          </w:p>
          <w:p>
            <w:pPr>
              <w:bidi w:val="0"/>
              <w:rPr>
                <w:rFonts w:hint="default"/>
              </w:rPr>
            </w:pPr>
            <w:r>
              <w:rPr>
                <w:rFonts w:hint="default" w:ascii="Times New Roman" w:hAnsi="Times New Roman" w:eastAsia="宋体" w:cs="Times New Roman"/>
                <w:color w:val="auto"/>
                <w:spacing w:val="0"/>
                <w:kern w:val="21"/>
                <w:sz w:val="24"/>
                <w:highlight w:val="none"/>
              </w:rPr>
              <w:t>根据《环境影响评价技术导则》（HJ/T2.3-93）中推荐值，本项目硬化地面（道路路面、人工建筑物屋顶等）的径流系数取0.9。根据项目所在地多年年均降雨量1442.4mm，重现期2年。本项目集雨面积取</w:t>
            </w:r>
            <w:r>
              <w:rPr>
                <w:rFonts w:hint="eastAsia" w:ascii="Times New Roman" w:hAnsi="Times New Roman" w:eastAsia="宋体" w:cs="Times New Roman"/>
                <w:color w:val="auto"/>
                <w:spacing w:val="0"/>
                <w:kern w:val="21"/>
                <w:sz w:val="24"/>
                <w:highlight w:val="none"/>
                <w:lang w:val="en-US" w:eastAsia="zh-CN"/>
              </w:rPr>
              <w:t>生产区面积</w:t>
            </w:r>
            <w:r>
              <w:rPr>
                <w:rFonts w:hint="default" w:ascii="Times New Roman" w:hAnsi="Times New Roman" w:eastAsia="宋体" w:cs="Times New Roman"/>
                <w:color w:val="auto"/>
                <w:spacing w:val="0"/>
                <w:kern w:val="21"/>
                <w:sz w:val="24"/>
                <w:highlight w:val="none"/>
              </w:rPr>
              <w:t>，合计汇水面积</w:t>
            </w:r>
            <w:r>
              <w:rPr>
                <w:rFonts w:hint="eastAsia" w:ascii="Times New Roman" w:hAnsi="Times New Roman" w:eastAsia="宋体" w:cs="Times New Roman"/>
                <w:color w:val="auto"/>
                <w:spacing w:val="0"/>
                <w:kern w:val="21"/>
                <w:sz w:val="24"/>
                <w:highlight w:val="none"/>
                <w:lang w:val="en-US" w:eastAsia="zh-CN"/>
              </w:rPr>
              <w:t>3000</w:t>
            </w:r>
            <w:r>
              <w:rPr>
                <w:rFonts w:hint="default" w:ascii="Times New Roman" w:hAnsi="Times New Roman" w:eastAsia="宋体" w:cs="Times New Roman"/>
                <w:color w:val="auto"/>
                <w:spacing w:val="0"/>
                <w:kern w:val="21"/>
                <w:sz w:val="24"/>
                <w:highlight w:val="none"/>
              </w:rPr>
              <w:t>m</w:t>
            </w:r>
            <w:r>
              <w:rPr>
                <w:rFonts w:hint="default" w:ascii="Times New Roman" w:hAnsi="Times New Roman" w:eastAsia="宋体" w:cs="Times New Roman"/>
                <w:color w:val="auto"/>
                <w:spacing w:val="0"/>
                <w:kern w:val="21"/>
                <w:sz w:val="24"/>
                <w:highlight w:val="none"/>
                <w:vertAlign w:val="superscript"/>
              </w:rPr>
              <w:t>2</w:t>
            </w:r>
            <w:r>
              <w:rPr>
                <w:rFonts w:hint="default" w:ascii="Times New Roman" w:hAnsi="Times New Roman" w:eastAsia="宋体" w:cs="Times New Roman"/>
                <w:color w:val="auto"/>
                <w:spacing w:val="0"/>
                <w:kern w:val="21"/>
                <w:sz w:val="24"/>
                <w:highlight w:val="none"/>
              </w:rPr>
              <w:t>，计算得该地区暴雨强度为</w:t>
            </w:r>
            <w:r>
              <w:rPr>
                <w:rFonts w:hint="eastAsia" w:ascii="Times New Roman" w:hAnsi="Times New Roman" w:eastAsia="宋体" w:cs="Times New Roman"/>
                <w:color w:val="auto"/>
                <w:spacing w:val="0"/>
                <w:kern w:val="21"/>
                <w:sz w:val="24"/>
                <w:highlight w:val="none"/>
                <w:lang w:val="en-US" w:eastAsia="zh-CN"/>
              </w:rPr>
              <w:t>239.74</w:t>
            </w:r>
            <w:r>
              <w:rPr>
                <w:rFonts w:hint="default" w:ascii="Times New Roman" w:hAnsi="Times New Roman" w:eastAsia="宋体" w:cs="Times New Roman"/>
                <w:color w:val="auto"/>
                <w:spacing w:val="0"/>
                <w:kern w:val="21"/>
                <w:sz w:val="24"/>
                <w:highlight w:val="none"/>
              </w:rPr>
              <w:t>L/（</w:t>
            </w:r>
            <w:r>
              <w:rPr>
                <w:rFonts w:hint="eastAsia" w:ascii="Times New Roman" w:hAnsi="Times New Roman" w:eastAsia="宋体" w:cs="Times New Roman"/>
                <w:color w:val="auto"/>
                <w:spacing w:val="0"/>
                <w:kern w:val="21"/>
                <w:sz w:val="24"/>
                <w:highlight w:val="none"/>
                <w:lang w:val="en-US" w:eastAsia="zh-CN"/>
              </w:rPr>
              <w:t>s</w:t>
            </w:r>
            <w:r>
              <w:rPr>
                <w:rFonts w:hint="default" w:ascii="Times New Roman" w:hAnsi="Times New Roman" w:eastAsia="宋体" w:cs="Times New Roman"/>
                <w:color w:val="auto"/>
                <w:spacing w:val="0"/>
                <w:kern w:val="21"/>
                <w:sz w:val="24"/>
                <w:highlight w:val="none"/>
              </w:rPr>
              <w:t>·ha），雨水流量</w:t>
            </w:r>
            <w:r>
              <w:rPr>
                <w:rFonts w:hint="eastAsia" w:ascii="Times New Roman" w:hAnsi="Times New Roman" w:eastAsia="宋体" w:cs="Times New Roman"/>
                <w:color w:val="auto"/>
                <w:spacing w:val="0"/>
                <w:kern w:val="21"/>
                <w:sz w:val="24"/>
                <w:highlight w:val="none"/>
                <w:lang w:val="en-US" w:eastAsia="zh-CN"/>
              </w:rPr>
              <w:t>64.73</w:t>
            </w:r>
            <w:r>
              <w:rPr>
                <w:rFonts w:hint="default" w:ascii="Times New Roman" w:hAnsi="Times New Roman" w:eastAsia="宋体" w:cs="Times New Roman"/>
                <w:color w:val="auto"/>
                <w:spacing w:val="0"/>
                <w:kern w:val="21"/>
                <w:sz w:val="24"/>
                <w:highlight w:val="none"/>
              </w:rPr>
              <w:t>L/</w:t>
            </w:r>
            <w:r>
              <w:rPr>
                <w:rFonts w:hint="eastAsia" w:ascii="Times New Roman" w:hAnsi="Times New Roman" w:eastAsia="宋体" w:cs="Times New Roman"/>
                <w:color w:val="auto"/>
                <w:spacing w:val="0"/>
                <w:kern w:val="21"/>
                <w:sz w:val="24"/>
                <w:highlight w:val="none"/>
                <w:lang w:val="en-US" w:eastAsia="zh-CN"/>
              </w:rPr>
              <w:t>s</w:t>
            </w:r>
            <w:r>
              <w:rPr>
                <w:rFonts w:hint="default" w:ascii="Times New Roman" w:hAnsi="Times New Roman" w:eastAsia="宋体" w:cs="Times New Roman"/>
                <w:color w:val="auto"/>
                <w:spacing w:val="0"/>
                <w:kern w:val="21"/>
                <w:sz w:val="24"/>
                <w:highlight w:val="none"/>
              </w:rPr>
              <w:t>，换算得到初期雨水量为</w:t>
            </w:r>
            <w:r>
              <w:rPr>
                <w:rFonts w:hint="eastAsia" w:ascii="Times New Roman" w:hAnsi="Times New Roman" w:eastAsia="宋体" w:cs="Times New Roman"/>
                <w:color w:val="auto"/>
                <w:spacing w:val="0"/>
                <w:kern w:val="21"/>
                <w:sz w:val="24"/>
                <w:highlight w:val="none"/>
                <w:lang w:val="en-US" w:eastAsia="zh-CN"/>
              </w:rPr>
              <w:t>58.257</w:t>
            </w:r>
            <w:r>
              <w:rPr>
                <w:rFonts w:hint="default" w:ascii="Times New Roman" w:hAnsi="Times New Roman" w:eastAsia="宋体" w:cs="Times New Roman"/>
                <w:color w:val="auto"/>
                <w:spacing w:val="0"/>
                <w:kern w:val="21"/>
                <w:sz w:val="24"/>
                <w:highlight w:val="none"/>
              </w:rPr>
              <w:t>m</w:t>
            </w:r>
            <w:r>
              <w:rPr>
                <w:rFonts w:hint="default" w:ascii="Times New Roman" w:hAnsi="Times New Roman" w:eastAsia="宋体" w:cs="Times New Roman"/>
                <w:color w:val="auto"/>
                <w:spacing w:val="0"/>
                <w:kern w:val="21"/>
                <w:sz w:val="24"/>
                <w:highlight w:val="none"/>
                <w:vertAlign w:val="superscript"/>
              </w:rPr>
              <w:t>3</w:t>
            </w:r>
            <w:r>
              <w:rPr>
                <w:rFonts w:hint="default" w:ascii="Times New Roman" w:hAnsi="Times New Roman" w:eastAsia="宋体" w:cs="Times New Roman"/>
                <w:color w:val="auto"/>
                <w:spacing w:val="0"/>
                <w:kern w:val="21"/>
                <w:sz w:val="24"/>
                <w:highlight w:val="none"/>
              </w:rPr>
              <w:t>/次，</w:t>
            </w:r>
            <w:r>
              <w:rPr>
                <w:rFonts w:hint="eastAsia" w:ascii="Times New Roman" w:hAnsi="Times New Roman" w:eastAsia="宋体" w:cs="Times New Roman"/>
                <w:color w:val="auto"/>
                <w:spacing w:val="0"/>
                <w:kern w:val="21"/>
                <w:sz w:val="24"/>
                <w:highlight w:val="none"/>
                <w:lang w:val="en-US" w:eastAsia="zh-CN"/>
              </w:rPr>
              <w:t>233.02</w:t>
            </w:r>
            <w:r>
              <w:rPr>
                <w:rFonts w:hint="default" w:ascii="Times New Roman" w:hAnsi="Times New Roman" w:eastAsia="宋体" w:cs="Times New Roman"/>
                <w:color w:val="auto"/>
                <w:spacing w:val="0"/>
                <w:kern w:val="21"/>
                <w:sz w:val="24"/>
                <w:highlight w:val="none"/>
              </w:rPr>
              <w:t>m</w:t>
            </w:r>
            <w:r>
              <w:rPr>
                <w:rFonts w:hint="default" w:ascii="Times New Roman" w:hAnsi="Times New Roman" w:eastAsia="宋体" w:cs="Times New Roman"/>
                <w:color w:val="auto"/>
                <w:spacing w:val="0"/>
                <w:kern w:val="21"/>
                <w:sz w:val="24"/>
                <w:highlight w:val="none"/>
                <w:vertAlign w:val="superscript"/>
              </w:rPr>
              <w:t>3</w:t>
            </w:r>
            <w:r>
              <w:rPr>
                <w:rFonts w:hint="default" w:ascii="Times New Roman" w:hAnsi="Times New Roman" w:eastAsia="宋体" w:cs="Times New Roman"/>
                <w:color w:val="auto"/>
                <w:spacing w:val="0"/>
                <w:kern w:val="21"/>
                <w:sz w:val="24"/>
                <w:highlight w:val="none"/>
              </w:rPr>
              <w:t>/h。项目地区暴雨次数按18次计算，因此，初期雨水产生量约为</w:t>
            </w:r>
            <w:r>
              <w:rPr>
                <w:rFonts w:hint="eastAsia" w:ascii="Times New Roman" w:hAnsi="Times New Roman" w:eastAsia="宋体" w:cs="Times New Roman"/>
                <w:color w:val="auto"/>
                <w:spacing w:val="0"/>
                <w:kern w:val="21"/>
                <w:sz w:val="24"/>
                <w:highlight w:val="none"/>
                <w:lang w:val="en-US" w:eastAsia="zh-CN"/>
              </w:rPr>
              <w:t>1048.626</w:t>
            </w:r>
            <w:r>
              <w:rPr>
                <w:rFonts w:hint="default" w:ascii="Times New Roman" w:hAnsi="Times New Roman" w:eastAsia="宋体" w:cs="Times New Roman"/>
                <w:color w:val="auto"/>
                <w:spacing w:val="0"/>
                <w:kern w:val="21"/>
                <w:sz w:val="24"/>
                <w:highlight w:val="none"/>
              </w:rPr>
              <w:t>m</w:t>
            </w:r>
            <w:r>
              <w:rPr>
                <w:rFonts w:hint="default" w:ascii="Times New Roman" w:hAnsi="Times New Roman" w:eastAsia="宋体" w:cs="Times New Roman"/>
                <w:color w:val="auto"/>
                <w:spacing w:val="0"/>
                <w:kern w:val="21"/>
                <w:sz w:val="24"/>
                <w:highlight w:val="none"/>
                <w:vertAlign w:val="superscript"/>
              </w:rPr>
              <w:t>3</w:t>
            </w:r>
            <w:r>
              <w:rPr>
                <w:rFonts w:hint="default" w:ascii="Times New Roman" w:hAnsi="Times New Roman" w:eastAsia="宋体" w:cs="Times New Roman"/>
                <w:color w:val="auto"/>
                <w:spacing w:val="0"/>
                <w:kern w:val="21"/>
                <w:sz w:val="24"/>
                <w:highlight w:val="none"/>
              </w:rPr>
              <w:t>/a。</w:t>
            </w:r>
            <w:r>
              <w:rPr>
                <w:rFonts w:hint="default" w:ascii="Times New Roman" w:hAnsi="Times New Roman" w:eastAsia="宋体" w:cs="Times New Roman"/>
                <w:spacing w:val="0"/>
                <w:kern w:val="21"/>
                <w:sz w:val="24"/>
                <w:highlight w:val="none"/>
              </w:rPr>
              <w:t>初期雨水</w:t>
            </w:r>
            <w:r>
              <w:rPr>
                <w:rFonts w:hint="default" w:ascii="Times New Roman" w:hAnsi="Times New Roman" w:eastAsia="宋体" w:cs="Times New Roman"/>
                <w:color w:val="000000"/>
                <w:kern w:val="2"/>
                <w:sz w:val="24"/>
                <w:szCs w:val="24"/>
                <w:highlight w:val="none"/>
                <w:u w:val="none" w:color="auto"/>
                <w:lang w:val="en-US" w:eastAsia="zh-CN" w:bidi="ar-SA"/>
              </w:rPr>
              <w:t>通过厂区</w:t>
            </w:r>
            <w:r>
              <w:rPr>
                <w:rFonts w:hint="eastAsia" w:cs="Times New Roman"/>
                <w:color w:val="000000"/>
                <w:kern w:val="2"/>
                <w:sz w:val="24"/>
                <w:szCs w:val="24"/>
                <w:highlight w:val="none"/>
                <w:u w:val="none" w:color="auto"/>
                <w:lang w:val="en-US" w:eastAsia="zh-CN" w:bidi="ar-SA"/>
              </w:rPr>
              <w:t>内</w:t>
            </w:r>
            <w:r>
              <w:rPr>
                <w:rFonts w:hint="default" w:ascii="Times New Roman" w:hAnsi="Times New Roman" w:eastAsia="宋体" w:cs="Times New Roman"/>
                <w:color w:val="000000"/>
                <w:kern w:val="2"/>
                <w:sz w:val="24"/>
                <w:szCs w:val="24"/>
                <w:highlight w:val="none"/>
                <w:u w:val="none" w:color="auto"/>
                <w:lang w:val="en-US" w:eastAsia="zh-CN" w:bidi="ar-SA"/>
              </w:rPr>
              <w:t>修建</w:t>
            </w:r>
            <w:r>
              <w:rPr>
                <w:rFonts w:hint="eastAsia" w:cs="Times New Roman"/>
                <w:color w:val="000000"/>
                <w:kern w:val="2"/>
                <w:sz w:val="24"/>
                <w:szCs w:val="24"/>
                <w:highlight w:val="none"/>
                <w:u w:val="none" w:color="auto"/>
                <w:lang w:val="en-US" w:eastAsia="zh-CN" w:bidi="ar-SA"/>
              </w:rPr>
              <w:t>的</w:t>
            </w:r>
            <w:r>
              <w:rPr>
                <w:rFonts w:hint="default" w:ascii="Times New Roman" w:hAnsi="Times New Roman" w:eastAsia="宋体" w:cs="Times New Roman"/>
                <w:color w:val="000000"/>
                <w:kern w:val="2"/>
                <w:sz w:val="24"/>
                <w:szCs w:val="24"/>
                <w:highlight w:val="none"/>
                <w:u w:val="none" w:color="auto"/>
                <w:lang w:val="en-US" w:eastAsia="zh-CN" w:bidi="ar-SA"/>
              </w:rPr>
              <w:t>雨水收集沟入初期雨水池（</w:t>
            </w:r>
            <w:r>
              <w:rPr>
                <w:rFonts w:hint="eastAsia" w:cs="Times New Roman"/>
                <w:color w:val="000000"/>
                <w:kern w:val="2"/>
                <w:sz w:val="24"/>
                <w:szCs w:val="24"/>
                <w:highlight w:val="none"/>
                <w:u w:val="none" w:color="auto"/>
                <w:lang w:val="en-US" w:eastAsia="zh-CN" w:bidi="ar-SA"/>
              </w:rPr>
              <w:t>60</w:t>
            </w:r>
            <w:r>
              <w:rPr>
                <w:rFonts w:hint="default" w:ascii="Times New Roman" w:hAnsi="Times New Roman" w:eastAsia="宋体" w:cs="Times New Roman"/>
                <w:color w:val="000000"/>
                <w:kern w:val="2"/>
                <w:sz w:val="24"/>
                <w:szCs w:val="24"/>
                <w:highlight w:val="none"/>
                <w:u w:val="none" w:color="auto"/>
                <w:lang w:val="en-US" w:eastAsia="zh-CN" w:bidi="ar-SA"/>
              </w:rPr>
              <w:t>m</w:t>
            </w:r>
            <w:r>
              <w:rPr>
                <w:rFonts w:hint="default" w:ascii="Times New Roman" w:hAnsi="Times New Roman" w:eastAsia="宋体" w:cs="Times New Roman"/>
                <w:color w:val="000000"/>
                <w:kern w:val="2"/>
                <w:sz w:val="24"/>
                <w:szCs w:val="24"/>
                <w:highlight w:val="none"/>
                <w:u w:val="none" w:color="auto"/>
                <w:vertAlign w:val="superscript"/>
                <w:lang w:val="en-US" w:eastAsia="zh-CN" w:bidi="ar-SA"/>
              </w:rPr>
              <w:t>3</w:t>
            </w:r>
            <w:r>
              <w:rPr>
                <w:rFonts w:hint="default" w:ascii="Times New Roman" w:hAnsi="Times New Roman" w:eastAsia="宋体" w:cs="Times New Roman"/>
                <w:color w:val="000000"/>
                <w:kern w:val="2"/>
                <w:sz w:val="24"/>
                <w:szCs w:val="24"/>
                <w:highlight w:val="none"/>
                <w:u w:val="none" w:color="auto"/>
                <w:lang w:val="en-US" w:eastAsia="zh-CN" w:bidi="ar-SA"/>
              </w:rPr>
              <w:t>），初期雨水经停留沉淀处理后回用于生产，不外排</w:t>
            </w:r>
            <w:r>
              <w:rPr>
                <w:rFonts w:hint="default" w:ascii="Times New Roman" w:hAnsi="Times New Roman" w:eastAsia="宋体" w:cs="Times New Roman"/>
                <w:bCs/>
                <w:spacing w:val="0"/>
                <w:kern w:val="21"/>
                <w:sz w:val="24"/>
                <w:szCs w:val="24"/>
                <w:u w:val="none" w:color="auto"/>
              </w:rPr>
              <w:t>。</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70" w:firstLineChars="196"/>
              <w:textAlignment w:val="auto"/>
              <w:rPr>
                <w:rFonts w:hint="eastAsia" w:ascii="宋体" w:hAnsi="宋体" w:eastAsia="宋体" w:cs="宋体"/>
                <w:color w:val="000000" w:themeColor="text1"/>
                <w:sz w:val="24"/>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综上，本项目运营期</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生产用水量约98189</w:t>
            </w:r>
            <w:r>
              <w:rPr>
                <w:rFonts w:hint="default" w:ascii="Times New Roman" w:hAnsi="Times New Roman" w:eastAsia="宋体" w:cs="Times New Roman"/>
                <w:color w:val="auto"/>
                <w:spacing w:val="0"/>
                <w:kern w:val="21"/>
                <w:sz w:val="24"/>
                <w:highlight w:val="none"/>
              </w:rPr>
              <w:t>m</w:t>
            </w:r>
            <w:r>
              <w:rPr>
                <w:rFonts w:hint="default" w:ascii="Times New Roman" w:hAnsi="Times New Roman" w:eastAsia="宋体" w:cs="Times New Roman"/>
                <w:color w:val="auto"/>
                <w:spacing w:val="0"/>
                <w:kern w:val="21"/>
                <w:sz w:val="24"/>
                <w:highlight w:val="none"/>
                <w:vertAlign w:val="superscript"/>
              </w:rPr>
              <w:t>3</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/a</w:t>
            </w:r>
            <w:r>
              <w:rPr>
                <w:rFonts w:hint="eastAsia"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生产废水产生总量约</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2520</w:t>
            </w:r>
            <w:r>
              <w:rPr>
                <w:rFonts w:hint="default" w:ascii="Times New Roman" w:hAnsi="Times New Roman" w:eastAsia="宋体" w:cs="Times New Roman"/>
                <w:color w:val="auto"/>
                <w:spacing w:val="0"/>
                <w:kern w:val="21"/>
                <w:sz w:val="24"/>
                <w:highlight w:val="none"/>
              </w:rPr>
              <w:t>m</w:t>
            </w:r>
            <w:r>
              <w:rPr>
                <w:rFonts w:hint="default" w:ascii="Times New Roman" w:hAnsi="Times New Roman" w:eastAsia="宋体" w:cs="Times New Roman"/>
                <w:color w:val="auto"/>
                <w:spacing w:val="0"/>
                <w:kern w:val="21"/>
                <w:sz w:val="24"/>
                <w:highlight w:val="none"/>
                <w:vertAlign w:val="superscript"/>
              </w:rPr>
              <w:t>3</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/a，该部分废水经沉淀池处理后回用于生产。</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80" w:firstLineChars="200"/>
              <w:textAlignment w:val="auto"/>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项目</w:t>
            </w:r>
            <w:r>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废水产生及排放见下表</w:t>
            </w:r>
            <w:r>
              <w:rPr>
                <w:rFonts w:hint="eastAsia"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w:t>
            </w:r>
          </w:p>
          <w:p>
            <w:pPr>
              <w:spacing w:line="240" w:lineRule="auto"/>
              <w:jc w:val="cente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表</w:t>
            </w:r>
            <w:r>
              <w:rPr>
                <w:rFonts w:hint="eastAsia"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w:t>
            </w:r>
            <w:r>
              <w:rPr>
                <w:rFonts w:hint="eastAsia"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 xml:space="preserve"> 项目废水产生及排放情况一览表（pH无量纲）</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1354"/>
              <w:gridCol w:w="1407"/>
              <w:gridCol w:w="1789"/>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noWrap w:val="0"/>
                  <w:vAlign w:val="center"/>
                </w:tcPr>
                <w:p>
                  <w:pPr>
                    <w:pStyle w:val="57"/>
                    <w:bidi w:val="0"/>
                    <w:rPr>
                      <w:rFonts w:hint="default"/>
                      <w:lang w:val="en-US" w:eastAsia="zh-CN"/>
                    </w:rPr>
                  </w:pPr>
                  <w:r>
                    <w:rPr>
                      <w:rFonts w:hint="default"/>
                      <w:lang w:val="en-US" w:eastAsia="zh-CN"/>
                    </w:rPr>
                    <w:t>废水来源</w:t>
                  </w:r>
                </w:p>
              </w:tc>
              <w:tc>
                <w:tcPr>
                  <w:tcW w:w="819" w:type="pct"/>
                  <w:noWrap w:val="0"/>
                  <w:vAlign w:val="center"/>
                </w:tcPr>
                <w:p>
                  <w:pPr>
                    <w:pStyle w:val="57"/>
                    <w:bidi w:val="0"/>
                    <w:rPr>
                      <w:rFonts w:hint="default"/>
                      <w:lang w:val="en-US" w:eastAsia="zh-CN"/>
                    </w:rPr>
                  </w:pPr>
                  <w:r>
                    <w:rPr>
                      <w:rFonts w:hint="default"/>
                      <w:lang w:val="en-US" w:eastAsia="zh-CN"/>
                    </w:rPr>
                    <w:t>产生量（</w:t>
                  </w:r>
                  <w:r>
                    <w:rPr>
                      <w:rFonts w:hint="eastAsia"/>
                      <w:lang w:val="en-US" w:eastAsia="zh-CN"/>
                    </w:rPr>
                    <w:t>m</w:t>
                  </w:r>
                  <w:r>
                    <w:rPr>
                      <w:rFonts w:hint="default" w:ascii="Times New Roman" w:hAnsi="Times New Roman" w:cs="Times New Roman"/>
                      <w:lang w:val="en-US" w:eastAsia="zh-CN"/>
                    </w:rPr>
                    <w:t>³</w:t>
                  </w:r>
                  <w:r>
                    <w:rPr>
                      <w:rFonts w:hint="default"/>
                      <w:lang w:val="en-US" w:eastAsia="zh-CN"/>
                    </w:rPr>
                    <w:t>/a）</w:t>
                  </w:r>
                </w:p>
              </w:tc>
              <w:tc>
                <w:tcPr>
                  <w:tcW w:w="851" w:type="pct"/>
                  <w:noWrap w:val="0"/>
                  <w:vAlign w:val="center"/>
                </w:tcPr>
                <w:p>
                  <w:pPr>
                    <w:pStyle w:val="57"/>
                    <w:bidi w:val="0"/>
                    <w:rPr>
                      <w:rFonts w:hint="default"/>
                      <w:lang w:val="en-US" w:eastAsia="zh-CN"/>
                    </w:rPr>
                  </w:pPr>
                  <w:r>
                    <w:rPr>
                      <w:rFonts w:hint="default"/>
                      <w:lang w:val="en-US" w:eastAsia="zh-CN"/>
                    </w:rPr>
                    <w:t>污染物</w:t>
                  </w:r>
                </w:p>
              </w:tc>
              <w:tc>
                <w:tcPr>
                  <w:tcW w:w="1082" w:type="pct"/>
                  <w:noWrap w:val="0"/>
                  <w:vAlign w:val="center"/>
                </w:tcPr>
                <w:p>
                  <w:pPr>
                    <w:pStyle w:val="57"/>
                    <w:bidi w:val="0"/>
                    <w:rPr>
                      <w:rFonts w:hint="default"/>
                      <w:lang w:val="en-US" w:eastAsia="zh-CN"/>
                    </w:rPr>
                  </w:pPr>
                  <w:r>
                    <w:rPr>
                      <w:rFonts w:hint="default"/>
                      <w:lang w:val="en-US" w:eastAsia="zh-CN"/>
                    </w:rPr>
                    <w:t>产生浓度</w:t>
                  </w:r>
                </w:p>
              </w:tc>
              <w:tc>
                <w:tcPr>
                  <w:tcW w:w="1371" w:type="pct"/>
                  <w:noWrap w:val="0"/>
                  <w:vAlign w:val="center"/>
                </w:tcPr>
                <w:p>
                  <w:pPr>
                    <w:pStyle w:val="57"/>
                    <w:bidi w:val="0"/>
                    <w:rPr>
                      <w:rFonts w:hint="default"/>
                      <w:lang w:val="en-US" w:eastAsia="zh-CN"/>
                    </w:rPr>
                  </w:pPr>
                  <w:r>
                    <w:rPr>
                      <w:rFonts w:hint="default"/>
                      <w:lang w:val="en-US" w:eastAsia="zh-CN"/>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noWrap w:val="0"/>
                  <w:vAlign w:val="center"/>
                </w:tcPr>
                <w:p>
                  <w:pPr>
                    <w:pStyle w:val="57"/>
                    <w:bidi w:val="0"/>
                    <w:rPr>
                      <w:rFonts w:hint="default"/>
                      <w:lang w:val="en-US" w:eastAsia="zh-CN"/>
                    </w:rPr>
                  </w:pPr>
                  <w:r>
                    <w:rPr>
                      <w:rFonts w:hint="default"/>
                    </w:rPr>
                    <w:t>运输车辆清洗废水</w:t>
                  </w:r>
                </w:p>
              </w:tc>
              <w:tc>
                <w:tcPr>
                  <w:tcW w:w="819" w:type="pct"/>
                  <w:noWrap w:val="0"/>
                  <w:vAlign w:val="center"/>
                </w:tcPr>
                <w:p>
                  <w:pPr>
                    <w:pStyle w:val="57"/>
                    <w:bidi w:val="0"/>
                    <w:rPr>
                      <w:rFonts w:hint="default"/>
                      <w:lang w:val="en-US" w:eastAsia="zh-CN"/>
                    </w:rPr>
                  </w:pPr>
                  <w:r>
                    <w:rPr>
                      <w:rFonts w:hint="eastAsia"/>
                      <w:lang w:val="en-US" w:eastAsia="zh-CN"/>
                    </w:rPr>
                    <w:t>1440</w:t>
                  </w:r>
                </w:p>
              </w:tc>
              <w:tc>
                <w:tcPr>
                  <w:tcW w:w="851" w:type="pct"/>
                  <w:noWrap w:val="0"/>
                  <w:vAlign w:val="center"/>
                </w:tcPr>
                <w:p>
                  <w:pPr>
                    <w:pStyle w:val="57"/>
                    <w:bidi w:val="0"/>
                    <w:rPr>
                      <w:rFonts w:hint="default"/>
                      <w:lang w:val="en-US" w:eastAsia="zh-CN"/>
                    </w:rPr>
                  </w:pPr>
                  <w:r>
                    <w:rPr>
                      <w:rFonts w:hint="default"/>
                      <w:lang w:val="en-US" w:eastAsia="zh-CN"/>
                    </w:rPr>
                    <w:t>SS</w:t>
                  </w:r>
                </w:p>
              </w:tc>
              <w:tc>
                <w:tcPr>
                  <w:tcW w:w="1082" w:type="pct"/>
                  <w:noWrap w:val="0"/>
                  <w:vAlign w:val="center"/>
                </w:tcPr>
                <w:p>
                  <w:pPr>
                    <w:pStyle w:val="57"/>
                    <w:bidi w:val="0"/>
                    <w:rPr>
                      <w:rFonts w:hint="default"/>
                      <w:lang w:val="en-US" w:eastAsia="zh-CN"/>
                    </w:rPr>
                  </w:pPr>
                  <w:r>
                    <w:rPr>
                      <w:rFonts w:hint="default"/>
                      <w:lang w:val="en-US" w:eastAsia="zh-CN"/>
                    </w:rPr>
                    <w:t>1500mg/L</w:t>
                  </w:r>
                </w:p>
              </w:tc>
              <w:tc>
                <w:tcPr>
                  <w:tcW w:w="1371" w:type="pct"/>
                  <w:vMerge w:val="restart"/>
                  <w:noWrap w:val="0"/>
                  <w:vAlign w:val="center"/>
                </w:tcPr>
                <w:p>
                  <w:pPr>
                    <w:pStyle w:val="57"/>
                    <w:bidi w:val="0"/>
                    <w:rPr>
                      <w:rFonts w:hint="default"/>
                      <w:lang w:val="en-US" w:eastAsia="zh-CN"/>
                    </w:rPr>
                  </w:pPr>
                  <w:r>
                    <w:rPr>
                      <w:rFonts w:hint="default"/>
                      <w:lang w:val="en-US" w:eastAsia="zh-CN"/>
                    </w:rPr>
                    <w:t>该部分废水经沉淀池处理后回用于生产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noWrap w:val="0"/>
                  <w:vAlign w:val="center"/>
                </w:tcPr>
                <w:p>
                  <w:pPr>
                    <w:pStyle w:val="57"/>
                    <w:bidi w:val="0"/>
                    <w:rPr>
                      <w:rFonts w:hint="default"/>
                    </w:rPr>
                  </w:pPr>
                  <w:r>
                    <w:rPr>
                      <w:rFonts w:hint="default"/>
                    </w:rPr>
                    <w:t>作业区地面清洗废水</w:t>
                  </w:r>
                </w:p>
              </w:tc>
              <w:tc>
                <w:tcPr>
                  <w:tcW w:w="819" w:type="pct"/>
                  <w:noWrap w:val="0"/>
                  <w:vAlign w:val="center"/>
                </w:tcPr>
                <w:p>
                  <w:pPr>
                    <w:pStyle w:val="57"/>
                    <w:bidi w:val="0"/>
                    <w:rPr>
                      <w:rFonts w:hint="default"/>
                      <w:lang w:val="en-US" w:eastAsia="zh-CN"/>
                    </w:rPr>
                  </w:pPr>
                  <w:r>
                    <w:rPr>
                      <w:rFonts w:hint="default"/>
                      <w:lang w:val="en-US" w:eastAsia="zh-CN"/>
                    </w:rPr>
                    <w:t>2160</w:t>
                  </w:r>
                </w:p>
              </w:tc>
              <w:tc>
                <w:tcPr>
                  <w:tcW w:w="851" w:type="pct"/>
                  <w:noWrap w:val="0"/>
                  <w:vAlign w:val="center"/>
                </w:tcPr>
                <w:p>
                  <w:pPr>
                    <w:pStyle w:val="57"/>
                    <w:bidi w:val="0"/>
                    <w:rPr>
                      <w:rFonts w:hint="default"/>
                      <w:lang w:val="en-US" w:eastAsia="zh-CN"/>
                    </w:rPr>
                  </w:pPr>
                  <w:r>
                    <w:rPr>
                      <w:rFonts w:hint="default"/>
                      <w:lang w:val="en-US" w:eastAsia="zh-CN"/>
                    </w:rPr>
                    <w:t>SS</w:t>
                  </w:r>
                </w:p>
              </w:tc>
              <w:tc>
                <w:tcPr>
                  <w:tcW w:w="1082" w:type="pct"/>
                  <w:noWrap w:val="0"/>
                  <w:vAlign w:val="center"/>
                </w:tcPr>
                <w:p>
                  <w:pPr>
                    <w:pStyle w:val="57"/>
                    <w:bidi w:val="0"/>
                    <w:rPr>
                      <w:rFonts w:hint="default"/>
                      <w:lang w:val="en-US" w:eastAsia="zh-CN"/>
                    </w:rPr>
                  </w:pPr>
                  <w:r>
                    <w:rPr>
                      <w:rFonts w:hint="default"/>
                      <w:lang w:val="en-US" w:eastAsia="zh-CN"/>
                    </w:rPr>
                    <w:t>1000mg/L</w:t>
                  </w:r>
                </w:p>
              </w:tc>
              <w:tc>
                <w:tcPr>
                  <w:tcW w:w="1371" w:type="pct"/>
                  <w:vMerge w:val="continue"/>
                  <w:noWrap w:val="0"/>
                  <w:vAlign w:val="center"/>
                </w:tcPr>
                <w:p>
                  <w:pPr>
                    <w:pStyle w:val="57"/>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noWrap w:val="0"/>
                  <w:vAlign w:val="center"/>
                </w:tcPr>
                <w:p>
                  <w:pPr>
                    <w:pStyle w:val="57"/>
                    <w:bidi w:val="0"/>
                    <w:rPr>
                      <w:rFonts w:hint="default"/>
                      <w:lang w:val="en-US" w:eastAsia="zh-CN"/>
                    </w:rPr>
                  </w:pPr>
                  <w:r>
                    <w:rPr>
                      <w:rFonts w:hint="default"/>
                      <w:lang w:val="en-US" w:eastAsia="zh-CN"/>
                    </w:rPr>
                    <w:t>初期雨水</w:t>
                  </w:r>
                </w:p>
              </w:tc>
              <w:tc>
                <w:tcPr>
                  <w:tcW w:w="819" w:type="pct"/>
                  <w:noWrap w:val="0"/>
                  <w:vAlign w:val="center"/>
                </w:tcPr>
                <w:p>
                  <w:pPr>
                    <w:pStyle w:val="57"/>
                    <w:bidi w:val="0"/>
                    <w:rPr>
                      <w:rFonts w:hint="default"/>
                      <w:lang w:val="en-US" w:eastAsia="zh-CN"/>
                    </w:rPr>
                  </w:pPr>
                  <w:r>
                    <w:rPr>
                      <w:rFonts w:hint="default"/>
                      <w:lang w:val="en-US" w:eastAsia="zh-CN"/>
                    </w:rPr>
                    <w:t>1048.626</w:t>
                  </w:r>
                </w:p>
              </w:tc>
              <w:tc>
                <w:tcPr>
                  <w:tcW w:w="851" w:type="pct"/>
                  <w:noWrap w:val="0"/>
                  <w:vAlign w:val="center"/>
                </w:tcPr>
                <w:p>
                  <w:pPr>
                    <w:pStyle w:val="57"/>
                    <w:bidi w:val="0"/>
                    <w:rPr>
                      <w:rFonts w:hint="default"/>
                      <w:lang w:val="en-US" w:eastAsia="zh-CN"/>
                    </w:rPr>
                  </w:pPr>
                  <w:r>
                    <w:rPr>
                      <w:rFonts w:hint="default"/>
                      <w:lang w:val="en-US" w:eastAsia="zh-CN"/>
                    </w:rPr>
                    <w:t>SS</w:t>
                  </w:r>
                </w:p>
              </w:tc>
              <w:tc>
                <w:tcPr>
                  <w:tcW w:w="1082" w:type="pct"/>
                  <w:noWrap w:val="0"/>
                  <w:vAlign w:val="center"/>
                </w:tcPr>
                <w:p>
                  <w:pPr>
                    <w:pStyle w:val="57"/>
                    <w:bidi w:val="0"/>
                    <w:rPr>
                      <w:rFonts w:hint="default"/>
                      <w:lang w:val="en-US" w:eastAsia="zh-CN"/>
                    </w:rPr>
                  </w:pPr>
                  <w:r>
                    <w:rPr>
                      <w:rFonts w:hint="default"/>
                      <w:lang w:val="en-US" w:eastAsia="zh-CN"/>
                    </w:rPr>
                    <w:t>1000mg/L</w:t>
                  </w:r>
                </w:p>
              </w:tc>
              <w:tc>
                <w:tcPr>
                  <w:tcW w:w="1371" w:type="pct"/>
                  <w:vMerge w:val="continue"/>
                  <w:noWrap w:val="0"/>
                  <w:vAlign w:val="center"/>
                </w:tcPr>
                <w:p>
                  <w:pPr>
                    <w:pStyle w:val="57"/>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vMerge w:val="restart"/>
                  <w:noWrap w:val="0"/>
                  <w:vAlign w:val="center"/>
                </w:tcPr>
                <w:p>
                  <w:pPr>
                    <w:pStyle w:val="57"/>
                    <w:bidi w:val="0"/>
                    <w:rPr>
                      <w:rFonts w:hint="default"/>
                      <w:lang w:val="en-US" w:eastAsia="zh-CN"/>
                    </w:rPr>
                  </w:pPr>
                  <w:r>
                    <w:rPr>
                      <w:rFonts w:hint="default"/>
                      <w:lang w:val="en-US" w:eastAsia="zh-CN"/>
                    </w:rPr>
                    <w:t>生活污水</w:t>
                  </w:r>
                </w:p>
              </w:tc>
              <w:tc>
                <w:tcPr>
                  <w:tcW w:w="819" w:type="pct"/>
                  <w:vMerge w:val="restart"/>
                  <w:noWrap w:val="0"/>
                  <w:vAlign w:val="center"/>
                </w:tcPr>
                <w:p>
                  <w:pPr>
                    <w:pStyle w:val="57"/>
                    <w:bidi w:val="0"/>
                    <w:rPr>
                      <w:rFonts w:hint="default"/>
                      <w:lang w:val="en-US" w:eastAsia="zh-CN"/>
                    </w:rPr>
                  </w:pPr>
                  <w:r>
                    <w:rPr>
                      <w:rFonts w:hint="default"/>
                      <w:lang w:val="en-US" w:eastAsia="zh-CN"/>
                    </w:rPr>
                    <w:t>1411.2</w:t>
                  </w:r>
                </w:p>
              </w:tc>
              <w:tc>
                <w:tcPr>
                  <w:tcW w:w="851" w:type="pct"/>
                  <w:noWrap w:val="0"/>
                  <w:vAlign w:val="center"/>
                </w:tcPr>
                <w:p>
                  <w:pPr>
                    <w:pStyle w:val="57"/>
                    <w:bidi w:val="0"/>
                    <w:rPr>
                      <w:rFonts w:hint="default"/>
                      <w:lang w:val="en-US" w:eastAsia="zh-CN"/>
                    </w:rPr>
                  </w:pPr>
                  <w:r>
                    <w:rPr>
                      <w:rFonts w:hint="default"/>
                      <w:lang w:val="en-US" w:eastAsia="zh-CN"/>
                    </w:rPr>
                    <w:t>COD</w:t>
                  </w:r>
                </w:p>
              </w:tc>
              <w:tc>
                <w:tcPr>
                  <w:tcW w:w="1082" w:type="pct"/>
                  <w:noWrap w:val="0"/>
                  <w:vAlign w:val="center"/>
                </w:tcPr>
                <w:p>
                  <w:pPr>
                    <w:pStyle w:val="57"/>
                    <w:bidi w:val="0"/>
                    <w:rPr>
                      <w:rFonts w:hint="default"/>
                      <w:lang w:val="en-US" w:eastAsia="zh-CN"/>
                    </w:rPr>
                  </w:pPr>
                  <w:r>
                    <w:rPr>
                      <w:rFonts w:hint="default"/>
                      <w:lang w:val="en-US" w:eastAsia="zh-CN"/>
                    </w:rPr>
                    <w:t>350mg/L</w:t>
                  </w:r>
                </w:p>
              </w:tc>
              <w:tc>
                <w:tcPr>
                  <w:tcW w:w="1371" w:type="pct"/>
                  <w:vMerge w:val="restart"/>
                  <w:noWrap w:val="0"/>
                  <w:vAlign w:val="center"/>
                </w:tcPr>
                <w:p>
                  <w:pPr>
                    <w:pStyle w:val="57"/>
                    <w:bidi w:val="0"/>
                    <w:rPr>
                      <w:rFonts w:hint="default"/>
                      <w:lang w:val="en-US" w:eastAsia="zh-CN"/>
                    </w:rPr>
                  </w:pPr>
                  <w:r>
                    <w:rPr>
                      <w:rFonts w:hint="default"/>
                      <w:lang w:val="en-US" w:eastAsia="zh-CN"/>
                    </w:rPr>
                    <w:t>经</w:t>
                  </w:r>
                  <w:r>
                    <w:rPr>
                      <w:rFonts w:hint="eastAsia"/>
                      <w:lang w:val="en-US" w:eastAsia="zh-CN"/>
                    </w:rPr>
                    <w:t>隔油池+</w:t>
                  </w:r>
                  <w:r>
                    <w:rPr>
                      <w:rFonts w:hint="default"/>
                      <w:lang w:val="en-US" w:eastAsia="zh-CN"/>
                    </w:rPr>
                    <w:t>化粪池处理后用于周边农田施肥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vMerge w:val="continue"/>
                  <w:noWrap w:val="0"/>
                  <w:vAlign w:val="center"/>
                </w:tcPr>
                <w:p>
                  <w:pPr>
                    <w:pStyle w:val="57"/>
                    <w:bidi w:val="0"/>
                    <w:rPr>
                      <w:rFonts w:hint="default"/>
                      <w:lang w:val="en-US" w:eastAsia="zh-CN"/>
                    </w:rPr>
                  </w:pPr>
                </w:p>
              </w:tc>
              <w:tc>
                <w:tcPr>
                  <w:tcW w:w="819" w:type="pct"/>
                  <w:vMerge w:val="continue"/>
                  <w:noWrap w:val="0"/>
                  <w:vAlign w:val="center"/>
                </w:tcPr>
                <w:p>
                  <w:pPr>
                    <w:pStyle w:val="57"/>
                    <w:bidi w:val="0"/>
                    <w:rPr>
                      <w:rFonts w:hint="default"/>
                      <w:lang w:val="en-US" w:eastAsia="zh-CN"/>
                    </w:rPr>
                  </w:pPr>
                </w:p>
              </w:tc>
              <w:tc>
                <w:tcPr>
                  <w:tcW w:w="851" w:type="pct"/>
                  <w:noWrap w:val="0"/>
                  <w:vAlign w:val="center"/>
                </w:tcPr>
                <w:p>
                  <w:pPr>
                    <w:pStyle w:val="57"/>
                    <w:bidi w:val="0"/>
                    <w:rPr>
                      <w:rFonts w:hint="default"/>
                      <w:lang w:val="en-US" w:eastAsia="zh-CN"/>
                    </w:rPr>
                  </w:pPr>
                  <w:r>
                    <w:rPr>
                      <w:rFonts w:hint="default"/>
                      <w:lang w:val="en-US" w:eastAsia="zh-CN"/>
                    </w:rPr>
                    <w:t>BOD</w:t>
                  </w:r>
                  <w:r>
                    <w:rPr>
                      <w:rFonts w:hint="default"/>
                      <w:vertAlign w:val="subscript"/>
                      <w:lang w:val="en-US" w:eastAsia="zh-CN"/>
                    </w:rPr>
                    <w:t>5</w:t>
                  </w:r>
                </w:p>
              </w:tc>
              <w:tc>
                <w:tcPr>
                  <w:tcW w:w="1082" w:type="pct"/>
                  <w:noWrap w:val="0"/>
                  <w:vAlign w:val="center"/>
                </w:tcPr>
                <w:p>
                  <w:pPr>
                    <w:pStyle w:val="57"/>
                    <w:bidi w:val="0"/>
                    <w:rPr>
                      <w:rFonts w:hint="default"/>
                      <w:lang w:val="en-US" w:eastAsia="zh-CN"/>
                    </w:rPr>
                  </w:pPr>
                  <w:r>
                    <w:rPr>
                      <w:rFonts w:hint="default"/>
                      <w:lang w:val="en-US" w:eastAsia="zh-CN"/>
                    </w:rPr>
                    <w:t>2</w:t>
                  </w:r>
                  <w:r>
                    <w:rPr>
                      <w:rFonts w:hint="eastAsia"/>
                      <w:lang w:val="en-US" w:eastAsia="zh-CN"/>
                    </w:rPr>
                    <w:t>0</w:t>
                  </w:r>
                  <w:r>
                    <w:rPr>
                      <w:rFonts w:hint="default"/>
                      <w:lang w:val="en-US" w:eastAsia="zh-CN"/>
                    </w:rPr>
                    <w:t>0mg/L</w:t>
                  </w:r>
                </w:p>
              </w:tc>
              <w:tc>
                <w:tcPr>
                  <w:tcW w:w="1371" w:type="pct"/>
                  <w:vMerge w:val="continue"/>
                  <w:noWrap w:val="0"/>
                  <w:vAlign w:val="center"/>
                </w:tcPr>
                <w:p>
                  <w:pPr>
                    <w:pStyle w:val="57"/>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vMerge w:val="continue"/>
                  <w:noWrap w:val="0"/>
                  <w:vAlign w:val="center"/>
                </w:tcPr>
                <w:p>
                  <w:pPr>
                    <w:pStyle w:val="57"/>
                    <w:bidi w:val="0"/>
                    <w:rPr>
                      <w:rFonts w:hint="default"/>
                      <w:lang w:val="en-US" w:eastAsia="zh-CN"/>
                    </w:rPr>
                  </w:pPr>
                </w:p>
              </w:tc>
              <w:tc>
                <w:tcPr>
                  <w:tcW w:w="819" w:type="pct"/>
                  <w:vMerge w:val="continue"/>
                  <w:noWrap w:val="0"/>
                  <w:vAlign w:val="center"/>
                </w:tcPr>
                <w:p>
                  <w:pPr>
                    <w:pStyle w:val="57"/>
                    <w:bidi w:val="0"/>
                    <w:rPr>
                      <w:rFonts w:hint="default"/>
                      <w:lang w:val="en-US" w:eastAsia="zh-CN"/>
                    </w:rPr>
                  </w:pPr>
                </w:p>
              </w:tc>
              <w:tc>
                <w:tcPr>
                  <w:tcW w:w="851" w:type="pct"/>
                  <w:noWrap w:val="0"/>
                  <w:vAlign w:val="center"/>
                </w:tcPr>
                <w:p>
                  <w:pPr>
                    <w:pStyle w:val="57"/>
                    <w:bidi w:val="0"/>
                    <w:rPr>
                      <w:rFonts w:hint="default"/>
                      <w:lang w:val="en-US" w:eastAsia="zh-CN"/>
                    </w:rPr>
                  </w:pPr>
                  <w:r>
                    <w:rPr>
                      <w:rFonts w:hint="default"/>
                      <w:lang w:val="en-US" w:eastAsia="zh-CN"/>
                    </w:rPr>
                    <w:t>SS</w:t>
                  </w:r>
                </w:p>
              </w:tc>
              <w:tc>
                <w:tcPr>
                  <w:tcW w:w="1082" w:type="pct"/>
                  <w:noWrap w:val="0"/>
                  <w:vAlign w:val="center"/>
                </w:tcPr>
                <w:p>
                  <w:pPr>
                    <w:pStyle w:val="57"/>
                    <w:bidi w:val="0"/>
                    <w:rPr>
                      <w:rFonts w:hint="default"/>
                      <w:lang w:val="en-US" w:eastAsia="zh-CN"/>
                    </w:rPr>
                  </w:pPr>
                  <w:r>
                    <w:rPr>
                      <w:rFonts w:hint="default"/>
                      <w:lang w:val="en-US" w:eastAsia="zh-CN"/>
                    </w:rPr>
                    <w:t>150mg/L</w:t>
                  </w:r>
                </w:p>
              </w:tc>
              <w:tc>
                <w:tcPr>
                  <w:tcW w:w="1371" w:type="pct"/>
                  <w:vMerge w:val="continue"/>
                  <w:noWrap w:val="0"/>
                  <w:vAlign w:val="center"/>
                </w:tcPr>
                <w:p>
                  <w:pPr>
                    <w:pStyle w:val="57"/>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vMerge w:val="continue"/>
                  <w:noWrap w:val="0"/>
                  <w:vAlign w:val="center"/>
                </w:tcPr>
                <w:p>
                  <w:pPr>
                    <w:pStyle w:val="57"/>
                    <w:bidi w:val="0"/>
                    <w:rPr>
                      <w:rFonts w:hint="default"/>
                      <w:lang w:val="en-US" w:eastAsia="zh-CN"/>
                    </w:rPr>
                  </w:pPr>
                </w:p>
              </w:tc>
              <w:tc>
                <w:tcPr>
                  <w:tcW w:w="819" w:type="pct"/>
                  <w:vMerge w:val="continue"/>
                  <w:noWrap w:val="0"/>
                  <w:vAlign w:val="center"/>
                </w:tcPr>
                <w:p>
                  <w:pPr>
                    <w:pStyle w:val="57"/>
                    <w:bidi w:val="0"/>
                    <w:rPr>
                      <w:rFonts w:hint="default"/>
                      <w:lang w:val="en-US" w:eastAsia="zh-CN"/>
                    </w:rPr>
                  </w:pPr>
                </w:p>
              </w:tc>
              <w:tc>
                <w:tcPr>
                  <w:tcW w:w="851" w:type="pct"/>
                  <w:noWrap w:val="0"/>
                  <w:vAlign w:val="center"/>
                </w:tcPr>
                <w:p>
                  <w:pPr>
                    <w:pStyle w:val="57"/>
                    <w:bidi w:val="0"/>
                    <w:rPr>
                      <w:rFonts w:hint="default"/>
                      <w:lang w:val="en-US" w:eastAsia="zh-CN"/>
                    </w:rPr>
                  </w:pPr>
                  <w:r>
                    <w:rPr>
                      <w:rFonts w:hint="default"/>
                      <w:lang w:val="en-US" w:eastAsia="zh-CN"/>
                    </w:rPr>
                    <w:t>NH</w:t>
                  </w:r>
                  <w:r>
                    <w:rPr>
                      <w:rFonts w:hint="default"/>
                      <w:vertAlign w:val="subscript"/>
                      <w:lang w:val="en-US" w:eastAsia="zh-CN"/>
                    </w:rPr>
                    <w:t>3</w:t>
                  </w:r>
                  <w:r>
                    <w:rPr>
                      <w:rFonts w:hint="default"/>
                      <w:lang w:val="en-US" w:eastAsia="zh-CN"/>
                    </w:rPr>
                    <w:t>-N</w:t>
                  </w:r>
                </w:p>
              </w:tc>
              <w:tc>
                <w:tcPr>
                  <w:tcW w:w="1082" w:type="pct"/>
                  <w:noWrap w:val="0"/>
                  <w:vAlign w:val="center"/>
                </w:tcPr>
                <w:p>
                  <w:pPr>
                    <w:pStyle w:val="57"/>
                    <w:bidi w:val="0"/>
                    <w:rPr>
                      <w:rFonts w:hint="default"/>
                      <w:lang w:val="en-US" w:eastAsia="zh-CN"/>
                    </w:rPr>
                  </w:pPr>
                  <w:r>
                    <w:rPr>
                      <w:rFonts w:hint="eastAsia"/>
                      <w:lang w:val="en-US" w:eastAsia="zh-CN"/>
                    </w:rPr>
                    <w:t>4</w:t>
                  </w:r>
                  <w:r>
                    <w:rPr>
                      <w:rFonts w:hint="default"/>
                      <w:lang w:val="en-US" w:eastAsia="zh-CN"/>
                    </w:rPr>
                    <w:t>0mg/L</w:t>
                  </w:r>
                </w:p>
              </w:tc>
              <w:tc>
                <w:tcPr>
                  <w:tcW w:w="1371" w:type="pct"/>
                  <w:vMerge w:val="continue"/>
                  <w:noWrap w:val="0"/>
                  <w:vAlign w:val="center"/>
                </w:tcPr>
                <w:p>
                  <w:pPr>
                    <w:pStyle w:val="57"/>
                    <w:bidi w:val="0"/>
                    <w:rPr>
                      <w:rFonts w:hint="default"/>
                      <w:lang w:val="en-US" w:eastAsia="zh-CN"/>
                    </w:rPr>
                  </w:pPr>
                </w:p>
              </w:tc>
            </w:tr>
          </w:tbl>
          <w:p>
            <w:pPr>
              <w:pStyle w:val="13"/>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drawing>
                <wp:inline distT="0" distB="0" distL="114300" distR="114300">
                  <wp:extent cx="5245100" cy="4336415"/>
                  <wp:effectExtent l="0" t="0" r="0" b="0"/>
                  <wp:docPr id="2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B019B1-382A-4266-B25C-5B523AA43C14-1" descr="wps"/>
                          <pic:cNvPicPr>
                            <a:picLocks noChangeAspect="1"/>
                          </pic:cNvPicPr>
                        </pic:nvPicPr>
                        <pic:blipFill>
                          <a:blip r:embed="rId17"/>
                          <a:stretch>
                            <a:fillRect/>
                          </a:stretch>
                        </pic:blipFill>
                        <pic:spPr>
                          <a:xfrm>
                            <a:off x="0" y="0"/>
                            <a:ext cx="5245100" cy="4336415"/>
                          </a:xfrm>
                          <a:prstGeom prst="rect">
                            <a:avLst/>
                          </a:prstGeom>
                        </pic:spPr>
                      </pic:pic>
                    </a:graphicData>
                  </a:graphic>
                </wp:inline>
              </w:drawing>
            </w:r>
          </w:p>
          <w:p>
            <w:pPr>
              <w:pStyle w:val="13"/>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图</w:t>
            </w:r>
            <w:r>
              <w:rPr>
                <w:rFonts w:hint="eastAsia"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4</w:t>
            </w: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w:t>
            </w:r>
            <w:r>
              <w:rPr>
                <w:rFonts w:hint="eastAsia"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3</w:t>
            </w: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 xml:space="preserve"> 项目水平衡图</w:t>
            </w:r>
            <w:r>
              <w:rPr>
                <w:rFonts w:hint="eastAsia"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（m</w:t>
            </w: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³</w:t>
            </w:r>
            <w:r>
              <w:rPr>
                <w:rFonts w:hint="eastAsia"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bCs/>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4"/>
                <w:szCs w:val="24"/>
                <w:highlight w:val="none"/>
                <w:u w:val="none" w:color="auto"/>
                <w:lang w:val="en-US" w:eastAsia="zh-CN"/>
                <w14:textFill>
                  <w14:solidFill>
                    <w14:schemeClr w14:val="tx1"/>
                  </w14:solidFill>
                </w14:textFill>
              </w:rPr>
              <w:t>生活废水用于周边农田灌溉施肥可行性分析：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C00000"/>
                <w:sz w:val="24"/>
                <w:szCs w:val="24"/>
                <w:highlight w:val="none"/>
                <w:u w:val="none" w:color="auto"/>
              </w:rPr>
            </w:pPr>
            <w:r>
              <w:rPr>
                <w:rFonts w:hint="default" w:ascii="Times New Roman" w:hAnsi="Times New Roman" w:cs="Times New Roman" w:eastAsiaTheme="minorEastAsia"/>
                <w:bCs/>
                <w:color w:val="auto"/>
                <w:sz w:val="24"/>
                <w:szCs w:val="24"/>
                <w:highlight w:val="none"/>
                <w:u w:val="none" w:color="auto"/>
              </w:rPr>
              <w:t>经现场调查，项目周边主要为农田，</w:t>
            </w:r>
            <w:r>
              <w:rPr>
                <w:rFonts w:hint="default" w:ascii="Times New Roman" w:hAnsi="Times New Roman" w:cs="Times New Roman" w:eastAsiaTheme="minorEastAsia"/>
                <w:bCs/>
                <w:color w:val="auto"/>
                <w:sz w:val="24"/>
                <w:szCs w:val="24"/>
                <w:highlight w:val="none"/>
                <w:u w:val="none" w:color="auto"/>
                <w:lang w:bidi="ar"/>
              </w:rPr>
              <w:t>参考湖南省用水定额标准，补水定额为（灌溉保证率50%）为329m</w:t>
            </w:r>
            <w:r>
              <w:rPr>
                <w:rFonts w:hint="default" w:ascii="Times New Roman" w:hAnsi="Times New Roman" w:cs="Times New Roman" w:eastAsiaTheme="minorEastAsia"/>
                <w:bCs/>
                <w:color w:val="auto"/>
                <w:sz w:val="24"/>
                <w:szCs w:val="24"/>
                <w:highlight w:val="none"/>
                <w:u w:val="none" w:color="auto"/>
                <w:vertAlign w:val="superscript"/>
                <w:lang w:bidi="ar"/>
              </w:rPr>
              <w:t>3</w:t>
            </w:r>
            <w:r>
              <w:rPr>
                <w:rFonts w:hint="default" w:ascii="Times New Roman" w:hAnsi="Times New Roman" w:cs="Times New Roman" w:eastAsiaTheme="minorEastAsia"/>
                <w:bCs/>
                <w:color w:val="auto"/>
                <w:sz w:val="24"/>
                <w:szCs w:val="24"/>
                <w:highlight w:val="none"/>
                <w:u w:val="none" w:color="auto"/>
                <w:lang w:bidi="ar"/>
              </w:rPr>
              <w:t>/m</w:t>
            </w:r>
            <w:r>
              <w:rPr>
                <w:rFonts w:hint="default" w:ascii="Times New Roman" w:hAnsi="Times New Roman" w:cs="Times New Roman" w:eastAsiaTheme="minorEastAsia"/>
                <w:bCs/>
                <w:color w:val="auto"/>
                <w:sz w:val="24"/>
                <w:szCs w:val="24"/>
                <w:highlight w:val="none"/>
                <w:u w:val="none" w:color="auto"/>
                <w:vertAlign w:val="superscript"/>
                <w:lang w:bidi="ar"/>
              </w:rPr>
              <w:t>2</w:t>
            </w:r>
            <w:r>
              <w:rPr>
                <w:rFonts w:hint="default" w:ascii="Times New Roman" w:hAnsi="Times New Roman" w:cs="Times New Roman" w:eastAsiaTheme="minorEastAsia"/>
                <w:bCs/>
                <w:color w:val="auto"/>
                <w:sz w:val="24"/>
                <w:szCs w:val="24"/>
                <w:highlight w:val="none"/>
                <w:u w:val="none" w:color="auto"/>
                <w:lang w:bidi="ar"/>
              </w:rPr>
              <w:t>·a，则农田的补水量为24189725m</w:t>
            </w:r>
            <w:r>
              <w:rPr>
                <w:rFonts w:hint="default" w:ascii="Times New Roman" w:hAnsi="Times New Roman" w:cs="Times New Roman" w:eastAsiaTheme="minorEastAsia"/>
                <w:bCs/>
                <w:color w:val="auto"/>
                <w:sz w:val="24"/>
                <w:szCs w:val="24"/>
                <w:highlight w:val="none"/>
                <w:u w:val="none" w:color="auto"/>
                <w:vertAlign w:val="superscript"/>
                <w:lang w:val="en-US" w:eastAsia="zh-CN" w:bidi="ar"/>
              </w:rPr>
              <w:t>3</w:t>
            </w:r>
            <w:r>
              <w:rPr>
                <w:rFonts w:hint="default" w:ascii="Times New Roman" w:hAnsi="Times New Roman" w:cs="Times New Roman" w:eastAsiaTheme="minorEastAsia"/>
                <w:bCs/>
                <w:color w:val="auto"/>
                <w:sz w:val="24"/>
                <w:szCs w:val="24"/>
                <w:highlight w:val="none"/>
                <w:u w:val="none" w:color="auto"/>
                <w:shd w:val="clear"/>
                <w:lang w:bidi="ar"/>
              </w:rPr>
              <w:t>（东</w:t>
            </w:r>
            <w:r>
              <w:rPr>
                <w:rFonts w:hint="eastAsia" w:cs="Times New Roman" w:eastAsiaTheme="minorEastAsia"/>
                <w:bCs/>
                <w:color w:val="auto"/>
                <w:sz w:val="24"/>
                <w:szCs w:val="24"/>
                <w:highlight w:val="none"/>
                <w:u w:val="none" w:color="auto"/>
                <w:shd w:val="clear"/>
                <w:lang w:val="en-US" w:eastAsia="zh-CN" w:bidi="ar"/>
              </w:rPr>
              <w:t>北</w:t>
            </w:r>
            <w:r>
              <w:rPr>
                <w:rFonts w:hint="default" w:ascii="Times New Roman" w:hAnsi="Times New Roman" w:cs="Times New Roman" w:eastAsiaTheme="minorEastAsia"/>
                <w:bCs/>
                <w:color w:val="auto"/>
                <w:sz w:val="24"/>
                <w:szCs w:val="24"/>
                <w:highlight w:val="none"/>
                <w:u w:val="none" w:color="auto"/>
                <w:shd w:val="clear"/>
                <w:lang w:bidi="ar"/>
              </w:rPr>
              <w:t>侧</w:t>
            </w:r>
            <w:r>
              <w:rPr>
                <w:rFonts w:hint="eastAsia" w:cs="Times New Roman" w:eastAsiaTheme="minorEastAsia"/>
                <w:bCs/>
                <w:color w:val="auto"/>
                <w:sz w:val="24"/>
                <w:szCs w:val="24"/>
                <w:highlight w:val="none"/>
                <w:u w:val="none" w:color="auto"/>
                <w:shd w:val="clear"/>
                <w:lang w:val="en-US" w:eastAsia="zh-CN" w:bidi="ar"/>
              </w:rPr>
              <w:t>32</w:t>
            </w:r>
            <w:r>
              <w:rPr>
                <w:rFonts w:hint="default" w:ascii="Times New Roman" w:hAnsi="Times New Roman" w:cs="Times New Roman" w:eastAsiaTheme="minorEastAsia"/>
                <w:bCs/>
                <w:color w:val="auto"/>
                <w:sz w:val="24"/>
                <w:szCs w:val="24"/>
                <w:highlight w:val="none"/>
                <w:u w:val="none" w:color="auto"/>
                <w:shd w:val="clear"/>
                <w:lang w:bidi="ar"/>
              </w:rPr>
              <w:t>m农田面积为</w:t>
            </w:r>
            <w:r>
              <w:rPr>
                <w:rFonts w:hint="eastAsia" w:cs="Times New Roman" w:eastAsiaTheme="minorEastAsia"/>
                <w:bCs/>
                <w:color w:val="auto"/>
                <w:sz w:val="24"/>
                <w:szCs w:val="24"/>
                <w:highlight w:val="none"/>
                <w:u w:val="none" w:color="auto"/>
                <w:shd w:val="clear"/>
                <w:lang w:val="en-US" w:eastAsia="zh-CN" w:bidi="ar"/>
              </w:rPr>
              <w:t>73525</w:t>
            </w:r>
            <w:r>
              <w:rPr>
                <w:rFonts w:hint="default" w:ascii="Times New Roman" w:hAnsi="Times New Roman" w:cs="Times New Roman" w:eastAsiaTheme="minorEastAsia"/>
                <w:bCs/>
                <w:color w:val="auto"/>
                <w:sz w:val="24"/>
                <w:szCs w:val="24"/>
                <w:highlight w:val="none"/>
                <w:u w:val="none" w:color="auto"/>
                <w:shd w:val="clear"/>
                <w:lang w:bidi="ar"/>
              </w:rPr>
              <w:t>m</w:t>
            </w:r>
            <w:r>
              <w:rPr>
                <w:rFonts w:hint="default" w:ascii="Times New Roman" w:hAnsi="Times New Roman" w:cs="Times New Roman" w:eastAsiaTheme="minorEastAsia"/>
                <w:bCs/>
                <w:color w:val="auto"/>
                <w:sz w:val="24"/>
                <w:szCs w:val="24"/>
                <w:highlight w:val="none"/>
                <w:u w:val="none" w:color="auto"/>
                <w:shd w:val="clear"/>
                <w:vertAlign w:val="superscript"/>
                <w:lang w:bidi="ar"/>
              </w:rPr>
              <w:t>2</w:t>
            </w:r>
            <w:r>
              <w:rPr>
                <w:rFonts w:hint="default" w:ascii="Times New Roman" w:hAnsi="Times New Roman" w:cs="Times New Roman" w:eastAsiaTheme="minorEastAsia"/>
                <w:bCs/>
                <w:color w:val="auto"/>
                <w:sz w:val="24"/>
                <w:szCs w:val="24"/>
                <w:highlight w:val="none"/>
                <w:u w:val="none" w:color="auto"/>
                <w:shd w:val="clear"/>
                <w:lang w:bidi="ar"/>
              </w:rPr>
              <w:t>）</w:t>
            </w:r>
            <w:r>
              <w:rPr>
                <w:rFonts w:hint="default" w:ascii="Times New Roman" w:hAnsi="Times New Roman" w:cs="Times New Roman" w:eastAsiaTheme="minorEastAsia"/>
                <w:bCs/>
                <w:color w:val="auto"/>
                <w:sz w:val="24"/>
                <w:szCs w:val="24"/>
                <w:highlight w:val="none"/>
                <w:u w:val="none" w:color="auto"/>
                <w:lang w:bidi="ar"/>
              </w:rPr>
              <w:t>，本项目生活污水排放量为</w:t>
            </w:r>
            <w:r>
              <w:rPr>
                <w:rFonts w:hint="eastAsia" w:ascii="Times New Roman" w:hAnsi="Times New Roman" w:cs="Times New Roman" w:eastAsiaTheme="minorEastAsia"/>
                <w:bCs/>
                <w:color w:val="auto"/>
                <w:sz w:val="24"/>
                <w:szCs w:val="24"/>
                <w:highlight w:val="none"/>
                <w:u w:val="none" w:color="auto"/>
                <w:lang w:val="en-US" w:eastAsia="zh-CN" w:bidi="ar"/>
              </w:rPr>
              <w:t>1411.2</w:t>
            </w:r>
            <w:r>
              <w:rPr>
                <w:rFonts w:hint="default" w:ascii="Times New Roman" w:hAnsi="Times New Roman" w:cs="Times New Roman" w:eastAsiaTheme="minorEastAsia"/>
                <w:bCs/>
                <w:color w:val="auto"/>
                <w:sz w:val="24"/>
                <w:szCs w:val="24"/>
                <w:highlight w:val="none"/>
                <w:u w:val="none" w:color="auto"/>
                <w:lang w:bidi="ar"/>
              </w:rPr>
              <w:t>m</w:t>
            </w:r>
            <w:r>
              <w:rPr>
                <w:rFonts w:hint="default" w:ascii="Times New Roman" w:hAnsi="Times New Roman" w:cs="Times New Roman" w:eastAsiaTheme="minorEastAsia"/>
                <w:bCs/>
                <w:color w:val="auto"/>
                <w:sz w:val="24"/>
                <w:szCs w:val="24"/>
                <w:highlight w:val="none"/>
                <w:u w:val="none" w:color="auto"/>
                <w:vertAlign w:val="superscript"/>
                <w:lang w:val="en-US" w:eastAsia="zh-CN" w:bidi="ar"/>
              </w:rPr>
              <w:t>3</w:t>
            </w:r>
            <w:r>
              <w:rPr>
                <w:rFonts w:hint="default" w:ascii="Times New Roman" w:hAnsi="Times New Roman" w:cs="Times New Roman" w:eastAsiaTheme="minorEastAsia"/>
                <w:bCs/>
                <w:color w:val="auto"/>
                <w:sz w:val="24"/>
                <w:szCs w:val="24"/>
                <w:highlight w:val="none"/>
                <w:u w:val="none" w:color="auto"/>
                <w:lang w:bidi="ar"/>
              </w:rPr>
              <w:t>/a，因此，本项目产生的生活污水能被周边农田施肥充分利用</w:t>
            </w:r>
            <w:r>
              <w:rPr>
                <w:rFonts w:hint="eastAsia" w:ascii="Times New Roman" w:hAnsi="Times New Roman" w:eastAsia="宋体" w:cs="Times New Roman"/>
                <w:color w:val="auto"/>
                <w:sz w:val="24"/>
                <w:szCs w:val="24"/>
                <w:highlight w:val="none"/>
                <w:u w:val="none" w:color="auto"/>
              </w:rPr>
              <w:t>。</w:t>
            </w:r>
          </w:p>
          <w:p>
            <w:pPr>
              <w:keepNext w:val="0"/>
              <w:keepLines w:val="0"/>
              <w:pageBreakBefore w:val="0"/>
              <w:widowControl w:val="0"/>
              <w:suppressLineNumbers w:val="0"/>
              <w:tabs>
                <w:tab w:val="left" w:pos="0"/>
                <w:tab w:val="left" w:pos="870"/>
                <w:tab w:val="left" w:pos="3150"/>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bCs/>
                <w:color w:val="auto"/>
                <w:kern w:val="2"/>
                <w:sz w:val="24"/>
                <w:szCs w:val="24"/>
                <w:highlight w:val="none"/>
                <w:u w:val="none" w:color="auto"/>
                <w:lang w:val="en-US" w:eastAsia="zh-CN" w:bidi="ar-SA"/>
              </w:rPr>
            </w:pPr>
            <w:r>
              <w:rPr>
                <w:rFonts w:hint="default" w:ascii="Times New Roman" w:hAnsi="Times New Roman" w:cs="Times New Roman" w:eastAsiaTheme="minorEastAsia"/>
                <w:bCs/>
                <w:color w:val="auto"/>
                <w:kern w:val="2"/>
                <w:sz w:val="24"/>
                <w:szCs w:val="24"/>
                <w:highlight w:val="none"/>
                <w:u w:val="none" w:color="auto"/>
                <w:lang w:val="en-US" w:eastAsia="zh-CN" w:bidi="ar-SA"/>
              </w:rPr>
              <w:t>生产</w:t>
            </w:r>
            <w:r>
              <w:rPr>
                <w:rFonts w:hint="eastAsia" w:ascii="Times New Roman" w:hAnsi="Times New Roman" w:cs="Times New Roman" w:eastAsiaTheme="minorEastAsia"/>
                <w:bCs/>
                <w:color w:val="auto"/>
                <w:kern w:val="2"/>
                <w:sz w:val="24"/>
                <w:szCs w:val="24"/>
                <w:highlight w:val="none"/>
                <w:u w:val="none" w:color="auto"/>
                <w:lang w:val="en-US" w:eastAsia="zh-CN" w:bidi="ar-SA"/>
              </w:rPr>
              <w:t>废水循环使用不外排可行性分析：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eastAsia="zh-CN"/>
              </w:rPr>
            </w:pPr>
            <w:r>
              <w:rPr>
                <w:rFonts w:hint="default" w:ascii="Times New Roman" w:hAnsi="Times New Roman" w:cs="Times New Roman" w:eastAsiaTheme="minorEastAsia"/>
                <w:color w:val="auto"/>
                <w:sz w:val="24"/>
                <w:szCs w:val="24"/>
                <w:highlight w:val="none"/>
                <w:u w:val="none" w:color="auto"/>
              </w:rPr>
              <w:t>本项目地面冲洗废水为</w:t>
            </w:r>
            <w:r>
              <w:rPr>
                <w:rFonts w:hint="default" w:ascii="Times New Roman" w:hAnsi="Times New Roman" w:cs="Times New Roman" w:eastAsiaTheme="minorEastAsia"/>
                <w:color w:val="auto"/>
                <w:sz w:val="24"/>
                <w:szCs w:val="24"/>
                <w:highlight w:val="none"/>
                <w:u w:val="none" w:color="auto"/>
                <w:lang w:val="en-US" w:eastAsia="zh-CN"/>
              </w:rPr>
              <w:t>2160</w:t>
            </w:r>
            <w:r>
              <w:rPr>
                <w:rFonts w:hint="default" w:ascii="Times New Roman" w:hAnsi="Times New Roman" w:cs="Times New Roman" w:eastAsiaTheme="minorEastAsia"/>
                <w:bCs/>
                <w:color w:val="auto"/>
                <w:sz w:val="24"/>
                <w:szCs w:val="24"/>
                <w:highlight w:val="none"/>
                <w:u w:val="none" w:color="auto"/>
                <w:lang w:bidi="ar"/>
              </w:rPr>
              <w:t>m</w:t>
            </w:r>
            <w:r>
              <w:rPr>
                <w:rFonts w:hint="default" w:ascii="Times New Roman" w:hAnsi="Times New Roman" w:cs="Times New Roman" w:eastAsiaTheme="minorEastAsia"/>
                <w:bCs/>
                <w:color w:val="auto"/>
                <w:sz w:val="24"/>
                <w:szCs w:val="24"/>
                <w:highlight w:val="none"/>
                <w:u w:val="none" w:color="auto"/>
                <w:vertAlign w:val="superscript"/>
                <w:lang w:val="en-US" w:eastAsia="zh-CN" w:bidi="ar"/>
              </w:rPr>
              <w:t>3</w:t>
            </w:r>
            <w:r>
              <w:rPr>
                <w:rFonts w:hint="default" w:ascii="Times New Roman" w:hAnsi="Times New Roman" w:cs="Times New Roman" w:eastAsiaTheme="minorEastAsia"/>
                <w:color w:val="auto"/>
                <w:sz w:val="24"/>
                <w:szCs w:val="24"/>
                <w:highlight w:val="none"/>
                <w:u w:val="none" w:color="auto"/>
              </w:rPr>
              <w:t>/a（</w:t>
            </w:r>
            <w:r>
              <w:rPr>
                <w:rFonts w:hint="eastAsia" w:cs="Times New Roman" w:eastAsiaTheme="minorEastAsia"/>
                <w:color w:val="auto"/>
                <w:sz w:val="24"/>
                <w:szCs w:val="24"/>
                <w:highlight w:val="none"/>
                <w:u w:val="none" w:color="auto"/>
                <w:lang w:val="en-US" w:eastAsia="zh-CN"/>
              </w:rPr>
              <w:t>24</w:t>
            </w:r>
            <w:r>
              <w:rPr>
                <w:rFonts w:hint="default" w:ascii="Times New Roman" w:hAnsi="Times New Roman" w:cs="Times New Roman" w:eastAsiaTheme="minorEastAsia"/>
                <w:bCs/>
                <w:color w:val="auto"/>
                <w:sz w:val="24"/>
                <w:szCs w:val="24"/>
                <w:highlight w:val="none"/>
                <w:u w:val="none" w:color="auto"/>
                <w:lang w:bidi="ar"/>
              </w:rPr>
              <w:t>m</w:t>
            </w:r>
            <w:r>
              <w:rPr>
                <w:rFonts w:hint="default" w:ascii="Times New Roman" w:hAnsi="Times New Roman" w:cs="Times New Roman" w:eastAsiaTheme="minorEastAsia"/>
                <w:bCs/>
                <w:color w:val="auto"/>
                <w:sz w:val="24"/>
                <w:szCs w:val="24"/>
                <w:highlight w:val="none"/>
                <w:u w:val="none" w:color="auto"/>
                <w:vertAlign w:val="superscript"/>
                <w:lang w:val="en-US" w:eastAsia="zh-CN" w:bidi="ar"/>
              </w:rPr>
              <w:t>3</w:t>
            </w:r>
            <w:r>
              <w:rPr>
                <w:rFonts w:hint="default" w:ascii="Times New Roman" w:hAnsi="Times New Roman" w:cs="Times New Roman" w:eastAsiaTheme="minorEastAsia"/>
                <w:color w:val="auto"/>
                <w:sz w:val="24"/>
                <w:szCs w:val="24"/>
                <w:highlight w:val="none"/>
                <w:u w:val="none" w:color="auto"/>
              </w:rPr>
              <w:t>/d）</w:t>
            </w:r>
            <w:r>
              <w:rPr>
                <w:rFonts w:hint="eastAsia" w:cs="Times New Roman" w:eastAsiaTheme="minorEastAsia"/>
                <w:color w:val="auto"/>
                <w:sz w:val="24"/>
                <w:szCs w:val="24"/>
                <w:highlight w:val="none"/>
                <w:u w:val="none" w:color="auto"/>
                <w:lang w:eastAsia="zh-CN"/>
              </w:rPr>
              <w:t>，洗车废水量为</w:t>
            </w:r>
            <w:r>
              <w:rPr>
                <w:rFonts w:hint="default" w:ascii="Times New Roman" w:hAnsi="Times New Roman" w:cs="Times New Roman" w:eastAsiaTheme="minorEastAsia"/>
                <w:color w:val="auto"/>
                <w:sz w:val="24"/>
                <w:szCs w:val="24"/>
                <w:highlight w:val="none"/>
                <w:u w:val="none" w:color="auto"/>
                <w:lang w:val="en-US" w:eastAsia="zh-CN"/>
              </w:rPr>
              <w:t>1440</w:t>
            </w:r>
            <w:r>
              <w:rPr>
                <w:rFonts w:hint="default" w:ascii="Times New Roman" w:hAnsi="Times New Roman" w:cs="Times New Roman" w:eastAsiaTheme="minorEastAsia"/>
                <w:bCs/>
                <w:color w:val="auto"/>
                <w:sz w:val="24"/>
                <w:szCs w:val="24"/>
                <w:highlight w:val="none"/>
                <w:u w:val="none" w:color="auto"/>
                <w:lang w:bidi="ar"/>
              </w:rPr>
              <w:t>m</w:t>
            </w:r>
            <w:r>
              <w:rPr>
                <w:rFonts w:hint="default" w:ascii="Times New Roman" w:hAnsi="Times New Roman" w:cs="Times New Roman" w:eastAsiaTheme="minorEastAsia"/>
                <w:bCs/>
                <w:color w:val="auto"/>
                <w:sz w:val="24"/>
                <w:szCs w:val="24"/>
                <w:highlight w:val="none"/>
                <w:u w:val="none" w:color="auto"/>
                <w:vertAlign w:val="superscript"/>
                <w:lang w:val="en-US" w:eastAsia="zh-CN" w:bidi="ar"/>
              </w:rPr>
              <w:t>3</w:t>
            </w:r>
            <w:r>
              <w:rPr>
                <w:rFonts w:hint="default" w:ascii="Times New Roman" w:hAnsi="Times New Roman" w:cs="Times New Roman" w:eastAsiaTheme="minorEastAsia"/>
                <w:color w:val="auto"/>
                <w:sz w:val="24"/>
                <w:szCs w:val="24"/>
                <w:highlight w:val="none"/>
                <w:u w:val="none" w:color="auto"/>
              </w:rPr>
              <w:t>/a（</w:t>
            </w:r>
            <w:r>
              <w:rPr>
                <w:rFonts w:hint="eastAsia" w:cs="Times New Roman" w:eastAsiaTheme="minorEastAsia"/>
                <w:color w:val="auto"/>
                <w:sz w:val="24"/>
                <w:szCs w:val="24"/>
                <w:highlight w:val="none"/>
                <w:u w:val="none" w:color="auto"/>
                <w:lang w:val="en-US" w:eastAsia="zh-CN"/>
              </w:rPr>
              <w:t>16</w:t>
            </w:r>
            <w:r>
              <w:rPr>
                <w:rFonts w:hint="default" w:ascii="Times New Roman" w:hAnsi="Times New Roman" w:cs="Times New Roman" w:eastAsiaTheme="minorEastAsia"/>
                <w:bCs/>
                <w:color w:val="auto"/>
                <w:sz w:val="24"/>
                <w:szCs w:val="24"/>
                <w:highlight w:val="none"/>
                <w:u w:val="none" w:color="auto"/>
                <w:lang w:bidi="ar"/>
              </w:rPr>
              <w:t>m</w:t>
            </w:r>
            <w:r>
              <w:rPr>
                <w:rFonts w:hint="default" w:ascii="Times New Roman" w:hAnsi="Times New Roman" w:cs="Times New Roman" w:eastAsiaTheme="minorEastAsia"/>
                <w:bCs/>
                <w:color w:val="auto"/>
                <w:sz w:val="24"/>
                <w:szCs w:val="24"/>
                <w:highlight w:val="none"/>
                <w:u w:val="none" w:color="auto"/>
                <w:vertAlign w:val="superscript"/>
                <w:lang w:val="en-US" w:eastAsia="zh-CN" w:bidi="ar"/>
              </w:rPr>
              <w:t>3</w:t>
            </w:r>
            <w:r>
              <w:rPr>
                <w:rFonts w:hint="default" w:ascii="Times New Roman" w:hAnsi="Times New Roman" w:cs="Times New Roman" w:eastAsiaTheme="minorEastAsia"/>
                <w:color w:val="auto"/>
                <w:sz w:val="24"/>
                <w:szCs w:val="24"/>
                <w:highlight w:val="none"/>
                <w:u w:val="none" w:color="auto"/>
              </w:rPr>
              <w:t>/d）</w:t>
            </w:r>
            <w:r>
              <w:rPr>
                <w:rFonts w:hint="eastAsia" w:ascii="Times New Roman" w:hAnsi="Times New Roman" w:cs="Times New Roman" w:eastAsiaTheme="minorEastAsia"/>
                <w:color w:val="auto"/>
                <w:sz w:val="24"/>
                <w:szCs w:val="24"/>
                <w:highlight w:val="none"/>
                <w:u w:val="none" w:color="auto"/>
                <w:lang w:eastAsia="zh-CN"/>
              </w:rPr>
              <w:t>，</w:t>
            </w:r>
            <w:r>
              <w:rPr>
                <w:rFonts w:hint="default" w:ascii="Times New Roman" w:hAnsi="Times New Roman" w:cs="Times New Roman" w:eastAsiaTheme="minorEastAsia"/>
                <w:color w:val="auto"/>
                <w:sz w:val="24"/>
                <w:szCs w:val="24"/>
                <w:highlight w:val="none"/>
                <w:u w:val="none" w:color="auto"/>
              </w:rPr>
              <w:t>本项目生产废水最大废水量为</w:t>
            </w:r>
            <w:r>
              <w:rPr>
                <w:rFonts w:hint="eastAsia" w:cs="Times New Roman" w:eastAsiaTheme="minorEastAsia"/>
                <w:color w:val="auto"/>
                <w:sz w:val="24"/>
                <w:szCs w:val="24"/>
                <w:highlight w:val="none"/>
                <w:u w:val="none" w:color="auto"/>
                <w:lang w:val="en-US" w:eastAsia="zh-CN"/>
              </w:rPr>
              <w:t>5</w:t>
            </w:r>
            <w:r>
              <w:rPr>
                <w:rFonts w:hint="default" w:ascii="Times New Roman" w:hAnsi="Times New Roman" w:cs="Times New Roman" w:eastAsiaTheme="minorEastAsia"/>
                <w:bCs/>
                <w:color w:val="auto"/>
                <w:sz w:val="24"/>
                <w:szCs w:val="24"/>
                <w:highlight w:val="none"/>
                <w:u w:val="none" w:color="auto"/>
                <w:lang w:bidi="ar"/>
              </w:rPr>
              <w:t>m</w:t>
            </w:r>
            <w:r>
              <w:rPr>
                <w:rFonts w:hint="default" w:ascii="Times New Roman" w:hAnsi="Times New Roman" w:cs="Times New Roman" w:eastAsiaTheme="minorEastAsia"/>
                <w:bCs/>
                <w:color w:val="auto"/>
                <w:sz w:val="24"/>
                <w:szCs w:val="24"/>
                <w:highlight w:val="none"/>
                <w:u w:val="none" w:color="auto"/>
                <w:vertAlign w:val="superscript"/>
                <w:lang w:val="en-US" w:eastAsia="zh-CN" w:bidi="ar"/>
              </w:rPr>
              <w:t>3</w:t>
            </w:r>
            <w:r>
              <w:rPr>
                <w:rFonts w:hint="default" w:ascii="Times New Roman" w:hAnsi="Times New Roman" w:cs="Times New Roman" w:eastAsiaTheme="minorEastAsia"/>
                <w:color w:val="auto"/>
                <w:sz w:val="24"/>
                <w:szCs w:val="24"/>
                <w:highlight w:val="none"/>
                <w:u w:val="none" w:color="auto"/>
              </w:rPr>
              <w:t>/h，</w:t>
            </w:r>
            <w:r>
              <w:rPr>
                <w:rFonts w:hint="default" w:ascii="Times New Roman" w:hAnsi="Times New Roman" w:cs="Times New Roman" w:eastAsiaTheme="minorEastAsia"/>
                <w:color w:val="auto"/>
                <w:kern w:val="2"/>
                <w:sz w:val="24"/>
                <w:szCs w:val="24"/>
                <w:highlight w:val="none"/>
                <w:u w:val="none" w:color="auto"/>
                <w:lang w:val="en-US" w:eastAsia="zh-CN" w:bidi="ar-SA"/>
              </w:rPr>
              <w:t>初期雨水量约为</w:t>
            </w:r>
            <w:r>
              <w:rPr>
                <w:rFonts w:hint="eastAsia" w:ascii="Times New Roman" w:hAnsi="Times New Roman" w:eastAsia="宋体" w:cs="Times New Roman"/>
                <w:color w:val="auto"/>
                <w:spacing w:val="0"/>
                <w:kern w:val="21"/>
                <w:sz w:val="24"/>
                <w:highlight w:val="none"/>
                <w:lang w:val="en-US" w:eastAsia="zh-CN"/>
              </w:rPr>
              <w:t>1048.626</w:t>
            </w:r>
            <w:r>
              <w:rPr>
                <w:rFonts w:hint="default" w:ascii="Times New Roman" w:hAnsi="Times New Roman" w:eastAsia="宋体" w:cs="Times New Roman"/>
                <w:color w:val="auto"/>
                <w:spacing w:val="0"/>
                <w:kern w:val="21"/>
                <w:sz w:val="24"/>
                <w:highlight w:val="none"/>
              </w:rPr>
              <w:t>m</w:t>
            </w:r>
            <w:r>
              <w:rPr>
                <w:rFonts w:hint="default" w:ascii="Times New Roman" w:hAnsi="Times New Roman" w:eastAsia="宋体" w:cs="Times New Roman"/>
                <w:color w:val="auto"/>
                <w:spacing w:val="0"/>
                <w:kern w:val="21"/>
                <w:sz w:val="24"/>
                <w:highlight w:val="none"/>
                <w:vertAlign w:val="superscript"/>
              </w:rPr>
              <w:t>3</w:t>
            </w:r>
            <w:r>
              <w:rPr>
                <w:rFonts w:hint="default" w:ascii="Times New Roman" w:hAnsi="Times New Roman" w:eastAsia="宋体" w:cs="Times New Roman"/>
                <w:color w:val="auto"/>
                <w:spacing w:val="0"/>
                <w:kern w:val="21"/>
                <w:sz w:val="24"/>
                <w:highlight w:val="none"/>
              </w:rPr>
              <w:t>/a</w:t>
            </w:r>
            <w:r>
              <w:rPr>
                <w:rFonts w:hint="eastAsia" w:ascii="Times New Roman" w:hAnsi="Times New Roman" w:cs="Times New Roman" w:eastAsiaTheme="minorEastAsia"/>
                <w:color w:val="auto"/>
                <w:kern w:val="2"/>
                <w:sz w:val="24"/>
                <w:szCs w:val="24"/>
                <w:highlight w:val="none"/>
                <w:u w:val="none" w:color="auto"/>
                <w:lang w:val="en-US" w:eastAsia="zh-CN" w:bidi="ar-SA"/>
              </w:rPr>
              <w:t>，</w:t>
            </w:r>
            <w:r>
              <w:rPr>
                <w:rFonts w:hint="default" w:ascii="Times New Roman" w:hAnsi="Times New Roman" w:cs="Times New Roman" w:eastAsiaTheme="minorEastAsia"/>
                <w:color w:val="auto"/>
                <w:sz w:val="24"/>
                <w:szCs w:val="24"/>
                <w:highlight w:val="none"/>
                <w:u w:val="none" w:color="auto"/>
              </w:rPr>
              <w:t>主要污染物为SS。建设方</w:t>
            </w:r>
            <w:r>
              <w:rPr>
                <w:rFonts w:hint="default" w:ascii="Times New Roman" w:hAnsi="Times New Roman" w:cs="Times New Roman" w:eastAsiaTheme="minorEastAsia"/>
                <w:color w:val="auto"/>
                <w:sz w:val="24"/>
                <w:szCs w:val="24"/>
                <w:highlight w:val="none"/>
                <w:u w:val="none" w:color="auto"/>
                <w:lang w:val="en-US" w:eastAsia="zh-CN"/>
              </w:rPr>
              <w:t>已</w:t>
            </w:r>
            <w:r>
              <w:rPr>
                <w:rFonts w:hint="default" w:ascii="Times New Roman" w:hAnsi="Times New Roman" w:cs="Times New Roman" w:eastAsiaTheme="minorEastAsia"/>
                <w:color w:val="auto"/>
                <w:sz w:val="24"/>
                <w:szCs w:val="24"/>
                <w:highlight w:val="none"/>
                <w:u w:val="none" w:color="auto"/>
              </w:rPr>
              <w:t>做好雨污分流系统、现场管沟环形导排系统及沉淀池收集处理，设置三级沉淀池，大小为75</w:t>
            </w:r>
            <w:r>
              <w:rPr>
                <w:rFonts w:hint="default" w:ascii="Times New Roman" w:hAnsi="Times New Roman" w:cs="Times New Roman" w:eastAsiaTheme="minorEastAsia"/>
                <w:color w:val="auto"/>
                <w:sz w:val="24"/>
                <w:szCs w:val="24"/>
                <w:highlight w:val="none"/>
                <w:u w:val="none" w:color="auto"/>
                <w:lang w:val="en-US" w:eastAsia="zh-CN"/>
              </w:rPr>
              <w:t>m</w:t>
            </w:r>
            <w:r>
              <w:rPr>
                <w:rFonts w:hint="default" w:ascii="Times New Roman" w:hAnsi="Times New Roman" w:cs="Times New Roman" w:eastAsiaTheme="minorEastAsia"/>
                <w:color w:val="auto"/>
                <w:sz w:val="24"/>
                <w:szCs w:val="24"/>
                <w:highlight w:val="none"/>
                <w:u w:val="none" w:color="auto"/>
                <w:vertAlign w:val="superscript"/>
                <w:lang w:val="en-US" w:eastAsia="zh-CN"/>
              </w:rPr>
              <w:t>3</w:t>
            </w:r>
            <w:r>
              <w:rPr>
                <w:rFonts w:hint="default" w:ascii="Times New Roman" w:hAnsi="Times New Roman" w:cs="Times New Roman" w:eastAsiaTheme="minorEastAsia"/>
                <w:color w:val="auto"/>
                <w:sz w:val="24"/>
                <w:szCs w:val="24"/>
                <w:highlight w:val="none"/>
                <w:u w:val="none" w:color="auto"/>
                <w:lang w:eastAsia="zh-CN"/>
              </w:rPr>
              <w:t>，</w:t>
            </w:r>
            <w:r>
              <w:rPr>
                <w:rFonts w:hint="default" w:ascii="Times New Roman" w:hAnsi="Times New Roman" w:cs="Times New Roman" w:eastAsiaTheme="minorEastAsia"/>
                <w:color w:val="auto"/>
                <w:sz w:val="24"/>
                <w:szCs w:val="24"/>
                <w:highlight w:val="none"/>
                <w:u w:val="none" w:color="auto"/>
                <w:lang w:val="en-US" w:eastAsia="zh-CN"/>
              </w:rPr>
              <w:t>雨水沉淀池</w:t>
            </w:r>
            <w:r>
              <w:rPr>
                <w:rFonts w:hint="eastAsia" w:cs="Times New Roman" w:eastAsiaTheme="minorEastAsia"/>
                <w:color w:val="auto"/>
                <w:sz w:val="24"/>
                <w:szCs w:val="24"/>
                <w:highlight w:val="none"/>
                <w:u w:val="none" w:color="auto"/>
                <w:lang w:val="en-US" w:eastAsia="zh-CN"/>
              </w:rPr>
              <w:t>6</w:t>
            </w:r>
            <w:r>
              <w:rPr>
                <w:rFonts w:hint="default" w:ascii="Times New Roman" w:hAnsi="Times New Roman" w:cs="Times New Roman" w:eastAsiaTheme="minorEastAsia"/>
                <w:color w:val="auto"/>
                <w:sz w:val="24"/>
                <w:szCs w:val="24"/>
                <w:highlight w:val="none"/>
                <w:u w:val="none" w:color="auto"/>
                <w:lang w:val="en-US" w:eastAsia="zh-CN"/>
              </w:rPr>
              <w:t>0m</w:t>
            </w:r>
            <w:r>
              <w:rPr>
                <w:rFonts w:hint="default" w:ascii="Times New Roman" w:hAnsi="Times New Roman" w:cs="Times New Roman" w:eastAsiaTheme="minorEastAsia"/>
                <w:color w:val="auto"/>
                <w:sz w:val="24"/>
                <w:szCs w:val="24"/>
                <w:highlight w:val="none"/>
                <w:u w:val="none" w:color="auto"/>
                <w:vertAlign w:val="superscript"/>
                <w:lang w:val="en-US" w:eastAsia="zh-CN"/>
              </w:rPr>
              <w:t>3</w:t>
            </w:r>
            <w:r>
              <w:rPr>
                <w:rFonts w:hint="default" w:ascii="Times New Roman" w:hAnsi="Times New Roman" w:cs="Times New Roman" w:eastAsiaTheme="minorEastAsia"/>
                <w:color w:val="auto"/>
                <w:sz w:val="24"/>
                <w:szCs w:val="24"/>
                <w:highlight w:val="none"/>
                <w:u w:val="none" w:color="auto"/>
                <w:lang w:val="en-US" w:eastAsia="zh-CN"/>
              </w:rPr>
              <w:t>，</w:t>
            </w:r>
            <w:r>
              <w:rPr>
                <w:rFonts w:hint="default" w:ascii="Times New Roman" w:hAnsi="Times New Roman" w:cs="Times New Roman" w:eastAsiaTheme="minorEastAsia"/>
                <w:color w:val="auto"/>
                <w:sz w:val="24"/>
                <w:szCs w:val="24"/>
                <w:highlight w:val="none"/>
                <w:u w:val="none" w:color="auto"/>
              </w:rPr>
              <w:t>满足平流式沉淀池设计规范要求，从而保证</w:t>
            </w:r>
            <w:r>
              <w:rPr>
                <w:rFonts w:hint="eastAsia" w:cs="Times New Roman" w:eastAsiaTheme="minorEastAsia"/>
                <w:color w:val="auto"/>
                <w:sz w:val="24"/>
                <w:szCs w:val="24"/>
                <w:highlight w:val="none"/>
                <w:u w:val="none" w:color="auto"/>
                <w:lang w:val="en-US" w:eastAsia="zh-CN"/>
              </w:rPr>
              <w:t>生产</w:t>
            </w:r>
            <w:r>
              <w:rPr>
                <w:rFonts w:hint="default" w:ascii="Times New Roman" w:hAnsi="Times New Roman" w:cs="Times New Roman" w:eastAsiaTheme="minorEastAsia"/>
                <w:color w:val="auto"/>
                <w:sz w:val="24"/>
                <w:szCs w:val="24"/>
                <w:highlight w:val="none"/>
                <w:u w:val="none" w:color="auto"/>
              </w:rPr>
              <w:t>废水</w:t>
            </w:r>
            <w:r>
              <w:rPr>
                <w:rFonts w:hint="eastAsia" w:cs="Times New Roman" w:eastAsiaTheme="minorEastAsia"/>
                <w:color w:val="auto"/>
                <w:sz w:val="24"/>
                <w:szCs w:val="24"/>
                <w:highlight w:val="none"/>
                <w:u w:val="none" w:color="auto"/>
                <w:lang w:eastAsia="zh-CN"/>
              </w:rPr>
              <w:t>、</w:t>
            </w:r>
            <w:r>
              <w:rPr>
                <w:rFonts w:hint="default" w:ascii="Times New Roman" w:hAnsi="Times New Roman" w:cs="Times New Roman" w:eastAsiaTheme="minorEastAsia"/>
                <w:color w:val="auto"/>
                <w:sz w:val="24"/>
                <w:szCs w:val="24"/>
                <w:highlight w:val="none"/>
                <w:u w:val="none" w:color="auto"/>
              </w:rPr>
              <w:t>初期雨水量循环回用，不外排。</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rPr>
              <w:t>经上述分析，本项目设计的沉淀池的容积，处理系统的规模能够保证本项目废水不外排，因此设计可行。综上所述，项目废水均可得到有效处置，对周围</w:t>
            </w:r>
            <w:r>
              <w:rPr>
                <w:rFonts w:hint="default" w:ascii="Times New Roman" w:hAnsi="Times New Roman" w:cs="Times New Roman" w:eastAsiaTheme="minorEastAsia"/>
                <w:b w:val="0"/>
                <w:bCs w:val="0"/>
                <w:color w:val="auto"/>
                <w:sz w:val="24"/>
                <w:szCs w:val="24"/>
                <w:highlight w:val="none"/>
                <w:u w:val="none" w:color="auto"/>
              </w:rPr>
              <w:t>环境影响很小</w:t>
            </w:r>
            <w:bookmarkStart w:id="25" w:name="_Toc425"/>
            <w:bookmarkStart w:id="26" w:name="_Toc318223953"/>
            <w:r>
              <w:rPr>
                <w:rFonts w:hint="default" w:ascii="Times New Roman" w:hAnsi="Times New Roman" w:cs="Times New Roman" w:eastAsiaTheme="minorEastAsia"/>
                <w:b w:val="0"/>
                <w:bCs w:val="0"/>
                <w:color w:val="auto"/>
                <w:sz w:val="24"/>
                <w:szCs w:val="24"/>
                <w:highlight w:val="none"/>
                <w:u w:val="none" w:color="auto"/>
              </w:rPr>
              <w:t>。</w:t>
            </w:r>
            <w:bookmarkEnd w:id="25"/>
            <w:bookmarkEnd w:id="26"/>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1"/>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环境监测计划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本项目生活废水经化粪池处理后用于周边农田灌溉，生产废水经沉淀池处理后回用于生产不外排。项目不设废水排口，因此不设置废水环境监测计划。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2" w:firstLineChars="200"/>
              <w:textAlignment w:val="auto"/>
              <w:rPr>
                <w:rFonts w:hint="eastAsia" w:ascii="Times New Roman" w:hAnsi="Times New Roman" w:cs="Times New Roman" w:eastAsiaTheme="minorEastAsia"/>
                <w:b/>
                <w:bCs/>
                <w:color w:val="000000" w:themeColor="text1"/>
                <w:sz w:val="24"/>
                <w:highlight w:val="none"/>
                <w:u w:val="none" w:color="auto"/>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highlight w:val="none"/>
                <w:u w:val="none" w:color="auto"/>
                <w:lang w:eastAsia="zh-CN"/>
                <w14:textFill>
                  <w14:solidFill>
                    <w14:schemeClr w14:val="tx1"/>
                  </w14:solidFill>
                </w14:textFill>
              </w:rPr>
              <w:t>（</w:t>
            </w:r>
            <w:r>
              <w:rPr>
                <w:rFonts w:hint="eastAsia" w:ascii="Times New Roman" w:hAnsi="Times New Roman" w:cs="Times New Roman" w:eastAsiaTheme="minorEastAsia"/>
                <w:b/>
                <w:bCs/>
                <w:color w:val="000000" w:themeColor="text1"/>
                <w:sz w:val="24"/>
                <w:highlight w:val="none"/>
                <w:u w:val="none" w:color="auto"/>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sz w:val="24"/>
                <w:highlight w:val="none"/>
                <w:u w:val="none" w:color="auto"/>
                <w:lang w:eastAsia="zh-CN"/>
                <w14:textFill>
                  <w14:solidFill>
                    <w14:schemeClr w14:val="tx1"/>
                  </w14:solidFill>
                </w14:textFill>
              </w:rPr>
              <w:t>）</w:t>
            </w:r>
            <w:r>
              <w:rPr>
                <w:rFonts w:hint="eastAsia" w:ascii="Times New Roman" w:hAnsi="Times New Roman" w:cs="Times New Roman" w:eastAsiaTheme="minorEastAsia"/>
                <w:b/>
                <w:bCs/>
                <w:color w:val="000000" w:themeColor="text1"/>
                <w:sz w:val="24"/>
                <w:highlight w:val="none"/>
                <w:u w:val="none" w:color="auto"/>
                <w:lang w:val="en-US" w:eastAsia="zh-CN"/>
                <w14:textFill>
                  <w14:solidFill>
                    <w14:schemeClr w14:val="tx1"/>
                  </w14:solidFill>
                </w14:textFill>
              </w:rPr>
              <w:t>二号站</w:t>
            </w:r>
          </w:p>
          <w:p>
            <w:pPr>
              <w:keepNext w:val="0"/>
              <w:keepLines w:val="0"/>
              <w:numPr>
                <w:ilvl w:val="0"/>
                <w:numId w:val="0"/>
              </w:numPr>
              <w:suppressLineNumbers w:val="0"/>
              <w:adjustRightInd w:val="0"/>
              <w:snapToGrid w:val="0"/>
              <w:spacing w:before="0" w:beforeAutospacing="0" w:after="0" w:afterAutospacing="0" w:line="360" w:lineRule="auto"/>
              <w:ind w:right="0" w:rightChars="0" w:firstLine="480" w:firstLineChars="20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作业区地面清洗</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用</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搅拌工作区</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总占地</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面积</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000m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，其冲洗用水量按1.0m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/100m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·d计，则作业区地面冲洗用水为</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/d（</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90</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/a），排放系数按0.8计，则该部分废水量为</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/d（</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72</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/a），废水的主要水质污染因子为SS，其浓度约为1000mg/L。</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该部分废水经沉淀池处理后回用于生产</w:t>
            </w:r>
            <w:r>
              <w:rPr>
                <w:rFonts w:hint="eastAsia"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w:t>
            </w:r>
          </w:p>
          <w:p>
            <w:pPr>
              <w:keepNext w:val="0"/>
              <w:keepLines w:val="0"/>
              <w:numPr>
                <w:ilvl w:val="0"/>
                <w:numId w:val="0"/>
              </w:numPr>
              <w:suppressLineNumbers w:val="0"/>
              <w:adjustRightInd w:val="0"/>
              <w:snapToGrid w:val="0"/>
              <w:spacing w:before="0" w:beforeAutospacing="0" w:after="0" w:afterAutospacing="0" w:line="360" w:lineRule="auto"/>
              <w:ind w:right="0" w:rightChars="0" w:firstLine="480" w:firstLineChars="20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运输车辆清洗</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用</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运输车辆出厂区时需清洗，按运输能力计算，每天约需运输</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辆次，每次均需对运输车辆进行冲洗，根据同类型企业的类比调查，车辆冲洗水量大致为0.4</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t</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/辆.次，因此每天冲洗水约</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t，年冲洗水量约</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720</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t/a，排放系数按0.8计，则该部分废水量为</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576</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t/a，该废水的主要水质污染因子为SS，其浓度大致为1500mg/L。</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该部分废水经沉淀池处理后回用于生产</w:t>
            </w:r>
            <w:r>
              <w:rPr>
                <w:rFonts w:hint="eastAsia"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70" w:firstLineChars="196"/>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喷淋用水</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70" w:firstLineChars="196"/>
              <w:textAlignment w:val="auto"/>
              <w:rPr>
                <w:rFonts w:hint="eastAsia"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pPr>
            <w:r>
              <w:rPr>
                <w:rFonts w:hint="default" w:ascii="Times New Roman" w:hAnsi="Times New Roman" w:eastAsia="宋体" w:cs="Times New Roman"/>
                <w:color w:val="auto"/>
                <w:sz w:val="24"/>
              </w:rPr>
              <w:t>原料堆场需进行喷淋抑尘，用水量为1L/m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·d，计算得：原料堆场喷淋用水量</w:t>
            </w:r>
            <w:r>
              <w:rPr>
                <w:rFonts w:hint="eastAsia" w:ascii="Times New Roman" w:hAnsi="Times New Roman" w:eastAsia="宋体" w:cs="Times New Roman"/>
                <w:color w:val="auto"/>
                <w:sz w:val="24"/>
                <w:lang w:val="en-US" w:eastAsia="zh-CN"/>
              </w:rPr>
              <w:t>0.2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/d，合</w:t>
            </w:r>
            <w:r>
              <w:rPr>
                <w:rFonts w:hint="eastAsia" w:ascii="Times New Roman" w:hAnsi="Times New Roman" w:eastAsia="宋体" w:cs="Times New Roman"/>
                <w:color w:val="auto"/>
                <w:sz w:val="24"/>
                <w:lang w:val="en-US" w:eastAsia="zh-CN"/>
              </w:rPr>
              <w:t>18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/a。喷淋水全部蒸发损耗，不产生废水</w:t>
            </w:r>
            <w:r>
              <w:rPr>
                <w:rFonts w:hint="eastAsia" w:ascii="Times New Roman" w:hAnsi="Times New Roman" w:eastAsia="宋体" w:cs="Times New Roman"/>
                <w:color w:val="auto"/>
                <w:sz w:val="24"/>
                <w:lang w:eastAsia="zh-CN"/>
              </w:rPr>
              <w:t>。</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70" w:firstLineChars="196"/>
              <w:textAlignment w:val="auto"/>
              <w:rPr>
                <w:rFonts w:hint="default" w:ascii="Times New Roman" w:hAnsi="Times New Roman" w:cs="Times New Roman" w:eastAsiaTheme="minorEastAsia"/>
                <w:color w:val="000000" w:themeColor="text1"/>
                <w:sz w:val="24"/>
                <w:szCs w:val="24"/>
                <w:highlight w:val="none"/>
                <w:u w:val="none" w:color="auto"/>
                <w:lang w:val="en-US"/>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生产用水</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70" w:firstLineChars="196"/>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kern w:val="1"/>
                <w:sz w:val="24"/>
                <w:highlight w:val="none"/>
                <w:u w:val="none" w:color="auto"/>
                <w:lang w:val="en-US" w:eastAsia="zh-CN"/>
                <w14:textFill>
                  <w14:solidFill>
                    <w14:schemeClr w14:val="tx1"/>
                  </w14:solidFill>
                </w14:textFill>
              </w:rPr>
              <w:t>混凝土搅拌</w:t>
            </w:r>
            <w:r>
              <w:rPr>
                <w:rFonts w:hint="eastAsia" w:ascii="Times New Roman" w:hAnsi="Times New Roman" w:cs="Times New Roman" w:eastAsiaTheme="minorEastAsia"/>
                <w:color w:val="000000" w:themeColor="text1"/>
                <w:kern w:val="1"/>
                <w:sz w:val="24"/>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1"/>
                <w:sz w:val="24"/>
                <w:highlight w:val="none"/>
                <w:u w:val="none" w:color="auto"/>
                <w14:textFill>
                  <w14:solidFill>
                    <w14:schemeClr w14:val="tx1"/>
                  </w14:solidFill>
                </w14:textFill>
              </w:rPr>
              <w:t>根据原料配比，</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混凝土生产过程中，砂石、水泥、粉煤灰等混合搅拌需要用水，按照《普通混凝土配合比设计规程》</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JGJ55-2011</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要求，根据实验室的配合比进行混凝土现场拌合，其用水量约为173kg/m</w:t>
            </w:r>
            <w:r>
              <w:rPr>
                <w:rFonts w:hint="default" w:ascii="Times New Roman" w:hAnsi="Times New Roman" w:cs="Times New Roman" w:eastAsiaTheme="minorEastAsia"/>
                <w:color w:val="000000" w:themeColor="text1"/>
                <w:sz w:val="24"/>
                <w:szCs w:val="24"/>
                <w:highlight w:val="none"/>
                <w:u w:val="none" w:color="auto"/>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混凝土</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项目</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生产能力为</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万</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m³</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/a</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666.7m³</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/d</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，则用水量约</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115.3</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/d</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10380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/a</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搅拌</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用水全部进入产品</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蒸发掉，不外排。</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70" w:firstLineChars="196"/>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5）生活用水</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70" w:firstLineChars="196"/>
              <w:textAlignment w:val="auto"/>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 w:val="0"/>
                <w:bCs w:val="0"/>
                <w:color w:val="auto"/>
                <w:sz w:val="24"/>
                <w:szCs w:val="24"/>
                <w:highlight w:val="none"/>
                <w:lang w:val="en-US" w:eastAsia="zh-CN"/>
              </w:rPr>
              <w:t>一号站</w:t>
            </w:r>
            <w:r>
              <w:rPr>
                <w:rFonts w:hint="default" w:ascii="Times New Roman" w:hAnsi="Times New Roman" w:eastAsia="宋体" w:cs="Times New Roman"/>
                <w:b w:val="0"/>
                <w:bCs w:val="0"/>
                <w:color w:val="auto"/>
                <w:sz w:val="24"/>
                <w:szCs w:val="24"/>
                <w:highlight w:val="none"/>
                <w:lang w:val="en-US" w:eastAsia="zh-CN"/>
              </w:rPr>
              <w:t>劳动定员</w:t>
            </w:r>
            <w:r>
              <w:rPr>
                <w:rFonts w:hint="eastAsia" w:ascii="Times New Roman" w:hAnsi="Times New Roman" w:eastAsia="宋体" w:cs="Times New Roman"/>
                <w:b w:val="0"/>
                <w:bCs w:val="0"/>
                <w:color w:val="auto"/>
                <w:sz w:val="24"/>
                <w:szCs w:val="24"/>
                <w:highlight w:val="none"/>
                <w:lang w:val="en-US" w:eastAsia="zh-CN"/>
              </w:rPr>
              <w:t>30</w:t>
            </w:r>
            <w:r>
              <w:rPr>
                <w:rFonts w:hint="default" w:ascii="Times New Roman" w:hAnsi="Times New Roman" w:eastAsia="宋体" w:cs="Times New Roman"/>
                <w:b w:val="0"/>
                <w:bCs w:val="0"/>
                <w:color w:val="auto"/>
                <w:sz w:val="24"/>
                <w:szCs w:val="24"/>
                <w:highlight w:val="none"/>
                <w:lang w:val="en-US" w:eastAsia="zh-CN"/>
              </w:rPr>
              <w:t>人，均在厂区内食宿，生活用水定额</w:t>
            </w:r>
            <w:r>
              <w:rPr>
                <w:rFonts w:hint="eastAsia" w:ascii="Times New Roman" w:hAnsi="Times New Roman" w:eastAsia="宋体" w:cs="Times New Roman"/>
                <w:b w:val="0"/>
                <w:bCs w:val="0"/>
                <w:color w:val="auto"/>
                <w:sz w:val="24"/>
                <w:szCs w:val="24"/>
                <w:highlight w:val="none"/>
                <w:lang w:val="en-US" w:eastAsia="zh-CN"/>
              </w:rPr>
              <w:t>按140L/</w:t>
            </w:r>
            <w:r>
              <w:rPr>
                <w:rFonts w:hint="default" w:ascii="Times New Roman" w:hAnsi="Times New Roman" w:eastAsia="宋体" w:cs="Times New Roman"/>
                <w:b w:val="0"/>
                <w:bCs w:val="0"/>
                <w:color w:val="auto"/>
                <w:sz w:val="24"/>
                <w:szCs w:val="24"/>
                <w:highlight w:val="none"/>
                <w:lang w:val="en-US" w:eastAsia="zh-CN"/>
              </w:rPr>
              <w:t>人·d计，则生活用水量为</w:t>
            </w:r>
            <w:r>
              <w:rPr>
                <w:rFonts w:hint="eastAsia" w:ascii="Times New Roman" w:hAnsi="Times New Roman" w:eastAsia="宋体" w:cs="Times New Roman"/>
                <w:b w:val="0"/>
                <w:bCs w:val="0"/>
                <w:color w:val="auto"/>
                <w:sz w:val="24"/>
                <w:szCs w:val="24"/>
                <w:highlight w:val="none"/>
                <w:lang w:val="en-US" w:eastAsia="zh-CN"/>
              </w:rPr>
              <w:t>378</w:t>
            </w:r>
            <w:r>
              <w:rPr>
                <w:rFonts w:hint="default" w:ascii="Times New Roman" w:hAnsi="Times New Roman" w:eastAsia="宋体" w:cs="Times New Roman"/>
                <w:b w:val="0"/>
                <w:bCs w:val="0"/>
                <w:color w:val="auto"/>
                <w:sz w:val="24"/>
                <w:szCs w:val="24"/>
                <w:highlight w:val="none"/>
                <w:lang w:val="en-US" w:eastAsia="zh-CN"/>
              </w:rPr>
              <w:t>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w:t>
            </w:r>
            <w:r>
              <w:rPr>
                <w:rFonts w:hint="eastAsia" w:ascii="Times New Roman" w:hAnsi="Times New Roman" w:eastAsia="宋体" w:cs="Times New Roman"/>
                <w:b w:val="0"/>
                <w:bCs w:val="0"/>
                <w:color w:val="auto"/>
                <w:sz w:val="24"/>
                <w:szCs w:val="24"/>
                <w:highlight w:val="none"/>
                <w:lang w:val="en-US" w:eastAsia="zh-CN"/>
              </w:rPr>
              <w:t>4.2m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/d</w:t>
            </w:r>
            <w:r>
              <w:rPr>
                <w:rFonts w:hint="default" w:ascii="Times New Roman" w:hAnsi="Times New Roman" w:eastAsia="宋体" w:cs="Times New Roman"/>
                <w:b w:val="0"/>
                <w:bCs w:val="0"/>
                <w:color w:val="auto"/>
                <w:sz w:val="24"/>
                <w:szCs w:val="24"/>
                <w:highlight w:val="none"/>
                <w:lang w:val="en-US" w:eastAsia="zh-CN"/>
              </w:rPr>
              <w:t>)。排污系数按0</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8计，则生活废水产生量为302.4m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w:t>
            </w:r>
            <w:r>
              <w:rPr>
                <w:rFonts w:hint="eastAsia" w:ascii="Times New Roman" w:hAnsi="Times New Roman" w:eastAsia="宋体" w:cs="Times New Roman"/>
                <w:b w:val="0"/>
                <w:bCs w:val="0"/>
                <w:color w:val="auto"/>
                <w:sz w:val="24"/>
                <w:szCs w:val="24"/>
                <w:highlight w:val="none"/>
                <w:lang w:val="en-US" w:eastAsia="zh-CN"/>
              </w:rPr>
              <w:t>3.36m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/d</w:t>
            </w:r>
            <w:r>
              <w:rPr>
                <w:rFonts w:hint="default" w:ascii="Times New Roman" w:hAnsi="Times New Roman" w:eastAsia="宋体" w:cs="Times New Roman"/>
                <w:b w:val="0"/>
                <w:bCs w:val="0"/>
                <w:color w:val="auto"/>
                <w:sz w:val="24"/>
                <w:szCs w:val="24"/>
                <w:highlight w:val="none"/>
                <w:lang w:val="en-US" w:eastAsia="zh-CN"/>
              </w:rPr>
              <w:t>)。生活污水各污染因子浓度分别为</w:t>
            </w:r>
            <w:r>
              <w:rPr>
                <w:rFonts w:hint="eastAsia" w:ascii="Times New Roman" w:hAnsi="Times New Roman" w:eastAsia="宋体" w:cs="Times New Roman"/>
                <w:b w:val="0"/>
                <w:bCs w:val="0"/>
                <w:color w:val="auto"/>
                <w:sz w:val="24"/>
                <w:szCs w:val="24"/>
                <w:highlight w:val="none"/>
                <w:lang w:val="en-US" w:eastAsia="zh-CN"/>
              </w:rPr>
              <w:t>：COD：</w:t>
            </w:r>
            <w:r>
              <w:rPr>
                <w:rFonts w:hint="default" w:ascii="Times New Roman" w:hAnsi="Times New Roman" w:eastAsia="宋体" w:cs="Times New Roman"/>
                <w:b w:val="0"/>
                <w:bCs w:val="0"/>
                <w:color w:val="auto"/>
                <w:sz w:val="24"/>
                <w:szCs w:val="24"/>
                <w:highlight w:val="none"/>
                <w:lang w:val="en-US" w:eastAsia="zh-CN"/>
              </w:rPr>
              <w:t>350mg</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L</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BOD</w:t>
            </w:r>
            <w:r>
              <w:rPr>
                <w:rFonts w:hint="eastAsia" w:ascii="Times New Roman" w:hAnsi="Times New Roman" w:eastAsia="宋体" w:cs="Times New Roman"/>
                <w:b w:val="0"/>
                <w:bCs w:val="0"/>
                <w:color w:val="auto"/>
                <w:sz w:val="24"/>
                <w:szCs w:val="24"/>
                <w:highlight w:val="none"/>
                <w:vertAlign w:val="subscript"/>
                <w:lang w:val="en-US" w:eastAsia="zh-CN"/>
              </w:rPr>
              <w:t>5</w:t>
            </w:r>
            <w:r>
              <w:rPr>
                <w:rFonts w:hint="eastAsia" w:ascii="Times New Roman" w:hAnsi="Times New Roman" w:eastAsia="宋体" w:cs="Times New Roman"/>
                <w:b w:val="0"/>
                <w:bCs w:val="0"/>
                <w:color w:val="auto"/>
                <w:sz w:val="24"/>
                <w:szCs w:val="24"/>
                <w:highlight w:val="none"/>
                <w:vertAlign w:val="baseline"/>
                <w:lang w:val="en-US" w:eastAsia="zh-CN"/>
              </w:rPr>
              <w:t>：200mg/L、SS：150mg/L、NH</w:t>
            </w:r>
            <w:r>
              <w:rPr>
                <w:rFonts w:hint="eastAsia" w:ascii="Times New Roman" w:hAnsi="Times New Roman" w:eastAsia="宋体" w:cs="Times New Roman"/>
                <w:b w:val="0"/>
                <w:bCs w:val="0"/>
                <w:color w:val="auto"/>
                <w:sz w:val="24"/>
                <w:szCs w:val="24"/>
                <w:highlight w:val="none"/>
                <w:vertAlign w:val="sub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-N：40mg/L。本项目产生的生活污水经隔油池+化粪池处理后用于厂区周边农田浇灌，不外排。</w:t>
            </w:r>
          </w:p>
          <w:p>
            <w:pPr>
              <w:bidi w:val="0"/>
              <w:rPr>
                <w:rFonts w:hint="default" w:ascii="Times New Roman" w:hAnsi="Times New Roman" w:eastAsia="宋体" w:cs="Times New Roman"/>
              </w:rPr>
            </w:pP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初期雨水</w:t>
            </w:r>
          </w:p>
          <w:p>
            <w:pPr>
              <w:widowControl/>
              <w:adjustRightInd w:val="0"/>
              <w:snapToGrid w:val="0"/>
              <w:spacing w:line="360" w:lineRule="auto"/>
              <w:ind w:firstLine="480" w:firstLineChars="200"/>
              <w:rPr>
                <w:rFonts w:hint="default" w:ascii="Times New Roman" w:hAnsi="Times New Roman" w:eastAsia="宋体" w:cs="Times New Roman"/>
                <w:color w:val="auto"/>
                <w:spacing w:val="0"/>
                <w:kern w:val="21"/>
                <w:sz w:val="24"/>
                <w:szCs w:val="20"/>
                <w:highlight w:val="none"/>
              </w:rPr>
            </w:pPr>
            <w:r>
              <w:rPr>
                <w:rFonts w:hint="default" w:ascii="Times New Roman" w:hAnsi="Times New Roman" w:eastAsia="宋体" w:cs="Times New Roman"/>
                <w:lang w:val="en-US" w:eastAsia="zh-CN"/>
              </w:rPr>
              <w:t>由于原辅材料、成品在运输过程中的跑、冒、滴、漏，对厂区内道路路面和地面的清洁度会造成一定程度的污染，主要为颗粒物，经运输车辆不断反复碾压后变成细微粉尘颗粒物，在晴天，运输车辆行驶过程中容易产生道路扬尘。在雨天，经过雨水地表径流冲洗后，产生的初期雨水含有泥浆，不可以直接外排，须经处理后排放。</w:t>
            </w:r>
            <w:r>
              <w:rPr>
                <w:rFonts w:hint="default" w:ascii="Times New Roman" w:hAnsi="Times New Roman" w:eastAsia="宋体" w:cs="Times New Roman"/>
                <w:color w:val="auto"/>
                <w:spacing w:val="0"/>
                <w:kern w:val="21"/>
                <w:sz w:val="24"/>
                <w:szCs w:val="20"/>
                <w:highlight w:val="none"/>
              </w:rPr>
              <w:t>考虑暴雨强度与降雨历时的关系，假设日平均降雨量集中在降雨初期3h（180min）内，进而估计初期（前15min）雨水的量，暴雨强度可按下述公式进行计算：</w:t>
            </w:r>
          </w:p>
          <w:p>
            <w:pPr>
              <w:widowControl w:val="0"/>
              <w:spacing w:after="120" w:line="240" w:lineRule="auto"/>
              <w:ind w:left="29" w:leftChars="12" w:firstLine="640" w:firstLineChars="200"/>
              <w:jc w:val="center"/>
              <w:rPr>
                <w:rFonts w:hint="default" w:ascii="Times New Roman" w:hAnsi="Times New Roman" w:eastAsia="宋体" w:cs="Times New Roman"/>
                <w:color w:val="auto"/>
                <w:spacing w:val="0"/>
                <w:kern w:val="21"/>
                <w:sz w:val="32"/>
                <w:szCs w:val="21"/>
                <w:highlight w:val="none"/>
                <w:u w:val="none"/>
                <w:lang w:val="en-US" w:eastAsia="zh-CN" w:bidi="ar-SA"/>
              </w:rPr>
            </w:pPr>
            <w:r>
              <w:rPr>
                <w:rFonts w:hint="default" w:ascii="Times New Roman" w:hAnsi="Times New Roman" w:eastAsia="宋体" w:cs="Times New Roman"/>
                <w:color w:val="auto"/>
                <w:spacing w:val="0"/>
                <w:kern w:val="21"/>
                <w:sz w:val="32"/>
                <w:szCs w:val="20"/>
                <w:highlight w:val="none"/>
                <w:u w:val="none"/>
                <w:lang w:val="en-US" w:eastAsia="zh-CN" w:bidi="ar-SA"/>
              </w:rPr>
              <w:drawing>
                <wp:inline distT="0" distB="0" distL="114300" distR="114300">
                  <wp:extent cx="2200275" cy="466725"/>
                  <wp:effectExtent l="0" t="0" r="9525" b="952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6">
                            <a:lum/>
                          </a:blip>
                          <a:stretch>
                            <a:fillRect/>
                          </a:stretch>
                        </pic:blipFill>
                        <pic:spPr>
                          <a:xfrm>
                            <a:off x="0" y="0"/>
                            <a:ext cx="2200275" cy="466725"/>
                          </a:xfrm>
                          <a:prstGeom prst="rect">
                            <a:avLst/>
                          </a:prstGeom>
                          <a:noFill/>
                          <a:ln>
                            <a:noFill/>
                          </a:ln>
                        </pic:spPr>
                      </pic:pic>
                    </a:graphicData>
                  </a:graphic>
                </wp:inline>
              </w:drawing>
            </w:r>
          </w:p>
          <w:p>
            <w:pPr>
              <w:bidi w:val="0"/>
              <w:rPr>
                <w:rFonts w:hint="default" w:ascii="Times New Roman" w:hAnsi="Times New Roman" w:eastAsia="宋体" w:cs="Times New Roman"/>
              </w:rPr>
            </w:pPr>
            <w:r>
              <w:rPr>
                <w:rFonts w:hint="default" w:ascii="Times New Roman" w:hAnsi="Times New Roman" w:eastAsia="宋体" w:cs="Times New Roman"/>
                <w:color w:val="auto"/>
                <w:spacing w:val="0"/>
                <w:kern w:val="21"/>
                <w:sz w:val="24"/>
                <w:highlight w:val="none"/>
              </w:rPr>
              <w:t>根据《环境影响评价技术导则》（HJ/T2.3-93）中推荐值，本项目硬化地面（道路路面、人工建筑物屋顶等）的径流系数取0.9。根据项目所在地多年年均降雨量1442.4mm，重现期2年。本项目集雨面积取</w:t>
            </w:r>
            <w:r>
              <w:rPr>
                <w:rFonts w:hint="eastAsia" w:ascii="Times New Roman" w:hAnsi="Times New Roman" w:eastAsia="宋体" w:cs="Times New Roman"/>
                <w:color w:val="auto"/>
                <w:spacing w:val="0"/>
                <w:kern w:val="21"/>
                <w:sz w:val="24"/>
                <w:highlight w:val="none"/>
                <w:lang w:val="en-US" w:eastAsia="zh-CN"/>
              </w:rPr>
              <w:t>生产区面积</w:t>
            </w:r>
            <w:r>
              <w:rPr>
                <w:rFonts w:hint="default" w:ascii="Times New Roman" w:hAnsi="Times New Roman" w:eastAsia="宋体" w:cs="Times New Roman"/>
                <w:color w:val="auto"/>
                <w:spacing w:val="0"/>
                <w:kern w:val="21"/>
                <w:sz w:val="24"/>
                <w:highlight w:val="none"/>
              </w:rPr>
              <w:t>，合计汇水面积</w:t>
            </w:r>
            <w:r>
              <w:rPr>
                <w:rFonts w:hint="eastAsia" w:ascii="Times New Roman" w:hAnsi="Times New Roman" w:eastAsia="宋体" w:cs="Times New Roman"/>
                <w:color w:val="auto"/>
                <w:spacing w:val="0"/>
                <w:kern w:val="21"/>
                <w:sz w:val="24"/>
                <w:highlight w:val="none"/>
                <w:lang w:val="en-US" w:eastAsia="zh-CN"/>
              </w:rPr>
              <w:t>1000</w:t>
            </w:r>
            <w:r>
              <w:rPr>
                <w:rFonts w:hint="default" w:ascii="Times New Roman" w:hAnsi="Times New Roman" w:eastAsia="宋体" w:cs="Times New Roman"/>
                <w:color w:val="auto"/>
                <w:spacing w:val="0"/>
                <w:kern w:val="21"/>
                <w:sz w:val="24"/>
                <w:highlight w:val="none"/>
              </w:rPr>
              <w:t>m</w:t>
            </w:r>
            <w:r>
              <w:rPr>
                <w:rFonts w:hint="default" w:ascii="Times New Roman" w:hAnsi="Times New Roman" w:eastAsia="宋体" w:cs="Times New Roman"/>
                <w:color w:val="auto"/>
                <w:spacing w:val="0"/>
                <w:kern w:val="21"/>
                <w:sz w:val="24"/>
                <w:highlight w:val="none"/>
                <w:vertAlign w:val="superscript"/>
              </w:rPr>
              <w:t>2</w:t>
            </w:r>
            <w:r>
              <w:rPr>
                <w:rFonts w:hint="default" w:ascii="Times New Roman" w:hAnsi="Times New Roman" w:eastAsia="宋体" w:cs="Times New Roman"/>
                <w:color w:val="auto"/>
                <w:spacing w:val="0"/>
                <w:kern w:val="21"/>
                <w:sz w:val="24"/>
                <w:highlight w:val="none"/>
              </w:rPr>
              <w:t>，计算得该地区暴雨强度为</w:t>
            </w:r>
            <w:r>
              <w:rPr>
                <w:rFonts w:hint="eastAsia" w:ascii="Times New Roman" w:hAnsi="Times New Roman" w:eastAsia="宋体" w:cs="Times New Roman"/>
                <w:color w:val="auto"/>
                <w:spacing w:val="0"/>
                <w:kern w:val="21"/>
                <w:sz w:val="24"/>
                <w:highlight w:val="none"/>
                <w:lang w:val="en-US" w:eastAsia="zh-CN"/>
              </w:rPr>
              <w:t>239.74</w:t>
            </w:r>
            <w:r>
              <w:rPr>
                <w:rFonts w:hint="default" w:ascii="Times New Roman" w:hAnsi="Times New Roman" w:eastAsia="宋体" w:cs="Times New Roman"/>
                <w:color w:val="auto"/>
                <w:spacing w:val="0"/>
                <w:kern w:val="21"/>
                <w:sz w:val="24"/>
                <w:highlight w:val="none"/>
              </w:rPr>
              <w:t>L/（</w:t>
            </w:r>
            <w:r>
              <w:rPr>
                <w:rFonts w:hint="eastAsia" w:ascii="Times New Roman" w:hAnsi="Times New Roman" w:eastAsia="宋体" w:cs="Times New Roman"/>
                <w:color w:val="auto"/>
                <w:spacing w:val="0"/>
                <w:kern w:val="21"/>
                <w:sz w:val="24"/>
                <w:highlight w:val="none"/>
                <w:lang w:val="en-US" w:eastAsia="zh-CN"/>
              </w:rPr>
              <w:t>s</w:t>
            </w:r>
            <w:r>
              <w:rPr>
                <w:rFonts w:hint="default" w:ascii="Times New Roman" w:hAnsi="Times New Roman" w:eastAsia="宋体" w:cs="Times New Roman"/>
                <w:color w:val="auto"/>
                <w:spacing w:val="0"/>
                <w:kern w:val="21"/>
                <w:sz w:val="24"/>
                <w:highlight w:val="none"/>
              </w:rPr>
              <w:t>·ha），雨水流量</w:t>
            </w:r>
            <w:r>
              <w:rPr>
                <w:rFonts w:hint="eastAsia" w:ascii="Times New Roman" w:hAnsi="Times New Roman" w:eastAsia="宋体" w:cs="Times New Roman"/>
                <w:color w:val="auto"/>
                <w:spacing w:val="0"/>
                <w:kern w:val="21"/>
                <w:sz w:val="24"/>
                <w:highlight w:val="none"/>
                <w:lang w:val="en-US" w:eastAsia="zh-CN"/>
              </w:rPr>
              <w:t>21.58</w:t>
            </w:r>
            <w:r>
              <w:rPr>
                <w:rFonts w:hint="default" w:ascii="Times New Roman" w:hAnsi="Times New Roman" w:eastAsia="宋体" w:cs="Times New Roman"/>
                <w:color w:val="auto"/>
                <w:spacing w:val="0"/>
                <w:kern w:val="21"/>
                <w:sz w:val="24"/>
                <w:highlight w:val="none"/>
              </w:rPr>
              <w:t>L/</w:t>
            </w:r>
            <w:r>
              <w:rPr>
                <w:rFonts w:hint="eastAsia" w:ascii="Times New Roman" w:hAnsi="Times New Roman" w:eastAsia="宋体" w:cs="Times New Roman"/>
                <w:color w:val="auto"/>
                <w:spacing w:val="0"/>
                <w:kern w:val="21"/>
                <w:sz w:val="24"/>
                <w:highlight w:val="none"/>
                <w:lang w:val="en-US" w:eastAsia="zh-CN"/>
              </w:rPr>
              <w:t>s</w:t>
            </w:r>
            <w:r>
              <w:rPr>
                <w:rFonts w:hint="default" w:ascii="Times New Roman" w:hAnsi="Times New Roman" w:eastAsia="宋体" w:cs="Times New Roman"/>
                <w:color w:val="auto"/>
                <w:spacing w:val="0"/>
                <w:kern w:val="21"/>
                <w:sz w:val="24"/>
                <w:highlight w:val="none"/>
              </w:rPr>
              <w:t>，换算得到初期雨水量为</w:t>
            </w:r>
            <w:r>
              <w:rPr>
                <w:rFonts w:hint="eastAsia" w:ascii="Times New Roman" w:hAnsi="Times New Roman" w:eastAsia="宋体" w:cs="Times New Roman"/>
                <w:color w:val="auto"/>
                <w:spacing w:val="0"/>
                <w:kern w:val="21"/>
                <w:sz w:val="24"/>
                <w:highlight w:val="none"/>
                <w:lang w:val="en-US" w:eastAsia="zh-CN"/>
              </w:rPr>
              <w:t>19.42</w:t>
            </w:r>
            <w:r>
              <w:rPr>
                <w:rFonts w:hint="default" w:ascii="Times New Roman" w:hAnsi="Times New Roman" w:eastAsia="宋体" w:cs="Times New Roman"/>
                <w:color w:val="auto"/>
                <w:spacing w:val="0"/>
                <w:kern w:val="21"/>
                <w:sz w:val="24"/>
                <w:highlight w:val="none"/>
              </w:rPr>
              <w:t>m</w:t>
            </w:r>
            <w:r>
              <w:rPr>
                <w:rFonts w:hint="default" w:ascii="Times New Roman" w:hAnsi="Times New Roman" w:eastAsia="宋体" w:cs="Times New Roman"/>
                <w:color w:val="auto"/>
                <w:spacing w:val="0"/>
                <w:kern w:val="21"/>
                <w:sz w:val="24"/>
                <w:highlight w:val="none"/>
                <w:vertAlign w:val="superscript"/>
              </w:rPr>
              <w:t>3</w:t>
            </w:r>
            <w:r>
              <w:rPr>
                <w:rFonts w:hint="default" w:ascii="Times New Roman" w:hAnsi="Times New Roman" w:eastAsia="宋体" w:cs="Times New Roman"/>
                <w:color w:val="auto"/>
                <w:spacing w:val="0"/>
                <w:kern w:val="21"/>
                <w:sz w:val="24"/>
                <w:highlight w:val="none"/>
              </w:rPr>
              <w:t>/次，</w:t>
            </w:r>
            <w:r>
              <w:rPr>
                <w:rFonts w:hint="eastAsia" w:ascii="Times New Roman" w:hAnsi="Times New Roman" w:eastAsia="宋体" w:cs="Times New Roman"/>
                <w:color w:val="auto"/>
                <w:spacing w:val="0"/>
                <w:kern w:val="21"/>
                <w:sz w:val="24"/>
                <w:highlight w:val="none"/>
                <w:lang w:val="en-US" w:eastAsia="zh-CN"/>
              </w:rPr>
              <w:t>77.67</w:t>
            </w:r>
            <w:r>
              <w:rPr>
                <w:rFonts w:hint="default" w:ascii="Times New Roman" w:hAnsi="Times New Roman" w:eastAsia="宋体" w:cs="Times New Roman"/>
                <w:color w:val="auto"/>
                <w:spacing w:val="0"/>
                <w:kern w:val="21"/>
                <w:sz w:val="24"/>
                <w:highlight w:val="none"/>
              </w:rPr>
              <w:t>m</w:t>
            </w:r>
            <w:r>
              <w:rPr>
                <w:rFonts w:hint="default" w:ascii="Times New Roman" w:hAnsi="Times New Roman" w:eastAsia="宋体" w:cs="Times New Roman"/>
                <w:color w:val="auto"/>
                <w:spacing w:val="0"/>
                <w:kern w:val="21"/>
                <w:sz w:val="24"/>
                <w:highlight w:val="none"/>
                <w:vertAlign w:val="superscript"/>
              </w:rPr>
              <w:t>3</w:t>
            </w:r>
            <w:r>
              <w:rPr>
                <w:rFonts w:hint="default" w:ascii="Times New Roman" w:hAnsi="Times New Roman" w:eastAsia="宋体" w:cs="Times New Roman"/>
                <w:color w:val="auto"/>
                <w:spacing w:val="0"/>
                <w:kern w:val="21"/>
                <w:sz w:val="24"/>
                <w:highlight w:val="none"/>
              </w:rPr>
              <w:t>/h。项目地区暴雨次数按18次计算，因此，初期雨水产生量约为</w:t>
            </w:r>
            <w:r>
              <w:rPr>
                <w:rFonts w:hint="eastAsia" w:ascii="Times New Roman" w:hAnsi="Times New Roman" w:eastAsia="宋体" w:cs="Times New Roman"/>
                <w:color w:val="auto"/>
                <w:spacing w:val="0"/>
                <w:kern w:val="21"/>
                <w:sz w:val="24"/>
                <w:highlight w:val="none"/>
                <w:lang w:val="en-US" w:eastAsia="zh-CN"/>
              </w:rPr>
              <w:t>349.56</w:t>
            </w:r>
            <w:r>
              <w:rPr>
                <w:rFonts w:hint="default" w:ascii="Times New Roman" w:hAnsi="Times New Roman" w:eastAsia="宋体" w:cs="Times New Roman"/>
                <w:color w:val="auto"/>
                <w:spacing w:val="0"/>
                <w:kern w:val="21"/>
                <w:sz w:val="24"/>
                <w:highlight w:val="none"/>
              </w:rPr>
              <w:t>m</w:t>
            </w:r>
            <w:r>
              <w:rPr>
                <w:rFonts w:hint="default" w:ascii="Times New Roman" w:hAnsi="Times New Roman" w:eastAsia="宋体" w:cs="Times New Roman"/>
                <w:color w:val="auto"/>
                <w:spacing w:val="0"/>
                <w:kern w:val="21"/>
                <w:sz w:val="24"/>
                <w:highlight w:val="none"/>
                <w:vertAlign w:val="superscript"/>
              </w:rPr>
              <w:t>3</w:t>
            </w:r>
            <w:r>
              <w:rPr>
                <w:rFonts w:hint="default" w:ascii="Times New Roman" w:hAnsi="Times New Roman" w:eastAsia="宋体" w:cs="Times New Roman"/>
                <w:color w:val="auto"/>
                <w:spacing w:val="0"/>
                <w:kern w:val="21"/>
                <w:sz w:val="24"/>
                <w:highlight w:val="none"/>
              </w:rPr>
              <w:t>/a。</w:t>
            </w:r>
            <w:r>
              <w:rPr>
                <w:rFonts w:hint="default" w:ascii="Times New Roman" w:hAnsi="Times New Roman" w:eastAsia="宋体" w:cs="Times New Roman"/>
                <w:spacing w:val="0"/>
                <w:kern w:val="21"/>
                <w:sz w:val="24"/>
                <w:highlight w:val="none"/>
              </w:rPr>
              <w:t>初期雨水</w:t>
            </w:r>
            <w:r>
              <w:rPr>
                <w:rFonts w:hint="default" w:ascii="Times New Roman" w:hAnsi="Times New Roman" w:eastAsia="宋体" w:cs="Times New Roman"/>
                <w:color w:val="000000"/>
                <w:kern w:val="2"/>
                <w:sz w:val="24"/>
                <w:szCs w:val="24"/>
                <w:highlight w:val="none"/>
                <w:u w:val="none" w:color="auto"/>
                <w:lang w:val="en-US" w:eastAsia="zh-CN" w:bidi="ar-SA"/>
              </w:rPr>
              <w:t>通过厂区</w:t>
            </w:r>
            <w:r>
              <w:rPr>
                <w:rFonts w:hint="eastAsia" w:ascii="Times New Roman" w:hAnsi="Times New Roman" w:eastAsia="宋体" w:cs="Times New Roman"/>
                <w:color w:val="000000"/>
                <w:kern w:val="2"/>
                <w:sz w:val="24"/>
                <w:szCs w:val="24"/>
                <w:highlight w:val="none"/>
                <w:u w:val="none" w:color="auto"/>
                <w:lang w:val="en-US" w:eastAsia="zh-CN" w:bidi="ar-SA"/>
              </w:rPr>
              <w:t>内</w:t>
            </w:r>
            <w:r>
              <w:rPr>
                <w:rFonts w:hint="default" w:ascii="Times New Roman" w:hAnsi="Times New Roman" w:eastAsia="宋体" w:cs="Times New Roman"/>
                <w:color w:val="000000"/>
                <w:kern w:val="2"/>
                <w:sz w:val="24"/>
                <w:szCs w:val="24"/>
                <w:highlight w:val="none"/>
                <w:u w:val="none" w:color="auto"/>
                <w:lang w:val="en-US" w:eastAsia="zh-CN" w:bidi="ar-SA"/>
              </w:rPr>
              <w:t>修建</w:t>
            </w:r>
            <w:r>
              <w:rPr>
                <w:rFonts w:hint="eastAsia" w:ascii="Times New Roman" w:hAnsi="Times New Roman" w:eastAsia="宋体" w:cs="Times New Roman"/>
                <w:color w:val="000000"/>
                <w:kern w:val="2"/>
                <w:sz w:val="24"/>
                <w:szCs w:val="24"/>
                <w:highlight w:val="none"/>
                <w:u w:val="none" w:color="auto"/>
                <w:lang w:val="en-US" w:eastAsia="zh-CN" w:bidi="ar-SA"/>
              </w:rPr>
              <w:t>的</w:t>
            </w:r>
            <w:r>
              <w:rPr>
                <w:rFonts w:hint="default" w:ascii="Times New Roman" w:hAnsi="Times New Roman" w:eastAsia="宋体" w:cs="Times New Roman"/>
                <w:color w:val="000000"/>
                <w:kern w:val="2"/>
                <w:sz w:val="24"/>
                <w:szCs w:val="24"/>
                <w:highlight w:val="none"/>
                <w:u w:val="none" w:color="auto"/>
                <w:lang w:val="en-US" w:eastAsia="zh-CN" w:bidi="ar-SA"/>
              </w:rPr>
              <w:t>雨水收集沟入初期雨水池（</w:t>
            </w:r>
            <w:r>
              <w:rPr>
                <w:rFonts w:hint="eastAsia" w:ascii="Times New Roman" w:hAnsi="Times New Roman" w:eastAsia="宋体" w:cs="Times New Roman"/>
                <w:color w:val="000000"/>
                <w:kern w:val="2"/>
                <w:sz w:val="24"/>
                <w:szCs w:val="24"/>
                <w:highlight w:val="none"/>
                <w:u w:val="none" w:color="auto"/>
                <w:lang w:val="en-US" w:eastAsia="zh-CN" w:bidi="ar-SA"/>
              </w:rPr>
              <w:t>20</w:t>
            </w:r>
            <w:r>
              <w:rPr>
                <w:rFonts w:hint="default" w:ascii="Times New Roman" w:hAnsi="Times New Roman" w:eastAsia="宋体" w:cs="Times New Roman"/>
                <w:color w:val="000000"/>
                <w:kern w:val="2"/>
                <w:sz w:val="24"/>
                <w:szCs w:val="24"/>
                <w:highlight w:val="none"/>
                <w:u w:val="none" w:color="auto"/>
                <w:lang w:val="en-US" w:eastAsia="zh-CN" w:bidi="ar-SA"/>
              </w:rPr>
              <w:t>m</w:t>
            </w:r>
            <w:r>
              <w:rPr>
                <w:rFonts w:hint="default" w:ascii="Times New Roman" w:hAnsi="Times New Roman" w:eastAsia="宋体" w:cs="Times New Roman"/>
                <w:color w:val="000000"/>
                <w:kern w:val="2"/>
                <w:sz w:val="24"/>
                <w:szCs w:val="24"/>
                <w:highlight w:val="none"/>
                <w:u w:val="none" w:color="auto"/>
                <w:vertAlign w:val="superscript"/>
                <w:lang w:val="en-US" w:eastAsia="zh-CN" w:bidi="ar-SA"/>
              </w:rPr>
              <w:t>3</w:t>
            </w:r>
            <w:r>
              <w:rPr>
                <w:rFonts w:hint="default" w:ascii="Times New Roman" w:hAnsi="Times New Roman" w:eastAsia="宋体" w:cs="Times New Roman"/>
                <w:color w:val="000000"/>
                <w:kern w:val="2"/>
                <w:sz w:val="24"/>
                <w:szCs w:val="24"/>
                <w:highlight w:val="none"/>
                <w:u w:val="none" w:color="auto"/>
                <w:lang w:val="en-US" w:eastAsia="zh-CN" w:bidi="ar-SA"/>
              </w:rPr>
              <w:t>），初期雨水经停留沉淀处理后回用于生产，不外排</w:t>
            </w:r>
            <w:r>
              <w:rPr>
                <w:rFonts w:hint="default" w:ascii="Times New Roman" w:hAnsi="Times New Roman" w:eastAsia="宋体" w:cs="Times New Roman"/>
                <w:bCs/>
                <w:spacing w:val="0"/>
                <w:kern w:val="21"/>
                <w:sz w:val="24"/>
                <w:szCs w:val="24"/>
                <w:u w:val="none" w:color="auto"/>
              </w:rPr>
              <w:t>。</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70" w:firstLineChars="196"/>
              <w:textAlignment w:val="auto"/>
              <w:rPr>
                <w:rFonts w:hint="eastAsia" w:ascii="宋体" w:hAnsi="宋体" w:eastAsia="宋体" w:cs="宋体"/>
                <w:color w:val="000000" w:themeColor="text1"/>
                <w:sz w:val="24"/>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综上，本项目运营期</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生产用水量约</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14106</w:t>
            </w:r>
            <w:r>
              <w:rPr>
                <w:rFonts w:hint="default" w:ascii="Times New Roman" w:hAnsi="Times New Roman" w:eastAsia="宋体" w:cs="Times New Roman"/>
                <w:color w:val="auto"/>
                <w:spacing w:val="0"/>
                <w:kern w:val="21"/>
                <w:sz w:val="24"/>
                <w:highlight w:val="none"/>
              </w:rPr>
              <w:t>m</w:t>
            </w:r>
            <w:r>
              <w:rPr>
                <w:rFonts w:hint="default" w:ascii="Times New Roman" w:hAnsi="Times New Roman" w:eastAsia="宋体" w:cs="Times New Roman"/>
                <w:color w:val="auto"/>
                <w:spacing w:val="0"/>
                <w:kern w:val="21"/>
                <w:sz w:val="24"/>
                <w:highlight w:val="none"/>
                <w:vertAlign w:val="superscript"/>
              </w:rPr>
              <w:t>3</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/a</w:t>
            </w:r>
            <w:r>
              <w:rPr>
                <w:rFonts w:hint="eastAsia"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生产废水产生总量约</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648</w:t>
            </w:r>
            <w:r>
              <w:rPr>
                <w:rFonts w:hint="default" w:ascii="Times New Roman" w:hAnsi="Times New Roman" w:eastAsia="宋体" w:cs="Times New Roman"/>
                <w:color w:val="auto"/>
                <w:spacing w:val="0"/>
                <w:kern w:val="21"/>
                <w:sz w:val="24"/>
                <w:highlight w:val="none"/>
              </w:rPr>
              <w:t>m</w:t>
            </w:r>
            <w:r>
              <w:rPr>
                <w:rFonts w:hint="default" w:ascii="Times New Roman" w:hAnsi="Times New Roman" w:eastAsia="宋体" w:cs="Times New Roman"/>
                <w:color w:val="auto"/>
                <w:spacing w:val="0"/>
                <w:kern w:val="21"/>
                <w:sz w:val="24"/>
                <w:highlight w:val="none"/>
                <w:vertAlign w:val="superscript"/>
              </w:rPr>
              <w:t>3</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/a，该部分废水经沉淀池处理后回用于生产。</w:t>
            </w:r>
          </w:p>
          <w:p>
            <w:pPr>
              <w:keepNext w:val="0"/>
              <w:keepLines w:val="0"/>
              <w:pageBreakBefore w:val="0"/>
              <w:widowControl w:val="0"/>
              <w:suppressLineNumbers w:val="0"/>
              <w:kinsoku/>
              <w:wordWrap/>
              <w:overflowPunct/>
              <w:topLinePunct w:val="0"/>
              <w:bidi w:val="0"/>
              <w:adjustRightInd w:val="0"/>
              <w:snapToGrid w:val="0"/>
              <w:spacing w:before="0" w:beforeAutospacing="0" w:afterAutospacing="0" w:line="360" w:lineRule="auto"/>
              <w:ind w:left="0" w:leftChars="0" w:right="0" w:firstLine="480" w:firstLineChars="200"/>
              <w:textAlignment w:val="auto"/>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项目</w:t>
            </w:r>
            <w:r>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废水产生及排放见下表</w:t>
            </w:r>
            <w:r>
              <w:rPr>
                <w:rFonts w:hint="eastAsia"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w:t>
            </w:r>
            <w:r>
              <w:rPr>
                <w:rFonts w:hint="eastAsia"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szCs w:val="24"/>
                <w:highlight w:val="none"/>
                <w:u w:val="none" w:color="auto"/>
                <w:vertAlign w:val="baseline"/>
                <w:lang w:val="en-US" w:eastAsia="zh-CN"/>
                <w14:textFill>
                  <w14:solidFill>
                    <w14:schemeClr w14:val="tx1"/>
                  </w14:solidFill>
                </w14:textFill>
              </w:rPr>
              <w:t>。</w:t>
            </w:r>
          </w:p>
          <w:p>
            <w:pPr>
              <w:spacing w:line="240" w:lineRule="auto"/>
              <w:jc w:val="cente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表</w:t>
            </w:r>
            <w:r>
              <w:rPr>
                <w:rFonts w:hint="eastAsia" w:ascii="Times New Roman" w:hAnsi="Times New Roman" w:cs="Times New Roman" w:eastAsiaTheme="minorEastAsia"/>
                <w:b/>
                <w:bCs/>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w:t>
            </w:r>
            <w:r>
              <w:rPr>
                <w:rFonts w:hint="eastAsia" w:cs="Times New Roman" w:eastAsiaTheme="minorEastAsia"/>
                <w:b/>
                <w:bCs/>
                <w:color w:val="000000" w:themeColor="text1"/>
                <w:sz w:val="21"/>
                <w:szCs w:val="21"/>
                <w:highlight w:val="none"/>
                <w:u w:val="none" w:color="auto"/>
                <w:lang w:val="en-US" w:eastAsia="zh-CN"/>
                <w14:textFill>
                  <w14:solidFill>
                    <w14:schemeClr w14:val="tx1"/>
                  </w14:solidFill>
                </w14:textFill>
              </w:rPr>
              <w:t>7</w:t>
            </w:r>
            <w:r>
              <w:rPr>
                <w:rFonts w:hint="default" w:ascii="Times New Roman" w:hAnsi="Times New Roman" w:cs="Times New Roman" w:eastAsiaTheme="minorEastAsia"/>
                <w:b/>
                <w:bCs/>
                <w:color w:val="000000" w:themeColor="text1"/>
                <w:sz w:val="21"/>
                <w:szCs w:val="21"/>
                <w:highlight w:val="none"/>
                <w:u w:val="none" w:color="auto"/>
                <w14:textFill>
                  <w14:solidFill>
                    <w14:schemeClr w14:val="tx1"/>
                  </w14:solidFill>
                </w14:textFill>
              </w:rPr>
              <w:t xml:space="preserve"> 项目废水产生及排放情况一览表（pH无量纲）</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1354"/>
              <w:gridCol w:w="1407"/>
              <w:gridCol w:w="1789"/>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废水来源</w:t>
                  </w:r>
                </w:p>
              </w:tc>
              <w:tc>
                <w:tcPr>
                  <w:tcW w:w="81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产生量（</w:t>
                  </w:r>
                  <w:r>
                    <w:rPr>
                      <w:rFonts w:hint="eastAsia" w:ascii="Times New Roman" w:hAnsi="Times New Roman" w:eastAsia="宋体" w:cs="Times New Roman"/>
                      <w:kern w:val="2"/>
                      <w:sz w:val="21"/>
                      <w:szCs w:val="21"/>
                      <w:lang w:val="en-US" w:eastAsia="zh-CN" w:bidi="ar-SA"/>
                    </w:rPr>
                    <w:t>m</w:t>
                  </w:r>
                  <w:r>
                    <w:rPr>
                      <w:rFonts w:hint="default" w:ascii="Times New Roman" w:hAnsi="Times New Roman" w:eastAsia="宋体" w:cs="Times New Roman"/>
                      <w:kern w:val="2"/>
                      <w:sz w:val="21"/>
                      <w:szCs w:val="21"/>
                      <w:lang w:val="en-US" w:eastAsia="zh-CN" w:bidi="ar-SA"/>
                    </w:rPr>
                    <w:t>³/a）</w:t>
                  </w:r>
                </w:p>
              </w:tc>
              <w:tc>
                <w:tcPr>
                  <w:tcW w:w="85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污染物</w:t>
                  </w:r>
                </w:p>
              </w:tc>
              <w:tc>
                <w:tcPr>
                  <w:tcW w:w="1082"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产生浓度</w:t>
                  </w:r>
                </w:p>
              </w:tc>
              <w:tc>
                <w:tcPr>
                  <w:tcW w:w="137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运输车辆清洗废水</w:t>
                  </w:r>
                </w:p>
              </w:tc>
              <w:tc>
                <w:tcPr>
                  <w:tcW w:w="81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576</w:t>
                  </w:r>
                </w:p>
              </w:tc>
              <w:tc>
                <w:tcPr>
                  <w:tcW w:w="85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SS</w:t>
                  </w:r>
                </w:p>
              </w:tc>
              <w:tc>
                <w:tcPr>
                  <w:tcW w:w="1082"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1500mg/L</w:t>
                  </w:r>
                </w:p>
              </w:tc>
              <w:tc>
                <w:tcPr>
                  <w:tcW w:w="1371" w:type="pct"/>
                  <w:vMerge w:val="restar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该部分废水经沉淀池处理后回用于生产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作业区地面清洗废水</w:t>
                  </w:r>
                </w:p>
              </w:tc>
              <w:tc>
                <w:tcPr>
                  <w:tcW w:w="81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72</w:t>
                  </w:r>
                </w:p>
              </w:tc>
              <w:tc>
                <w:tcPr>
                  <w:tcW w:w="85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SS</w:t>
                  </w:r>
                </w:p>
              </w:tc>
              <w:tc>
                <w:tcPr>
                  <w:tcW w:w="1082"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1000mg/L</w:t>
                  </w:r>
                </w:p>
              </w:tc>
              <w:tc>
                <w:tcPr>
                  <w:tcW w:w="1371"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初期雨水</w:t>
                  </w:r>
                </w:p>
              </w:tc>
              <w:tc>
                <w:tcPr>
                  <w:tcW w:w="81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349.56</w:t>
                  </w:r>
                </w:p>
              </w:tc>
              <w:tc>
                <w:tcPr>
                  <w:tcW w:w="85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SS</w:t>
                  </w:r>
                </w:p>
              </w:tc>
              <w:tc>
                <w:tcPr>
                  <w:tcW w:w="1082"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1000mg/L</w:t>
                  </w:r>
                </w:p>
              </w:tc>
              <w:tc>
                <w:tcPr>
                  <w:tcW w:w="1371"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vMerge w:val="restar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生活污水</w:t>
                  </w:r>
                </w:p>
              </w:tc>
              <w:tc>
                <w:tcPr>
                  <w:tcW w:w="819" w:type="pct"/>
                  <w:vMerge w:val="restar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302.4</w:t>
                  </w:r>
                </w:p>
              </w:tc>
              <w:tc>
                <w:tcPr>
                  <w:tcW w:w="85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COD</w:t>
                  </w:r>
                </w:p>
              </w:tc>
              <w:tc>
                <w:tcPr>
                  <w:tcW w:w="1082"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350mg/L</w:t>
                  </w:r>
                </w:p>
              </w:tc>
              <w:tc>
                <w:tcPr>
                  <w:tcW w:w="1371" w:type="pct"/>
                  <w:vMerge w:val="restar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经</w:t>
                  </w:r>
                  <w:r>
                    <w:rPr>
                      <w:rFonts w:hint="eastAsia" w:ascii="Times New Roman" w:hAnsi="Times New Roman" w:eastAsia="宋体" w:cs="Times New Roman"/>
                      <w:kern w:val="2"/>
                      <w:sz w:val="21"/>
                      <w:szCs w:val="21"/>
                      <w:lang w:val="en-US" w:eastAsia="zh-CN" w:bidi="ar-SA"/>
                    </w:rPr>
                    <w:t>隔油池+</w:t>
                  </w:r>
                  <w:r>
                    <w:rPr>
                      <w:rFonts w:hint="default" w:ascii="Times New Roman" w:hAnsi="Times New Roman" w:eastAsia="宋体" w:cs="Times New Roman"/>
                      <w:kern w:val="2"/>
                      <w:sz w:val="21"/>
                      <w:szCs w:val="21"/>
                      <w:lang w:val="en-US" w:eastAsia="zh-CN" w:bidi="ar-SA"/>
                    </w:rPr>
                    <w:t>化粪池处理后用于周边农田施肥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81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85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BOD</w:t>
                  </w:r>
                  <w:r>
                    <w:rPr>
                      <w:rFonts w:hint="default" w:ascii="Times New Roman" w:hAnsi="Times New Roman" w:eastAsia="宋体" w:cs="Times New Roman"/>
                      <w:kern w:val="2"/>
                      <w:sz w:val="21"/>
                      <w:szCs w:val="21"/>
                      <w:vertAlign w:val="subscript"/>
                      <w:lang w:val="en-US" w:eastAsia="zh-CN" w:bidi="ar-SA"/>
                    </w:rPr>
                    <w:t>5</w:t>
                  </w:r>
                </w:p>
              </w:tc>
              <w:tc>
                <w:tcPr>
                  <w:tcW w:w="1082"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r>
                    <w:rPr>
                      <w:rFonts w:hint="eastAsia" w:ascii="Times New Roman" w:hAnsi="Times New Roman" w:eastAsia="宋体" w:cs="Times New Roman"/>
                      <w:kern w:val="2"/>
                      <w:sz w:val="21"/>
                      <w:szCs w:val="21"/>
                      <w:lang w:val="en-US" w:eastAsia="zh-CN" w:bidi="ar-SA"/>
                    </w:rPr>
                    <w:t>0</w:t>
                  </w:r>
                  <w:r>
                    <w:rPr>
                      <w:rFonts w:hint="default" w:ascii="Times New Roman" w:hAnsi="Times New Roman" w:eastAsia="宋体" w:cs="Times New Roman"/>
                      <w:kern w:val="2"/>
                      <w:sz w:val="21"/>
                      <w:szCs w:val="21"/>
                      <w:lang w:val="en-US" w:eastAsia="zh-CN" w:bidi="ar-SA"/>
                    </w:rPr>
                    <w:t>0mg/L</w:t>
                  </w:r>
                </w:p>
              </w:tc>
              <w:tc>
                <w:tcPr>
                  <w:tcW w:w="1371"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81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85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SS</w:t>
                  </w:r>
                </w:p>
              </w:tc>
              <w:tc>
                <w:tcPr>
                  <w:tcW w:w="1082"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150mg/L</w:t>
                  </w:r>
                </w:p>
              </w:tc>
              <w:tc>
                <w:tcPr>
                  <w:tcW w:w="1371"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4"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819"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85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NH</w:t>
                  </w:r>
                  <w:r>
                    <w:rPr>
                      <w:rFonts w:hint="default" w:ascii="Times New Roman" w:hAnsi="Times New Roman" w:eastAsia="宋体" w:cs="Times New Roman"/>
                      <w:kern w:val="2"/>
                      <w:sz w:val="21"/>
                      <w:szCs w:val="21"/>
                      <w:vertAlign w:val="subscript"/>
                      <w:lang w:val="en-US" w:eastAsia="zh-CN" w:bidi="ar-SA"/>
                    </w:rPr>
                    <w:t>3</w:t>
                  </w:r>
                  <w:r>
                    <w:rPr>
                      <w:rFonts w:hint="default" w:ascii="Times New Roman" w:hAnsi="Times New Roman" w:eastAsia="宋体" w:cs="Times New Roman"/>
                      <w:kern w:val="2"/>
                      <w:sz w:val="21"/>
                      <w:szCs w:val="21"/>
                      <w:lang w:val="en-US" w:eastAsia="zh-CN" w:bidi="ar-SA"/>
                    </w:rPr>
                    <w:t>-N</w:t>
                  </w:r>
                </w:p>
              </w:tc>
              <w:tc>
                <w:tcPr>
                  <w:tcW w:w="1082"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r>
                    <w:rPr>
                      <w:rFonts w:hint="default" w:ascii="Times New Roman" w:hAnsi="Times New Roman" w:eastAsia="宋体" w:cs="Times New Roman"/>
                      <w:kern w:val="2"/>
                      <w:sz w:val="21"/>
                      <w:szCs w:val="21"/>
                      <w:lang w:val="en-US" w:eastAsia="zh-CN" w:bidi="ar-SA"/>
                    </w:rPr>
                    <w:t>0mg/L</w:t>
                  </w:r>
                </w:p>
              </w:tc>
              <w:tc>
                <w:tcPr>
                  <w:tcW w:w="1371"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bl>
          <w:p>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firstLine="0" w:firstLineChars="0"/>
              <w:jc w:val="center"/>
              <w:textAlignment w:val="auto"/>
              <w:rPr>
                <w:rFonts w:hint="default" w:ascii="Times New Roman" w:hAnsi="Times New Roman" w:cs="Times New Roman" w:eastAsiaTheme="minorEastAsia"/>
                <w:b/>
                <w:bCs/>
                <w:color w:val="000000" w:themeColor="text1"/>
                <w:kern w:val="2"/>
                <w:sz w:val="13"/>
                <w:szCs w:val="13"/>
                <w:highlight w:val="none"/>
                <w:u w:val="none" w:color="auto"/>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drawing>
                <wp:inline distT="0" distB="0" distL="114300" distR="114300">
                  <wp:extent cx="4988560" cy="4008120"/>
                  <wp:effectExtent l="0" t="0" r="2540" b="1143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8"/>
                          <a:stretch>
                            <a:fillRect/>
                          </a:stretch>
                        </pic:blipFill>
                        <pic:spPr>
                          <a:xfrm>
                            <a:off x="0" y="0"/>
                            <a:ext cx="4988560" cy="40081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图</w:t>
            </w:r>
            <w:r>
              <w:rPr>
                <w:rFonts w:hint="eastAsia"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4</w:t>
            </w: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w:t>
            </w:r>
            <w:r>
              <w:rPr>
                <w:rFonts w:hint="eastAsia"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4</w:t>
            </w: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 xml:space="preserve"> 项目水平衡图</w:t>
            </w:r>
            <w:r>
              <w:rPr>
                <w:rFonts w:hint="eastAsia"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（m</w:t>
            </w: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³</w:t>
            </w:r>
            <w:r>
              <w:rPr>
                <w:rFonts w:hint="eastAsia"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bCs/>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4"/>
                <w:szCs w:val="24"/>
                <w:highlight w:val="none"/>
                <w:u w:val="none" w:color="auto"/>
                <w:lang w:val="en-US" w:eastAsia="zh-CN"/>
                <w14:textFill>
                  <w14:solidFill>
                    <w14:schemeClr w14:val="tx1"/>
                  </w14:solidFill>
                </w14:textFill>
              </w:rPr>
              <w:t>生活废水用于周边农田灌溉施肥可行性分析：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C00000"/>
                <w:sz w:val="24"/>
                <w:szCs w:val="24"/>
                <w:highlight w:val="none"/>
                <w:u w:val="none" w:color="auto"/>
              </w:rPr>
            </w:pPr>
            <w:r>
              <w:rPr>
                <w:rFonts w:hint="default" w:ascii="Times New Roman" w:hAnsi="Times New Roman" w:cs="Times New Roman" w:eastAsiaTheme="minorEastAsia"/>
                <w:bCs/>
                <w:color w:val="auto"/>
                <w:sz w:val="24"/>
                <w:szCs w:val="24"/>
                <w:highlight w:val="none"/>
                <w:u w:val="none" w:color="auto"/>
              </w:rPr>
              <w:t>经现场调查，项目周边主要为农田，</w:t>
            </w:r>
            <w:r>
              <w:rPr>
                <w:rFonts w:hint="default" w:ascii="Times New Roman" w:hAnsi="Times New Roman" w:cs="Times New Roman" w:eastAsiaTheme="minorEastAsia"/>
                <w:bCs/>
                <w:color w:val="auto"/>
                <w:sz w:val="24"/>
                <w:szCs w:val="24"/>
                <w:highlight w:val="none"/>
                <w:u w:val="none" w:color="auto"/>
                <w:lang w:bidi="ar"/>
              </w:rPr>
              <w:t>参考湖南省用水定额标准，补水定额为（灌溉保证率50%）为329m</w:t>
            </w:r>
            <w:r>
              <w:rPr>
                <w:rFonts w:hint="default" w:ascii="Times New Roman" w:hAnsi="Times New Roman" w:cs="Times New Roman" w:eastAsiaTheme="minorEastAsia"/>
                <w:bCs/>
                <w:color w:val="auto"/>
                <w:sz w:val="24"/>
                <w:szCs w:val="24"/>
                <w:highlight w:val="none"/>
                <w:u w:val="none" w:color="auto"/>
                <w:vertAlign w:val="superscript"/>
                <w:lang w:bidi="ar"/>
              </w:rPr>
              <w:t>3</w:t>
            </w:r>
            <w:r>
              <w:rPr>
                <w:rFonts w:hint="default" w:ascii="Times New Roman" w:hAnsi="Times New Roman" w:cs="Times New Roman" w:eastAsiaTheme="minorEastAsia"/>
                <w:bCs/>
                <w:color w:val="auto"/>
                <w:sz w:val="24"/>
                <w:szCs w:val="24"/>
                <w:highlight w:val="none"/>
                <w:u w:val="none" w:color="auto"/>
                <w:lang w:bidi="ar"/>
              </w:rPr>
              <w:t>/m</w:t>
            </w:r>
            <w:r>
              <w:rPr>
                <w:rFonts w:hint="default" w:ascii="Times New Roman" w:hAnsi="Times New Roman" w:cs="Times New Roman" w:eastAsiaTheme="minorEastAsia"/>
                <w:bCs/>
                <w:color w:val="auto"/>
                <w:sz w:val="24"/>
                <w:szCs w:val="24"/>
                <w:highlight w:val="none"/>
                <w:u w:val="none" w:color="auto"/>
                <w:vertAlign w:val="superscript"/>
                <w:lang w:bidi="ar"/>
              </w:rPr>
              <w:t>2</w:t>
            </w:r>
            <w:r>
              <w:rPr>
                <w:rFonts w:hint="default" w:ascii="Times New Roman" w:hAnsi="Times New Roman" w:cs="Times New Roman" w:eastAsiaTheme="minorEastAsia"/>
                <w:bCs/>
                <w:color w:val="auto"/>
                <w:sz w:val="24"/>
                <w:szCs w:val="24"/>
                <w:highlight w:val="none"/>
                <w:u w:val="none" w:color="auto"/>
                <w:lang w:bidi="ar"/>
              </w:rPr>
              <w:t>·a，则农田的补水量为1997359m</w:t>
            </w:r>
            <w:r>
              <w:rPr>
                <w:rFonts w:hint="default" w:ascii="Times New Roman" w:hAnsi="Times New Roman" w:cs="Times New Roman" w:eastAsiaTheme="minorEastAsia"/>
                <w:bCs/>
                <w:color w:val="auto"/>
                <w:sz w:val="24"/>
                <w:szCs w:val="24"/>
                <w:highlight w:val="none"/>
                <w:u w:val="none" w:color="auto"/>
                <w:vertAlign w:val="superscript"/>
                <w:lang w:val="en-US" w:eastAsia="zh-CN" w:bidi="ar"/>
              </w:rPr>
              <w:t>3</w:t>
            </w:r>
            <w:r>
              <w:rPr>
                <w:rFonts w:hint="default" w:ascii="Times New Roman" w:hAnsi="Times New Roman" w:cs="Times New Roman" w:eastAsiaTheme="minorEastAsia"/>
                <w:bCs/>
                <w:color w:val="auto"/>
                <w:sz w:val="24"/>
                <w:szCs w:val="24"/>
                <w:highlight w:val="none"/>
                <w:u w:val="none" w:color="auto"/>
                <w:shd w:val="clear"/>
                <w:lang w:bidi="ar"/>
              </w:rPr>
              <w:t>（</w:t>
            </w:r>
            <w:r>
              <w:rPr>
                <w:rFonts w:hint="eastAsia" w:ascii="Times New Roman" w:hAnsi="Times New Roman" w:cs="Times New Roman" w:eastAsiaTheme="minorEastAsia"/>
                <w:bCs/>
                <w:color w:val="auto"/>
                <w:sz w:val="24"/>
                <w:szCs w:val="24"/>
                <w:highlight w:val="none"/>
                <w:u w:val="none" w:color="auto"/>
                <w:shd w:val="clear"/>
                <w:lang w:val="en-US" w:eastAsia="zh-CN" w:bidi="ar"/>
              </w:rPr>
              <w:t>西</w:t>
            </w:r>
            <w:r>
              <w:rPr>
                <w:rFonts w:hint="default" w:ascii="Times New Roman" w:hAnsi="Times New Roman" w:cs="Times New Roman" w:eastAsiaTheme="minorEastAsia"/>
                <w:bCs/>
                <w:color w:val="auto"/>
                <w:sz w:val="24"/>
                <w:szCs w:val="24"/>
                <w:highlight w:val="none"/>
                <w:u w:val="none" w:color="auto"/>
                <w:shd w:val="clear"/>
                <w:lang w:bidi="ar"/>
              </w:rPr>
              <w:t>侧</w:t>
            </w:r>
            <w:r>
              <w:rPr>
                <w:rFonts w:hint="eastAsia" w:ascii="Times New Roman" w:hAnsi="Times New Roman" w:cs="Times New Roman" w:eastAsiaTheme="minorEastAsia"/>
                <w:bCs/>
                <w:color w:val="auto"/>
                <w:sz w:val="24"/>
                <w:szCs w:val="24"/>
                <w:highlight w:val="none"/>
                <w:u w:val="none" w:color="auto"/>
                <w:shd w:val="clear"/>
                <w:lang w:val="en-US" w:eastAsia="zh-CN" w:bidi="ar"/>
              </w:rPr>
              <w:t>10</w:t>
            </w:r>
            <w:r>
              <w:rPr>
                <w:rFonts w:hint="default" w:ascii="Times New Roman" w:hAnsi="Times New Roman" w:cs="Times New Roman" w:eastAsiaTheme="minorEastAsia"/>
                <w:bCs/>
                <w:color w:val="auto"/>
                <w:sz w:val="24"/>
                <w:szCs w:val="24"/>
                <w:highlight w:val="none"/>
                <w:u w:val="none" w:color="auto"/>
                <w:shd w:val="clear"/>
                <w:lang w:bidi="ar"/>
              </w:rPr>
              <w:t>m农田面积为</w:t>
            </w:r>
            <w:r>
              <w:rPr>
                <w:rFonts w:hint="eastAsia" w:ascii="Times New Roman" w:hAnsi="Times New Roman" w:cs="Times New Roman" w:eastAsiaTheme="minorEastAsia"/>
                <w:bCs/>
                <w:color w:val="auto"/>
                <w:sz w:val="24"/>
                <w:szCs w:val="24"/>
                <w:highlight w:val="none"/>
                <w:u w:val="none" w:color="auto"/>
                <w:shd w:val="clear"/>
                <w:lang w:val="en-US" w:eastAsia="zh-CN" w:bidi="ar"/>
              </w:rPr>
              <w:t>6071</w:t>
            </w:r>
            <w:r>
              <w:rPr>
                <w:rFonts w:hint="default" w:ascii="Times New Roman" w:hAnsi="Times New Roman" w:cs="Times New Roman" w:eastAsiaTheme="minorEastAsia"/>
                <w:bCs/>
                <w:color w:val="auto"/>
                <w:sz w:val="24"/>
                <w:szCs w:val="24"/>
                <w:highlight w:val="none"/>
                <w:u w:val="none" w:color="auto"/>
                <w:shd w:val="clear"/>
                <w:lang w:bidi="ar"/>
              </w:rPr>
              <w:t>m</w:t>
            </w:r>
            <w:r>
              <w:rPr>
                <w:rFonts w:hint="default" w:ascii="Times New Roman" w:hAnsi="Times New Roman" w:cs="Times New Roman" w:eastAsiaTheme="minorEastAsia"/>
                <w:bCs/>
                <w:color w:val="auto"/>
                <w:sz w:val="24"/>
                <w:szCs w:val="24"/>
                <w:highlight w:val="none"/>
                <w:u w:val="none" w:color="auto"/>
                <w:shd w:val="clear"/>
                <w:vertAlign w:val="superscript"/>
                <w:lang w:bidi="ar"/>
              </w:rPr>
              <w:t>2</w:t>
            </w:r>
            <w:r>
              <w:rPr>
                <w:rFonts w:hint="default" w:ascii="Times New Roman" w:hAnsi="Times New Roman" w:cs="Times New Roman" w:eastAsiaTheme="minorEastAsia"/>
                <w:bCs/>
                <w:color w:val="auto"/>
                <w:sz w:val="24"/>
                <w:szCs w:val="24"/>
                <w:highlight w:val="none"/>
                <w:u w:val="none" w:color="auto"/>
                <w:shd w:val="clear"/>
                <w:lang w:bidi="ar"/>
              </w:rPr>
              <w:t>）</w:t>
            </w:r>
            <w:r>
              <w:rPr>
                <w:rFonts w:hint="default" w:ascii="Times New Roman" w:hAnsi="Times New Roman" w:cs="Times New Roman" w:eastAsiaTheme="minorEastAsia"/>
                <w:bCs/>
                <w:color w:val="auto"/>
                <w:sz w:val="24"/>
                <w:szCs w:val="24"/>
                <w:highlight w:val="none"/>
                <w:u w:val="none" w:color="auto"/>
                <w:lang w:bidi="ar"/>
              </w:rPr>
              <w:t>，本项目生活污水排放量为</w:t>
            </w:r>
            <w:r>
              <w:rPr>
                <w:rFonts w:hint="eastAsia" w:ascii="Times New Roman" w:hAnsi="Times New Roman" w:cs="Times New Roman" w:eastAsiaTheme="minorEastAsia"/>
                <w:bCs/>
                <w:color w:val="auto"/>
                <w:sz w:val="24"/>
                <w:szCs w:val="24"/>
                <w:highlight w:val="none"/>
                <w:u w:val="none" w:color="auto"/>
                <w:lang w:val="en-US" w:eastAsia="zh-CN" w:bidi="ar"/>
              </w:rPr>
              <w:t>302.4</w:t>
            </w:r>
            <w:r>
              <w:rPr>
                <w:rFonts w:hint="default" w:ascii="Times New Roman" w:hAnsi="Times New Roman" w:cs="Times New Roman" w:eastAsiaTheme="minorEastAsia"/>
                <w:bCs/>
                <w:color w:val="auto"/>
                <w:sz w:val="24"/>
                <w:szCs w:val="24"/>
                <w:highlight w:val="none"/>
                <w:u w:val="none" w:color="auto"/>
                <w:lang w:bidi="ar"/>
              </w:rPr>
              <w:t>m</w:t>
            </w:r>
            <w:r>
              <w:rPr>
                <w:rFonts w:hint="default" w:ascii="Times New Roman" w:hAnsi="Times New Roman" w:cs="Times New Roman" w:eastAsiaTheme="minorEastAsia"/>
                <w:bCs/>
                <w:color w:val="auto"/>
                <w:sz w:val="24"/>
                <w:szCs w:val="24"/>
                <w:highlight w:val="none"/>
                <w:u w:val="none" w:color="auto"/>
                <w:vertAlign w:val="superscript"/>
                <w:lang w:val="en-US" w:eastAsia="zh-CN" w:bidi="ar"/>
              </w:rPr>
              <w:t>3</w:t>
            </w:r>
            <w:r>
              <w:rPr>
                <w:rFonts w:hint="default" w:ascii="Times New Roman" w:hAnsi="Times New Roman" w:cs="Times New Roman" w:eastAsiaTheme="minorEastAsia"/>
                <w:bCs/>
                <w:color w:val="auto"/>
                <w:sz w:val="24"/>
                <w:szCs w:val="24"/>
                <w:highlight w:val="none"/>
                <w:u w:val="none" w:color="auto"/>
                <w:lang w:bidi="ar"/>
              </w:rPr>
              <w:t>/a，因此，本项目产生的生活污水能被周边农田施肥充分利用</w:t>
            </w:r>
            <w:r>
              <w:rPr>
                <w:rFonts w:hint="eastAsia" w:ascii="Times New Roman" w:hAnsi="Times New Roman" w:eastAsia="宋体" w:cs="Times New Roman"/>
                <w:color w:val="auto"/>
                <w:sz w:val="24"/>
                <w:szCs w:val="24"/>
                <w:highlight w:val="none"/>
                <w:u w:val="none" w:color="auto"/>
              </w:rPr>
              <w:t>。</w:t>
            </w:r>
          </w:p>
          <w:p>
            <w:pPr>
              <w:keepNext w:val="0"/>
              <w:keepLines w:val="0"/>
              <w:pageBreakBefore w:val="0"/>
              <w:widowControl w:val="0"/>
              <w:suppressLineNumbers w:val="0"/>
              <w:tabs>
                <w:tab w:val="left" w:pos="0"/>
                <w:tab w:val="left" w:pos="870"/>
                <w:tab w:val="left" w:pos="3150"/>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bCs/>
                <w:color w:val="auto"/>
                <w:kern w:val="2"/>
                <w:sz w:val="24"/>
                <w:szCs w:val="24"/>
                <w:highlight w:val="none"/>
                <w:u w:val="none" w:color="auto"/>
                <w:lang w:val="en-US" w:eastAsia="zh-CN" w:bidi="ar-SA"/>
              </w:rPr>
            </w:pPr>
            <w:r>
              <w:rPr>
                <w:rFonts w:hint="default" w:ascii="Times New Roman" w:hAnsi="Times New Roman" w:cs="Times New Roman" w:eastAsiaTheme="minorEastAsia"/>
                <w:bCs/>
                <w:color w:val="auto"/>
                <w:kern w:val="2"/>
                <w:sz w:val="24"/>
                <w:szCs w:val="24"/>
                <w:highlight w:val="none"/>
                <w:u w:val="none" w:color="auto"/>
                <w:lang w:val="en-US" w:eastAsia="zh-CN" w:bidi="ar-SA"/>
              </w:rPr>
              <w:t>生产</w:t>
            </w:r>
            <w:r>
              <w:rPr>
                <w:rFonts w:hint="eastAsia" w:ascii="Times New Roman" w:hAnsi="Times New Roman" w:cs="Times New Roman" w:eastAsiaTheme="minorEastAsia"/>
                <w:bCs/>
                <w:color w:val="auto"/>
                <w:kern w:val="2"/>
                <w:sz w:val="24"/>
                <w:szCs w:val="24"/>
                <w:highlight w:val="none"/>
                <w:u w:val="none" w:color="auto"/>
                <w:lang w:val="en-US" w:eastAsia="zh-CN" w:bidi="ar-SA"/>
              </w:rPr>
              <w:t>废水循环使用不外排可行性分析：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highlight w:val="none"/>
                <w:u w:val="none" w:color="auto"/>
                <w:lang w:eastAsia="zh-CN"/>
              </w:rPr>
            </w:pPr>
            <w:r>
              <w:rPr>
                <w:rFonts w:hint="default" w:ascii="Times New Roman" w:hAnsi="Times New Roman" w:cs="Times New Roman" w:eastAsiaTheme="minorEastAsia"/>
                <w:color w:val="auto"/>
                <w:sz w:val="24"/>
                <w:szCs w:val="24"/>
                <w:highlight w:val="none"/>
                <w:u w:val="none" w:color="auto"/>
              </w:rPr>
              <w:t>本项目地面冲洗废水为</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/d（</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72</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/a）</w:t>
            </w:r>
            <w:r>
              <w:rPr>
                <w:rFonts w:hint="eastAsia" w:ascii="Times New Roman" w:hAnsi="Times New Roman" w:cs="Times New Roman" w:eastAsiaTheme="minorEastAsia"/>
                <w:color w:val="auto"/>
                <w:sz w:val="24"/>
                <w:szCs w:val="24"/>
                <w:highlight w:val="none"/>
                <w:u w:val="none" w:color="auto"/>
                <w:lang w:eastAsia="zh-CN"/>
              </w:rPr>
              <w:t>，洗车废水量为</w:t>
            </w:r>
            <w:r>
              <w:rPr>
                <w:rFonts w:hint="default" w:ascii="Times New Roman" w:hAnsi="Times New Roman" w:cs="Times New Roman" w:eastAsiaTheme="minorEastAsia"/>
                <w:color w:val="auto"/>
                <w:sz w:val="24"/>
                <w:szCs w:val="24"/>
                <w:highlight w:val="none"/>
                <w:u w:val="none" w:color="auto"/>
                <w:lang w:val="en-US" w:eastAsia="zh-CN"/>
              </w:rPr>
              <w:t>576</w:t>
            </w:r>
            <w:r>
              <w:rPr>
                <w:rFonts w:hint="default" w:ascii="Times New Roman" w:hAnsi="Times New Roman" w:cs="Times New Roman" w:eastAsiaTheme="minorEastAsia"/>
                <w:bCs/>
                <w:color w:val="auto"/>
                <w:sz w:val="24"/>
                <w:szCs w:val="24"/>
                <w:highlight w:val="none"/>
                <w:u w:val="none" w:color="auto"/>
                <w:lang w:bidi="ar"/>
              </w:rPr>
              <w:t>m</w:t>
            </w:r>
            <w:r>
              <w:rPr>
                <w:rFonts w:hint="default" w:ascii="Times New Roman" w:hAnsi="Times New Roman" w:cs="Times New Roman" w:eastAsiaTheme="minorEastAsia"/>
                <w:bCs/>
                <w:color w:val="auto"/>
                <w:sz w:val="24"/>
                <w:szCs w:val="24"/>
                <w:highlight w:val="none"/>
                <w:u w:val="none" w:color="auto"/>
                <w:vertAlign w:val="superscript"/>
                <w:lang w:val="en-US" w:eastAsia="zh-CN" w:bidi="ar"/>
              </w:rPr>
              <w:t>3</w:t>
            </w:r>
            <w:r>
              <w:rPr>
                <w:rFonts w:hint="default" w:ascii="Times New Roman" w:hAnsi="Times New Roman" w:cs="Times New Roman" w:eastAsiaTheme="minorEastAsia"/>
                <w:color w:val="auto"/>
                <w:sz w:val="24"/>
                <w:szCs w:val="24"/>
                <w:highlight w:val="none"/>
                <w:u w:val="none" w:color="auto"/>
              </w:rPr>
              <w:t>/a（</w:t>
            </w:r>
            <w:r>
              <w:rPr>
                <w:rFonts w:hint="eastAsia" w:ascii="Times New Roman" w:hAnsi="Times New Roman" w:cs="Times New Roman" w:eastAsiaTheme="minorEastAsia"/>
                <w:color w:val="auto"/>
                <w:sz w:val="24"/>
                <w:szCs w:val="24"/>
                <w:highlight w:val="none"/>
                <w:u w:val="none" w:color="auto"/>
                <w:lang w:val="en-US" w:eastAsia="zh-CN"/>
              </w:rPr>
              <w:t>6.4</w:t>
            </w:r>
            <w:r>
              <w:rPr>
                <w:rFonts w:hint="default" w:ascii="Times New Roman" w:hAnsi="Times New Roman" w:cs="Times New Roman" w:eastAsiaTheme="minorEastAsia"/>
                <w:bCs/>
                <w:color w:val="auto"/>
                <w:sz w:val="24"/>
                <w:szCs w:val="24"/>
                <w:highlight w:val="none"/>
                <w:u w:val="none" w:color="auto"/>
                <w:lang w:bidi="ar"/>
              </w:rPr>
              <w:t>m</w:t>
            </w:r>
            <w:r>
              <w:rPr>
                <w:rFonts w:hint="default" w:ascii="Times New Roman" w:hAnsi="Times New Roman" w:cs="Times New Roman" w:eastAsiaTheme="minorEastAsia"/>
                <w:bCs/>
                <w:color w:val="auto"/>
                <w:sz w:val="24"/>
                <w:szCs w:val="24"/>
                <w:highlight w:val="none"/>
                <w:u w:val="none" w:color="auto"/>
                <w:vertAlign w:val="superscript"/>
                <w:lang w:val="en-US" w:eastAsia="zh-CN" w:bidi="ar"/>
              </w:rPr>
              <w:t>3</w:t>
            </w:r>
            <w:r>
              <w:rPr>
                <w:rFonts w:hint="default" w:ascii="Times New Roman" w:hAnsi="Times New Roman" w:cs="Times New Roman" w:eastAsiaTheme="minorEastAsia"/>
                <w:color w:val="auto"/>
                <w:sz w:val="24"/>
                <w:szCs w:val="24"/>
                <w:highlight w:val="none"/>
                <w:u w:val="none" w:color="auto"/>
              </w:rPr>
              <w:t>/d）</w:t>
            </w:r>
            <w:r>
              <w:rPr>
                <w:rFonts w:hint="eastAsia" w:ascii="Times New Roman" w:hAnsi="Times New Roman" w:cs="Times New Roman" w:eastAsiaTheme="minorEastAsia"/>
                <w:color w:val="auto"/>
                <w:sz w:val="24"/>
                <w:szCs w:val="24"/>
                <w:highlight w:val="none"/>
                <w:u w:val="none" w:color="auto"/>
                <w:lang w:eastAsia="zh-CN"/>
              </w:rPr>
              <w:t>，</w:t>
            </w:r>
            <w:r>
              <w:rPr>
                <w:rFonts w:hint="default" w:ascii="Times New Roman" w:hAnsi="Times New Roman" w:cs="Times New Roman" w:eastAsiaTheme="minorEastAsia"/>
                <w:color w:val="auto"/>
                <w:sz w:val="24"/>
                <w:szCs w:val="24"/>
                <w:highlight w:val="none"/>
                <w:u w:val="none" w:color="auto"/>
              </w:rPr>
              <w:t>本项目生产废水最大废水量为</w:t>
            </w:r>
            <w:r>
              <w:rPr>
                <w:rFonts w:hint="eastAsia" w:ascii="Times New Roman" w:hAnsi="Times New Roman" w:cs="Times New Roman" w:eastAsiaTheme="minorEastAsia"/>
                <w:color w:val="auto"/>
                <w:sz w:val="24"/>
                <w:szCs w:val="24"/>
                <w:highlight w:val="none"/>
                <w:u w:val="none" w:color="auto"/>
                <w:lang w:val="en-US" w:eastAsia="zh-CN"/>
              </w:rPr>
              <w:t>1.8</w:t>
            </w:r>
            <w:r>
              <w:rPr>
                <w:rFonts w:hint="default" w:ascii="Times New Roman" w:hAnsi="Times New Roman" w:cs="Times New Roman" w:eastAsiaTheme="minorEastAsia"/>
                <w:bCs/>
                <w:color w:val="auto"/>
                <w:sz w:val="24"/>
                <w:szCs w:val="24"/>
                <w:highlight w:val="none"/>
                <w:u w:val="none" w:color="auto"/>
                <w:lang w:bidi="ar"/>
              </w:rPr>
              <w:t>m</w:t>
            </w:r>
            <w:r>
              <w:rPr>
                <w:rFonts w:hint="default" w:ascii="Times New Roman" w:hAnsi="Times New Roman" w:cs="Times New Roman" w:eastAsiaTheme="minorEastAsia"/>
                <w:bCs/>
                <w:color w:val="auto"/>
                <w:sz w:val="24"/>
                <w:szCs w:val="24"/>
                <w:highlight w:val="none"/>
                <w:u w:val="none" w:color="auto"/>
                <w:vertAlign w:val="superscript"/>
                <w:lang w:val="en-US" w:eastAsia="zh-CN" w:bidi="ar"/>
              </w:rPr>
              <w:t>3</w:t>
            </w:r>
            <w:r>
              <w:rPr>
                <w:rFonts w:hint="default" w:ascii="Times New Roman" w:hAnsi="Times New Roman" w:cs="Times New Roman" w:eastAsiaTheme="minorEastAsia"/>
                <w:color w:val="auto"/>
                <w:sz w:val="24"/>
                <w:szCs w:val="24"/>
                <w:highlight w:val="none"/>
                <w:u w:val="none" w:color="auto"/>
              </w:rPr>
              <w:t>/h，</w:t>
            </w:r>
            <w:r>
              <w:rPr>
                <w:rFonts w:hint="default" w:ascii="Times New Roman" w:hAnsi="Times New Roman" w:cs="Times New Roman" w:eastAsiaTheme="minorEastAsia"/>
                <w:color w:val="auto"/>
                <w:kern w:val="2"/>
                <w:sz w:val="24"/>
                <w:szCs w:val="24"/>
                <w:highlight w:val="none"/>
                <w:u w:val="none" w:color="auto"/>
                <w:lang w:val="en-US" w:eastAsia="zh-CN" w:bidi="ar-SA"/>
              </w:rPr>
              <w:t>初期雨水量约为</w:t>
            </w:r>
            <w:r>
              <w:rPr>
                <w:rFonts w:hint="eastAsia" w:ascii="Times New Roman" w:hAnsi="Times New Roman" w:eastAsia="宋体" w:cs="Times New Roman"/>
                <w:color w:val="auto"/>
                <w:spacing w:val="0"/>
                <w:kern w:val="21"/>
                <w:sz w:val="24"/>
                <w:highlight w:val="none"/>
                <w:lang w:val="en-US" w:eastAsia="zh-CN"/>
              </w:rPr>
              <w:t>349.56</w:t>
            </w:r>
            <w:r>
              <w:rPr>
                <w:rFonts w:hint="default" w:ascii="Times New Roman" w:hAnsi="Times New Roman" w:eastAsia="宋体" w:cs="Times New Roman"/>
                <w:color w:val="auto"/>
                <w:spacing w:val="0"/>
                <w:kern w:val="21"/>
                <w:sz w:val="24"/>
                <w:highlight w:val="none"/>
              </w:rPr>
              <w:t>m</w:t>
            </w:r>
            <w:r>
              <w:rPr>
                <w:rFonts w:hint="default" w:ascii="Times New Roman" w:hAnsi="Times New Roman" w:eastAsia="宋体" w:cs="Times New Roman"/>
                <w:color w:val="auto"/>
                <w:spacing w:val="0"/>
                <w:kern w:val="21"/>
                <w:sz w:val="24"/>
                <w:highlight w:val="none"/>
                <w:vertAlign w:val="superscript"/>
              </w:rPr>
              <w:t>3</w:t>
            </w:r>
            <w:r>
              <w:rPr>
                <w:rFonts w:hint="default" w:ascii="Times New Roman" w:hAnsi="Times New Roman" w:eastAsia="宋体" w:cs="Times New Roman"/>
                <w:color w:val="auto"/>
                <w:spacing w:val="0"/>
                <w:kern w:val="21"/>
                <w:sz w:val="24"/>
                <w:highlight w:val="none"/>
              </w:rPr>
              <w:t>/a</w:t>
            </w:r>
            <w:r>
              <w:rPr>
                <w:rFonts w:hint="eastAsia" w:ascii="Times New Roman" w:hAnsi="Times New Roman" w:cs="Times New Roman" w:eastAsiaTheme="minorEastAsia"/>
                <w:color w:val="auto"/>
                <w:kern w:val="2"/>
                <w:sz w:val="24"/>
                <w:szCs w:val="24"/>
                <w:highlight w:val="none"/>
                <w:u w:val="none" w:color="auto"/>
                <w:lang w:val="en-US" w:eastAsia="zh-CN" w:bidi="ar-SA"/>
              </w:rPr>
              <w:t>，</w:t>
            </w:r>
            <w:r>
              <w:rPr>
                <w:rFonts w:hint="default" w:ascii="Times New Roman" w:hAnsi="Times New Roman" w:cs="Times New Roman" w:eastAsiaTheme="minorEastAsia"/>
                <w:color w:val="auto"/>
                <w:sz w:val="24"/>
                <w:szCs w:val="24"/>
                <w:highlight w:val="none"/>
                <w:u w:val="none" w:color="auto"/>
              </w:rPr>
              <w:t>主要污染物为SS。建设方</w:t>
            </w:r>
            <w:r>
              <w:rPr>
                <w:rFonts w:hint="default" w:ascii="Times New Roman" w:hAnsi="Times New Roman" w:cs="Times New Roman" w:eastAsiaTheme="minorEastAsia"/>
                <w:color w:val="auto"/>
                <w:sz w:val="24"/>
                <w:szCs w:val="24"/>
                <w:highlight w:val="none"/>
                <w:u w:val="none" w:color="auto"/>
                <w:lang w:val="en-US" w:eastAsia="zh-CN"/>
              </w:rPr>
              <w:t>已</w:t>
            </w:r>
            <w:r>
              <w:rPr>
                <w:rFonts w:hint="default" w:ascii="Times New Roman" w:hAnsi="Times New Roman" w:cs="Times New Roman" w:eastAsiaTheme="minorEastAsia"/>
                <w:color w:val="auto"/>
                <w:sz w:val="24"/>
                <w:szCs w:val="24"/>
                <w:highlight w:val="none"/>
                <w:u w:val="none" w:color="auto"/>
              </w:rPr>
              <w:t>做好雨污分流系统、现场管沟环形导排系统及沉淀池收集处理，设置三级沉淀池，大小为</w:t>
            </w:r>
            <w:r>
              <w:rPr>
                <w:rFonts w:hint="eastAsia" w:ascii="Times New Roman" w:hAnsi="Times New Roman" w:cs="Times New Roman" w:eastAsiaTheme="minorEastAsia"/>
                <w:color w:val="auto"/>
                <w:sz w:val="24"/>
                <w:szCs w:val="24"/>
                <w:highlight w:val="none"/>
                <w:u w:val="none" w:color="auto"/>
                <w:lang w:val="en-US" w:eastAsia="zh-CN"/>
              </w:rPr>
              <w:t>15</w:t>
            </w:r>
            <w:r>
              <w:rPr>
                <w:rFonts w:hint="default" w:ascii="Times New Roman" w:hAnsi="Times New Roman" w:cs="Times New Roman" w:eastAsiaTheme="minorEastAsia"/>
                <w:color w:val="auto"/>
                <w:sz w:val="24"/>
                <w:szCs w:val="24"/>
                <w:highlight w:val="none"/>
                <w:u w:val="none" w:color="auto"/>
                <w:lang w:val="en-US" w:eastAsia="zh-CN"/>
              </w:rPr>
              <w:t>m</w:t>
            </w:r>
            <w:r>
              <w:rPr>
                <w:rFonts w:hint="default" w:ascii="Times New Roman" w:hAnsi="Times New Roman" w:cs="Times New Roman" w:eastAsiaTheme="minorEastAsia"/>
                <w:color w:val="auto"/>
                <w:sz w:val="24"/>
                <w:szCs w:val="24"/>
                <w:highlight w:val="none"/>
                <w:u w:val="none" w:color="auto"/>
                <w:vertAlign w:val="superscript"/>
                <w:lang w:val="en-US" w:eastAsia="zh-CN"/>
              </w:rPr>
              <w:t>3</w:t>
            </w:r>
            <w:r>
              <w:rPr>
                <w:rFonts w:hint="default" w:ascii="Times New Roman" w:hAnsi="Times New Roman" w:cs="Times New Roman" w:eastAsiaTheme="minorEastAsia"/>
                <w:color w:val="auto"/>
                <w:sz w:val="24"/>
                <w:szCs w:val="24"/>
                <w:highlight w:val="none"/>
                <w:u w:val="none" w:color="auto"/>
                <w:lang w:eastAsia="zh-CN"/>
              </w:rPr>
              <w:t>，</w:t>
            </w:r>
            <w:r>
              <w:rPr>
                <w:rFonts w:hint="default" w:ascii="Times New Roman" w:hAnsi="Times New Roman" w:cs="Times New Roman" w:eastAsiaTheme="minorEastAsia"/>
                <w:color w:val="auto"/>
                <w:sz w:val="24"/>
                <w:szCs w:val="24"/>
                <w:highlight w:val="none"/>
                <w:u w:val="none" w:color="auto"/>
                <w:lang w:val="en-US" w:eastAsia="zh-CN"/>
              </w:rPr>
              <w:t>雨水沉淀池</w:t>
            </w:r>
            <w:r>
              <w:rPr>
                <w:rFonts w:hint="eastAsia" w:ascii="Times New Roman" w:hAnsi="Times New Roman" w:cs="Times New Roman" w:eastAsiaTheme="minorEastAsia"/>
                <w:color w:val="auto"/>
                <w:sz w:val="24"/>
                <w:szCs w:val="24"/>
                <w:highlight w:val="none"/>
                <w:u w:val="none" w:color="auto"/>
                <w:lang w:val="en-US" w:eastAsia="zh-CN"/>
              </w:rPr>
              <w:t>2</w:t>
            </w:r>
            <w:r>
              <w:rPr>
                <w:rFonts w:hint="default" w:ascii="Times New Roman" w:hAnsi="Times New Roman" w:cs="Times New Roman" w:eastAsiaTheme="minorEastAsia"/>
                <w:color w:val="auto"/>
                <w:sz w:val="24"/>
                <w:szCs w:val="24"/>
                <w:highlight w:val="none"/>
                <w:u w:val="none" w:color="auto"/>
                <w:lang w:val="en-US" w:eastAsia="zh-CN"/>
              </w:rPr>
              <w:t>0m</w:t>
            </w:r>
            <w:r>
              <w:rPr>
                <w:rFonts w:hint="default" w:ascii="Times New Roman" w:hAnsi="Times New Roman" w:cs="Times New Roman" w:eastAsiaTheme="minorEastAsia"/>
                <w:color w:val="auto"/>
                <w:sz w:val="24"/>
                <w:szCs w:val="24"/>
                <w:highlight w:val="none"/>
                <w:u w:val="none" w:color="auto"/>
                <w:vertAlign w:val="superscript"/>
                <w:lang w:val="en-US" w:eastAsia="zh-CN"/>
              </w:rPr>
              <w:t>3</w:t>
            </w:r>
            <w:r>
              <w:rPr>
                <w:rFonts w:hint="default" w:ascii="Times New Roman" w:hAnsi="Times New Roman" w:cs="Times New Roman" w:eastAsiaTheme="minorEastAsia"/>
                <w:color w:val="auto"/>
                <w:sz w:val="24"/>
                <w:szCs w:val="24"/>
                <w:highlight w:val="none"/>
                <w:u w:val="none" w:color="auto"/>
                <w:lang w:val="en-US" w:eastAsia="zh-CN"/>
              </w:rPr>
              <w:t>，</w:t>
            </w:r>
            <w:r>
              <w:rPr>
                <w:rFonts w:hint="default" w:ascii="Times New Roman" w:hAnsi="Times New Roman" w:cs="Times New Roman" w:eastAsiaTheme="minorEastAsia"/>
                <w:color w:val="auto"/>
                <w:sz w:val="24"/>
                <w:szCs w:val="24"/>
                <w:highlight w:val="none"/>
                <w:u w:val="none" w:color="auto"/>
              </w:rPr>
              <w:t>满足平流式沉淀池设计规范要求，从而保证</w:t>
            </w:r>
            <w:r>
              <w:rPr>
                <w:rFonts w:hint="eastAsia" w:ascii="Times New Roman" w:hAnsi="Times New Roman" w:cs="Times New Roman" w:eastAsiaTheme="minorEastAsia"/>
                <w:color w:val="auto"/>
                <w:sz w:val="24"/>
                <w:szCs w:val="24"/>
                <w:highlight w:val="none"/>
                <w:u w:val="none" w:color="auto"/>
                <w:lang w:val="en-US" w:eastAsia="zh-CN"/>
              </w:rPr>
              <w:t>生产</w:t>
            </w:r>
            <w:r>
              <w:rPr>
                <w:rFonts w:hint="default" w:ascii="Times New Roman" w:hAnsi="Times New Roman" w:cs="Times New Roman" w:eastAsiaTheme="minorEastAsia"/>
                <w:color w:val="auto"/>
                <w:sz w:val="24"/>
                <w:szCs w:val="24"/>
                <w:highlight w:val="none"/>
                <w:u w:val="none" w:color="auto"/>
              </w:rPr>
              <w:t>废水</w:t>
            </w:r>
            <w:r>
              <w:rPr>
                <w:rFonts w:hint="eastAsia" w:ascii="Times New Roman" w:hAnsi="Times New Roman" w:cs="Times New Roman" w:eastAsiaTheme="minorEastAsia"/>
                <w:color w:val="auto"/>
                <w:sz w:val="24"/>
                <w:szCs w:val="24"/>
                <w:highlight w:val="none"/>
                <w:u w:val="none" w:color="auto"/>
                <w:lang w:eastAsia="zh-CN"/>
              </w:rPr>
              <w:t>、</w:t>
            </w:r>
            <w:r>
              <w:rPr>
                <w:rFonts w:hint="default" w:ascii="Times New Roman" w:hAnsi="Times New Roman" w:cs="Times New Roman" w:eastAsiaTheme="minorEastAsia"/>
                <w:color w:val="auto"/>
                <w:sz w:val="24"/>
                <w:szCs w:val="24"/>
                <w:highlight w:val="none"/>
                <w:u w:val="none" w:color="auto"/>
              </w:rPr>
              <w:t>初期雨水量循环回用，不外排。</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highlight w:val="none"/>
                <w:u w:val="none" w:color="auto"/>
                <w:lang w:val="en-US" w:eastAsia="zh-CN"/>
              </w:rPr>
            </w:pPr>
            <w:r>
              <w:rPr>
                <w:rFonts w:hint="default" w:ascii="Times New Roman" w:hAnsi="Times New Roman" w:cs="Times New Roman" w:eastAsiaTheme="minorEastAsia"/>
                <w:color w:val="auto"/>
                <w:sz w:val="24"/>
                <w:szCs w:val="24"/>
                <w:highlight w:val="none"/>
                <w:u w:val="none" w:color="auto"/>
              </w:rPr>
              <w:t>经上述分析，本项目设计的沉淀池的容积，处理系统的规模能够保证本项目废水不外排，因此设计可行。综上所述，项目废水均可得到有效处置，对周围</w:t>
            </w:r>
            <w:r>
              <w:rPr>
                <w:rFonts w:hint="default" w:ascii="Times New Roman" w:hAnsi="Times New Roman" w:cs="Times New Roman" w:eastAsiaTheme="minorEastAsia"/>
                <w:b w:val="0"/>
                <w:bCs w:val="0"/>
                <w:color w:val="auto"/>
                <w:sz w:val="24"/>
                <w:szCs w:val="24"/>
                <w:highlight w:val="none"/>
                <w:u w:val="none" w:color="auto"/>
              </w:rPr>
              <w:t>环境影响很小。</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1"/>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环境监测计划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本项目生活废水经化粪池处理后用于周边农田灌溉，生产废水经沉淀池处理后回用于生产不外排。项目不设废水排口，因此不设置废水环境监测计划。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4"/>
                <w:szCs w:val="24"/>
                <w:highlight w:val="none"/>
                <w:u w:val="none" w:color="auto"/>
                <w:lang w:val="en-US" w:eastAsia="zh-CN"/>
                <w14:textFill>
                  <w14:solidFill>
                    <w14:schemeClr w14:val="tx1"/>
                  </w14:solidFill>
                </w14:textFill>
              </w:rPr>
              <w:t>1.3</w:t>
            </w:r>
            <w:r>
              <w:rPr>
                <w:rFonts w:hint="default" w:ascii="Times New Roman" w:hAnsi="Times New Roman" w:cs="Times New Roman" w:eastAsiaTheme="minorEastAsia"/>
                <w:b/>
                <w:color w:val="000000" w:themeColor="text1"/>
                <w:sz w:val="24"/>
                <w:szCs w:val="24"/>
                <w:highlight w:val="none"/>
                <w:u w:val="none" w:color="auto"/>
                <w14:textFill>
                  <w14:solidFill>
                    <w14:schemeClr w14:val="tx1"/>
                  </w14:solidFill>
                </w14:textFill>
              </w:rPr>
              <w:t>噪声环境影响分析</w:t>
            </w:r>
          </w:p>
          <w:p>
            <w:pPr>
              <w:keepNext w:val="0"/>
              <w:keepLines w:val="0"/>
              <w:suppressLineNumbers w:val="0"/>
              <w:spacing w:before="0" w:beforeAutospacing="0" w:after="0" w:afterAutospacing="0" w:line="360" w:lineRule="auto"/>
              <w:ind w:left="0" w:right="0" w:firstLine="42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本项目噪声主要是</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搅拌楼、运输车辆</w:t>
            </w:r>
            <w:r>
              <w:rPr>
                <w:rFonts w:hint="default" w:ascii="Times New Roman" w:hAnsi="Times New Roman" w:cs="Times New Roman" w:eastAsiaTheme="minorEastAsia"/>
                <w:color w:val="000000" w:themeColor="text1"/>
                <w:sz w:val="24"/>
                <w:szCs w:val="24"/>
                <w:highlight w:val="none"/>
                <w:u w:val="none" w:color="auto"/>
                <w:lang w:eastAsia="zh-CN" w:bidi="ar"/>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输送机</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驱动装置</w:t>
            </w:r>
            <w:r>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、空压机</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等设备运行时产生的噪声</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，大部分机械动力设备声源为连续排放，声级范围在</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70</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100</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dB（A）之间。</w:t>
            </w:r>
          </w:p>
          <w:p>
            <w:pPr>
              <w:keepNext w:val="0"/>
              <w:keepLines w:val="0"/>
              <w:suppressLineNumbers w:val="0"/>
              <w:spacing w:before="0" w:beforeAutospacing="0" w:after="0" w:afterAutospacing="0" w:line="360" w:lineRule="auto"/>
              <w:ind w:right="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（1）预测模型</w:t>
            </w:r>
          </w:p>
          <w:p>
            <w:pPr>
              <w:keepNext w:val="0"/>
              <w:keepLines w:val="0"/>
              <w:suppressLineNumbers w:val="0"/>
              <w:tabs>
                <w:tab w:val="left" w:pos="1700"/>
              </w:tabs>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工业噪声预测模式采用《环境影响评价技术导则·声环境》（HJ2.4—2009）中对工业企业噪声预测模式进行预测，本项目进行环境噪声预测时所使用的工业噪声源按点源处理。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考虑遮挡物、空气吸收衰减、地面附加衰减，对某些难以定量的参数，查相关资料进行估算。</w:t>
            </w:r>
          </w:p>
          <w:p>
            <w:pPr>
              <w:tabs>
                <w:tab w:val="left" w:pos="1620"/>
                <w:tab w:val="center" w:pos="4153"/>
              </w:tabs>
              <w:spacing w:line="240" w:lineRule="auto"/>
              <w:jc w:val="cente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pPr>
          </w:p>
          <w:p>
            <w:pPr>
              <w:tabs>
                <w:tab w:val="left" w:pos="1620"/>
                <w:tab w:val="center" w:pos="4153"/>
              </w:tabs>
              <w:spacing w:line="240" w:lineRule="auto"/>
              <w:jc w:val="cente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pPr>
          </w:p>
          <w:p>
            <w:pPr>
              <w:tabs>
                <w:tab w:val="left" w:pos="1620"/>
                <w:tab w:val="center" w:pos="4153"/>
              </w:tabs>
              <w:spacing w:line="240" w:lineRule="auto"/>
              <w:jc w:val="cente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w:t>
            </w:r>
            <w:r>
              <w:rPr>
                <w:rFonts w:hint="eastAsia" w:cs="Times New Roman" w:eastAsiaTheme="minorEastAsia"/>
                <w:b/>
                <w:color w:val="000000" w:themeColor="text1"/>
                <w:sz w:val="21"/>
                <w:szCs w:val="21"/>
                <w:highlight w:val="none"/>
                <w:u w:val="none" w:color="auto"/>
                <w:lang w:val="en-US" w:eastAsia="zh-CN"/>
                <w14:textFill>
                  <w14:solidFill>
                    <w14:schemeClr w14:val="tx1"/>
                  </w14:solidFill>
                </w14:textFill>
              </w:rPr>
              <w:t>8</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 xml:space="preserve"> </w:t>
            </w:r>
            <w:r>
              <w:rPr>
                <w:rFonts w:hint="eastAsia" w:cs="Times New Roman" w:eastAsiaTheme="minorEastAsia"/>
                <w:b/>
                <w:color w:val="000000" w:themeColor="text1"/>
                <w:sz w:val="21"/>
                <w:szCs w:val="21"/>
                <w:highlight w:val="none"/>
                <w:u w:val="none" w:color="auto"/>
                <w:lang w:val="en-US" w:eastAsia="zh-CN"/>
                <w14:textFill>
                  <w14:solidFill>
                    <w14:schemeClr w14:val="tx1"/>
                  </w14:solidFill>
                </w14:textFill>
              </w:rPr>
              <w:t>一号站</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噪声源强及其与场界的距离统计表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56"/>
              <w:gridCol w:w="524"/>
              <w:gridCol w:w="562"/>
              <w:gridCol w:w="973"/>
              <w:gridCol w:w="2846"/>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pct"/>
                  <w:noWrap w:val="0"/>
                  <w:vAlign w:val="center"/>
                </w:tcPr>
                <w:p>
                  <w:pPr>
                    <w:pStyle w:val="57"/>
                    <w:bidi w:val="0"/>
                    <w:rPr>
                      <w:rFonts w:hint="default"/>
                      <w:highlight w:val="none"/>
                      <w:lang w:eastAsia="zh-CN"/>
                    </w:rPr>
                  </w:pPr>
                  <w:r>
                    <w:rPr>
                      <w:rFonts w:hint="default"/>
                      <w:highlight w:val="none"/>
                      <w:lang w:val="en-US" w:eastAsia="zh-CN"/>
                    </w:rPr>
                    <w:t>噪声</w:t>
                  </w:r>
                  <w:r>
                    <w:rPr>
                      <w:rFonts w:hint="default"/>
                      <w:highlight w:val="none"/>
                    </w:rPr>
                    <w:t>源产生位置</w:t>
                  </w:r>
                </w:p>
              </w:tc>
              <w:tc>
                <w:tcPr>
                  <w:tcW w:w="579" w:type="pct"/>
                  <w:noWrap w:val="0"/>
                  <w:vAlign w:val="center"/>
                </w:tcPr>
                <w:p>
                  <w:pPr>
                    <w:pStyle w:val="57"/>
                    <w:bidi w:val="0"/>
                    <w:rPr>
                      <w:rFonts w:hint="default"/>
                      <w:highlight w:val="none"/>
                      <w:lang w:val="en-US" w:eastAsia="zh-CN"/>
                    </w:rPr>
                  </w:pPr>
                  <w:r>
                    <w:rPr>
                      <w:rFonts w:hint="default"/>
                      <w:highlight w:val="none"/>
                    </w:rPr>
                    <w:t>噪声污染源</w:t>
                  </w:r>
                </w:p>
              </w:tc>
              <w:tc>
                <w:tcPr>
                  <w:tcW w:w="317" w:type="pct"/>
                  <w:noWrap w:val="0"/>
                  <w:vAlign w:val="center"/>
                </w:tcPr>
                <w:p>
                  <w:pPr>
                    <w:pStyle w:val="57"/>
                    <w:bidi w:val="0"/>
                    <w:rPr>
                      <w:rFonts w:hint="default"/>
                      <w:highlight w:val="none"/>
                    </w:rPr>
                  </w:pPr>
                  <w:r>
                    <w:rPr>
                      <w:rFonts w:hint="default"/>
                      <w:highlight w:val="none"/>
                    </w:rPr>
                    <w:t>数量</w:t>
                  </w:r>
                </w:p>
              </w:tc>
              <w:tc>
                <w:tcPr>
                  <w:tcW w:w="340" w:type="pct"/>
                  <w:noWrap w:val="0"/>
                  <w:vAlign w:val="center"/>
                </w:tcPr>
                <w:p>
                  <w:pPr>
                    <w:pStyle w:val="57"/>
                    <w:bidi w:val="0"/>
                    <w:rPr>
                      <w:rFonts w:hint="default"/>
                      <w:highlight w:val="none"/>
                    </w:rPr>
                  </w:pPr>
                  <w:r>
                    <w:rPr>
                      <w:rFonts w:hint="default"/>
                      <w:highlight w:val="none"/>
                    </w:rPr>
                    <w:t>单位</w:t>
                  </w:r>
                </w:p>
              </w:tc>
              <w:tc>
                <w:tcPr>
                  <w:tcW w:w="589" w:type="pct"/>
                  <w:noWrap w:val="0"/>
                  <w:vAlign w:val="center"/>
                </w:tcPr>
                <w:p>
                  <w:pPr>
                    <w:pStyle w:val="57"/>
                    <w:bidi w:val="0"/>
                    <w:rPr>
                      <w:rFonts w:hint="default"/>
                      <w:highlight w:val="none"/>
                    </w:rPr>
                  </w:pPr>
                  <w:r>
                    <w:rPr>
                      <w:rFonts w:hint="default"/>
                      <w:highlight w:val="none"/>
                    </w:rPr>
                    <w:t>噪声级dB（A）</w:t>
                  </w:r>
                </w:p>
              </w:tc>
              <w:tc>
                <w:tcPr>
                  <w:tcW w:w="1721" w:type="pct"/>
                  <w:noWrap w:val="0"/>
                  <w:vAlign w:val="center"/>
                </w:tcPr>
                <w:p>
                  <w:pPr>
                    <w:pStyle w:val="57"/>
                    <w:bidi w:val="0"/>
                    <w:rPr>
                      <w:rFonts w:hint="default"/>
                      <w:highlight w:val="none"/>
                    </w:rPr>
                  </w:pPr>
                  <w:r>
                    <w:rPr>
                      <w:rFonts w:hint="default"/>
                      <w:highlight w:val="none"/>
                    </w:rPr>
                    <w:t>拟采取降噪措施</w:t>
                  </w:r>
                </w:p>
              </w:tc>
              <w:tc>
                <w:tcPr>
                  <w:tcW w:w="767" w:type="pct"/>
                  <w:noWrap w:val="0"/>
                  <w:vAlign w:val="center"/>
                </w:tcPr>
                <w:p>
                  <w:pPr>
                    <w:pStyle w:val="57"/>
                    <w:bidi w:val="0"/>
                    <w:rPr>
                      <w:rFonts w:hint="default"/>
                      <w:highlight w:val="none"/>
                      <w:lang w:val="en-US" w:eastAsia="zh-CN"/>
                    </w:rPr>
                  </w:pPr>
                  <w:r>
                    <w:rPr>
                      <w:rFonts w:hint="default"/>
                      <w:highlight w:val="none"/>
                    </w:rPr>
                    <w:t>采用降噪措施后车间声压级dB（A）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4" w:type="pct"/>
                  <w:noWrap w:val="0"/>
                  <w:vAlign w:val="center"/>
                </w:tcPr>
                <w:p>
                  <w:pPr>
                    <w:pStyle w:val="57"/>
                    <w:bidi w:val="0"/>
                    <w:rPr>
                      <w:rFonts w:hint="default"/>
                      <w:highlight w:val="none"/>
                      <w:lang w:val="en-US" w:eastAsia="zh-CN"/>
                    </w:rPr>
                  </w:pPr>
                  <w:r>
                    <w:rPr>
                      <w:rFonts w:hint="default"/>
                      <w:highlight w:val="none"/>
                      <w:lang w:val="en-US" w:eastAsia="zh-CN"/>
                    </w:rPr>
                    <w:t>搅拌楼</w:t>
                  </w:r>
                </w:p>
              </w:tc>
              <w:tc>
                <w:tcPr>
                  <w:tcW w:w="579" w:type="pct"/>
                  <w:noWrap w:val="0"/>
                  <w:vAlign w:val="center"/>
                </w:tcPr>
                <w:p>
                  <w:pPr>
                    <w:pStyle w:val="57"/>
                    <w:bidi w:val="0"/>
                    <w:rPr>
                      <w:rFonts w:hint="default"/>
                      <w:highlight w:val="none"/>
                    </w:rPr>
                  </w:pPr>
                  <w:r>
                    <w:rPr>
                      <w:rFonts w:hint="default"/>
                      <w:highlight w:val="none"/>
                    </w:rPr>
                    <w:t>搅拌机</w:t>
                  </w:r>
                </w:p>
              </w:tc>
              <w:tc>
                <w:tcPr>
                  <w:tcW w:w="317" w:type="pct"/>
                  <w:noWrap w:val="0"/>
                  <w:vAlign w:val="center"/>
                </w:tcPr>
                <w:p>
                  <w:pPr>
                    <w:pStyle w:val="57"/>
                    <w:bidi w:val="0"/>
                    <w:rPr>
                      <w:rFonts w:hint="default"/>
                      <w:highlight w:val="none"/>
                      <w:lang w:eastAsia="zh-CN"/>
                    </w:rPr>
                  </w:pPr>
                  <w:r>
                    <w:rPr>
                      <w:rFonts w:hint="eastAsia"/>
                      <w:highlight w:val="none"/>
                      <w:lang w:val="en-US" w:eastAsia="zh-CN"/>
                    </w:rPr>
                    <w:t>3</w:t>
                  </w:r>
                </w:p>
              </w:tc>
              <w:tc>
                <w:tcPr>
                  <w:tcW w:w="340" w:type="pct"/>
                  <w:noWrap w:val="0"/>
                  <w:vAlign w:val="center"/>
                </w:tcPr>
                <w:p>
                  <w:pPr>
                    <w:pStyle w:val="57"/>
                    <w:bidi w:val="0"/>
                    <w:rPr>
                      <w:rFonts w:hint="default"/>
                      <w:highlight w:val="none"/>
                    </w:rPr>
                  </w:pPr>
                  <w:r>
                    <w:rPr>
                      <w:rFonts w:hint="default"/>
                      <w:highlight w:val="none"/>
                    </w:rPr>
                    <w:t>台</w:t>
                  </w:r>
                </w:p>
              </w:tc>
              <w:tc>
                <w:tcPr>
                  <w:tcW w:w="589" w:type="pct"/>
                  <w:noWrap w:val="0"/>
                  <w:vAlign w:val="center"/>
                </w:tcPr>
                <w:p>
                  <w:pPr>
                    <w:pStyle w:val="57"/>
                    <w:bidi w:val="0"/>
                    <w:rPr>
                      <w:rFonts w:hint="default"/>
                      <w:highlight w:val="none"/>
                    </w:rPr>
                  </w:pPr>
                  <w:r>
                    <w:rPr>
                      <w:rFonts w:hint="default"/>
                      <w:highlight w:val="none"/>
                    </w:rPr>
                    <w:t>85</w:t>
                  </w:r>
                </w:p>
              </w:tc>
              <w:tc>
                <w:tcPr>
                  <w:tcW w:w="1721" w:type="pct"/>
                  <w:noWrap w:val="0"/>
                  <w:vAlign w:val="center"/>
                </w:tcPr>
                <w:p>
                  <w:pPr>
                    <w:pStyle w:val="57"/>
                    <w:bidi w:val="0"/>
                    <w:rPr>
                      <w:rFonts w:hint="default"/>
                      <w:highlight w:val="none"/>
                    </w:rPr>
                  </w:pPr>
                  <w:r>
                    <w:rPr>
                      <w:rFonts w:hint="default"/>
                      <w:highlight w:val="none"/>
                    </w:rPr>
                    <w:t>生产车间封闭，低噪声设备、底座安装减震器、合理布局</w:t>
                  </w:r>
                </w:p>
              </w:tc>
              <w:tc>
                <w:tcPr>
                  <w:tcW w:w="767" w:type="pct"/>
                  <w:noWrap w:val="0"/>
                  <w:vAlign w:val="center"/>
                </w:tcPr>
                <w:p>
                  <w:pPr>
                    <w:pStyle w:val="57"/>
                    <w:bidi w:val="0"/>
                    <w:rPr>
                      <w:rFonts w:hint="default"/>
                      <w:highlight w:val="none"/>
                      <w:lang w:val="en-US" w:eastAsia="zh-CN"/>
                    </w:rPr>
                  </w:pPr>
                  <w:r>
                    <w:rPr>
                      <w:rFonts w:hint="default"/>
                      <w:highlight w:val="none"/>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pct"/>
                  <w:noWrap w:val="0"/>
                  <w:vAlign w:val="center"/>
                </w:tcPr>
                <w:p>
                  <w:pPr>
                    <w:pStyle w:val="57"/>
                    <w:bidi w:val="0"/>
                    <w:rPr>
                      <w:rFonts w:hint="default"/>
                      <w:highlight w:val="none"/>
                      <w:lang w:val="en-US" w:eastAsia="zh-CN"/>
                    </w:rPr>
                  </w:pPr>
                  <w:r>
                    <w:rPr>
                      <w:rFonts w:hint="default"/>
                      <w:highlight w:val="none"/>
                      <w:lang w:val="en-US" w:eastAsia="zh-CN"/>
                    </w:rPr>
                    <w:t>厂区</w:t>
                  </w:r>
                </w:p>
              </w:tc>
              <w:tc>
                <w:tcPr>
                  <w:tcW w:w="579" w:type="pct"/>
                  <w:noWrap w:val="0"/>
                  <w:vAlign w:val="center"/>
                </w:tcPr>
                <w:p>
                  <w:pPr>
                    <w:pStyle w:val="57"/>
                    <w:bidi w:val="0"/>
                    <w:rPr>
                      <w:rFonts w:hint="default"/>
                      <w:highlight w:val="none"/>
                    </w:rPr>
                  </w:pPr>
                  <w:r>
                    <w:rPr>
                      <w:rFonts w:hint="default"/>
                      <w:highlight w:val="none"/>
                    </w:rPr>
                    <w:t>运输车辆</w:t>
                  </w:r>
                </w:p>
              </w:tc>
              <w:tc>
                <w:tcPr>
                  <w:tcW w:w="317" w:type="pct"/>
                  <w:noWrap w:val="0"/>
                  <w:vAlign w:val="center"/>
                </w:tcPr>
                <w:p>
                  <w:pPr>
                    <w:pStyle w:val="57"/>
                    <w:bidi w:val="0"/>
                    <w:rPr>
                      <w:rFonts w:hint="default"/>
                      <w:highlight w:val="none"/>
                      <w:lang w:val="en-US" w:eastAsia="zh-CN"/>
                    </w:rPr>
                  </w:pPr>
                  <w:r>
                    <w:rPr>
                      <w:rFonts w:hint="default"/>
                      <w:highlight w:val="none"/>
                      <w:lang w:val="en-US" w:eastAsia="zh-CN"/>
                    </w:rPr>
                    <w:t>1</w:t>
                  </w:r>
                  <w:r>
                    <w:rPr>
                      <w:rFonts w:hint="eastAsia"/>
                      <w:highlight w:val="none"/>
                      <w:lang w:val="en-US" w:eastAsia="zh-CN"/>
                    </w:rPr>
                    <w:t>5</w:t>
                  </w:r>
                </w:p>
              </w:tc>
              <w:tc>
                <w:tcPr>
                  <w:tcW w:w="340" w:type="pct"/>
                  <w:noWrap w:val="0"/>
                  <w:vAlign w:val="center"/>
                </w:tcPr>
                <w:p>
                  <w:pPr>
                    <w:pStyle w:val="57"/>
                    <w:bidi w:val="0"/>
                    <w:rPr>
                      <w:rFonts w:hint="default"/>
                      <w:highlight w:val="none"/>
                    </w:rPr>
                  </w:pPr>
                  <w:r>
                    <w:rPr>
                      <w:rFonts w:hint="default"/>
                      <w:highlight w:val="none"/>
                    </w:rPr>
                    <w:t>辆</w:t>
                  </w:r>
                </w:p>
              </w:tc>
              <w:tc>
                <w:tcPr>
                  <w:tcW w:w="589" w:type="pct"/>
                  <w:noWrap w:val="0"/>
                  <w:vAlign w:val="center"/>
                </w:tcPr>
                <w:p>
                  <w:pPr>
                    <w:pStyle w:val="57"/>
                    <w:bidi w:val="0"/>
                    <w:rPr>
                      <w:rFonts w:hint="default"/>
                      <w:highlight w:val="none"/>
                    </w:rPr>
                  </w:pPr>
                  <w:r>
                    <w:rPr>
                      <w:rFonts w:hint="default"/>
                      <w:highlight w:val="none"/>
                    </w:rPr>
                    <w:t>85</w:t>
                  </w:r>
                </w:p>
              </w:tc>
              <w:tc>
                <w:tcPr>
                  <w:tcW w:w="1721" w:type="pct"/>
                  <w:noWrap w:val="0"/>
                  <w:vAlign w:val="center"/>
                </w:tcPr>
                <w:p>
                  <w:pPr>
                    <w:pStyle w:val="57"/>
                    <w:bidi w:val="0"/>
                    <w:rPr>
                      <w:rFonts w:hint="default"/>
                      <w:highlight w:val="none"/>
                    </w:rPr>
                  </w:pPr>
                  <w:r>
                    <w:rPr>
                      <w:rFonts w:hint="default"/>
                      <w:highlight w:val="none"/>
                    </w:rPr>
                    <w:t>加强管理，减少机动车的频发启动和怠速</w:t>
                  </w:r>
                </w:p>
              </w:tc>
              <w:tc>
                <w:tcPr>
                  <w:tcW w:w="767" w:type="pct"/>
                  <w:noWrap w:val="0"/>
                  <w:vAlign w:val="center"/>
                </w:tcPr>
                <w:p>
                  <w:pPr>
                    <w:pStyle w:val="57"/>
                    <w:bidi w:val="0"/>
                    <w:rPr>
                      <w:rFonts w:hint="default"/>
                      <w:highlight w:val="none"/>
                      <w:lang w:val="en-US" w:eastAsia="zh-CN"/>
                    </w:rPr>
                  </w:pPr>
                  <w:r>
                    <w:rPr>
                      <w:rFonts w:hint="default"/>
                      <w:highlight w:val="none"/>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2" w:type="pct"/>
                  <w:gridSpan w:val="6"/>
                  <w:noWrap w:val="0"/>
                  <w:vAlign w:val="center"/>
                </w:tcPr>
                <w:p>
                  <w:pPr>
                    <w:pStyle w:val="57"/>
                    <w:bidi w:val="0"/>
                    <w:rPr>
                      <w:rFonts w:hint="eastAsia"/>
                      <w:highlight w:val="none"/>
                      <w:lang w:val="en-US" w:eastAsia="zh-CN"/>
                    </w:rPr>
                  </w:pPr>
                  <w:r>
                    <w:rPr>
                      <w:rFonts w:hint="eastAsia"/>
                      <w:highlight w:val="none"/>
                      <w:lang w:val="en-US" w:eastAsia="zh-CN"/>
                    </w:rPr>
                    <w:t>叠加值</w:t>
                  </w:r>
                </w:p>
              </w:tc>
              <w:tc>
                <w:tcPr>
                  <w:tcW w:w="767" w:type="pct"/>
                  <w:noWrap w:val="0"/>
                  <w:vAlign w:val="center"/>
                </w:tcPr>
                <w:p>
                  <w:pPr>
                    <w:pStyle w:val="57"/>
                    <w:bidi w:val="0"/>
                    <w:rPr>
                      <w:rFonts w:hint="default"/>
                      <w:highlight w:val="none"/>
                      <w:lang w:val="en-US" w:eastAsia="zh-CN"/>
                    </w:rPr>
                  </w:pPr>
                  <w:r>
                    <w:rPr>
                      <w:rFonts w:hint="default"/>
                      <w:highlight w:val="none"/>
                      <w:lang w:val="en-US" w:eastAsia="zh-CN"/>
                    </w:rPr>
                    <w:t>77.55</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p>
          <w:p>
            <w:pPr>
              <w:tabs>
                <w:tab w:val="left" w:pos="1620"/>
                <w:tab w:val="center" w:pos="4153"/>
              </w:tabs>
              <w:spacing w:line="240" w:lineRule="auto"/>
              <w:jc w:val="cente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w:t>
            </w:r>
            <w:r>
              <w:rPr>
                <w:rFonts w:hint="eastAsia" w:cs="Times New Roman" w:eastAsiaTheme="minorEastAsia"/>
                <w:b/>
                <w:color w:val="000000" w:themeColor="text1"/>
                <w:sz w:val="21"/>
                <w:szCs w:val="21"/>
                <w:highlight w:val="none"/>
                <w:u w:val="none" w:color="auto"/>
                <w:lang w:val="en-US" w:eastAsia="zh-CN"/>
                <w14:textFill>
                  <w14:solidFill>
                    <w14:schemeClr w14:val="tx1"/>
                  </w14:solidFill>
                </w14:textFill>
              </w:rPr>
              <w:t>9</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 xml:space="preserve"> </w:t>
            </w:r>
            <w:r>
              <w:rPr>
                <w:rFonts w:hint="eastAsia"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二号站</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噪声源强及其与场界的距离统计表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56"/>
              <w:gridCol w:w="524"/>
              <w:gridCol w:w="562"/>
              <w:gridCol w:w="973"/>
              <w:gridCol w:w="2846"/>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噪声源产生位置</w:t>
                  </w:r>
                </w:p>
              </w:tc>
              <w:tc>
                <w:tcPr>
                  <w:tcW w:w="57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噪声污染源</w:t>
                  </w:r>
                </w:p>
              </w:tc>
              <w:tc>
                <w:tcPr>
                  <w:tcW w:w="317"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数量</w:t>
                  </w:r>
                </w:p>
              </w:tc>
              <w:tc>
                <w:tcPr>
                  <w:tcW w:w="34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单位</w:t>
                  </w:r>
                </w:p>
              </w:tc>
              <w:tc>
                <w:tcPr>
                  <w:tcW w:w="58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噪声级dB（A）</w:t>
                  </w:r>
                </w:p>
              </w:tc>
              <w:tc>
                <w:tcPr>
                  <w:tcW w:w="172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拟采取降噪措施</w:t>
                  </w:r>
                </w:p>
              </w:tc>
              <w:tc>
                <w:tcPr>
                  <w:tcW w:w="767"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采用降噪措施后车间声压级dB（A）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搅拌楼</w:t>
                  </w:r>
                </w:p>
              </w:tc>
              <w:tc>
                <w:tcPr>
                  <w:tcW w:w="57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搅拌机</w:t>
                  </w:r>
                </w:p>
              </w:tc>
              <w:tc>
                <w:tcPr>
                  <w:tcW w:w="317"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w:t>
                  </w:r>
                </w:p>
              </w:tc>
              <w:tc>
                <w:tcPr>
                  <w:tcW w:w="34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台</w:t>
                  </w:r>
                </w:p>
              </w:tc>
              <w:tc>
                <w:tcPr>
                  <w:tcW w:w="58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85</w:t>
                  </w:r>
                </w:p>
              </w:tc>
              <w:tc>
                <w:tcPr>
                  <w:tcW w:w="172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生产车间封闭，低噪声设备、底座安装减震器、合理布局</w:t>
                  </w:r>
                </w:p>
              </w:tc>
              <w:tc>
                <w:tcPr>
                  <w:tcW w:w="767"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厂区</w:t>
                  </w:r>
                </w:p>
              </w:tc>
              <w:tc>
                <w:tcPr>
                  <w:tcW w:w="57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运输车辆</w:t>
                  </w:r>
                </w:p>
              </w:tc>
              <w:tc>
                <w:tcPr>
                  <w:tcW w:w="317"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w:t>
                  </w:r>
                </w:p>
              </w:tc>
              <w:tc>
                <w:tcPr>
                  <w:tcW w:w="34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辆</w:t>
                  </w:r>
                </w:p>
              </w:tc>
              <w:tc>
                <w:tcPr>
                  <w:tcW w:w="58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85</w:t>
                  </w:r>
                </w:p>
              </w:tc>
              <w:tc>
                <w:tcPr>
                  <w:tcW w:w="172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加强管理，减少机动车的频发启动和怠速</w:t>
                  </w:r>
                </w:p>
              </w:tc>
              <w:tc>
                <w:tcPr>
                  <w:tcW w:w="767"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2" w:type="pct"/>
                  <w:gridSpan w:val="6"/>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叠加值</w:t>
                  </w:r>
                </w:p>
              </w:tc>
              <w:tc>
                <w:tcPr>
                  <w:tcW w:w="767"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72.78</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多个等效噪声源叠加的噪声计算公式如下：</w:t>
            </w:r>
          </w:p>
          <w:p>
            <w:pPr>
              <w:keepNext w:val="0"/>
              <w:keepLines w:val="0"/>
              <w:widowControl w:val="0"/>
              <w:suppressLineNumbers w:val="0"/>
              <w:tabs>
                <w:tab w:val="left" w:pos="480"/>
              </w:tabs>
              <w:spacing w:before="0" w:beforeAutospacing="0" w:after="0" w:afterAutospacing="0" w:line="360" w:lineRule="auto"/>
              <w:ind w:left="0" w:right="0" w:firstLine="480" w:firstLineChars="200"/>
              <w:jc w:val="cente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object>
                <v:shape id="_x0000_i1025" o:spt="75" type="#_x0000_t75" style="height:35.25pt;width:105.8pt;" o:ole="t" filled="f" o:preferrelative="t" stroked="f" coordsize="21600,21600">
                  <v:path/>
                  <v:fill on="f" focussize="0,0"/>
                  <v:stroke on="f"/>
                  <v:imagedata r:id="rId20" o:title=""/>
                  <o:lock v:ext="edit" grouping="f" rotation="f" text="f" aspectratio="t"/>
                  <w10:wrap type="none"/>
                  <w10:anchorlock/>
                </v:shape>
                <o:OLEObject Type="Embed" ProgID="Equation.3" ShapeID="_x0000_i1025" DrawAspect="Content" ObjectID="_1468075725" r:id="rId19">
                  <o:LockedField>false</o:LockedField>
                </o:OLEObject>
              </w:object>
            </w:r>
          </w:p>
          <w:p>
            <w:pPr>
              <w:keepNext w:val="0"/>
              <w:keepLines w:val="0"/>
              <w:widowControl w:val="0"/>
              <w:suppressLineNumbers w:val="0"/>
              <w:tabs>
                <w:tab w:val="left" w:pos="480"/>
              </w:tabs>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t>式中：</w:t>
            </w:r>
            <w: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object>
                <v:shape id="_x0000_i1026" o:spt="75" type="#_x0000_t75" style="height:17.25pt;width:16.5pt;" o:ole="t" filled="f" o:preferrelative="t" stroked="f" coordsize="21600,21600">
                  <v:path/>
                  <v:fill on="f" focussize="0,0"/>
                  <v:stroke on="f"/>
                  <v:imagedata r:id="rId22" o:title=""/>
                  <o:lock v:ext="edit" grouping="f" rotation="f" text="f" aspectratio="t"/>
                  <w10:wrap type="none"/>
                  <w10:anchorlock/>
                </v:shape>
                <o:OLEObject Type="Embed" ProgID="Equation.3" ShapeID="_x0000_i1026" DrawAspect="Content" ObjectID="_1468075726" r:id="rId21">
                  <o:LockedField>false</o:LockedField>
                </o:OLEObject>
              </w:object>
            </w:r>
            <w: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t>—多个噪声源叠加的等效噪声源声级，dB（A）；</w:t>
            </w:r>
          </w:p>
          <w:p>
            <w:pPr>
              <w:keepNext w:val="0"/>
              <w:keepLines w:val="0"/>
              <w:widowControl w:val="0"/>
              <w:suppressLineNumbers w:val="0"/>
              <w:tabs>
                <w:tab w:val="left" w:pos="480"/>
              </w:tabs>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object>
                <v:shape id="_x0000_i1027" o:spt="75" type="#_x0000_t75" style="height:18.75pt;width:12.75pt;" o:ole="t" filled="f" o:preferrelative="t" stroked="f" coordsize="21600,21600">
                  <v:path/>
                  <v:fill on="f" focussize="0,0"/>
                  <v:stroke on="f"/>
                  <v:imagedata r:id="rId24" o:title=""/>
                  <o:lock v:ext="edit" grouping="f" rotation="f" text="f" aspectratio="t"/>
                  <w10:wrap type="none"/>
                  <w10:anchorlock/>
                </v:shape>
                <o:OLEObject Type="Embed" ProgID="Equation.3" ShapeID="_x0000_i1027" DrawAspect="Content" ObjectID="_1468075727" r:id="rId23">
                  <o:LockedField>false</o:LockedField>
                </o:OLEObject>
              </w:object>
            </w:r>
            <w: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t>—第I个噪声源的声级，dB（A）；</w:t>
            </w:r>
          </w:p>
          <w:p>
            <w:pPr>
              <w:keepNext w:val="0"/>
              <w:keepLines w:val="0"/>
              <w:widowControl w:val="0"/>
              <w:suppressLineNumbers w:val="0"/>
              <w:tabs>
                <w:tab w:val="left" w:pos="480"/>
              </w:tabs>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object>
                <v:shape id="_x0000_i1028" o:spt="75" type="#_x0000_t75" style="height:12pt;width:9.75pt;" o:ole="t" filled="f" o:preferrelative="t" stroked="f" coordsize="21600,21600">
                  <v:path/>
                  <v:fill on="f" focussize="0,0"/>
                  <v:stroke on="f"/>
                  <v:imagedata r:id="rId26" o:title=""/>
                  <o:lock v:ext="edit" grouping="f" rotation="f" text="f" aspectratio="t"/>
                  <w10:wrap type="none"/>
                  <w10:anchorlock/>
                </v:shape>
                <o:OLEObject Type="Embed" ProgID="Equation.3" ShapeID="_x0000_i1028" DrawAspect="Content" ObjectID="_1468075728" r:id="rId25">
                  <o:LockedField>false</o:LockedField>
                </o:OLEObject>
              </w:object>
            </w:r>
            <w: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t>—噪声源的个数。</w:t>
            </w:r>
          </w:p>
          <w:p>
            <w:pPr>
              <w:keepNext w:val="0"/>
              <w:keepLines w:val="0"/>
              <w:widowControl w:val="0"/>
              <w:suppressLineNumbers w:val="0"/>
              <w:tabs>
                <w:tab w:val="left" w:pos="480"/>
              </w:tabs>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t>对运营期噪声采用点源模式进行预测，点源衰减模式为：</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Lp（r）=Lp（r0）-20lg（r/r0）-△L</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式中：</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Lp（r）—距离声源r处的倍频带声压级，dB；</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Lp（r0）—参考位置r0处的倍频带声压级，dB；</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r0—参考位置距离声源的距离，m；</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r—预测点距离声源的距离，m。</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△L—各种因素引起的衰减量（包括声屏障屏蔽、遮挡物、空气吸收、地面效应等引起的衰减量），本评价计算过程△L取0。</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snapToGrid w:val="0"/>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snapToGrid w:val="0"/>
                <w:color w:val="000000" w:themeColor="text1"/>
                <w:sz w:val="24"/>
                <w:szCs w:val="24"/>
                <w:highlight w:val="none"/>
                <w:u w:val="none" w:color="auto"/>
                <w14:textFill>
                  <w14:solidFill>
                    <w14:schemeClr w14:val="tx1"/>
                  </w14:solidFill>
                </w14:textFill>
              </w:rPr>
              <w:t>（2）预测结果分析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snapToGrid w:val="0"/>
                <w:color w:val="000000" w:themeColor="text1"/>
                <w:sz w:val="24"/>
                <w:szCs w:val="24"/>
                <w:highlight w:val="none"/>
                <w:u w:val="none" w:color="auto"/>
                <w14:textFill>
                  <w14:solidFill>
                    <w14:schemeClr w14:val="tx1"/>
                  </w14:solidFill>
                </w14:textFill>
              </w:rPr>
            </w:pP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一号站</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厂界东侧距生产</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区104</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m</w:t>
            </w:r>
            <w:r>
              <w:rPr>
                <w:rFonts w:hint="eastAsia"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西侧距生产</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区</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33</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m，南侧距生产</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区</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3</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m</w:t>
            </w:r>
            <w:r>
              <w:rPr>
                <w:rFonts w:hint="eastAsia"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北</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侧距生产</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区</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42</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m。现对本项目厂界噪声进行预测，</w:t>
            </w:r>
            <w:r>
              <w:rPr>
                <w:rFonts w:hint="default" w:ascii="Times New Roman" w:hAnsi="Times New Roman" w:cs="Times New Roman" w:eastAsiaTheme="minorEastAsia"/>
                <w:snapToGrid w:val="0"/>
                <w:color w:val="000000" w:themeColor="text1"/>
                <w:sz w:val="24"/>
                <w:szCs w:val="24"/>
                <w:highlight w:val="none"/>
                <w:u w:val="none" w:color="auto"/>
                <w14:textFill>
                  <w14:solidFill>
                    <w14:schemeClr w14:val="tx1"/>
                  </w14:solidFill>
                </w14:textFill>
              </w:rPr>
              <w:t>噪声预测结果见下表。</w:t>
            </w:r>
          </w:p>
          <w:p>
            <w:pPr>
              <w:pStyle w:val="57"/>
              <w:bidi w:val="0"/>
              <w:rPr>
                <w:rFonts w:hint="default"/>
                <w:highlight w:val="none"/>
              </w:rPr>
            </w:pPr>
            <w:r>
              <w:rPr>
                <w:rFonts w:hint="default"/>
                <w:b/>
                <w:bCs/>
                <w:highlight w:val="none"/>
              </w:rPr>
              <w:t>表</w:t>
            </w:r>
            <w:r>
              <w:rPr>
                <w:rFonts w:hint="default"/>
                <w:b/>
                <w:bCs/>
                <w:highlight w:val="none"/>
                <w:lang w:val="en-US" w:eastAsia="zh-CN"/>
              </w:rPr>
              <w:t>4</w:t>
            </w:r>
            <w:r>
              <w:rPr>
                <w:rFonts w:hint="default"/>
                <w:b/>
                <w:bCs/>
                <w:highlight w:val="none"/>
              </w:rPr>
              <w:t>-</w:t>
            </w:r>
            <w:r>
              <w:rPr>
                <w:rFonts w:hint="eastAsia"/>
                <w:b/>
                <w:bCs/>
                <w:highlight w:val="none"/>
                <w:lang w:val="en-US" w:eastAsia="zh-CN"/>
              </w:rPr>
              <w:t>10</w:t>
            </w:r>
            <w:r>
              <w:rPr>
                <w:rFonts w:hint="default"/>
                <w:b/>
                <w:bCs/>
                <w:highlight w:val="none"/>
                <w:lang w:val="en-US" w:eastAsia="zh-CN"/>
              </w:rPr>
              <w:t xml:space="preserve"> </w:t>
            </w:r>
            <w:r>
              <w:rPr>
                <w:rFonts w:hint="default"/>
                <w:b/>
                <w:bCs/>
                <w:highlight w:val="none"/>
              </w:rPr>
              <w:t>项目营运期厂界噪声贡献值及达标情况</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727"/>
              <w:gridCol w:w="1058"/>
              <w:gridCol w:w="1314"/>
              <w:gridCol w:w="1671"/>
              <w:gridCol w:w="1800"/>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13" w:type="pct"/>
                  <w:vMerge w:val="restart"/>
                  <w:noWrap w:val="0"/>
                  <w:vAlign w:val="center"/>
                </w:tcPr>
                <w:p>
                  <w:pPr>
                    <w:pStyle w:val="57"/>
                    <w:bidi w:val="0"/>
                    <w:rPr>
                      <w:rFonts w:hint="default"/>
                      <w:highlight w:val="none"/>
                      <w:lang w:val="en-US" w:eastAsia="zh-CN"/>
                    </w:rPr>
                  </w:pPr>
                  <w:r>
                    <w:rPr>
                      <w:rFonts w:hint="default"/>
                      <w:highlight w:val="none"/>
                      <w:lang w:val="en-US" w:eastAsia="zh-CN"/>
                    </w:rPr>
                    <w:t>序号</w:t>
                  </w:r>
                </w:p>
              </w:tc>
              <w:tc>
                <w:tcPr>
                  <w:tcW w:w="1045" w:type="pct"/>
                  <w:vMerge w:val="restart"/>
                  <w:noWrap w:val="0"/>
                  <w:vAlign w:val="center"/>
                </w:tcPr>
                <w:p>
                  <w:pPr>
                    <w:pStyle w:val="57"/>
                    <w:bidi w:val="0"/>
                    <w:rPr>
                      <w:rFonts w:hint="default"/>
                      <w:highlight w:val="none"/>
                      <w:lang w:val="en-US" w:eastAsia="zh-CN"/>
                    </w:rPr>
                  </w:pPr>
                  <w:r>
                    <w:rPr>
                      <w:rFonts w:hint="default"/>
                      <w:highlight w:val="none"/>
                      <w:lang w:val="en-US" w:eastAsia="zh-CN"/>
                    </w:rPr>
                    <w:t>厂界方位</w:t>
                  </w:r>
                </w:p>
              </w:tc>
              <w:tc>
                <w:tcPr>
                  <w:tcW w:w="640" w:type="pct"/>
                  <w:noWrap w:val="0"/>
                  <w:vAlign w:val="center"/>
                </w:tcPr>
                <w:p>
                  <w:pPr>
                    <w:pStyle w:val="57"/>
                    <w:bidi w:val="0"/>
                    <w:rPr>
                      <w:rFonts w:hint="default"/>
                      <w:highlight w:val="none"/>
                      <w:lang w:val="en-US" w:eastAsia="zh-CN"/>
                    </w:rPr>
                  </w:pPr>
                  <w:r>
                    <w:rPr>
                      <w:rFonts w:hint="default"/>
                      <w:highlight w:val="none"/>
                      <w:lang w:val="en-US" w:eastAsia="zh-CN"/>
                    </w:rPr>
                    <w:t>背景值</w:t>
                  </w:r>
                </w:p>
              </w:tc>
              <w:tc>
                <w:tcPr>
                  <w:tcW w:w="795" w:type="pct"/>
                  <w:vMerge w:val="restart"/>
                  <w:noWrap w:val="0"/>
                  <w:vAlign w:val="center"/>
                </w:tcPr>
                <w:p>
                  <w:pPr>
                    <w:pStyle w:val="57"/>
                    <w:bidi w:val="0"/>
                    <w:rPr>
                      <w:rFonts w:hint="default"/>
                      <w:highlight w:val="none"/>
                      <w:lang w:val="en-US" w:eastAsia="zh-CN"/>
                    </w:rPr>
                  </w:pPr>
                  <w:r>
                    <w:rPr>
                      <w:rFonts w:hint="default"/>
                      <w:highlight w:val="none"/>
                      <w:lang w:val="en-US" w:eastAsia="zh-CN"/>
                    </w:rPr>
                    <w:t>贡献值</w:t>
                  </w:r>
                </w:p>
              </w:tc>
              <w:tc>
                <w:tcPr>
                  <w:tcW w:w="1011" w:type="pct"/>
                  <w:noWrap w:val="0"/>
                  <w:vAlign w:val="center"/>
                </w:tcPr>
                <w:p>
                  <w:pPr>
                    <w:pStyle w:val="57"/>
                    <w:bidi w:val="0"/>
                    <w:rPr>
                      <w:rFonts w:hint="default"/>
                      <w:highlight w:val="none"/>
                      <w:lang w:val="en-US" w:eastAsia="zh-CN"/>
                    </w:rPr>
                  </w:pPr>
                  <w:r>
                    <w:rPr>
                      <w:rFonts w:hint="default"/>
                      <w:highlight w:val="none"/>
                      <w:lang w:val="en-US" w:eastAsia="zh-CN"/>
                    </w:rPr>
                    <w:t>叠加值</w:t>
                  </w:r>
                </w:p>
              </w:tc>
              <w:tc>
                <w:tcPr>
                  <w:tcW w:w="1094" w:type="pct"/>
                  <w:gridSpan w:val="2"/>
                  <w:noWrap w:val="0"/>
                  <w:vAlign w:val="center"/>
                </w:tcPr>
                <w:p>
                  <w:pPr>
                    <w:pStyle w:val="57"/>
                    <w:bidi w:val="0"/>
                    <w:rPr>
                      <w:rFonts w:hint="default"/>
                      <w:highlight w:val="none"/>
                      <w:lang w:val="en-US" w:eastAsia="zh-CN"/>
                    </w:rPr>
                  </w:pPr>
                  <w:r>
                    <w:rPr>
                      <w:rFonts w:hint="default"/>
                      <w:highlight w:val="none"/>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63" w:hRule="atLeast"/>
              </w:trPr>
              <w:tc>
                <w:tcPr>
                  <w:tcW w:w="413" w:type="pct"/>
                  <w:vMerge w:val="continue"/>
                  <w:noWrap w:val="0"/>
                  <w:vAlign w:val="center"/>
                </w:tcPr>
                <w:p>
                  <w:pPr>
                    <w:pStyle w:val="57"/>
                    <w:bidi w:val="0"/>
                    <w:rPr>
                      <w:rFonts w:hint="default"/>
                      <w:highlight w:val="none"/>
                      <w:lang w:val="en-US" w:eastAsia="zh-CN"/>
                    </w:rPr>
                  </w:pPr>
                </w:p>
              </w:tc>
              <w:tc>
                <w:tcPr>
                  <w:tcW w:w="1045" w:type="pct"/>
                  <w:vMerge w:val="continue"/>
                  <w:noWrap w:val="0"/>
                  <w:vAlign w:val="center"/>
                </w:tcPr>
                <w:p>
                  <w:pPr>
                    <w:pStyle w:val="57"/>
                    <w:bidi w:val="0"/>
                    <w:rPr>
                      <w:rFonts w:hint="default"/>
                      <w:highlight w:val="none"/>
                      <w:lang w:val="en-US" w:eastAsia="zh-CN"/>
                    </w:rPr>
                  </w:pPr>
                </w:p>
              </w:tc>
              <w:tc>
                <w:tcPr>
                  <w:tcW w:w="640" w:type="pct"/>
                  <w:noWrap w:val="0"/>
                  <w:vAlign w:val="center"/>
                </w:tcPr>
                <w:p>
                  <w:pPr>
                    <w:pStyle w:val="57"/>
                    <w:bidi w:val="0"/>
                    <w:rPr>
                      <w:rFonts w:hint="default"/>
                      <w:highlight w:val="none"/>
                      <w:lang w:val="en-US" w:eastAsia="zh-CN"/>
                    </w:rPr>
                  </w:pPr>
                  <w:r>
                    <w:rPr>
                      <w:rFonts w:hint="default"/>
                      <w:highlight w:val="none"/>
                      <w:lang w:val="en-US" w:eastAsia="zh-CN"/>
                    </w:rPr>
                    <w:t>昼间</w:t>
                  </w:r>
                </w:p>
              </w:tc>
              <w:tc>
                <w:tcPr>
                  <w:tcW w:w="795" w:type="pct"/>
                  <w:vMerge w:val="continue"/>
                  <w:noWrap w:val="0"/>
                  <w:vAlign w:val="center"/>
                </w:tcPr>
                <w:p>
                  <w:pPr>
                    <w:pStyle w:val="57"/>
                    <w:bidi w:val="0"/>
                    <w:rPr>
                      <w:rFonts w:hint="default"/>
                      <w:highlight w:val="none"/>
                      <w:lang w:val="en-US" w:eastAsia="zh-CN"/>
                    </w:rPr>
                  </w:pPr>
                </w:p>
              </w:tc>
              <w:tc>
                <w:tcPr>
                  <w:tcW w:w="1011" w:type="pct"/>
                  <w:noWrap w:val="0"/>
                  <w:vAlign w:val="center"/>
                </w:tcPr>
                <w:p>
                  <w:pPr>
                    <w:pStyle w:val="57"/>
                    <w:bidi w:val="0"/>
                    <w:rPr>
                      <w:rFonts w:hint="default"/>
                      <w:highlight w:val="none"/>
                      <w:lang w:val="en-US" w:eastAsia="zh-CN"/>
                    </w:rPr>
                  </w:pPr>
                  <w:r>
                    <w:rPr>
                      <w:rFonts w:hint="default"/>
                      <w:highlight w:val="none"/>
                      <w:lang w:val="en-US" w:eastAsia="zh-CN"/>
                    </w:rPr>
                    <w:t>昼间</w:t>
                  </w:r>
                </w:p>
              </w:tc>
              <w:tc>
                <w:tcPr>
                  <w:tcW w:w="1089" w:type="pct"/>
                  <w:noWrap w:val="0"/>
                  <w:vAlign w:val="center"/>
                </w:tcPr>
                <w:p>
                  <w:pPr>
                    <w:pStyle w:val="57"/>
                    <w:bidi w:val="0"/>
                    <w:rPr>
                      <w:rFonts w:hint="default"/>
                      <w:highlight w:val="none"/>
                      <w:lang w:val="en-US" w:eastAsia="zh-CN"/>
                    </w:rPr>
                  </w:pPr>
                  <w:r>
                    <w:rPr>
                      <w:rFonts w:hint="default"/>
                      <w:highlight w:val="none"/>
                      <w:lang w:val="en-US" w:eastAsia="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3" w:type="pct"/>
                  <w:noWrap w:val="0"/>
                  <w:vAlign w:val="center"/>
                </w:tcPr>
                <w:p>
                  <w:pPr>
                    <w:pStyle w:val="57"/>
                    <w:bidi w:val="0"/>
                    <w:rPr>
                      <w:rFonts w:hint="default"/>
                      <w:highlight w:val="none"/>
                      <w:lang w:val="en-US" w:eastAsia="zh-CN"/>
                    </w:rPr>
                  </w:pPr>
                  <w:r>
                    <w:rPr>
                      <w:rFonts w:hint="default"/>
                      <w:highlight w:val="none"/>
                      <w:lang w:val="en-US" w:eastAsia="zh-CN"/>
                    </w:rPr>
                    <w:t>1</w:t>
                  </w:r>
                </w:p>
              </w:tc>
              <w:tc>
                <w:tcPr>
                  <w:tcW w:w="1045" w:type="pct"/>
                  <w:noWrap w:val="0"/>
                  <w:vAlign w:val="center"/>
                </w:tcPr>
                <w:p>
                  <w:pPr>
                    <w:pStyle w:val="57"/>
                    <w:bidi w:val="0"/>
                    <w:rPr>
                      <w:rFonts w:hint="default"/>
                      <w:highlight w:val="none"/>
                      <w:lang w:val="en-US" w:eastAsia="zh-CN"/>
                    </w:rPr>
                  </w:pPr>
                  <w:r>
                    <w:rPr>
                      <w:rFonts w:hint="default"/>
                      <w:highlight w:val="none"/>
                      <w:lang w:val="en-US" w:eastAsia="zh-CN"/>
                    </w:rPr>
                    <w:t>东厂界</w:t>
                  </w:r>
                </w:p>
              </w:tc>
              <w:tc>
                <w:tcPr>
                  <w:tcW w:w="640" w:type="pct"/>
                  <w:noWrap w:val="0"/>
                  <w:vAlign w:val="center"/>
                </w:tcPr>
                <w:p>
                  <w:pPr>
                    <w:pStyle w:val="57"/>
                    <w:bidi w:val="0"/>
                    <w:rPr>
                      <w:rFonts w:hint="default" w:eastAsia="宋体"/>
                      <w:highlight w:val="none"/>
                      <w:lang w:val="en-US" w:eastAsia="zh-CN"/>
                    </w:rPr>
                  </w:pPr>
                  <w:r>
                    <w:rPr>
                      <w:rFonts w:hint="eastAsia"/>
                      <w:highlight w:val="none"/>
                      <w:lang w:val="en-US" w:eastAsia="zh-CN"/>
                    </w:rPr>
                    <w:t>56.1</w:t>
                  </w:r>
                </w:p>
              </w:tc>
              <w:tc>
                <w:tcPr>
                  <w:tcW w:w="795" w:type="pct"/>
                  <w:noWrap w:val="0"/>
                  <w:vAlign w:val="center"/>
                </w:tcPr>
                <w:p>
                  <w:pPr>
                    <w:pStyle w:val="57"/>
                    <w:bidi w:val="0"/>
                    <w:rPr>
                      <w:rFonts w:hint="default"/>
                      <w:highlight w:val="none"/>
                      <w:lang w:val="en-US" w:eastAsia="zh-CN"/>
                    </w:rPr>
                  </w:pPr>
                  <w:r>
                    <w:rPr>
                      <w:rFonts w:hint="default"/>
                      <w:highlight w:val="none"/>
                      <w:lang w:val="en-US" w:eastAsia="zh-CN"/>
                    </w:rPr>
                    <w:t>37.2</w:t>
                  </w:r>
                </w:p>
              </w:tc>
              <w:tc>
                <w:tcPr>
                  <w:tcW w:w="1011" w:type="pct"/>
                  <w:noWrap w:val="0"/>
                  <w:vAlign w:val="center"/>
                </w:tcPr>
                <w:p>
                  <w:pPr>
                    <w:pStyle w:val="57"/>
                    <w:bidi w:val="0"/>
                    <w:rPr>
                      <w:rFonts w:hint="default"/>
                      <w:highlight w:val="none"/>
                      <w:lang w:val="en-US" w:eastAsia="zh-CN"/>
                    </w:rPr>
                  </w:pPr>
                  <w:r>
                    <w:rPr>
                      <w:rFonts w:hint="default"/>
                      <w:highlight w:val="none"/>
                      <w:lang w:val="en-US" w:eastAsia="zh-CN"/>
                    </w:rPr>
                    <w:t>56.16</w:t>
                  </w:r>
                </w:p>
              </w:tc>
              <w:tc>
                <w:tcPr>
                  <w:tcW w:w="1089" w:type="pct"/>
                  <w:noWrap w:val="0"/>
                  <w:vAlign w:val="center"/>
                </w:tcPr>
                <w:p>
                  <w:pPr>
                    <w:pStyle w:val="57"/>
                    <w:bidi w:val="0"/>
                    <w:rPr>
                      <w:rFonts w:hint="default"/>
                      <w:highlight w:val="none"/>
                      <w:lang w:val="en-US" w:eastAsia="zh-CN"/>
                    </w:rPr>
                  </w:pPr>
                  <w:r>
                    <w:rPr>
                      <w:rFonts w:hint="default"/>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3" w:type="pct"/>
                  <w:noWrap w:val="0"/>
                  <w:vAlign w:val="center"/>
                </w:tcPr>
                <w:p>
                  <w:pPr>
                    <w:pStyle w:val="57"/>
                    <w:bidi w:val="0"/>
                    <w:rPr>
                      <w:rFonts w:hint="default"/>
                      <w:highlight w:val="none"/>
                      <w:lang w:val="en-US" w:eastAsia="zh-CN"/>
                    </w:rPr>
                  </w:pPr>
                  <w:r>
                    <w:rPr>
                      <w:rFonts w:hint="default"/>
                      <w:highlight w:val="none"/>
                      <w:lang w:val="en-US" w:eastAsia="zh-CN"/>
                    </w:rPr>
                    <w:t>2</w:t>
                  </w:r>
                </w:p>
              </w:tc>
              <w:tc>
                <w:tcPr>
                  <w:tcW w:w="1045" w:type="pct"/>
                  <w:noWrap w:val="0"/>
                  <w:vAlign w:val="center"/>
                </w:tcPr>
                <w:p>
                  <w:pPr>
                    <w:pStyle w:val="57"/>
                    <w:bidi w:val="0"/>
                    <w:rPr>
                      <w:rFonts w:hint="default"/>
                      <w:highlight w:val="none"/>
                      <w:lang w:val="en-US" w:eastAsia="zh-CN"/>
                    </w:rPr>
                  </w:pPr>
                  <w:r>
                    <w:rPr>
                      <w:rFonts w:hint="default"/>
                      <w:highlight w:val="none"/>
                      <w:lang w:val="en-US" w:eastAsia="zh-CN"/>
                    </w:rPr>
                    <w:t>南厂界</w:t>
                  </w:r>
                </w:p>
              </w:tc>
              <w:tc>
                <w:tcPr>
                  <w:tcW w:w="640" w:type="pct"/>
                  <w:noWrap w:val="0"/>
                  <w:vAlign w:val="center"/>
                </w:tcPr>
                <w:p>
                  <w:pPr>
                    <w:pStyle w:val="57"/>
                    <w:bidi w:val="0"/>
                    <w:rPr>
                      <w:rFonts w:hint="default" w:eastAsia="宋体"/>
                      <w:highlight w:val="none"/>
                      <w:lang w:val="en-US" w:eastAsia="zh-CN"/>
                    </w:rPr>
                  </w:pPr>
                  <w:r>
                    <w:rPr>
                      <w:rFonts w:hint="eastAsia"/>
                      <w:highlight w:val="none"/>
                      <w:lang w:val="en-US" w:eastAsia="zh-CN"/>
                    </w:rPr>
                    <w:t>55.7</w:t>
                  </w:r>
                </w:p>
              </w:tc>
              <w:tc>
                <w:tcPr>
                  <w:tcW w:w="795" w:type="pct"/>
                  <w:noWrap w:val="0"/>
                  <w:vAlign w:val="center"/>
                </w:tcPr>
                <w:p>
                  <w:pPr>
                    <w:pStyle w:val="57"/>
                    <w:bidi w:val="0"/>
                    <w:rPr>
                      <w:rFonts w:hint="default"/>
                      <w:highlight w:val="none"/>
                      <w:lang w:val="en-US" w:eastAsia="zh-CN"/>
                    </w:rPr>
                  </w:pPr>
                  <w:r>
                    <w:rPr>
                      <w:rFonts w:hint="default"/>
                      <w:highlight w:val="none"/>
                      <w:lang w:val="en-US" w:eastAsia="zh-CN"/>
                    </w:rPr>
                    <w:t>46.66</w:t>
                  </w:r>
                </w:p>
              </w:tc>
              <w:tc>
                <w:tcPr>
                  <w:tcW w:w="1011" w:type="pct"/>
                  <w:noWrap w:val="0"/>
                  <w:vAlign w:val="center"/>
                </w:tcPr>
                <w:p>
                  <w:pPr>
                    <w:pStyle w:val="57"/>
                    <w:bidi w:val="0"/>
                    <w:rPr>
                      <w:rFonts w:hint="default"/>
                      <w:highlight w:val="none"/>
                      <w:lang w:val="en-US" w:eastAsia="zh-CN"/>
                    </w:rPr>
                  </w:pPr>
                  <w:r>
                    <w:rPr>
                      <w:rFonts w:hint="default"/>
                      <w:highlight w:val="none"/>
                      <w:lang w:val="en-US" w:eastAsia="zh-CN"/>
                    </w:rPr>
                    <w:t>56.21</w:t>
                  </w:r>
                </w:p>
              </w:tc>
              <w:tc>
                <w:tcPr>
                  <w:tcW w:w="1089" w:type="pct"/>
                  <w:noWrap w:val="0"/>
                  <w:vAlign w:val="center"/>
                </w:tcPr>
                <w:p>
                  <w:pPr>
                    <w:pStyle w:val="57"/>
                    <w:bidi w:val="0"/>
                    <w:rPr>
                      <w:rFonts w:hint="default"/>
                      <w:highlight w:val="none"/>
                      <w:lang w:val="en-US" w:eastAsia="zh-CN"/>
                    </w:rPr>
                  </w:pPr>
                  <w:r>
                    <w:rPr>
                      <w:rFonts w:hint="default"/>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3" w:type="pct"/>
                  <w:noWrap w:val="0"/>
                  <w:vAlign w:val="center"/>
                </w:tcPr>
                <w:p>
                  <w:pPr>
                    <w:pStyle w:val="57"/>
                    <w:bidi w:val="0"/>
                    <w:rPr>
                      <w:rFonts w:hint="default"/>
                      <w:highlight w:val="none"/>
                      <w:lang w:val="en-US" w:eastAsia="zh-CN"/>
                    </w:rPr>
                  </w:pPr>
                  <w:r>
                    <w:rPr>
                      <w:rFonts w:hint="default"/>
                      <w:highlight w:val="none"/>
                      <w:lang w:val="en-US" w:eastAsia="zh-CN"/>
                    </w:rPr>
                    <w:t>3</w:t>
                  </w:r>
                </w:p>
              </w:tc>
              <w:tc>
                <w:tcPr>
                  <w:tcW w:w="1045" w:type="pct"/>
                  <w:noWrap w:val="0"/>
                  <w:vAlign w:val="center"/>
                </w:tcPr>
                <w:p>
                  <w:pPr>
                    <w:pStyle w:val="57"/>
                    <w:bidi w:val="0"/>
                    <w:rPr>
                      <w:rFonts w:hint="default"/>
                      <w:highlight w:val="none"/>
                      <w:lang w:val="en-US" w:eastAsia="zh-CN"/>
                    </w:rPr>
                  </w:pPr>
                  <w:r>
                    <w:rPr>
                      <w:rFonts w:hint="default"/>
                      <w:highlight w:val="none"/>
                      <w:lang w:val="en-US" w:eastAsia="zh-CN"/>
                    </w:rPr>
                    <w:t>西厂界</w:t>
                  </w:r>
                </w:p>
              </w:tc>
              <w:tc>
                <w:tcPr>
                  <w:tcW w:w="640" w:type="pct"/>
                  <w:noWrap w:val="0"/>
                  <w:vAlign w:val="center"/>
                </w:tcPr>
                <w:p>
                  <w:pPr>
                    <w:pStyle w:val="57"/>
                    <w:bidi w:val="0"/>
                    <w:rPr>
                      <w:rFonts w:hint="default" w:eastAsia="宋体"/>
                      <w:highlight w:val="none"/>
                      <w:lang w:val="en-US" w:eastAsia="zh-CN"/>
                    </w:rPr>
                  </w:pPr>
                  <w:r>
                    <w:rPr>
                      <w:rFonts w:hint="eastAsia"/>
                      <w:highlight w:val="none"/>
                      <w:lang w:val="en-US" w:eastAsia="zh-CN"/>
                    </w:rPr>
                    <w:t>55.5</w:t>
                  </w:r>
                </w:p>
              </w:tc>
              <w:tc>
                <w:tcPr>
                  <w:tcW w:w="795" w:type="pct"/>
                  <w:noWrap w:val="0"/>
                  <w:vAlign w:val="center"/>
                </w:tcPr>
                <w:p>
                  <w:pPr>
                    <w:pStyle w:val="57"/>
                    <w:bidi w:val="0"/>
                    <w:rPr>
                      <w:rFonts w:hint="default"/>
                      <w:highlight w:val="none"/>
                      <w:lang w:val="en-US" w:eastAsia="zh-CN"/>
                    </w:rPr>
                  </w:pPr>
                  <w:r>
                    <w:rPr>
                      <w:rFonts w:hint="default"/>
                      <w:highlight w:val="none"/>
                      <w:lang w:val="en-US" w:eastAsia="zh-CN"/>
                    </w:rPr>
                    <w:t>47.17</w:t>
                  </w:r>
                </w:p>
              </w:tc>
              <w:tc>
                <w:tcPr>
                  <w:tcW w:w="1011" w:type="pct"/>
                  <w:noWrap w:val="0"/>
                  <w:vAlign w:val="center"/>
                </w:tcPr>
                <w:p>
                  <w:pPr>
                    <w:pStyle w:val="57"/>
                    <w:bidi w:val="0"/>
                    <w:rPr>
                      <w:rFonts w:hint="default"/>
                      <w:highlight w:val="none"/>
                      <w:lang w:val="en-US" w:eastAsia="zh-CN"/>
                    </w:rPr>
                  </w:pPr>
                  <w:r>
                    <w:rPr>
                      <w:rFonts w:hint="default"/>
                      <w:highlight w:val="none"/>
                      <w:lang w:val="en-US" w:eastAsia="zh-CN"/>
                    </w:rPr>
                    <w:t>56.1</w:t>
                  </w:r>
                </w:p>
              </w:tc>
              <w:tc>
                <w:tcPr>
                  <w:tcW w:w="1089" w:type="pct"/>
                  <w:noWrap w:val="0"/>
                  <w:vAlign w:val="center"/>
                </w:tcPr>
                <w:p>
                  <w:pPr>
                    <w:pStyle w:val="57"/>
                    <w:bidi w:val="0"/>
                    <w:rPr>
                      <w:rFonts w:hint="default"/>
                      <w:highlight w:val="none"/>
                      <w:lang w:val="en-US" w:eastAsia="zh-CN"/>
                    </w:rPr>
                  </w:pPr>
                  <w:r>
                    <w:rPr>
                      <w:rFonts w:hint="default"/>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3" w:type="pct"/>
                  <w:noWrap w:val="0"/>
                  <w:vAlign w:val="center"/>
                </w:tcPr>
                <w:p>
                  <w:pPr>
                    <w:pStyle w:val="57"/>
                    <w:bidi w:val="0"/>
                    <w:rPr>
                      <w:rFonts w:hint="default"/>
                      <w:highlight w:val="none"/>
                      <w:lang w:val="en-US" w:eastAsia="zh-CN"/>
                    </w:rPr>
                  </w:pPr>
                  <w:r>
                    <w:rPr>
                      <w:rFonts w:hint="default"/>
                      <w:highlight w:val="none"/>
                      <w:lang w:val="en-US" w:eastAsia="zh-CN"/>
                    </w:rPr>
                    <w:t>4</w:t>
                  </w:r>
                </w:p>
              </w:tc>
              <w:tc>
                <w:tcPr>
                  <w:tcW w:w="1045" w:type="pct"/>
                  <w:noWrap w:val="0"/>
                  <w:vAlign w:val="center"/>
                </w:tcPr>
                <w:p>
                  <w:pPr>
                    <w:pStyle w:val="57"/>
                    <w:bidi w:val="0"/>
                    <w:rPr>
                      <w:rFonts w:hint="default"/>
                      <w:highlight w:val="none"/>
                      <w:lang w:val="en-US" w:eastAsia="zh-CN"/>
                    </w:rPr>
                  </w:pPr>
                  <w:r>
                    <w:rPr>
                      <w:rFonts w:hint="default"/>
                      <w:highlight w:val="none"/>
                      <w:lang w:val="en-US" w:eastAsia="zh-CN"/>
                    </w:rPr>
                    <w:t>北厂界</w:t>
                  </w:r>
                </w:p>
              </w:tc>
              <w:tc>
                <w:tcPr>
                  <w:tcW w:w="640" w:type="pct"/>
                  <w:noWrap w:val="0"/>
                  <w:vAlign w:val="center"/>
                </w:tcPr>
                <w:p>
                  <w:pPr>
                    <w:pStyle w:val="57"/>
                    <w:bidi w:val="0"/>
                    <w:rPr>
                      <w:rFonts w:hint="default" w:eastAsia="宋体"/>
                      <w:highlight w:val="none"/>
                      <w:lang w:val="en-US" w:eastAsia="zh-CN"/>
                    </w:rPr>
                  </w:pPr>
                  <w:r>
                    <w:rPr>
                      <w:rFonts w:hint="eastAsia"/>
                      <w:highlight w:val="none"/>
                      <w:lang w:val="en-US" w:eastAsia="zh-CN"/>
                    </w:rPr>
                    <w:t>55.4</w:t>
                  </w:r>
                </w:p>
              </w:tc>
              <w:tc>
                <w:tcPr>
                  <w:tcW w:w="795" w:type="pct"/>
                  <w:noWrap w:val="0"/>
                  <w:vAlign w:val="center"/>
                </w:tcPr>
                <w:p>
                  <w:pPr>
                    <w:pStyle w:val="57"/>
                    <w:bidi w:val="0"/>
                    <w:rPr>
                      <w:rFonts w:hint="default"/>
                      <w:highlight w:val="none"/>
                      <w:lang w:val="en-US" w:eastAsia="zh-CN"/>
                    </w:rPr>
                  </w:pPr>
                  <w:r>
                    <w:rPr>
                      <w:rFonts w:hint="default"/>
                      <w:highlight w:val="none"/>
                      <w:lang w:val="en-US" w:eastAsia="zh-CN"/>
                    </w:rPr>
                    <w:t>45.08</w:t>
                  </w:r>
                </w:p>
              </w:tc>
              <w:tc>
                <w:tcPr>
                  <w:tcW w:w="1011" w:type="pct"/>
                  <w:noWrap w:val="0"/>
                  <w:vAlign w:val="center"/>
                </w:tcPr>
                <w:p>
                  <w:pPr>
                    <w:pStyle w:val="57"/>
                    <w:bidi w:val="0"/>
                    <w:rPr>
                      <w:rFonts w:hint="default"/>
                      <w:highlight w:val="none"/>
                      <w:lang w:val="en-US" w:eastAsia="zh-CN"/>
                    </w:rPr>
                  </w:pPr>
                  <w:r>
                    <w:rPr>
                      <w:rFonts w:hint="default"/>
                      <w:highlight w:val="none"/>
                      <w:lang w:val="en-US" w:eastAsia="zh-CN"/>
                    </w:rPr>
                    <w:t>55.79</w:t>
                  </w:r>
                </w:p>
              </w:tc>
              <w:tc>
                <w:tcPr>
                  <w:tcW w:w="1089" w:type="pct"/>
                  <w:noWrap w:val="0"/>
                  <w:vAlign w:val="center"/>
                </w:tcPr>
                <w:p>
                  <w:pPr>
                    <w:pStyle w:val="57"/>
                    <w:bidi w:val="0"/>
                    <w:rPr>
                      <w:rFonts w:hint="default"/>
                      <w:highlight w:val="none"/>
                      <w:lang w:val="en-US" w:eastAsia="zh-CN"/>
                    </w:rPr>
                  </w:pPr>
                  <w:r>
                    <w:rPr>
                      <w:rFonts w:hint="default"/>
                      <w:highlight w:val="none"/>
                      <w:lang w:val="en-US" w:eastAsia="zh-CN"/>
                    </w:rPr>
                    <w:t>60</w:t>
                  </w:r>
                </w:p>
              </w:tc>
            </w:tr>
          </w:tbl>
          <w:p>
            <w:pPr>
              <w:keepNext w:val="0"/>
              <w:keepLines w:val="0"/>
              <w:pageBreakBefore w:val="0"/>
              <w:widowControl w:val="0"/>
              <w:suppressLineNumbers w:val="0"/>
              <w:tabs>
                <w:tab w:val="left" w:pos="0"/>
                <w:tab w:val="left" w:pos="870"/>
                <w:tab w:val="left" w:pos="3150"/>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t>通过预测可知，采取</w:t>
            </w:r>
            <w:r>
              <w:rPr>
                <w:rFonts w:hint="default" w:ascii="Times New Roman" w:hAnsi="Times New Roman" w:cs="Times New Roman" w:eastAsiaTheme="minorEastAsia"/>
                <w:bCs/>
                <w:color w:val="000000" w:themeColor="text1"/>
                <w:kern w:val="2"/>
                <w:sz w:val="24"/>
                <w:szCs w:val="24"/>
                <w:highlight w:val="none"/>
                <w:u w:val="none" w:color="auto"/>
                <w:lang w:val="en-US" w:eastAsia="zh-CN" w:bidi="ar-SA"/>
                <w14:textFill>
                  <w14:solidFill>
                    <w14:schemeClr w14:val="tx1"/>
                  </w14:solidFill>
                </w14:textFill>
              </w:rPr>
              <w:t>基座减振，厂房、围墙隔声，加强场区绿化</w:t>
            </w:r>
            <w: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t>等措施后，项目东、南、西、北</w:t>
            </w:r>
            <w:r>
              <w:rPr>
                <w:rFonts w:hint="eastAsia"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t>侧</w:t>
            </w:r>
            <w: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t>噪声值均满足《工业企业厂界环境噪声排放标准》（GB12348-2008）2类（昼间≤60dB（A））标准</w:t>
            </w:r>
            <w:r>
              <w:rPr>
                <w:rFonts w:hint="eastAsia"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snapToGrid w:val="0"/>
                <w:color w:val="000000" w:themeColor="text1"/>
                <w:sz w:val="24"/>
                <w:szCs w:val="24"/>
                <w:highlight w:val="none"/>
                <w:u w:val="none" w:color="auto"/>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二号站</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厂界东侧距生产车间</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60</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m</w:t>
            </w:r>
            <w:r>
              <w:rPr>
                <w:rFonts w:hint="eastAsia"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西侧距生产车间</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14</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m，南侧距生产车间</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m</w:t>
            </w:r>
            <w:r>
              <w:rPr>
                <w:rFonts w:hint="eastAsia"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北</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侧距生产车间</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m。现对本项目厂界噪声进行预测，</w:t>
            </w:r>
            <w:r>
              <w:rPr>
                <w:rFonts w:hint="default" w:ascii="Times New Roman" w:hAnsi="Times New Roman" w:cs="Times New Roman" w:eastAsiaTheme="minorEastAsia"/>
                <w:snapToGrid w:val="0"/>
                <w:color w:val="000000" w:themeColor="text1"/>
                <w:sz w:val="24"/>
                <w:szCs w:val="24"/>
                <w:highlight w:val="none"/>
                <w:u w:val="none" w:color="auto"/>
                <w14:textFill>
                  <w14:solidFill>
                    <w14:schemeClr w14:val="tx1"/>
                  </w14:solidFill>
                </w14:textFill>
              </w:rPr>
              <w:t>噪声预测结果见下表。</w:t>
            </w:r>
          </w:p>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表4-</w:t>
            </w:r>
            <w:r>
              <w:rPr>
                <w:rFonts w:hint="eastAsia" w:cs="Times New Roman"/>
                <w:b/>
                <w:bCs/>
                <w:kern w:val="2"/>
                <w:sz w:val="21"/>
                <w:szCs w:val="21"/>
                <w:lang w:val="en-US" w:eastAsia="zh-CN" w:bidi="ar-SA"/>
              </w:rPr>
              <w:t>11</w:t>
            </w:r>
            <w:r>
              <w:rPr>
                <w:rFonts w:hint="default" w:ascii="Times New Roman" w:hAnsi="Times New Roman" w:eastAsia="宋体" w:cs="Times New Roman"/>
                <w:b/>
                <w:bCs/>
                <w:kern w:val="2"/>
                <w:sz w:val="21"/>
                <w:szCs w:val="21"/>
                <w:lang w:val="en-US" w:eastAsia="zh-CN" w:bidi="ar-SA"/>
              </w:rPr>
              <w:t xml:space="preserve"> 项目营运期厂界噪声贡献值及达标情况</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727"/>
              <w:gridCol w:w="1058"/>
              <w:gridCol w:w="1314"/>
              <w:gridCol w:w="1671"/>
              <w:gridCol w:w="1800"/>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13" w:type="pct"/>
                  <w:vMerge w:val="restar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序号</w:t>
                  </w:r>
                </w:p>
              </w:tc>
              <w:tc>
                <w:tcPr>
                  <w:tcW w:w="1045" w:type="pct"/>
                  <w:vMerge w:val="restar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厂界方位</w:t>
                  </w:r>
                </w:p>
              </w:tc>
              <w:tc>
                <w:tcPr>
                  <w:tcW w:w="64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背景值</w:t>
                  </w:r>
                </w:p>
              </w:tc>
              <w:tc>
                <w:tcPr>
                  <w:tcW w:w="795" w:type="pct"/>
                  <w:vMerge w:val="restar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贡献值</w:t>
                  </w:r>
                </w:p>
              </w:tc>
              <w:tc>
                <w:tcPr>
                  <w:tcW w:w="101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叠加值</w:t>
                  </w:r>
                </w:p>
              </w:tc>
              <w:tc>
                <w:tcPr>
                  <w:tcW w:w="1094" w:type="pct"/>
                  <w:gridSpan w:val="2"/>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4" w:type="pct"/>
                <w:trHeight w:val="363" w:hRule="atLeast"/>
              </w:trPr>
              <w:tc>
                <w:tcPr>
                  <w:tcW w:w="413"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1045"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64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昼间</w:t>
                  </w:r>
                </w:p>
              </w:tc>
              <w:tc>
                <w:tcPr>
                  <w:tcW w:w="795" w:type="pct"/>
                  <w:vMerge w:val="continue"/>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101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昼间</w:t>
                  </w:r>
                </w:p>
              </w:tc>
              <w:tc>
                <w:tcPr>
                  <w:tcW w:w="108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3"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1045"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东厂界</w:t>
                  </w:r>
                </w:p>
              </w:tc>
              <w:tc>
                <w:tcPr>
                  <w:tcW w:w="64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55.7</w:t>
                  </w:r>
                </w:p>
              </w:tc>
              <w:tc>
                <w:tcPr>
                  <w:tcW w:w="795"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37.21</w:t>
                  </w:r>
                </w:p>
              </w:tc>
              <w:tc>
                <w:tcPr>
                  <w:tcW w:w="101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55.76</w:t>
                  </w:r>
                </w:p>
              </w:tc>
              <w:tc>
                <w:tcPr>
                  <w:tcW w:w="108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3"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1045"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南厂界</w:t>
                  </w:r>
                </w:p>
              </w:tc>
              <w:tc>
                <w:tcPr>
                  <w:tcW w:w="64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56.2</w:t>
                  </w:r>
                </w:p>
              </w:tc>
              <w:tc>
                <w:tcPr>
                  <w:tcW w:w="795"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46.75</w:t>
                  </w:r>
                </w:p>
              </w:tc>
              <w:tc>
                <w:tcPr>
                  <w:tcW w:w="101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56.67</w:t>
                  </w:r>
                </w:p>
              </w:tc>
              <w:tc>
                <w:tcPr>
                  <w:tcW w:w="108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4" w:type="pct"/>
              </w:trPr>
              <w:tc>
                <w:tcPr>
                  <w:tcW w:w="413"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c>
                <w:tcPr>
                  <w:tcW w:w="1045"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西厂界</w:t>
                  </w:r>
                </w:p>
              </w:tc>
              <w:tc>
                <w:tcPr>
                  <w:tcW w:w="64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55.5</w:t>
                  </w:r>
                </w:p>
              </w:tc>
              <w:tc>
                <w:tcPr>
                  <w:tcW w:w="795"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49.85</w:t>
                  </w:r>
                </w:p>
              </w:tc>
              <w:tc>
                <w:tcPr>
                  <w:tcW w:w="101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56.55</w:t>
                  </w:r>
                </w:p>
              </w:tc>
              <w:tc>
                <w:tcPr>
                  <w:tcW w:w="108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Pr>
              <w:tc>
                <w:tcPr>
                  <w:tcW w:w="413"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w:t>
                  </w:r>
                </w:p>
              </w:tc>
              <w:tc>
                <w:tcPr>
                  <w:tcW w:w="1045"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北厂界</w:t>
                  </w:r>
                </w:p>
              </w:tc>
              <w:tc>
                <w:tcPr>
                  <w:tcW w:w="640"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55.2</w:t>
                  </w:r>
                </w:p>
              </w:tc>
              <w:tc>
                <w:tcPr>
                  <w:tcW w:w="795"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46.75</w:t>
                  </w:r>
                </w:p>
              </w:tc>
              <w:tc>
                <w:tcPr>
                  <w:tcW w:w="1011"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55.78</w:t>
                  </w:r>
                </w:p>
              </w:tc>
              <w:tc>
                <w:tcPr>
                  <w:tcW w:w="1089" w:type="pct"/>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t>通过预测可知，采取</w:t>
            </w:r>
            <w:r>
              <w:rPr>
                <w:rFonts w:hint="default" w:ascii="Times New Roman" w:hAnsi="Times New Roman" w:cs="Times New Roman" w:eastAsiaTheme="minorEastAsia"/>
                <w:bCs/>
                <w:color w:val="000000" w:themeColor="text1"/>
                <w:kern w:val="2"/>
                <w:sz w:val="24"/>
                <w:szCs w:val="24"/>
                <w:highlight w:val="none"/>
                <w:u w:val="none" w:color="auto"/>
                <w:lang w:val="en-US" w:eastAsia="zh-CN" w:bidi="ar-SA"/>
                <w14:textFill>
                  <w14:solidFill>
                    <w14:schemeClr w14:val="tx1"/>
                  </w14:solidFill>
                </w14:textFill>
              </w:rPr>
              <w:t>基座减振，厂房、围墙隔声，加强场区绿化</w:t>
            </w:r>
            <w: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t>等措施后，项目东、南、西、北</w:t>
            </w:r>
            <w:r>
              <w:rPr>
                <w:rFonts w:hint="eastAsia"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t>侧</w:t>
            </w:r>
            <w:r>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t>噪声值均满足《工业企业厂界环境噪声排放标准》（GB12348-2008）2类（昼间≤60dB（A））标准；</w:t>
            </w:r>
          </w:p>
          <w:p>
            <w:pPr>
              <w:keepNext w:val="0"/>
              <w:keepLines w:val="0"/>
              <w:pageBreakBefore w:val="0"/>
              <w:widowControl w:val="0"/>
              <w:suppressLineNumbers w:val="0"/>
              <w:tabs>
                <w:tab w:val="left" w:pos="0"/>
                <w:tab w:val="left" w:pos="870"/>
                <w:tab w:val="left" w:pos="3150"/>
              </w:tabs>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highlight w:val="none"/>
                <w:u w:val="none" w:color="auto"/>
                <w:lang w:val="en-US" w:eastAsia="zh-CN" w:bidi="ar-SA"/>
                <w14:textFill>
                  <w14:solidFill>
                    <w14:schemeClr w14:val="tx1"/>
                  </w14:solidFill>
                </w14:textFill>
              </w:rPr>
              <w:t>（3）环境监测计划</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为及时了解污染源情况，项目要经常开展污染源和环境质量的监测工作，及时发现环境污染问题，并加以控制和解决。可委托有资质的环境监测单位进行</w:t>
            </w:r>
            <w:r>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据《</w:t>
            </w:r>
            <w:r>
              <w:rPr>
                <w:rFonts w:hint="eastAsia" w:ascii="Times New Roman" w:hAnsi="Times New Roman" w:cs="Times New Roman" w:eastAsiaTheme="minorEastAsia"/>
                <w:color w:val="000000" w:themeColor="text1"/>
                <w:sz w:val="24"/>
                <w:szCs w:val="22"/>
                <w:highlight w:val="none"/>
                <w:u w:val="none" w:color="auto"/>
                <w14:textFill>
                  <w14:solidFill>
                    <w14:schemeClr w14:val="tx1"/>
                  </w14:solidFill>
                </w14:textFill>
              </w:rPr>
              <w:t>固定污染源排污许可</w:t>
            </w: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分类管理名录（2019年版）</w:t>
            </w:r>
            <w:r>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》，本项目属于二十五、非金属矿物制品业-63</w:t>
            </w:r>
            <w:r>
              <w:rPr>
                <w:rFonts w:hint="default" w:ascii="Times New Roman" w:hAnsi="Times New Roman" w:eastAsia="宋体" w:cs="Times New Roman"/>
                <w:sz w:val="24"/>
                <w:szCs w:val="24"/>
                <w:highlight w:val="none"/>
                <w:u w:val="none" w:color="auto"/>
              </w:rPr>
              <w:t>水泥制品制造3021</w:t>
            </w:r>
            <w:r>
              <w:rPr>
                <w:rFonts w:hint="default" w:ascii="Times New Roman" w:hAnsi="Times New Roman" w:eastAsia="宋体" w:cs="Times New Roman"/>
                <w:sz w:val="24"/>
                <w:szCs w:val="24"/>
                <w:highlight w:val="none"/>
                <w:u w:val="none" w:color="auto"/>
                <w:lang w:eastAsia="zh-CN"/>
              </w:rPr>
              <w:t>，</w:t>
            </w:r>
            <w:r>
              <w:rPr>
                <w:rFonts w:hint="eastAsia" w:ascii="Times New Roman" w:hAnsi="Times New Roman" w:eastAsia="宋体" w:cs="Times New Roman"/>
                <w:sz w:val="24"/>
                <w:szCs w:val="24"/>
                <w:highlight w:val="none"/>
                <w:u w:val="none" w:color="auto"/>
                <w:lang w:val="en-US" w:eastAsia="zh-CN"/>
              </w:rPr>
              <w:t>属于登记管理类别。</w:t>
            </w:r>
            <w:r>
              <w:rPr>
                <w:rFonts w:hint="eastAsia" w:ascii="Times New Roman" w:hAnsi="Times New Roman" w:cs="Times New Roman"/>
                <w:sz w:val="24"/>
                <w:szCs w:val="24"/>
                <w:highlight w:val="none"/>
                <w:u w:val="none" w:color="auto"/>
                <w:lang w:val="en-US" w:eastAsia="zh-CN"/>
              </w:rPr>
              <w:t>因此</w:t>
            </w:r>
            <w:r>
              <w:rPr>
                <w:rFonts w:hint="eastAsia" w:ascii="Times New Roman" w:hAnsi="Times New Roman" w:eastAsia="宋体" w:cs="Times New Roman"/>
                <w:sz w:val="24"/>
                <w:szCs w:val="24"/>
                <w:highlight w:val="none"/>
                <w:u w:val="none" w:color="auto"/>
                <w:lang w:val="en-US" w:eastAsia="zh-CN"/>
              </w:rPr>
              <w:t>参照《</w:t>
            </w:r>
            <w:r>
              <w:rPr>
                <w:rFonts w:ascii="宋体" w:hAnsi="宋体" w:eastAsia="宋体" w:cs="宋体"/>
                <w:sz w:val="24"/>
                <w:szCs w:val="24"/>
                <w:highlight w:val="none"/>
                <w:u w:val="none" w:color="auto"/>
              </w:rPr>
              <w:t>排污单位自行监测技术指</w:t>
            </w:r>
            <w:r>
              <w:rPr>
                <w:rFonts w:hint="default" w:ascii="Times New Roman" w:hAnsi="Times New Roman" w:eastAsia="宋体" w:cs="Times New Roman"/>
                <w:sz w:val="24"/>
                <w:szCs w:val="24"/>
                <w:highlight w:val="none"/>
                <w:u w:val="none" w:color="auto"/>
              </w:rPr>
              <w:t>南总则</w:t>
            </w:r>
            <w:r>
              <w:rPr>
                <w:rFonts w:hint="default" w:ascii="Times New Roman" w:hAnsi="Times New Roman" w:eastAsia="宋体" w:cs="Times New Roman"/>
                <w:sz w:val="24"/>
                <w:szCs w:val="24"/>
                <w:highlight w:val="none"/>
                <w:u w:val="none" w:color="auto"/>
                <w:lang w:val="en-US" w:eastAsia="zh-CN"/>
              </w:rPr>
              <w:t>》（</w:t>
            </w:r>
            <w:r>
              <w:rPr>
                <w:rFonts w:hint="default" w:ascii="Times New Roman" w:hAnsi="Times New Roman" w:eastAsia="宋体" w:cs="Times New Roman"/>
                <w:sz w:val="24"/>
                <w:szCs w:val="24"/>
                <w:highlight w:val="none"/>
                <w:u w:val="none" w:color="auto"/>
              </w:rPr>
              <w:t>HJ819-2017</w:t>
            </w:r>
            <w:r>
              <w:rPr>
                <w:rFonts w:hint="default" w:ascii="Times New Roman" w:hAnsi="Times New Roman" w:eastAsia="宋体" w:cs="Times New Roman"/>
                <w:sz w:val="24"/>
                <w:szCs w:val="24"/>
                <w:highlight w:val="none"/>
                <w:u w:val="none" w:color="auto"/>
                <w:lang w:val="en-US" w:eastAsia="zh-CN"/>
              </w:rPr>
              <w:t>）</w:t>
            </w:r>
            <w:r>
              <w:rPr>
                <w:rFonts w:hint="eastAsia" w:ascii="Times New Roman" w:hAnsi="Times New Roman" w:eastAsia="宋体" w:cs="Times New Roman"/>
                <w:sz w:val="24"/>
                <w:szCs w:val="24"/>
                <w:highlight w:val="none"/>
                <w:u w:val="none" w:color="auto"/>
                <w:lang w:val="en-US" w:eastAsia="zh-CN"/>
              </w:rPr>
              <w:t>，</w:t>
            </w: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根据本项目污染物排放实际情况，项目常规监测工作计划见表</w:t>
            </w:r>
            <w:r>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4-</w:t>
            </w:r>
            <w:r>
              <w:rPr>
                <w:rFonts w:hint="eastAsia" w:cs="Times New Roman" w:eastAsiaTheme="minorEastAsia"/>
                <w:color w:val="000000" w:themeColor="text1"/>
                <w:sz w:val="24"/>
                <w:szCs w:val="22"/>
                <w:highlight w:val="none"/>
                <w:u w:val="none" w:color="auto"/>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w:t>
            </w:r>
          </w:p>
          <w:p>
            <w:pPr>
              <w:spacing w:line="240" w:lineRule="auto"/>
              <w:ind w:left="0" w:leftChars="0" w:firstLine="0" w:firstLineChars="0"/>
              <w:jc w:val="cente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4-</w:t>
            </w:r>
            <w:r>
              <w:rPr>
                <w:rFonts w:hint="eastAsia" w:cs="Times New Roman" w:eastAsiaTheme="minorEastAsia"/>
                <w:b/>
                <w:color w:val="000000" w:themeColor="text1"/>
                <w:sz w:val="21"/>
                <w:szCs w:val="21"/>
                <w:highlight w:val="none"/>
                <w:u w:val="none" w:color="auto"/>
                <w:lang w:val="en-US" w:eastAsia="zh-CN"/>
                <w14:textFill>
                  <w14:solidFill>
                    <w14:schemeClr w14:val="tx1"/>
                  </w14:solidFill>
                </w14:textFill>
              </w:rPr>
              <w:t>12</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 xml:space="preserve"> </w:t>
            </w:r>
            <w:r>
              <w:rPr>
                <w:rFonts w:hint="default"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项目建成后</w:t>
            </w:r>
            <w:r>
              <w:rPr>
                <w:rFonts w:hint="eastAsia"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噪声</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污染源监测计划</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855"/>
              <w:gridCol w:w="1890"/>
              <w:gridCol w:w="1667"/>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监测项目</w:t>
                  </w:r>
                </w:p>
              </w:tc>
              <w:tc>
                <w:tcPr>
                  <w:tcW w:w="1133" w:type="pct"/>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kern w:val="0"/>
                      <w:sz w:val="21"/>
                      <w:szCs w:val="20"/>
                      <w:highlight w:val="none"/>
                      <w:u w:val="none" w:color="auto"/>
                      <w:lang w:val="en-US" w:eastAsia="zh-CN" w:bidi="ar-SA"/>
                    </w:rPr>
                  </w:pPr>
                  <w:r>
                    <w:rPr>
                      <w:rFonts w:hint="default" w:ascii="Times New Roman" w:hAnsi="Times New Roman" w:eastAsia="宋体" w:cs="Times New Roman"/>
                      <w:b w:val="0"/>
                      <w:bCs w:val="0"/>
                      <w:kern w:val="0"/>
                      <w:sz w:val="21"/>
                      <w:szCs w:val="20"/>
                      <w:highlight w:val="none"/>
                      <w:u w:val="none" w:color="auto"/>
                      <w:lang w:val="en-US" w:eastAsia="zh-CN" w:bidi="ar-SA"/>
                    </w:rPr>
                    <w:t>监测点位</w:t>
                  </w:r>
                </w:p>
              </w:tc>
              <w:tc>
                <w:tcPr>
                  <w:tcW w:w="1154" w:type="pct"/>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kern w:val="0"/>
                      <w:sz w:val="21"/>
                      <w:szCs w:val="20"/>
                      <w:highlight w:val="none"/>
                      <w:u w:val="none" w:color="auto"/>
                      <w:lang w:val="en-US" w:eastAsia="zh-CN" w:bidi="ar-SA"/>
                    </w:rPr>
                  </w:pPr>
                  <w:r>
                    <w:rPr>
                      <w:rFonts w:hint="default" w:ascii="Times New Roman" w:hAnsi="Times New Roman" w:eastAsia="宋体" w:cs="Times New Roman"/>
                      <w:b w:val="0"/>
                      <w:bCs w:val="0"/>
                      <w:kern w:val="0"/>
                      <w:sz w:val="21"/>
                      <w:szCs w:val="20"/>
                      <w:highlight w:val="none"/>
                      <w:u w:val="none" w:color="auto"/>
                      <w:lang w:val="en-US" w:eastAsia="zh-CN" w:bidi="ar-SA"/>
                    </w:rPr>
                    <w:t>监测因子</w:t>
                  </w:r>
                </w:p>
              </w:tc>
              <w:tc>
                <w:tcPr>
                  <w:tcW w:w="1019" w:type="pct"/>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kern w:val="0"/>
                      <w:sz w:val="21"/>
                      <w:szCs w:val="20"/>
                      <w:highlight w:val="none"/>
                      <w:u w:val="none" w:color="auto"/>
                      <w:lang w:val="en-US" w:eastAsia="zh-CN" w:bidi="ar-SA"/>
                    </w:rPr>
                  </w:pPr>
                  <w:r>
                    <w:rPr>
                      <w:rFonts w:hint="default" w:ascii="Times New Roman" w:hAnsi="Times New Roman" w:eastAsia="宋体" w:cs="Times New Roman"/>
                      <w:b w:val="0"/>
                      <w:bCs w:val="0"/>
                      <w:kern w:val="0"/>
                      <w:sz w:val="21"/>
                      <w:szCs w:val="20"/>
                      <w:highlight w:val="none"/>
                      <w:u w:val="none" w:color="auto"/>
                      <w:lang w:val="en-US" w:eastAsia="zh-CN" w:bidi="ar-SA"/>
                    </w:rPr>
                    <w:t>监测频次</w:t>
                  </w:r>
                </w:p>
              </w:tc>
              <w:tc>
                <w:tcPr>
                  <w:tcW w:w="1133" w:type="pct"/>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kern w:val="0"/>
                      <w:sz w:val="21"/>
                      <w:szCs w:val="20"/>
                      <w:highlight w:val="none"/>
                      <w:u w:val="none" w:color="auto"/>
                      <w:lang w:val="en-US" w:eastAsia="zh-CN" w:bidi="ar-SA"/>
                    </w:rPr>
                  </w:pPr>
                  <w:r>
                    <w:rPr>
                      <w:rFonts w:hint="eastAsia" w:ascii="Times New Roman" w:hAnsi="Times New Roman" w:eastAsia="宋体" w:cs="Times New Roman"/>
                      <w:b w:val="0"/>
                      <w:bCs w:val="0"/>
                      <w:kern w:val="0"/>
                      <w:sz w:val="21"/>
                      <w:szCs w:val="20"/>
                      <w:highlight w:val="none"/>
                      <w:u w:val="none" w:color="auto"/>
                      <w:lang w:val="en-US" w:eastAsia="zh-CN" w:bidi="ar-SA"/>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5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噪声</w:t>
                  </w:r>
                </w:p>
              </w:tc>
              <w:tc>
                <w:tcPr>
                  <w:tcW w:w="1133" w:type="pct"/>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0"/>
                      <w:highlight w:val="none"/>
                      <w:u w:val="none" w:color="auto"/>
                      <w:lang w:val="en-US" w:eastAsia="zh-CN" w:bidi="ar-SA"/>
                    </w:rPr>
                  </w:pPr>
                  <w:r>
                    <w:rPr>
                      <w:rFonts w:hint="eastAsia" w:ascii="Times New Roman" w:hAnsi="Times New Roman" w:eastAsia="宋体" w:cs="Times New Roman"/>
                      <w:kern w:val="0"/>
                      <w:sz w:val="21"/>
                      <w:szCs w:val="20"/>
                      <w:highlight w:val="none"/>
                      <w:u w:val="none" w:color="auto"/>
                      <w:lang w:val="en-US" w:eastAsia="zh-CN" w:bidi="ar-SA"/>
                    </w:rPr>
                    <w:t>厂界东侧外1m处</w:t>
                  </w:r>
                </w:p>
              </w:tc>
              <w:tc>
                <w:tcPr>
                  <w:tcW w:w="1154" w:type="pct"/>
                  <w:vMerge w:val="restart"/>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0"/>
                      <w:highlight w:val="none"/>
                      <w:u w:val="none" w:color="auto"/>
                      <w:lang w:val="en-US" w:eastAsia="zh-CN" w:bidi="ar-SA"/>
                    </w:rPr>
                  </w:pPr>
                  <w:r>
                    <w:rPr>
                      <w:rFonts w:hint="eastAsia" w:ascii="Times New Roman" w:hAnsi="Times New Roman" w:eastAsia="宋体" w:cs="Times New Roman"/>
                      <w:kern w:val="0"/>
                      <w:sz w:val="21"/>
                      <w:szCs w:val="20"/>
                      <w:highlight w:val="none"/>
                      <w:u w:val="none" w:color="auto"/>
                      <w:lang w:val="en-US" w:eastAsia="zh-CN" w:bidi="ar-SA"/>
                    </w:rPr>
                    <w:t>等效连续A声级</w:t>
                  </w:r>
                </w:p>
              </w:tc>
              <w:tc>
                <w:tcPr>
                  <w:tcW w:w="1019" w:type="pct"/>
                  <w:vMerge w:val="restart"/>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0"/>
                      <w:highlight w:val="none"/>
                      <w:u w:val="none" w:color="auto"/>
                      <w:lang w:val="en-US" w:eastAsia="zh-CN" w:bidi="ar-SA"/>
                    </w:rPr>
                  </w:pPr>
                  <w:r>
                    <w:rPr>
                      <w:rFonts w:hint="default" w:ascii="Times New Roman" w:hAnsi="Times New Roman" w:eastAsia="宋体" w:cs="Times New Roman"/>
                      <w:kern w:val="0"/>
                      <w:sz w:val="21"/>
                      <w:szCs w:val="20"/>
                      <w:highlight w:val="none"/>
                      <w:u w:val="none" w:color="auto"/>
                      <w:lang w:val="en-US" w:eastAsia="zh-CN" w:bidi="ar-SA"/>
                    </w:rPr>
                    <w:t>每季度一次</w:t>
                  </w:r>
                </w:p>
              </w:tc>
              <w:tc>
                <w:tcPr>
                  <w:tcW w:w="1133" w:type="pct"/>
                  <w:vMerge w:val="restart"/>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0"/>
                      <w:highlight w:val="none"/>
                      <w:u w:val="none" w:color="auto"/>
                      <w:lang w:val="en-US" w:eastAsia="zh-CN" w:bidi="ar-SA"/>
                    </w:rPr>
                  </w:pPr>
                  <w:r>
                    <w:rPr>
                      <w:rFonts w:hint="default" w:ascii="Times New Roman" w:hAnsi="Times New Roman" w:eastAsia="宋体" w:cs="Times New Roman"/>
                      <w:kern w:val="0"/>
                      <w:sz w:val="21"/>
                      <w:szCs w:val="20"/>
                      <w:highlight w:val="none"/>
                      <w:u w:val="none" w:color="auto"/>
                      <w:lang w:val="en-US" w:eastAsia="zh-CN" w:bidi="ar-SA"/>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p>
              </w:tc>
              <w:tc>
                <w:tcPr>
                  <w:tcW w:w="1133" w:type="pct"/>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0"/>
                      <w:highlight w:val="none"/>
                      <w:u w:val="none" w:color="auto"/>
                      <w:lang w:val="en-US" w:eastAsia="zh-CN" w:bidi="ar-SA"/>
                    </w:rPr>
                  </w:pPr>
                  <w:r>
                    <w:rPr>
                      <w:rFonts w:hint="eastAsia" w:ascii="Times New Roman" w:hAnsi="Times New Roman" w:eastAsia="宋体" w:cs="Times New Roman"/>
                      <w:kern w:val="0"/>
                      <w:sz w:val="21"/>
                      <w:szCs w:val="20"/>
                      <w:highlight w:val="none"/>
                      <w:u w:val="none" w:color="auto"/>
                      <w:lang w:val="en-US" w:eastAsia="zh-CN" w:bidi="ar-SA"/>
                    </w:rPr>
                    <w:t>厂界南侧外1m处</w:t>
                  </w:r>
                </w:p>
              </w:tc>
              <w:tc>
                <w:tcPr>
                  <w:tcW w:w="1154" w:type="pct"/>
                  <w:vMerge w:val="continue"/>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0"/>
                      <w:highlight w:val="none"/>
                      <w:u w:val="none" w:color="auto"/>
                      <w:lang w:val="en-US" w:eastAsia="zh-CN" w:bidi="ar-SA"/>
                    </w:rPr>
                  </w:pPr>
                </w:p>
              </w:tc>
              <w:tc>
                <w:tcPr>
                  <w:tcW w:w="1019" w:type="pct"/>
                  <w:vMerge w:val="continue"/>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0"/>
                      <w:highlight w:val="none"/>
                      <w:u w:val="none" w:color="auto"/>
                      <w:lang w:val="en-US" w:eastAsia="zh-CN" w:bidi="ar-SA"/>
                    </w:rPr>
                  </w:pPr>
                </w:p>
              </w:tc>
              <w:tc>
                <w:tcPr>
                  <w:tcW w:w="1133" w:type="pct"/>
                  <w:vMerge w:val="continue"/>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0"/>
                      <w:highlight w:val="none"/>
                      <w:u w:val="none" w:color="auto"/>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p>
              </w:tc>
              <w:tc>
                <w:tcPr>
                  <w:tcW w:w="1133" w:type="pct"/>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0"/>
                      <w:highlight w:val="none"/>
                      <w:u w:val="none" w:color="auto"/>
                      <w:lang w:val="en-US" w:eastAsia="zh-CN" w:bidi="ar-SA"/>
                    </w:rPr>
                  </w:pPr>
                  <w:r>
                    <w:rPr>
                      <w:rFonts w:hint="eastAsia" w:ascii="Times New Roman" w:hAnsi="Times New Roman" w:eastAsia="宋体" w:cs="Times New Roman"/>
                      <w:kern w:val="0"/>
                      <w:sz w:val="21"/>
                      <w:szCs w:val="20"/>
                      <w:highlight w:val="none"/>
                      <w:u w:val="none" w:color="auto"/>
                      <w:lang w:val="en-US" w:eastAsia="zh-CN" w:bidi="ar-SA"/>
                    </w:rPr>
                    <w:t>厂界西侧外1m处</w:t>
                  </w:r>
                </w:p>
              </w:tc>
              <w:tc>
                <w:tcPr>
                  <w:tcW w:w="1154" w:type="pct"/>
                  <w:vMerge w:val="continue"/>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0"/>
                      <w:highlight w:val="none"/>
                      <w:u w:val="none" w:color="auto"/>
                      <w:lang w:val="en-US" w:eastAsia="zh-CN" w:bidi="ar-SA"/>
                    </w:rPr>
                  </w:pPr>
                </w:p>
              </w:tc>
              <w:tc>
                <w:tcPr>
                  <w:tcW w:w="1019" w:type="pct"/>
                  <w:vMerge w:val="continue"/>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0"/>
                      <w:highlight w:val="none"/>
                      <w:u w:val="none" w:color="auto"/>
                      <w:lang w:val="en-US" w:eastAsia="zh-CN" w:bidi="ar-SA"/>
                    </w:rPr>
                  </w:pPr>
                </w:p>
              </w:tc>
              <w:tc>
                <w:tcPr>
                  <w:tcW w:w="1133" w:type="pct"/>
                  <w:vMerge w:val="continue"/>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0"/>
                      <w:highlight w:val="none"/>
                      <w:u w:val="none" w:color="auto"/>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p>
              </w:tc>
              <w:tc>
                <w:tcPr>
                  <w:tcW w:w="1133" w:type="pct"/>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0"/>
                      <w:highlight w:val="none"/>
                      <w:u w:val="none" w:color="auto"/>
                      <w:lang w:val="en-US" w:eastAsia="zh-CN" w:bidi="ar-SA"/>
                    </w:rPr>
                  </w:pPr>
                  <w:r>
                    <w:rPr>
                      <w:rFonts w:hint="eastAsia" w:ascii="Times New Roman" w:hAnsi="Times New Roman" w:eastAsia="宋体" w:cs="Times New Roman"/>
                      <w:kern w:val="0"/>
                      <w:sz w:val="21"/>
                      <w:szCs w:val="20"/>
                      <w:highlight w:val="none"/>
                      <w:u w:val="none" w:color="auto"/>
                      <w:lang w:val="en-US" w:eastAsia="zh-CN" w:bidi="ar-SA"/>
                    </w:rPr>
                    <w:t>厂界北侧外1m处</w:t>
                  </w:r>
                </w:p>
              </w:tc>
              <w:tc>
                <w:tcPr>
                  <w:tcW w:w="1154" w:type="pct"/>
                  <w:vMerge w:val="continue"/>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0"/>
                      <w:highlight w:val="none"/>
                      <w:u w:val="none" w:color="auto"/>
                      <w:lang w:val="en-US" w:eastAsia="zh-CN" w:bidi="ar-SA"/>
                    </w:rPr>
                  </w:pPr>
                </w:p>
              </w:tc>
              <w:tc>
                <w:tcPr>
                  <w:tcW w:w="1019" w:type="pct"/>
                  <w:vMerge w:val="continue"/>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0"/>
                      <w:highlight w:val="none"/>
                      <w:u w:val="none" w:color="auto"/>
                      <w:lang w:val="en-US" w:eastAsia="zh-CN" w:bidi="ar-SA"/>
                    </w:rPr>
                  </w:pPr>
                </w:p>
              </w:tc>
              <w:tc>
                <w:tcPr>
                  <w:tcW w:w="1133" w:type="pct"/>
                  <w:vMerge w:val="continue"/>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0"/>
                      <w:highlight w:val="none"/>
                      <w:u w:val="none" w:color="auto"/>
                      <w:lang w:val="en-US" w:eastAsia="zh-CN" w:bidi="ar-SA"/>
                    </w:rPr>
                  </w:pPr>
                </w:p>
              </w:tc>
            </w:tr>
          </w:tbl>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right="0" w:firstLine="482" w:firstLineChars="200"/>
              <w:textAlignment w:val="auto"/>
              <w:rPr>
                <w:rFonts w:hint="default" w:ascii="Times New Roman" w:hAnsi="Times New Roman" w:cs="Times New Roman" w:eastAsiaTheme="minorEastAsia"/>
                <w:b/>
                <w:bCs/>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 xml:space="preserve">1.4 </w:t>
            </w:r>
            <w:r>
              <w:rPr>
                <w:rFonts w:hint="default" w:ascii="Times New Roman" w:hAnsi="Times New Roman" w:cs="Times New Roman" w:eastAsiaTheme="minorEastAsia"/>
                <w:b/>
                <w:bCs/>
                <w:color w:val="000000" w:themeColor="text1"/>
                <w:sz w:val="24"/>
                <w:szCs w:val="24"/>
                <w:highlight w:val="none"/>
                <w:u w:val="none" w:color="auto"/>
                <w14:textFill>
                  <w14:solidFill>
                    <w14:schemeClr w14:val="tx1"/>
                  </w14:solidFill>
                </w14:textFill>
              </w:rPr>
              <w:t>固体废物环境影响分析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项目</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所产生的固体废弃物主要包括包装过程产生的除尘器收集的粉尘、冲洗平台沉淀池底泥以及员工生活垃圾。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①除尘器收集粉尘：根据工程分析，</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一号站</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经脉冲式布袋除尘器收集的粉尘量为</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27.042</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t/a</w:t>
            </w:r>
            <w:r>
              <w:rPr>
                <w:rFonts w:hint="eastAsia"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作为原料回收利用，不外排</w:t>
            </w:r>
            <w:r>
              <w:rPr>
                <w:rFonts w:hint="eastAsia" w:cs="Times New Roman" w:eastAsiaTheme="minorEastAsia"/>
                <w:color w:val="000000" w:themeColor="text1"/>
                <w:sz w:val="24"/>
                <w:szCs w:val="24"/>
                <w:highlight w:val="none"/>
                <w:u w:val="none" w:color="auto"/>
                <w:lang w:eastAsia="zh-CN"/>
                <w14:textFill>
                  <w14:solidFill>
                    <w14:schemeClr w14:val="tx1"/>
                  </w14:solidFill>
                </w14:textFill>
              </w:rPr>
              <w:t>；</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二号站</w:t>
            </w:r>
            <w:r>
              <w:rPr>
                <w:rFonts w:hint="eastAsia" w:cs="Times New Roman" w:eastAsiaTheme="minorEastAsia"/>
                <w:color w:val="000000" w:themeColor="text1"/>
                <w:sz w:val="24"/>
                <w:szCs w:val="24"/>
                <w:highlight w:val="none"/>
                <w:u w:val="none" w:color="auto"/>
                <w:lang w:eastAsia="zh-CN"/>
                <w14:textFill>
                  <w14:solidFill>
                    <w14:schemeClr w14:val="tx1"/>
                  </w14:solidFill>
                </w14:textFill>
              </w:rPr>
              <w:t>经脉冲式布袋除尘器收集的粉尘量为</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22.225</w:t>
            </w:r>
            <w:r>
              <w:rPr>
                <w:rFonts w:hint="eastAsia" w:cs="Times New Roman" w:eastAsiaTheme="minorEastAsia"/>
                <w:color w:val="000000" w:themeColor="text1"/>
                <w:sz w:val="24"/>
                <w:szCs w:val="24"/>
                <w:highlight w:val="none"/>
                <w:u w:val="none" w:color="auto"/>
                <w:lang w:eastAsia="zh-CN"/>
                <w14:textFill>
                  <w14:solidFill>
                    <w14:schemeClr w14:val="tx1"/>
                  </w14:solidFill>
                </w14:textFill>
              </w:rPr>
              <w:t>t/a，作为原料回收利用，不外排</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②生活垃圾：</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一号站</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员工人数为</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140</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人，生活垃圾产量按1.0kg.d/人计算，生活垃圾产生量为</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12.6</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t/a，由环卫部门运往城市生活垃圾填埋场进行集中处理</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；二号站</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员工人数为</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30</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人，生活垃圾产量按1.0kg.d/人计算，生活垃圾产生量为</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2.7</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t/a，由环卫部门运往城市生活垃圾填埋场进行集中处理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③沉淀池</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沉渣</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：本项目车辆冲洗平台在对车辆冲洗过程在沉淀池底部会产生一定量的沉淀池</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沉渣</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，根据</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建设单位提供资料</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项目沉淀池沉渣产生量约为污水量的0.15%，</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预</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计一号站</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沉渣</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产生量约为</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3.78</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t/a，</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二</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号站沉渣产生量约为0.972t/a</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沉淀池沉渣主要为砂石</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、污泥</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等，建议厂区建设</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沉渣</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暂存堆场，按照一般固体废物储存处置场进行建设，</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采取</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自然干化</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方式处理，</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做好防护工作</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顶部覆盖遮雨设施，堆场边缘做好排水沟设施</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，避免</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沉渣</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随雨水排入水体。沉淀池沉渣可</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回用于建设项目</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道路铺设用碎石、混凝上骨料、和人造建筑石材的原料等。</w:t>
            </w:r>
          </w:p>
          <w:p>
            <w:pPr>
              <w:pStyle w:val="5"/>
              <w:numPr>
                <w:ilvl w:val="2"/>
                <w:numId w:val="0"/>
              </w:numPr>
              <w:ind w:firstLine="480" w:firstLineChars="200"/>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④实验室产生的废混凝土：一号站设有实验室，项目混凝土有抽检试验要求，该过程中会产生废混凝土，产生量约为</w:t>
            </w: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0.012t/d</w:t>
            </w:r>
            <w:r>
              <w:rPr>
                <w:rFonts w:hint="eastAsia"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t/a</w:t>
            </w:r>
            <w:r>
              <w:rPr>
                <w:rFonts w:hint="eastAsia" w:ascii="Times New Roman" w:hAnsi="Times New Roman" w:cs="Times New Roman" w:eastAsiaTheme="minorEastAsia"/>
                <w:b w:val="0"/>
                <w:bCs w:val="0"/>
                <w:color w:val="000000" w:themeColor="text1"/>
                <w:kern w:val="2"/>
                <w:sz w:val="24"/>
                <w:szCs w:val="24"/>
                <w:highlight w:val="none"/>
                <w:u w:val="none" w:color="auto"/>
                <w:lang w:val="en-US" w:eastAsia="zh-CN" w:bidi="ar-SA"/>
                <w14:textFill>
                  <w14:solidFill>
                    <w14:schemeClr w14:val="tx1"/>
                  </w14:solidFill>
                </w14:textFill>
              </w:rPr>
              <w:t>。废混凝土作为建筑材料用于场地及道路填料使用。</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项目固废产生情况见下表。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21"/>
                <w:szCs w:val="21"/>
                <w:highlight w:val="none"/>
                <w:u w:val="none" w:color="auto"/>
                <w:lang w:val="en-US" w:eastAsia="zh-CN" w:bidi="ar-SA"/>
                <w14:textFill>
                  <w14:solidFill>
                    <w14:schemeClr w14:val="tx1"/>
                  </w14:solidFill>
                </w14:textFill>
              </w:rPr>
              <w:t>表</w:t>
            </w:r>
            <w:r>
              <w:rPr>
                <w:rFonts w:hint="eastAsia" w:ascii="Times New Roman" w:hAnsi="Times New Roman" w:cs="Times New Roman" w:eastAsiaTheme="minorEastAsia"/>
                <w:b/>
                <w:color w:val="000000" w:themeColor="text1"/>
                <w:kern w:val="2"/>
                <w:sz w:val="21"/>
                <w:szCs w:val="21"/>
                <w:highlight w:val="none"/>
                <w:u w:val="none" w:color="auto"/>
                <w:lang w:val="en-US" w:eastAsia="zh-CN" w:bidi="ar-SA"/>
                <w14:textFill>
                  <w14:solidFill>
                    <w14:schemeClr w14:val="tx1"/>
                  </w14:solidFill>
                </w14:textFill>
              </w:rPr>
              <w:t>4</w:t>
            </w:r>
            <w:r>
              <w:rPr>
                <w:rFonts w:hint="default" w:ascii="Times New Roman" w:hAnsi="Times New Roman" w:cs="Times New Roman" w:eastAsiaTheme="minorEastAsia"/>
                <w:b/>
                <w:color w:val="000000" w:themeColor="text1"/>
                <w:kern w:val="2"/>
                <w:sz w:val="21"/>
                <w:szCs w:val="21"/>
                <w:highlight w:val="none"/>
                <w:u w:val="none" w:color="auto"/>
                <w:lang w:val="en-US" w:eastAsia="zh-CN" w:bidi="ar-SA"/>
                <w14:textFill>
                  <w14:solidFill>
                    <w14:schemeClr w14:val="tx1"/>
                  </w14:solidFill>
                </w14:textFill>
              </w:rPr>
              <w:t>-</w:t>
            </w:r>
            <w:r>
              <w:rPr>
                <w:rFonts w:hint="eastAsia" w:ascii="Times New Roman" w:hAnsi="Times New Roman" w:cs="Times New Roman" w:eastAsiaTheme="minorEastAsia"/>
                <w:b/>
                <w:color w:val="000000" w:themeColor="text1"/>
                <w:kern w:val="2"/>
                <w:sz w:val="21"/>
                <w:szCs w:val="21"/>
                <w:highlight w:val="none"/>
                <w:u w:val="none" w:color="auto"/>
                <w:lang w:val="en-US" w:eastAsia="zh-CN" w:bidi="ar-SA"/>
                <w14:textFill>
                  <w14:solidFill>
                    <w14:schemeClr w14:val="tx1"/>
                  </w14:solidFill>
                </w14:textFill>
              </w:rPr>
              <w:t>1</w:t>
            </w:r>
            <w:r>
              <w:rPr>
                <w:rFonts w:hint="eastAsia" w:cs="Times New Roman" w:eastAsiaTheme="minorEastAsia"/>
                <w:b/>
                <w:color w:val="000000" w:themeColor="text1"/>
                <w:kern w:val="2"/>
                <w:sz w:val="21"/>
                <w:szCs w:val="21"/>
                <w:highlight w:val="none"/>
                <w:u w:val="none" w:color="auto"/>
                <w:lang w:val="en-US" w:eastAsia="zh-CN" w:bidi="ar-SA"/>
                <w14:textFill>
                  <w14:solidFill>
                    <w14:schemeClr w14:val="tx1"/>
                  </w14:solidFill>
                </w14:textFill>
              </w:rPr>
              <w:t>3</w:t>
            </w:r>
            <w:r>
              <w:rPr>
                <w:rFonts w:hint="default" w:ascii="Times New Roman" w:hAnsi="Times New Roman" w:cs="Times New Roman" w:eastAsiaTheme="minorEastAsia"/>
                <w:b/>
                <w:color w:val="000000" w:themeColor="text1"/>
                <w:kern w:val="2"/>
                <w:sz w:val="21"/>
                <w:szCs w:val="21"/>
                <w:highlight w:val="none"/>
                <w:u w:val="none" w:color="auto"/>
                <w:lang w:val="en-US" w:eastAsia="zh-CN" w:bidi="ar-SA"/>
                <w14:textFill>
                  <w14:solidFill>
                    <w14:schemeClr w14:val="tx1"/>
                  </w14:solidFill>
                </w14:textFill>
              </w:rPr>
              <w:t xml:space="preserve"> 营运期固体废物分析结果汇总表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1"/>
              <w:gridCol w:w="1168"/>
              <w:gridCol w:w="1142"/>
              <w:gridCol w:w="1305"/>
              <w:gridCol w:w="760"/>
              <w:gridCol w:w="613"/>
              <w:gridCol w:w="800"/>
              <w:gridCol w:w="1142"/>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9" w:type="pct"/>
                  <w:noWrap w:val="0"/>
                  <w:vAlign w:val="center"/>
                </w:tcPr>
                <w:p>
                  <w:pPr>
                    <w:pStyle w:val="57"/>
                    <w:bidi w:val="0"/>
                    <w:rPr>
                      <w:rFonts w:hint="default"/>
                      <w:lang w:val="en-US" w:eastAsia="zh-CN"/>
                    </w:rPr>
                  </w:pPr>
                  <w:r>
                    <w:rPr>
                      <w:rFonts w:hint="default"/>
                      <w:lang w:val="en-US" w:eastAsia="zh-CN"/>
                    </w:rPr>
                    <w:t>序号</w:t>
                  </w:r>
                </w:p>
              </w:tc>
              <w:tc>
                <w:tcPr>
                  <w:tcW w:w="707" w:type="pct"/>
                  <w:noWrap w:val="0"/>
                  <w:vAlign w:val="center"/>
                </w:tcPr>
                <w:p>
                  <w:pPr>
                    <w:pStyle w:val="57"/>
                    <w:bidi w:val="0"/>
                    <w:rPr>
                      <w:rFonts w:hint="default"/>
                      <w:lang w:val="en-US" w:eastAsia="zh-CN"/>
                    </w:rPr>
                  </w:pPr>
                  <w:r>
                    <w:rPr>
                      <w:rFonts w:hint="default"/>
                      <w:lang w:val="en-US" w:eastAsia="zh-CN"/>
                    </w:rPr>
                    <w:t>固废名称</w:t>
                  </w:r>
                </w:p>
              </w:tc>
              <w:tc>
                <w:tcPr>
                  <w:tcW w:w="691" w:type="pct"/>
                  <w:noWrap w:val="0"/>
                  <w:vAlign w:val="center"/>
                </w:tcPr>
                <w:p>
                  <w:pPr>
                    <w:pStyle w:val="57"/>
                    <w:bidi w:val="0"/>
                    <w:rPr>
                      <w:rFonts w:hint="default"/>
                      <w:lang w:val="en-US" w:eastAsia="zh-CN"/>
                    </w:rPr>
                  </w:pPr>
                  <w:r>
                    <w:rPr>
                      <w:rFonts w:hint="default"/>
                      <w:lang w:val="en-US" w:eastAsia="zh-CN"/>
                    </w:rPr>
                    <w:t>属性</w:t>
                  </w:r>
                </w:p>
              </w:tc>
              <w:tc>
                <w:tcPr>
                  <w:tcW w:w="790" w:type="pct"/>
                  <w:noWrap w:val="0"/>
                  <w:vAlign w:val="center"/>
                </w:tcPr>
                <w:p>
                  <w:pPr>
                    <w:pStyle w:val="57"/>
                    <w:bidi w:val="0"/>
                    <w:rPr>
                      <w:rFonts w:hint="default"/>
                      <w:lang w:val="en-US" w:eastAsia="zh-CN"/>
                    </w:rPr>
                  </w:pPr>
                  <w:r>
                    <w:rPr>
                      <w:rFonts w:hint="default"/>
                      <w:lang w:val="en-US" w:eastAsia="zh-CN"/>
                    </w:rPr>
                    <w:t>产生工序</w:t>
                  </w:r>
                </w:p>
              </w:tc>
              <w:tc>
                <w:tcPr>
                  <w:tcW w:w="460" w:type="pct"/>
                  <w:noWrap w:val="0"/>
                  <w:vAlign w:val="center"/>
                </w:tcPr>
                <w:p>
                  <w:pPr>
                    <w:pStyle w:val="57"/>
                    <w:bidi w:val="0"/>
                    <w:rPr>
                      <w:rFonts w:hint="default"/>
                      <w:lang w:val="en-US" w:eastAsia="zh-CN"/>
                    </w:rPr>
                  </w:pPr>
                  <w:r>
                    <w:rPr>
                      <w:rFonts w:hint="default"/>
                      <w:lang w:val="en-US" w:eastAsia="zh-CN"/>
                    </w:rPr>
                    <w:t>形态</w:t>
                  </w:r>
                </w:p>
              </w:tc>
              <w:tc>
                <w:tcPr>
                  <w:tcW w:w="371" w:type="pct"/>
                  <w:noWrap w:val="0"/>
                  <w:vAlign w:val="center"/>
                </w:tcPr>
                <w:p>
                  <w:pPr>
                    <w:pStyle w:val="57"/>
                    <w:bidi w:val="0"/>
                    <w:rPr>
                      <w:rFonts w:hint="default"/>
                      <w:lang w:val="en-US" w:eastAsia="zh-CN"/>
                    </w:rPr>
                  </w:pPr>
                  <w:r>
                    <w:rPr>
                      <w:rFonts w:hint="default"/>
                      <w:lang w:val="en-US" w:eastAsia="zh-CN"/>
                    </w:rPr>
                    <w:t>危险</w:t>
                  </w:r>
                </w:p>
                <w:p>
                  <w:pPr>
                    <w:pStyle w:val="57"/>
                    <w:bidi w:val="0"/>
                    <w:rPr>
                      <w:rFonts w:hint="default"/>
                      <w:lang w:val="en-US" w:eastAsia="zh-CN"/>
                    </w:rPr>
                  </w:pPr>
                  <w:r>
                    <w:rPr>
                      <w:rFonts w:hint="default"/>
                      <w:lang w:val="en-US" w:eastAsia="zh-CN"/>
                    </w:rPr>
                    <w:t>特性</w:t>
                  </w:r>
                </w:p>
              </w:tc>
              <w:tc>
                <w:tcPr>
                  <w:tcW w:w="484" w:type="pct"/>
                  <w:noWrap w:val="0"/>
                  <w:vAlign w:val="center"/>
                </w:tcPr>
                <w:p>
                  <w:pPr>
                    <w:pStyle w:val="57"/>
                    <w:bidi w:val="0"/>
                    <w:rPr>
                      <w:rFonts w:hint="default"/>
                      <w:lang w:val="en-US" w:eastAsia="zh-CN"/>
                    </w:rPr>
                  </w:pPr>
                  <w:r>
                    <w:rPr>
                      <w:rFonts w:hint="default"/>
                      <w:lang w:val="en-US" w:eastAsia="zh-CN"/>
                    </w:rPr>
                    <w:t>废物</w:t>
                  </w:r>
                </w:p>
                <w:p>
                  <w:pPr>
                    <w:pStyle w:val="57"/>
                    <w:bidi w:val="0"/>
                    <w:rPr>
                      <w:rFonts w:hint="default"/>
                      <w:lang w:val="en-US" w:eastAsia="zh-CN"/>
                    </w:rPr>
                  </w:pPr>
                  <w:r>
                    <w:rPr>
                      <w:rFonts w:hint="default"/>
                      <w:lang w:val="en-US" w:eastAsia="zh-CN"/>
                    </w:rPr>
                    <w:t>类别</w:t>
                  </w:r>
                </w:p>
              </w:tc>
              <w:tc>
                <w:tcPr>
                  <w:tcW w:w="691" w:type="pct"/>
                  <w:noWrap w:val="0"/>
                  <w:vAlign w:val="center"/>
                </w:tcPr>
                <w:p>
                  <w:pPr>
                    <w:pStyle w:val="57"/>
                    <w:bidi w:val="0"/>
                    <w:rPr>
                      <w:rFonts w:hint="default"/>
                      <w:lang w:val="en-US" w:eastAsia="zh-CN"/>
                    </w:rPr>
                  </w:pPr>
                  <w:r>
                    <w:rPr>
                      <w:rFonts w:hint="default"/>
                      <w:lang w:val="en-US" w:eastAsia="zh-CN"/>
                    </w:rPr>
                    <w:t>废物</w:t>
                  </w:r>
                </w:p>
                <w:p>
                  <w:pPr>
                    <w:pStyle w:val="57"/>
                    <w:bidi w:val="0"/>
                    <w:rPr>
                      <w:rFonts w:hint="default"/>
                      <w:lang w:val="en-US" w:eastAsia="zh-CN"/>
                    </w:rPr>
                  </w:pPr>
                  <w:r>
                    <w:rPr>
                      <w:rFonts w:hint="default"/>
                      <w:lang w:val="en-US" w:eastAsia="zh-CN"/>
                    </w:rPr>
                    <w:t>代码</w:t>
                  </w:r>
                </w:p>
              </w:tc>
              <w:tc>
                <w:tcPr>
                  <w:tcW w:w="524" w:type="pct"/>
                  <w:noWrap w:val="0"/>
                  <w:vAlign w:val="center"/>
                </w:tcPr>
                <w:p>
                  <w:pPr>
                    <w:pStyle w:val="57"/>
                    <w:bidi w:val="0"/>
                    <w:rPr>
                      <w:rFonts w:hint="default"/>
                      <w:lang w:val="en-US" w:eastAsia="zh-CN"/>
                    </w:rPr>
                  </w:pPr>
                  <w:r>
                    <w:rPr>
                      <w:rFonts w:hint="default"/>
                      <w:lang w:val="en-US" w:eastAsia="zh-CN"/>
                    </w:rPr>
                    <w:t>估算产生量</w:t>
                  </w:r>
                </w:p>
                <w:p>
                  <w:pPr>
                    <w:pStyle w:val="57"/>
                    <w:bidi w:val="0"/>
                    <w:rPr>
                      <w:rFonts w:hint="default"/>
                      <w:lang w:val="en-US" w:eastAsia="zh-CN"/>
                    </w:rPr>
                  </w:pPr>
                  <w:r>
                    <w:rPr>
                      <w:rFonts w:hint="default"/>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9" w:type="pct"/>
                  <w:noWrap w:val="0"/>
                  <w:vAlign w:val="center"/>
                </w:tcPr>
                <w:p>
                  <w:pPr>
                    <w:pStyle w:val="57"/>
                    <w:bidi w:val="0"/>
                    <w:rPr>
                      <w:rFonts w:hint="default"/>
                      <w:lang w:val="en-US" w:eastAsia="zh-CN"/>
                    </w:rPr>
                  </w:pPr>
                  <w:r>
                    <w:rPr>
                      <w:rFonts w:hint="default"/>
                      <w:lang w:val="en-US" w:eastAsia="zh-CN"/>
                    </w:rPr>
                    <w:t>1</w:t>
                  </w:r>
                </w:p>
              </w:tc>
              <w:tc>
                <w:tcPr>
                  <w:tcW w:w="707" w:type="pct"/>
                  <w:noWrap w:val="0"/>
                  <w:vAlign w:val="center"/>
                </w:tcPr>
                <w:p>
                  <w:pPr>
                    <w:pStyle w:val="57"/>
                    <w:bidi w:val="0"/>
                    <w:rPr>
                      <w:rFonts w:hint="default"/>
                      <w:lang w:val="en-US" w:eastAsia="zh-CN"/>
                    </w:rPr>
                  </w:pPr>
                  <w:r>
                    <w:rPr>
                      <w:rFonts w:hint="default"/>
                      <w:lang w:val="en-US" w:eastAsia="zh-CN"/>
                    </w:rPr>
                    <w:t>除尘装置收集粉尘</w:t>
                  </w:r>
                </w:p>
              </w:tc>
              <w:tc>
                <w:tcPr>
                  <w:tcW w:w="691" w:type="pct"/>
                  <w:noWrap w:val="0"/>
                  <w:vAlign w:val="center"/>
                </w:tcPr>
                <w:p>
                  <w:pPr>
                    <w:pStyle w:val="57"/>
                    <w:bidi w:val="0"/>
                    <w:rPr>
                      <w:rFonts w:hint="default"/>
                      <w:lang w:val="en-US" w:eastAsia="zh-CN"/>
                    </w:rPr>
                  </w:pPr>
                  <w:r>
                    <w:rPr>
                      <w:rFonts w:hint="default"/>
                      <w:lang w:val="en-US" w:eastAsia="zh-CN"/>
                    </w:rPr>
                    <w:t>一般固废</w:t>
                  </w:r>
                </w:p>
              </w:tc>
              <w:tc>
                <w:tcPr>
                  <w:tcW w:w="790" w:type="pct"/>
                  <w:noWrap w:val="0"/>
                  <w:vAlign w:val="center"/>
                </w:tcPr>
                <w:p>
                  <w:pPr>
                    <w:pStyle w:val="57"/>
                    <w:bidi w:val="0"/>
                    <w:rPr>
                      <w:rFonts w:hint="default"/>
                      <w:lang w:val="en-US" w:eastAsia="zh-CN"/>
                    </w:rPr>
                  </w:pPr>
                  <w:r>
                    <w:rPr>
                      <w:rFonts w:hint="default"/>
                      <w:lang w:val="en-US" w:eastAsia="zh-CN"/>
                    </w:rPr>
                    <w:t>脉冲布袋除尘器</w:t>
                  </w:r>
                </w:p>
              </w:tc>
              <w:tc>
                <w:tcPr>
                  <w:tcW w:w="460" w:type="pct"/>
                  <w:noWrap w:val="0"/>
                  <w:vAlign w:val="center"/>
                </w:tcPr>
                <w:p>
                  <w:pPr>
                    <w:pStyle w:val="57"/>
                    <w:bidi w:val="0"/>
                    <w:rPr>
                      <w:rFonts w:hint="default"/>
                      <w:lang w:val="en-US" w:eastAsia="zh-CN"/>
                    </w:rPr>
                  </w:pPr>
                  <w:r>
                    <w:rPr>
                      <w:rFonts w:hint="default"/>
                      <w:lang w:val="en-US" w:eastAsia="zh-CN"/>
                    </w:rPr>
                    <w:t>固态</w:t>
                  </w:r>
                </w:p>
              </w:tc>
              <w:tc>
                <w:tcPr>
                  <w:tcW w:w="371" w:type="pct"/>
                  <w:noWrap w:val="0"/>
                  <w:vAlign w:val="center"/>
                </w:tcPr>
                <w:p>
                  <w:pPr>
                    <w:pStyle w:val="57"/>
                    <w:bidi w:val="0"/>
                    <w:rPr>
                      <w:rFonts w:hint="default"/>
                      <w:lang w:val="en-US" w:eastAsia="zh-CN"/>
                    </w:rPr>
                  </w:pPr>
                  <w:r>
                    <w:rPr>
                      <w:rFonts w:hint="default"/>
                      <w:lang w:val="en-US" w:eastAsia="zh-CN"/>
                    </w:rPr>
                    <w:t>/</w:t>
                  </w:r>
                </w:p>
              </w:tc>
              <w:tc>
                <w:tcPr>
                  <w:tcW w:w="484" w:type="pct"/>
                  <w:noWrap w:val="0"/>
                  <w:vAlign w:val="center"/>
                </w:tcPr>
                <w:p>
                  <w:pPr>
                    <w:pStyle w:val="57"/>
                    <w:bidi w:val="0"/>
                    <w:rPr>
                      <w:rFonts w:hint="default"/>
                    </w:rPr>
                  </w:pPr>
                  <w:r>
                    <w:rPr>
                      <w:rFonts w:hint="default"/>
                    </w:rPr>
                    <w:t>/</w:t>
                  </w:r>
                </w:p>
              </w:tc>
              <w:tc>
                <w:tcPr>
                  <w:tcW w:w="691" w:type="pct"/>
                  <w:noWrap w:val="0"/>
                  <w:vAlign w:val="center"/>
                </w:tcPr>
                <w:p>
                  <w:pPr>
                    <w:pStyle w:val="57"/>
                    <w:bidi w:val="0"/>
                    <w:rPr>
                      <w:rFonts w:hint="default"/>
                      <w:lang w:val="en-US" w:eastAsia="zh-CN"/>
                    </w:rPr>
                  </w:pPr>
                  <w:r>
                    <w:rPr>
                      <w:rFonts w:hint="default"/>
                      <w:lang w:val="en-US" w:eastAsia="zh-CN"/>
                    </w:rPr>
                    <w:t>/</w:t>
                  </w:r>
                </w:p>
              </w:tc>
              <w:tc>
                <w:tcPr>
                  <w:tcW w:w="524" w:type="pct"/>
                  <w:noWrap w:val="0"/>
                  <w:vAlign w:val="center"/>
                </w:tcPr>
                <w:p>
                  <w:pPr>
                    <w:pStyle w:val="57"/>
                    <w:bidi w:val="0"/>
                    <w:rPr>
                      <w:rFonts w:hint="default"/>
                      <w:lang w:val="en-US" w:eastAsia="zh-CN"/>
                    </w:rPr>
                  </w:pPr>
                  <w:r>
                    <w:rPr>
                      <w:rFonts w:hint="eastAsia"/>
                      <w:lang w:val="en-US" w:eastAsia="zh-CN"/>
                    </w:rPr>
                    <w:t>15.772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9" w:type="pct"/>
                  <w:noWrap w:val="0"/>
                  <w:vAlign w:val="center"/>
                </w:tcPr>
                <w:p>
                  <w:pPr>
                    <w:pStyle w:val="57"/>
                    <w:bidi w:val="0"/>
                    <w:rPr>
                      <w:rFonts w:hint="default"/>
                      <w:lang w:val="en-US" w:eastAsia="zh-CN"/>
                    </w:rPr>
                  </w:pPr>
                  <w:r>
                    <w:rPr>
                      <w:rFonts w:hint="default"/>
                      <w:lang w:val="en-US" w:eastAsia="zh-CN"/>
                    </w:rPr>
                    <w:t>2</w:t>
                  </w:r>
                </w:p>
              </w:tc>
              <w:tc>
                <w:tcPr>
                  <w:tcW w:w="707" w:type="pct"/>
                  <w:noWrap w:val="0"/>
                  <w:vAlign w:val="center"/>
                </w:tcPr>
                <w:p>
                  <w:pPr>
                    <w:pStyle w:val="57"/>
                    <w:bidi w:val="0"/>
                    <w:rPr>
                      <w:rFonts w:hint="default"/>
                      <w:lang w:val="en-US" w:eastAsia="zh-CN"/>
                    </w:rPr>
                  </w:pPr>
                  <w:r>
                    <w:rPr>
                      <w:rFonts w:hint="default"/>
                      <w:lang w:val="en-US" w:eastAsia="zh-CN"/>
                    </w:rPr>
                    <w:t>沉淀池沉渣</w:t>
                  </w:r>
                </w:p>
              </w:tc>
              <w:tc>
                <w:tcPr>
                  <w:tcW w:w="691" w:type="pct"/>
                  <w:noWrap w:val="0"/>
                  <w:vAlign w:val="center"/>
                </w:tcPr>
                <w:p>
                  <w:pPr>
                    <w:pStyle w:val="57"/>
                    <w:bidi w:val="0"/>
                    <w:rPr>
                      <w:rFonts w:hint="default"/>
                    </w:rPr>
                  </w:pPr>
                  <w:r>
                    <w:rPr>
                      <w:rFonts w:hint="default"/>
                    </w:rPr>
                    <w:t>一般固废</w:t>
                  </w:r>
                </w:p>
              </w:tc>
              <w:tc>
                <w:tcPr>
                  <w:tcW w:w="790" w:type="pct"/>
                  <w:noWrap w:val="0"/>
                  <w:vAlign w:val="center"/>
                </w:tcPr>
                <w:p>
                  <w:pPr>
                    <w:pStyle w:val="57"/>
                    <w:bidi w:val="0"/>
                    <w:rPr>
                      <w:rFonts w:hint="default"/>
                      <w:lang w:val="en-US" w:eastAsia="zh-CN"/>
                    </w:rPr>
                  </w:pPr>
                  <w:r>
                    <w:rPr>
                      <w:rFonts w:hint="default"/>
                      <w:lang w:val="en-US" w:eastAsia="zh-CN"/>
                    </w:rPr>
                    <w:t>废水沉淀池</w:t>
                  </w:r>
                </w:p>
              </w:tc>
              <w:tc>
                <w:tcPr>
                  <w:tcW w:w="460" w:type="pct"/>
                  <w:noWrap w:val="0"/>
                  <w:vAlign w:val="center"/>
                </w:tcPr>
                <w:p>
                  <w:pPr>
                    <w:pStyle w:val="57"/>
                    <w:bidi w:val="0"/>
                    <w:rPr>
                      <w:rFonts w:hint="default"/>
                      <w:lang w:val="en-US" w:eastAsia="zh-CN"/>
                    </w:rPr>
                  </w:pPr>
                  <w:r>
                    <w:rPr>
                      <w:rFonts w:hint="default"/>
                      <w:lang w:val="en-US" w:eastAsia="zh-CN"/>
                    </w:rPr>
                    <w:t>固态</w:t>
                  </w:r>
                </w:p>
              </w:tc>
              <w:tc>
                <w:tcPr>
                  <w:tcW w:w="371" w:type="pct"/>
                  <w:noWrap w:val="0"/>
                  <w:vAlign w:val="center"/>
                </w:tcPr>
                <w:p>
                  <w:pPr>
                    <w:pStyle w:val="57"/>
                    <w:bidi w:val="0"/>
                    <w:rPr>
                      <w:rFonts w:hint="default"/>
                      <w:lang w:val="en-US" w:eastAsia="zh-CN"/>
                    </w:rPr>
                  </w:pPr>
                  <w:r>
                    <w:rPr>
                      <w:rFonts w:hint="default"/>
                      <w:lang w:val="en-US" w:eastAsia="zh-CN"/>
                    </w:rPr>
                    <w:t>/</w:t>
                  </w:r>
                </w:p>
              </w:tc>
              <w:tc>
                <w:tcPr>
                  <w:tcW w:w="484" w:type="pct"/>
                  <w:noWrap w:val="0"/>
                  <w:vAlign w:val="center"/>
                </w:tcPr>
                <w:p>
                  <w:pPr>
                    <w:pStyle w:val="57"/>
                    <w:bidi w:val="0"/>
                    <w:rPr>
                      <w:rFonts w:hint="default"/>
                    </w:rPr>
                  </w:pPr>
                  <w:r>
                    <w:rPr>
                      <w:rFonts w:hint="default"/>
                    </w:rPr>
                    <w:t>/</w:t>
                  </w:r>
                </w:p>
              </w:tc>
              <w:tc>
                <w:tcPr>
                  <w:tcW w:w="691" w:type="pct"/>
                  <w:noWrap w:val="0"/>
                  <w:vAlign w:val="center"/>
                </w:tcPr>
                <w:p>
                  <w:pPr>
                    <w:pStyle w:val="57"/>
                    <w:bidi w:val="0"/>
                    <w:rPr>
                      <w:rFonts w:hint="default"/>
                      <w:lang w:val="en-US" w:eastAsia="zh-CN"/>
                    </w:rPr>
                  </w:pPr>
                  <w:r>
                    <w:rPr>
                      <w:rFonts w:hint="default"/>
                      <w:lang w:val="en-US" w:eastAsia="zh-CN"/>
                    </w:rPr>
                    <w:t>/</w:t>
                  </w:r>
                </w:p>
              </w:tc>
              <w:tc>
                <w:tcPr>
                  <w:tcW w:w="524" w:type="pct"/>
                  <w:noWrap w:val="0"/>
                  <w:vAlign w:val="center"/>
                </w:tcPr>
                <w:p>
                  <w:pPr>
                    <w:pStyle w:val="57"/>
                    <w:bidi w:val="0"/>
                    <w:rPr>
                      <w:rFonts w:hint="default"/>
                      <w:lang w:val="en-US" w:eastAsia="zh-CN"/>
                    </w:rPr>
                  </w:pPr>
                  <w:r>
                    <w:rPr>
                      <w:rFonts w:hint="eastAsia"/>
                      <w:lang w:val="en-US" w:eastAsia="zh-CN"/>
                    </w:rPr>
                    <w:t>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9" w:type="pct"/>
                  <w:noWrap w:val="0"/>
                  <w:vAlign w:val="center"/>
                </w:tcPr>
                <w:p>
                  <w:pPr>
                    <w:pStyle w:val="57"/>
                    <w:bidi w:val="0"/>
                    <w:rPr>
                      <w:rFonts w:hint="default"/>
                      <w:lang w:val="en-US" w:eastAsia="zh-CN"/>
                    </w:rPr>
                  </w:pPr>
                  <w:r>
                    <w:rPr>
                      <w:rFonts w:hint="eastAsia"/>
                      <w:lang w:val="en-US" w:eastAsia="zh-CN"/>
                    </w:rPr>
                    <w:t>3</w:t>
                  </w:r>
                </w:p>
              </w:tc>
              <w:tc>
                <w:tcPr>
                  <w:tcW w:w="707" w:type="pct"/>
                  <w:noWrap w:val="0"/>
                  <w:vAlign w:val="center"/>
                </w:tcPr>
                <w:p>
                  <w:pPr>
                    <w:pStyle w:val="57"/>
                    <w:bidi w:val="0"/>
                    <w:rPr>
                      <w:rFonts w:hint="default"/>
                      <w:lang w:val="en-US" w:eastAsia="zh-CN"/>
                    </w:rPr>
                  </w:pPr>
                  <w:r>
                    <w:rPr>
                      <w:rFonts w:hint="default"/>
                      <w:lang w:val="en-US" w:eastAsia="zh-CN"/>
                    </w:rPr>
                    <w:t>废混凝土</w:t>
                  </w:r>
                </w:p>
              </w:tc>
              <w:tc>
                <w:tcPr>
                  <w:tcW w:w="691" w:type="pct"/>
                  <w:noWrap w:val="0"/>
                  <w:vAlign w:val="center"/>
                </w:tcPr>
                <w:p>
                  <w:pPr>
                    <w:pStyle w:val="57"/>
                    <w:bidi w:val="0"/>
                    <w:rPr>
                      <w:rFonts w:hint="default"/>
                    </w:rPr>
                  </w:pPr>
                  <w:r>
                    <w:rPr>
                      <w:rFonts w:hint="default"/>
                    </w:rPr>
                    <w:t>一般固废</w:t>
                  </w:r>
                </w:p>
              </w:tc>
              <w:tc>
                <w:tcPr>
                  <w:tcW w:w="790" w:type="pct"/>
                  <w:noWrap w:val="0"/>
                  <w:vAlign w:val="center"/>
                </w:tcPr>
                <w:p>
                  <w:pPr>
                    <w:pStyle w:val="57"/>
                    <w:bidi w:val="0"/>
                    <w:rPr>
                      <w:rFonts w:hint="default"/>
                      <w:lang w:val="en-US" w:eastAsia="zh-CN"/>
                    </w:rPr>
                  </w:pPr>
                  <w:r>
                    <w:rPr>
                      <w:rFonts w:hint="default"/>
                      <w:lang w:val="en-US" w:eastAsia="zh-CN"/>
                    </w:rPr>
                    <w:t>实验室</w:t>
                  </w:r>
                </w:p>
              </w:tc>
              <w:tc>
                <w:tcPr>
                  <w:tcW w:w="760" w:type="dxa"/>
                  <w:noWrap w:val="0"/>
                  <w:vAlign w:val="center"/>
                </w:tcPr>
                <w:p>
                  <w:pPr>
                    <w:pStyle w:val="57"/>
                    <w:bidi w:val="0"/>
                    <w:ind w:firstLine="0" w:firstLineChars="0"/>
                    <w:rPr>
                      <w:rFonts w:hint="default"/>
                      <w:lang w:val="en-US" w:eastAsia="zh-CN"/>
                    </w:rPr>
                  </w:pPr>
                  <w:r>
                    <w:rPr>
                      <w:rFonts w:hint="default"/>
                      <w:lang w:val="en-US" w:eastAsia="zh-CN"/>
                    </w:rPr>
                    <w:t>固态</w:t>
                  </w:r>
                </w:p>
              </w:tc>
              <w:tc>
                <w:tcPr>
                  <w:tcW w:w="613" w:type="dxa"/>
                  <w:noWrap w:val="0"/>
                  <w:vAlign w:val="center"/>
                </w:tcPr>
                <w:p>
                  <w:pPr>
                    <w:pStyle w:val="57"/>
                    <w:bidi w:val="0"/>
                    <w:ind w:firstLine="0" w:firstLineChars="0"/>
                    <w:rPr>
                      <w:rFonts w:hint="default"/>
                      <w:lang w:val="en-US" w:eastAsia="zh-CN"/>
                    </w:rPr>
                  </w:pPr>
                  <w:r>
                    <w:rPr>
                      <w:rFonts w:hint="default"/>
                      <w:lang w:val="en-US" w:eastAsia="zh-CN"/>
                    </w:rPr>
                    <w:t>/</w:t>
                  </w:r>
                </w:p>
              </w:tc>
              <w:tc>
                <w:tcPr>
                  <w:tcW w:w="800" w:type="dxa"/>
                  <w:noWrap w:val="0"/>
                  <w:vAlign w:val="center"/>
                </w:tcPr>
                <w:p>
                  <w:pPr>
                    <w:pStyle w:val="57"/>
                    <w:bidi w:val="0"/>
                    <w:ind w:firstLine="0" w:firstLineChars="0"/>
                    <w:rPr>
                      <w:rFonts w:hint="default"/>
                    </w:rPr>
                  </w:pPr>
                  <w:r>
                    <w:rPr>
                      <w:rFonts w:hint="default"/>
                    </w:rPr>
                    <w:t>/</w:t>
                  </w:r>
                </w:p>
              </w:tc>
              <w:tc>
                <w:tcPr>
                  <w:tcW w:w="1142" w:type="dxa"/>
                  <w:noWrap w:val="0"/>
                  <w:vAlign w:val="center"/>
                </w:tcPr>
                <w:p>
                  <w:pPr>
                    <w:pStyle w:val="57"/>
                    <w:bidi w:val="0"/>
                    <w:ind w:firstLine="0" w:firstLineChars="0"/>
                    <w:rPr>
                      <w:rFonts w:hint="default"/>
                      <w:lang w:val="en-US" w:eastAsia="zh-CN"/>
                    </w:rPr>
                  </w:pPr>
                  <w:r>
                    <w:rPr>
                      <w:rFonts w:hint="default"/>
                      <w:lang w:val="en-US" w:eastAsia="zh-CN"/>
                    </w:rPr>
                    <w:t>/</w:t>
                  </w:r>
                </w:p>
              </w:tc>
              <w:tc>
                <w:tcPr>
                  <w:tcW w:w="524" w:type="pct"/>
                  <w:noWrap w:val="0"/>
                  <w:vAlign w:val="center"/>
                </w:tcPr>
                <w:p>
                  <w:pPr>
                    <w:pStyle w:val="57"/>
                    <w:bidi w:val="0"/>
                    <w:rPr>
                      <w:rFonts w:hint="eastAsia"/>
                      <w:lang w:val="en-US" w:eastAsia="zh-CN"/>
                    </w:rPr>
                  </w:pPr>
                  <w:r>
                    <w:rPr>
                      <w:rFonts w:hint="eastAsia"/>
                      <w:lang w:val="en-US" w:eastAsia="zh-CN"/>
                    </w:rPr>
                    <w:t>3</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5</w:t>
            </w:r>
            <w:r>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highlight w:val="none"/>
                <w:u w:val="none" w:color="auto"/>
                <w14:textFill>
                  <w14:solidFill>
                    <w14:schemeClr w14:val="tx1"/>
                  </w14:solidFill>
                </w14:textFill>
              </w:rPr>
              <w:t>地下水环境影响分析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本项目产品为砼结构构件制造、商品混凝土加工，根据《环境影响评价技术导则-地下水环境》（HJ610-2016），项目各类产品对应的地下水环评影响评价类别均为Ⅳ类，无须开展地下水环境影响评价。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 xml:space="preserve"> 土壤环境影响分析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根据《环境影响评价技术导则·土壤环境（试行）》（HJ 964-2018）的规定，本项目属于附录A中</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制造业、非金属矿物制品</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的其他为III类项目，敏感程度为不敏感区，</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一号站</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占地面积为</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2.67</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hm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＜5hm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2</w:t>
            </w:r>
            <w:r>
              <w:rPr>
                <w:rFonts w:hint="eastAsia"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二号站</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占地面积为</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0.78</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hm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＜5hm</w:t>
            </w:r>
            <w:r>
              <w:rPr>
                <w:rFonts w:hint="default" w:ascii="Times New Roman" w:hAnsi="Times New Roman" w:cs="Times New Roman" w:eastAsiaTheme="minorEastAsia"/>
                <w:color w:val="000000" w:themeColor="text1"/>
                <w:sz w:val="24"/>
                <w:highlight w:val="none"/>
                <w:u w:val="none" w:color="auto"/>
                <w:vertAlign w:val="superscript"/>
                <w14:textFill>
                  <w14:solidFill>
                    <w14:schemeClr w14:val="tx1"/>
                  </w14:solidFill>
                </w14:textFill>
              </w:rPr>
              <w:t>2</w:t>
            </w:r>
            <w:r>
              <w:rPr>
                <w:rFonts w:hint="eastAsia" w:ascii="Times New Roman" w:hAnsi="Times New Roman" w:cs="Times New Roman" w:eastAsiaTheme="minorEastAsia"/>
                <w:color w:val="000000" w:themeColor="text1"/>
                <w:sz w:val="24"/>
                <w:highlight w:val="none"/>
                <w:u w:val="none" w:color="auto"/>
                <w:vertAlign w:val="baseline"/>
                <w:lang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u w:val="none" w:color="auto"/>
                <w:vertAlign w:val="baseline"/>
                <w:lang w:val="en-US" w:eastAsia="zh-CN"/>
                <w14:textFill>
                  <w14:solidFill>
                    <w14:schemeClr w14:val="tx1"/>
                  </w14:solidFill>
                </w14:textFill>
              </w:rPr>
              <w:t>均</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属于小型规模，根据等级划分表可知，本项目可不开展土壤环境影响评价工作。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表4-</w:t>
            </w:r>
            <w:r>
              <w:rPr>
                <w:rFonts w:hint="eastAsia"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1</w:t>
            </w:r>
            <w:r>
              <w:rPr>
                <w:rFonts w:hint="eastAsia"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4</w:t>
            </w: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 xml:space="preserve">  污染影响型评价工作等级划分表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9"/>
              <w:gridCol w:w="689"/>
              <w:gridCol w:w="689"/>
              <w:gridCol w:w="689"/>
              <w:gridCol w:w="689"/>
              <w:gridCol w:w="689"/>
              <w:gridCol w:w="689"/>
              <w:gridCol w:w="690"/>
              <w:gridCol w:w="691"/>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vMerge w:val="restart"/>
                  <w:noWrap w:val="0"/>
                  <w:vAlign w:val="center"/>
                </w:tcPr>
                <w:p>
                  <w:pPr>
                    <w:pStyle w:val="57"/>
                    <w:bidi w:val="0"/>
                    <w:rPr>
                      <w:rFonts w:hint="default"/>
                    </w:rPr>
                  </w:pPr>
                  <w:r>
                    <w:rPr>
                      <w:rFonts w:hint="default"/>
                    </w:rPr>
                    <mc:AlternateContent>
                      <mc:Choice Requires="wps">
                        <w:drawing>
                          <wp:anchor distT="0" distB="0" distL="114300" distR="114300" simplePos="0" relativeHeight="251665408" behindDoc="0" locked="0" layoutInCell="1" allowOverlap="1">
                            <wp:simplePos x="0" y="0"/>
                            <wp:positionH relativeFrom="column">
                              <wp:posOffset>-24765</wp:posOffset>
                            </wp:positionH>
                            <wp:positionV relativeFrom="paragraph">
                              <wp:posOffset>376555</wp:posOffset>
                            </wp:positionV>
                            <wp:extent cx="728345" cy="244475"/>
                            <wp:effectExtent l="0" t="0" r="0" b="0"/>
                            <wp:wrapNone/>
                            <wp:docPr id="5" name="文本框 37"/>
                            <wp:cNvGraphicFramePr/>
                            <a:graphic xmlns:a="http://schemas.openxmlformats.org/drawingml/2006/main">
                              <a:graphicData uri="http://schemas.microsoft.com/office/word/2010/wordprocessingShape">
                                <wps:wsp>
                                  <wps:cNvSpPr txBox="1"/>
                                  <wps:spPr>
                                    <a:xfrm>
                                      <a:off x="0" y="0"/>
                                      <a:ext cx="728345" cy="244475"/>
                                    </a:xfrm>
                                    <a:prstGeom prst="rect">
                                      <a:avLst/>
                                    </a:prstGeom>
                                    <a:noFill/>
                                    <a:ln>
                                      <a:noFill/>
                                    </a:ln>
                                  </wps:spPr>
                                  <wps:txbx>
                                    <w:txbxContent>
                                      <w:p>
                                        <w:pPr>
                                          <w:ind w:left="0" w:leftChars="0" w:firstLine="0" w:firstLineChars="0"/>
                                          <w:rPr>
                                            <w:rFonts w:hint="eastAsia" w:eastAsia="宋体" w:cs="Calibri"/>
                                            <w:sz w:val="15"/>
                                            <w:szCs w:val="15"/>
                                          </w:rPr>
                                        </w:pPr>
                                        <w:r>
                                          <w:rPr>
                                            <w:rFonts w:hint="eastAsia" w:eastAsia="宋体" w:cs="Calibri"/>
                                            <w:sz w:val="15"/>
                                            <w:szCs w:val="15"/>
                                          </w:rPr>
                                          <w:t>敏感程度</w:t>
                                        </w:r>
                                      </w:p>
                                    </w:txbxContent>
                                  </wps:txbx>
                                  <wps:bodyPr wrap="square" upright="1"/>
                                </wps:wsp>
                              </a:graphicData>
                            </a:graphic>
                          </wp:anchor>
                        </w:drawing>
                      </mc:Choice>
                      <mc:Fallback>
                        <w:pict>
                          <v:shape id="文本框 37" o:spid="_x0000_s1026" o:spt="202" type="#_x0000_t202" style="position:absolute;left:0pt;margin-left:-1.95pt;margin-top:29.65pt;height:19.25pt;width:57.35pt;z-index:251665408;mso-width-relative:page;mso-height-relative:page;" filled="f" stroked="f" coordsize="21600,21600" o:gfxdata="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O8uldYAAAAIAQAADwAAAAAAAAABACAAAAAiAAAAZHJzL2Rvd25yZXYueG1sUEsBAhQAFAAA&#10;AAgAh07iQO/rRGG4AQAAXAMAAA4AAAAAAAAAAQAgAAAAJQEAAGRycy9lMm9Eb2MueG1sUEsFBgAA&#10;AAAGAAYAWQEAAE8FAAAAAA==&#10;">
                            <v:fill on="f" focussize="0,0"/>
                            <v:stroke on="f"/>
                            <v:imagedata o:title=""/>
                            <o:lock v:ext="edit" aspectratio="f"/>
                            <v:textbox>
                              <w:txbxContent>
                                <w:p>
                                  <w:pPr>
                                    <w:ind w:left="0" w:leftChars="0" w:firstLine="0" w:firstLineChars="0"/>
                                    <w:rPr>
                                      <w:rFonts w:hint="eastAsia" w:eastAsia="宋体" w:cs="Calibri"/>
                                      <w:sz w:val="15"/>
                                      <w:szCs w:val="15"/>
                                    </w:rPr>
                                  </w:pPr>
                                  <w:r>
                                    <w:rPr>
                                      <w:rFonts w:hint="eastAsia" w:eastAsia="宋体" w:cs="Calibri"/>
                                      <w:sz w:val="15"/>
                                      <w:szCs w:val="15"/>
                                    </w:rPr>
                                    <w:t>敏感程度</w:t>
                                  </w:r>
                                </w:p>
                              </w:txbxContent>
                            </v:textbox>
                          </v:shape>
                        </w:pict>
                      </mc:Fallback>
                    </mc:AlternateContent>
                  </w:r>
                  <w:r>
                    <w:rPr>
                      <w:rFonts w:hint="default"/>
                    </w:rPr>
                    <mc:AlternateContent>
                      <mc:Choice Requires="wps">
                        <w:drawing>
                          <wp:anchor distT="0" distB="0" distL="114300" distR="114300" simplePos="0" relativeHeight="251664384" behindDoc="0" locked="0" layoutInCell="1" allowOverlap="1">
                            <wp:simplePos x="0" y="0"/>
                            <wp:positionH relativeFrom="column">
                              <wp:posOffset>-24765</wp:posOffset>
                            </wp:positionH>
                            <wp:positionV relativeFrom="paragraph">
                              <wp:posOffset>97790</wp:posOffset>
                            </wp:positionV>
                            <wp:extent cx="822960" cy="346710"/>
                            <wp:effectExtent l="0" t="0" r="0" b="0"/>
                            <wp:wrapNone/>
                            <wp:docPr id="3" name="文本框 38"/>
                            <wp:cNvGraphicFramePr/>
                            <a:graphic xmlns:a="http://schemas.openxmlformats.org/drawingml/2006/main">
                              <a:graphicData uri="http://schemas.microsoft.com/office/word/2010/wordprocessingShape">
                                <wps:wsp>
                                  <wps:cNvSpPr txBox="1"/>
                                  <wps:spPr>
                                    <a:xfrm>
                                      <a:off x="0" y="0"/>
                                      <a:ext cx="822960" cy="346710"/>
                                    </a:xfrm>
                                    <a:prstGeom prst="rect">
                                      <a:avLst/>
                                    </a:prstGeom>
                                    <a:noFill/>
                                    <a:ln>
                                      <a:noFill/>
                                    </a:ln>
                                  </wps:spPr>
                                  <wps:txbx>
                                    <w:txbxContent>
                                      <w:p>
                                        <w:pPr>
                                          <w:ind w:left="0" w:leftChars="0" w:firstLine="0" w:firstLineChars="0"/>
                                          <w:rPr>
                                            <w:rFonts w:hint="eastAsia" w:eastAsia="宋体" w:cs="Calibri"/>
                                            <w:sz w:val="15"/>
                                            <w:szCs w:val="15"/>
                                          </w:rPr>
                                        </w:pPr>
                                        <w:r>
                                          <w:rPr>
                                            <w:rFonts w:hint="eastAsia" w:eastAsia="宋体" w:cs="Calibri"/>
                                            <w:sz w:val="15"/>
                                            <w:szCs w:val="15"/>
                                          </w:rPr>
                                          <w:t>评价工作等级</w:t>
                                        </w:r>
                                      </w:p>
                                    </w:txbxContent>
                                  </wps:txbx>
                                  <wps:bodyPr wrap="square" upright="1"/>
                                </wps:wsp>
                              </a:graphicData>
                            </a:graphic>
                          </wp:anchor>
                        </w:drawing>
                      </mc:Choice>
                      <mc:Fallback>
                        <w:pict>
                          <v:shape id="文本框 38" o:spid="_x0000_s1026" o:spt="202" type="#_x0000_t202" style="position:absolute;left:0pt;margin-left:-1.95pt;margin-top:7.7pt;height:27.3pt;width:64.8pt;z-index:251664384;mso-width-relative:page;mso-height-relative:page;" filled="f" stroked="f" coordsize="21600,21600" o:gfxdata="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sj8yp1gAAAAgBAAAPAAAAAAAAAAEAIAAAACIAAABkcnMvZG93bnJldi54bWxQSwECFAAUAAAA&#10;CACHTuJA7VeDyLcBAABcAwAADgAAAAAAAAABACAAAAAlAQAAZHJzL2Uyb0RvYy54bWxQSwUGAAAA&#10;AAYABgBZAQAATgUAAAAA&#10;">
                            <v:fill on="f" focussize="0,0"/>
                            <v:stroke on="f"/>
                            <v:imagedata o:title=""/>
                            <o:lock v:ext="edit" aspectratio="f"/>
                            <v:textbox>
                              <w:txbxContent>
                                <w:p>
                                  <w:pPr>
                                    <w:ind w:left="0" w:leftChars="0" w:firstLine="0" w:firstLineChars="0"/>
                                    <w:rPr>
                                      <w:rFonts w:hint="eastAsia" w:eastAsia="宋体" w:cs="Calibri"/>
                                      <w:sz w:val="15"/>
                                      <w:szCs w:val="15"/>
                                    </w:rPr>
                                  </w:pPr>
                                  <w:r>
                                    <w:rPr>
                                      <w:rFonts w:hint="eastAsia" w:eastAsia="宋体" w:cs="Calibri"/>
                                      <w:sz w:val="15"/>
                                      <w:szCs w:val="15"/>
                                    </w:rPr>
                                    <w:t>评价工作等级</w:t>
                                  </w:r>
                                </w:p>
                              </w:txbxContent>
                            </v:textbox>
                          </v:shape>
                        </w:pict>
                      </mc:Fallback>
                    </mc:AlternateContent>
                  </w:r>
                  <w:r>
                    <w:rPr>
                      <w:rFonts w:hint="default"/>
                    </w:rPr>
                    <mc:AlternateContent>
                      <mc:Choice Requires="wps">
                        <w:drawing>
                          <wp:anchor distT="0" distB="0" distL="114300" distR="114300" simplePos="0" relativeHeight="251663360" behindDoc="0" locked="0" layoutInCell="1" allowOverlap="1">
                            <wp:simplePos x="0" y="0"/>
                            <wp:positionH relativeFrom="column">
                              <wp:posOffset>777875</wp:posOffset>
                            </wp:positionH>
                            <wp:positionV relativeFrom="paragraph">
                              <wp:posOffset>29210</wp:posOffset>
                            </wp:positionV>
                            <wp:extent cx="612775" cy="462915"/>
                            <wp:effectExtent l="0" t="0" r="0" b="0"/>
                            <wp:wrapNone/>
                            <wp:docPr id="8" name="文本框 39"/>
                            <wp:cNvGraphicFramePr/>
                            <a:graphic xmlns:a="http://schemas.openxmlformats.org/drawingml/2006/main">
                              <a:graphicData uri="http://schemas.microsoft.com/office/word/2010/wordprocessingShape">
                                <wps:wsp>
                                  <wps:cNvSpPr txBox="1"/>
                                  <wps:spPr>
                                    <a:xfrm>
                                      <a:off x="0" y="0"/>
                                      <a:ext cx="612775" cy="462915"/>
                                    </a:xfrm>
                                    <a:prstGeom prst="rect">
                                      <a:avLst/>
                                    </a:prstGeom>
                                    <a:noFill/>
                                    <a:ln>
                                      <a:noFill/>
                                    </a:ln>
                                  </wps:spPr>
                                  <wps:txbx>
                                    <w:txbxContent>
                                      <w:p>
                                        <w:pPr>
                                          <w:ind w:left="0" w:leftChars="0" w:firstLine="0" w:firstLineChars="0"/>
                                          <w:rPr>
                                            <w:rFonts w:hint="eastAsia" w:eastAsia="宋体" w:cs="Calibri"/>
                                            <w:sz w:val="13"/>
                                            <w:szCs w:val="13"/>
                                          </w:rPr>
                                        </w:pPr>
                                        <w:r>
                                          <w:rPr>
                                            <w:rFonts w:hint="eastAsia" w:eastAsia="宋体" w:cs="Calibri"/>
                                            <w:sz w:val="13"/>
                                            <w:szCs w:val="13"/>
                                          </w:rPr>
                                          <w:t>占地规模</w:t>
                                        </w:r>
                                      </w:p>
                                    </w:txbxContent>
                                  </wps:txbx>
                                  <wps:bodyPr wrap="square" upright="1"/>
                                </wps:wsp>
                              </a:graphicData>
                            </a:graphic>
                          </wp:anchor>
                        </w:drawing>
                      </mc:Choice>
                      <mc:Fallback>
                        <w:pict>
                          <v:shape id="文本框 39" o:spid="_x0000_s1026" o:spt="202" type="#_x0000_t202" style="position:absolute;left:0pt;margin-left:61.25pt;margin-top:2.3pt;height:36.45pt;width:48.25pt;z-index:251663360;mso-width-relative:page;mso-height-relative:page;" filled="f" stroked="f" coordsize="21600,21600" o:gfxdata="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LlFBNYAAAAIAQAADwAAAAAAAAABACAAAAAiAAAAZHJzL2Rvd25yZXYueG1sUEsBAhQAFAAA&#10;AAgAh07iQCPI2ei4AQAAXAMAAA4AAAAAAAAAAQAgAAAAJQEAAGRycy9lMm9Eb2MueG1sUEsFBgAA&#10;AAAGAAYAWQEAAE8FAAAAAA==&#10;">
                            <v:fill on="f" focussize="0,0"/>
                            <v:stroke on="f"/>
                            <v:imagedata o:title=""/>
                            <o:lock v:ext="edit" aspectratio="f"/>
                            <v:textbox>
                              <w:txbxContent>
                                <w:p>
                                  <w:pPr>
                                    <w:ind w:left="0" w:leftChars="0" w:firstLine="0" w:firstLineChars="0"/>
                                    <w:rPr>
                                      <w:rFonts w:hint="eastAsia" w:eastAsia="宋体" w:cs="Calibri"/>
                                      <w:sz w:val="13"/>
                                      <w:szCs w:val="13"/>
                                    </w:rPr>
                                  </w:pPr>
                                  <w:r>
                                    <w:rPr>
                                      <w:rFonts w:hint="eastAsia" w:eastAsia="宋体" w:cs="Calibri"/>
                                      <w:sz w:val="13"/>
                                      <w:szCs w:val="13"/>
                                    </w:rPr>
                                    <w:t>占地规模</w:t>
                                  </w:r>
                                </w:p>
                              </w:txbxContent>
                            </v:textbox>
                          </v:shape>
                        </w:pict>
                      </mc:Fallback>
                    </mc:AlternateContent>
                  </w:r>
                  <w:r>
                    <w:rPr>
                      <w:rFonts w:hint="default"/>
                    </w:rPr>
                    <mc:AlternateContent>
                      <mc:Choice Requires="wps">
                        <w:drawing>
                          <wp:anchor distT="0" distB="0" distL="114300" distR="114300" simplePos="0" relativeHeight="251662336" behindDoc="0" locked="0" layoutInCell="1" allowOverlap="1">
                            <wp:simplePos x="0" y="0"/>
                            <wp:positionH relativeFrom="column">
                              <wp:posOffset>-72390</wp:posOffset>
                            </wp:positionH>
                            <wp:positionV relativeFrom="paragraph">
                              <wp:posOffset>335280</wp:posOffset>
                            </wp:positionV>
                            <wp:extent cx="1326515" cy="258445"/>
                            <wp:effectExtent l="635" t="4445" r="6350" b="22860"/>
                            <wp:wrapNone/>
                            <wp:docPr id="12" name="直线 40"/>
                            <wp:cNvGraphicFramePr/>
                            <a:graphic xmlns:a="http://schemas.openxmlformats.org/drawingml/2006/main">
                              <a:graphicData uri="http://schemas.microsoft.com/office/word/2010/wordprocessingShape">
                                <wps:wsp>
                                  <wps:cNvCnPr/>
                                  <wps:spPr>
                                    <a:xfrm>
                                      <a:off x="0" y="0"/>
                                      <a:ext cx="1326515" cy="2584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0" o:spid="_x0000_s1026" o:spt="20" style="position:absolute;left:0pt;margin-left:-5.7pt;margin-top:26.4pt;height:20.35pt;width:104.45pt;z-index:251662336;mso-width-relative:page;mso-height-relative:page;" filled="f" stroked="t" coordsize="21600,21600" o:gfxdata="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rVOWNgAAAAJAQAADwAAAAAAAAABACAAAAAiAAAAZHJzL2Rvd25yZXYueG1sUEsBAhQAFAAAAAgA&#10;h07iQOOSezTsAQAA4gMAAA4AAAAAAAAAAQAgAAAAJwEAAGRycy9lMm9Eb2MueG1sUEsFBgAAAAAG&#10;AAYAWQEAAIUFAAAAAA==&#10;">
                            <v:fill on="f" focussize="0,0"/>
                            <v:stroke color="#000000" joinstyle="round"/>
                            <v:imagedata o:title=""/>
                            <o:lock v:ext="edit" aspectratio="f"/>
                          </v:line>
                        </w:pict>
                      </mc:Fallback>
                    </mc:AlternateContent>
                  </w:r>
                  <w:r>
                    <w:rPr>
                      <w:rFonts w:hint="default"/>
                    </w:rPr>
                    <mc:AlternateContent>
                      <mc:Choice Requires="wps">
                        <w:drawing>
                          <wp:anchor distT="0" distB="0" distL="114300" distR="114300" simplePos="0" relativeHeight="251661312" behindDoc="0" locked="0" layoutInCell="1" allowOverlap="1">
                            <wp:simplePos x="0" y="0"/>
                            <wp:positionH relativeFrom="column">
                              <wp:posOffset>519430</wp:posOffset>
                            </wp:positionH>
                            <wp:positionV relativeFrom="paragraph">
                              <wp:posOffset>-635</wp:posOffset>
                            </wp:positionV>
                            <wp:extent cx="727710" cy="598805"/>
                            <wp:effectExtent l="3175" t="3810" r="12065" b="6985"/>
                            <wp:wrapNone/>
                            <wp:docPr id="1" name="直线 41"/>
                            <wp:cNvGraphicFramePr/>
                            <a:graphic xmlns:a="http://schemas.openxmlformats.org/drawingml/2006/main">
                              <a:graphicData uri="http://schemas.microsoft.com/office/word/2010/wordprocessingShape">
                                <wps:wsp>
                                  <wps:cNvCnPr/>
                                  <wps:spPr>
                                    <a:xfrm>
                                      <a:off x="0" y="0"/>
                                      <a:ext cx="727710" cy="598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1" o:spid="_x0000_s1026" o:spt="20" style="position:absolute;left:0pt;margin-left:40.9pt;margin-top:-0.05pt;height:47.15pt;width:57.3pt;z-index:251661312;mso-width-relative:page;mso-height-relative:page;" filled="f" stroked="t" coordsize="21600,21600" o:gfxdata="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bY&#10;gNYAAAAHAQAADwAAAAAAAAABACAAAAAiAAAAZHJzL2Rvd25yZXYueG1sUEsBAhQAFAAAAAgAh07i&#10;QB+fUR3rAQAA4AMAAA4AAAAAAAAAAQAgAAAAJQEAAGRycy9lMm9Eb2MueG1sUEsFBgAAAAAGAAYA&#10;WQEAAIIFAAAAAA==&#10;">
                            <v:fill on="f" focussize="0,0"/>
                            <v:stroke color="#000000" joinstyle="round"/>
                            <v:imagedata o:title=""/>
                            <o:lock v:ext="edit" aspectratio="f"/>
                          </v:line>
                        </w:pict>
                      </mc:Fallback>
                    </mc:AlternateContent>
                  </w:r>
                </w:p>
              </w:tc>
              <w:tc>
                <w:tcPr>
                  <w:tcW w:w="2076" w:type="dxa"/>
                  <w:gridSpan w:val="3"/>
                  <w:noWrap w:val="0"/>
                  <w:vAlign w:val="center"/>
                </w:tcPr>
                <w:p>
                  <w:pPr>
                    <w:pStyle w:val="57"/>
                    <w:bidi w:val="0"/>
                    <w:rPr>
                      <w:rFonts w:hint="default"/>
                    </w:rPr>
                  </w:pPr>
                  <w:r>
                    <w:rPr>
                      <w:rFonts w:hint="default"/>
                    </w:rPr>
                    <w:t>I</w:t>
                  </w:r>
                </w:p>
              </w:tc>
              <w:tc>
                <w:tcPr>
                  <w:tcW w:w="2076" w:type="dxa"/>
                  <w:gridSpan w:val="3"/>
                  <w:noWrap w:val="0"/>
                  <w:vAlign w:val="center"/>
                </w:tcPr>
                <w:p>
                  <w:pPr>
                    <w:pStyle w:val="57"/>
                    <w:bidi w:val="0"/>
                    <w:rPr>
                      <w:rFonts w:hint="default"/>
                    </w:rPr>
                  </w:pPr>
                  <w:r>
                    <w:rPr>
                      <w:rFonts w:hint="default"/>
                    </w:rPr>
                    <w:t>II</w:t>
                  </w:r>
                </w:p>
              </w:tc>
              <w:tc>
                <w:tcPr>
                  <w:tcW w:w="2078" w:type="dxa"/>
                  <w:gridSpan w:val="3"/>
                  <w:noWrap w:val="0"/>
                  <w:vAlign w:val="center"/>
                </w:tcPr>
                <w:p>
                  <w:pPr>
                    <w:pStyle w:val="57"/>
                    <w:bidi w:val="0"/>
                    <w:rPr>
                      <w:rFonts w:hint="default"/>
                    </w:rPr>
                  </w:pPr>
                  <w:r>
                    <w:rPr>
                      <w:rFonts w:hint="default"/>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vMerge w:val="continue"/>
                  <w:noWrap w:val="0"/>
                  <w:vAlign w:val="center"/>
                </w:tcPr>
                <w:p>
                  <w:pPr>
                    <w:pStyle w:val="57"/>
                    <w:bidi w:val="0"/>
                    <w:rPr>
                      <w:rFonts w:hint="default"/>
                    </w:rPr>
                  </w:pPr>
                </w:p>
              </w:tc>
              <w:tc>
                <w:tcPr>
                  <w:tcW w:w="692" w:type="dxa"/>
                  <w:noWrap w:val="0"/>
                  <w:vAlign w:val="center"/>
                </w:tcPr>
                <w:p>
                  <w:pPr>
                    <w:pStyle w:val="57"/>
                    <w:bidi w:val="0"/>
                    <w:rPr>
                      <w:rFonts w:hint="default"/>
                    </w:rPr>
                  </w:pPr>
                  <w:r>
                    <w:rPr>
                      <w:rFonts w:hint="default"/>
                    </w:rPr>
                    <w:t>大</w:t>
                  </w:r>
                </w:p>
              </w:tc>
              <w:tc>
                <w:tcPr>
                  <w:tcW w:w="692" w:type="dxa"/>
                  <w:noWrap w:val="0"/>
                  <w:vAlign w:val="center"/>
                </w:tcPr>
                <w:p>
                  <w:pPr>
                    <w:pStyle w:val="57"/>
                    <w:bidi w:val="0"/>
                    <w:rPr>
                      <w:rFonts w:hint="default"/>
                    </w:rPr>
                  </w:pPr>
                  <w:r>
                    <w:rPr>
                      <w:rFonts w:hint="default"/>
                    </w:rPr>
                    <w:t>中</w:t>
                  </w:r>
                </w:p>
              </w:tc>
              <w:tc>
                <w:tcPr>
                  <w:tcW w:w="692" w:type="dxa"/>
                  <w:noWrap w:val="0"/>
                  <w:vAlign w:val="center"/>
                </w:tcPr>
                <w:p>
                  <w:pPr>
                    <w:pStyle w:val="57"/>
                    <w:bidi w:val="0"/>
                    <w:rPr>
                      <w:rFonts w:hint="default"/>
                    </w:rPr>
                  </w:pPr>
                  <w:r>
                    <w:rPr>
                      <w:rFonts w:hint="default"/>
                    </w:rPr>
                    <w:t>小</w:t>
                  </w:r>
                </w:p>
              </w:tc>
              <w:tc>
                <w:tcPr>
                  <w:tcW w:w="692" w:type="dxa"/>
                  <w:noWrap w:val="0"/>
                  <w:vAlign w:val="center"/>
                </w:tcPr>
                <w:p>
                  <w:pPr>
                    <w:pStyle w:val="57"/>
                    <w:bidi w:val="0"/>
                    <w:rPr>
                      <w:rFonts w:hint="default"/>
                    </w:rPr>
                  </w:pPr>
                  <w:r>
                    <w:rPr>
                      <w:rFonts w:hint="default"/>
                    </w:rPr>
                    <w:t>大</w:t>
                  </w:r>
                </w:p>
              </w:tc>
              <w:tc>
                <w:tcPr>
                  <w:tcW w:w="692" w:type="dxa"/>
                  <w:noWrap w:val="0"/>
                  <w:vAlign w:val="center"/>
                </w:tcPr>
                <w:p>
                  <w:pPr>
                    <w:pStyle w:val="57"/>
                    <w:bidi w:val="0"/>
                    <w:rPr>
                      <w:rFonts w:hint="default"/>
                    </w:rPr>
                  </w:pPr>
                  <w:r>
                    <w:rPr>
                      <w:rFonts w:hint="default"/>
                    </w:rPr>
                    <w:t>中</w:t>
                  </w:r>
                </w:p>
              </w:tc>
              <w:tc>
                <w:tcPr>
                  <w:tcW w:w="692" w:type="dxa"/>
                  <w:noWrap w:val="0"/>
                  <w:vAlign w:val="center"/>
                </w:tcPr>
                <w:p>
                  <w:pPr>
                    <w:pStyle w:val="57"/>
                    <w:bidi w:val="0"/>
                    <w:rPr>
                      <w:rFonts w:hint="default"/>
                    </w:rPr>
                  </w:pPr>
                  <w:r>
                    <w:rPr>
                      <w:rFonts w:hint="default"/>
                    </w:rPr>
                    <w:t>小</w:t>
                  </w:r>
                </w:p>
              </w:tc>
              <w:tc>
                <w:tcPr>
                  <w:tcW w:w="692" w:type="dxa"/>
                  <w:noWrap w:val="0"/>
                  <w:vAlign w:val="center"/>
                </w:tcPr>
                <w:p>
                  <w:pPr>
                    <w:pStyle w:val="57"/>
                    <w:bidi w:val="0"/>
                    <w:rPr>
                      <w:rFonts w:hint="default"/>
                    </w:rPr>
                  </w:pPr>
                  <w:r>
                    <w:rPr>
                      <w:rFonts w:hint="default"/>
                    </w:rPr>
                    <w:t>大</w:t>
                  </w:r>
                </w:p>
              </w:tc>
              <w:tc>
                <w:tcPr>
                  <w:tcW w:w="693" w:type="dxa"/>
                  <w:noWrap w:val="0"/>
                  <w:vAlign w:val="center"/>
                </w:tcPr>
                <w:p>
                  <w:pPr>
                    <w:pStyle w:val="57"/>
                    <w:bidi w:val="0"/>
                    <w:rPr>
                      <w:rFonts w:hint="default"/>
                    </w:rPr>
                  </w:pPr>
                  <w:r>
                    <w:rPr>
                      <w:rFonts w:hint="default"/>
                    </w:rPr>
                    <w:t>中</w:t>
                  </w:r>
                </w:p>
              </w:tc>
              <w:tc>
                <w:tcPr>
                  <w:tcW w:w="693" w:type="dxa"/>
                  <w:noWrap w:val="0"/>
                  <w:vAlign w:val="center"/>
                </w:tcPr>
                <w:p>
                  <w:pPr>
                    <w:pStyle w:val="57"/>
                    <w:bidi w:val="0"/>
                    <w:rPr>
                      <w:rFonts w:hint="default"/>
                    </w:rPr>
                  </w:pPr>
                  <w:r>
                    <w:rPr>
                      <w:rFonts w:hint="default"/>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noWrap w:val="0"/>
                  <w:vAlign w:val="center"/>
                </w:tcPr>
                <w:p>
                  <w:pPr>
                    <w:pStyle w:val="57"/>
                    <w:bidi w:val="0"/>
                    <w:rPr>
                      <w:rFonts w:hint="default"/>
                    </w:rPr>
                  </w:pPr>
                  <w:r>
                    <w:rPr>
                      <w:rFonts w:hint="default"/>
                    </w:rPr>
                    <w:t>敏感</w:t>
                  </w:r>
                </w:p>
              </w:tc>
              <w:tc>
                <w:tcPr>
                  <w:tcW w:w="692" w:type="dxa"/>
                  <w:noWrap w:val="0"/>
                  <w:vAlign w:val="center"/>
                </w:tcPr>
                <w:p>
                  <w:pPr>
                    <w:pStyle w:val="57"/>
                    <w:bidi w:val="0"/>
                    <w:rPr>
                      <w:rFonts w:hint="default"/>
                    </w:rPr>
                  </w:pPr>
                  <w:r>
                    <w:rPr>
                      <w:rFonts w:hint="default"/>
                    </w:rPr>
                    <w:t>一级</w:t>
                  </w:r>
                </w:p>
              </w:tc>
              <w:tc>
                <w:tcPr>
                  <w:tcW w:w="692" w:type="dxa"/>
                  <w:noWrap w:val="0"/>
                  <w:vAlign w:val="center"/>
                </w:tcPr>
                <w:p>
                  <w:pPr>
                    <w:pStyle w:val="57"/>
                    <w:bidi w:val="0"/>
                    <w:rPr>
                      <w:rFonts w:hint="default"/>
                    </w:rPr>
                  </w:pPr>
                  <w:r>
                    <w:rPr>
                      <w:rFonts w:hint="default"/>
                    </w:rPr>
                    <w:t>一级</w:t>
                  </w:r>
                </w:p>
              </w:tc>
              <w:tc>
                <w:tcPr>
                  <w:tcW w:w="692" w:type="dxa"/>
                  <w:noWrap w:val="0"/>
                  <w:vAlign w:val="center"/>
                </w:tcPr>
                <w:p>
                  <w:pPr>
                    <w:pStyle w:val="57"/>
                    <w:bidi w:val="0"/>
                    <w:rPr>
                      <w:rFonts w:hint="default"/>
                    </w:rPr>
                  </w:pPr>
                  <w:r>
                    <w:rPr>
                      <w:rFonts w:hint="default"/>
                    </w:rPr>
                    <w:t>一级</w:t>
                  </w:r>
                </w:p>
              </w:tc>
              <w:tc>
                <w:tcPr>
                  <w:tcW w:w="692" w:type="dxa"/>
                  <w:noWrap w:val="0"/>
                  <w:vAlign w:val="center"/>
                </w:tcPr>
                <w:p>
                  <w:pPr>
                    <w:pStyle w:val="57"/>
                    <w:bidi w:val="0"/>
                    <w:rPr>
                      <w:rFonts w:hint="default"/>
                    </w:rPr>
                  </w:pPr>
                  <w:r>
                    <w:rPr>
                      <w:rFonts w:hint="default"/>
                    </w:rPr>
                    <w:t>二级</w:t>
                  </w:r>
                </w:p>
              </w:tc>
              <w:tc>
                <w:tcPr>
                  <w:tcW w:w="692" w:type="dxa"/>
                  <w:noWrap w:val="0"/>
                  <w:vAlign w:val="center"/>
                </w:tcPr>
                <w:p>
                  <w:pPr>
                    <w:pStyle w:val="57"/>
                    <w:bidi w:val="0"/>
                    <w:rPr>
                      <w:rFonts w:hint="default"/>
                    </w:rPr>
                  </w:pPr>
                  <w:r>
                    <w:rPr>
                      <w:rFonts w:hint="default"/>
                    </w:rPr>
                    <w:t>二级</w:t>
                  </w:r>
                </w:p>
              </w:tc>
              <w:tc>
                <w:tcPr>
                  <w:tcW w:w="692" w:type="dxa"/>
                  <w:noWrap w:val="0"/>
                  <w:vAlign w:val="center"/>
                </w:tcPr>
                <w:p>
                  <w:pPr>
                    <w:pStyle w:val="57"/>
                    <w:bidi w:val="0"/>
                    <w:rPr>
                      <w:rFonts w:hint="default"/>
                    </w:rPr>
                  </w:pPr>
                  <w:r>
                    <w:rPr>
                      <w:rFonts w:hint="default"/>
                    </w:rPr>
                    <w:t>二级</w:t>
                  </w:r>
                </w:p>
              </w:tc>
              <w:tc>
                <w:tcPr>
                  <w:tcW w:w="692" w:type="dxa"/>
                  <w:noWrap w:val="0"/>
                  <w:vAlign w:val="center"/>
                </w:tcPr>
                <w:p>
                  <w:pPr>
                    <w:pStyle w:val="57"/>
                    <w:bidi w:val="0"/>
                    <w:rPr>
                      <w:rFonts w:hint="default"/>
                    </w:rPr>
                  </w:pPr>
                  <w:r>
                    <w:rPr>
                      <w:rFonts w:hint="default"/>
                    </w:rPr>
                    <w:t>三级</w:t>
                  </w:r>
                </w:p>
              </w:tc>
              <w:tc>
                <w:tcPr>
                  <w:tcW w:w="693" w:type="dxa"/>
                  <w:noWrap w:val="0"/>
                  <w:vAlign w:val="center"/>
                </w:tcPr>
                <w:p>
                  <w:pPr>
                    <w:pStyle w:val="57"/>
                    <w:bidi w:val="0"/>
                    <w:rPr>
                      <w:rFonts w:hint="default"/>
                    </w:rPr>
                  </w:pPr>
                  <w:r>
                    <w:rPr>
                      <w:rFonts w:hint="default"/>
                    </w:rPr>
                    <w:t>三级</w:t>
                  </w:r>
                </w:p>
              </w:tc>
              <w:tc>
                <w:tcPr>
                  <w:tcW w:w="693" w:type="dxa"/>
                  <w:noWrap w:val="0"/>
                  <w:vAlign w:val="center"/>
                </w:tcPr>
                <w:p>
                  <w:pPr>
                    <w:pStyle w:val="57"/>
                    <w:bidi w:val="0"/>
                    <w:rPr>
                      <w:rFonts w:hint="default"/>
                    </w:rPr>
                  </w:pPr>
                  <w:r>
                    <w:rPr>
                      <w:rFonts w:hint="default"/>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noWrap w:val="0"/>
                  <w:vAlign w:val="center"/>
                </w:tcPr>
                <w:p>
                  <w:pPr>
                    <w:pStyle w:val="57"/>
                    <w:bidi w:val="0"/>
                    <w:rPr>
                      <w:rFonts w:hint="default"/>
                    </w:rPr>
                  </w:pPr>
                  <w:r>
                    <w:rPr>
                      <w:rFonts w:hint="default"/>
                    </w:rPr>
                    <w:t>较敏感</w:t>
                  </w:r>
                </w:p>
              </w:tc>
              <w:tc>
                <w:tcPr>
                  <w:tcW w:w="692" w:type="dxa"/>
                  <w:noWrap w:val="0"/>
                  <w:vAlign w:val="center"/>
                </w:tcPr>
                <w:p>
                  <w:pPr>
                    <w:pStyle w:val="57"/>
                    <w:bidi w:val="0"/>
                    <w:rPr>
                      <w:rFonts w:hint="default"/>
                    </w:rPr>
                  </w:pPr>
                  <w:r>
                    <w:rPr>
                      <w:rFonts w:hint="default"/>
                    </w:rPr>
                    <w:t>一级</w:t>
                  </w:r>
                </w:p>
              </w:tc>
              <w:tc>
                <w:tcPr>
                  <w:tcW w:w="692" w:type="dxa"/>
                  <w:noWrap w:val="0"/>
                  <w:vAlign w:val="center"/>
                </w:tcPr>
                <w:p>
                  <w:pPr>
                    <w:pStyle w:val="57"/>
                    <w:bidi w:val="0"/>
                    <w:rPr>
                      <w:rFonts w:hint="default"/>
                    </w:rPr>
                  </w:pPr>
                  <w:r>
                    <w:rPr>
                      <w:rFonts w:hint="default"/>
                    </w:rPr>
                    <w:t>一级</w:t>
                  </w:r>
                </w:p>
              </w:tc>
              <w:tc>
                <w:tcPr>
                  <w:tcW w:w="692" w:type="dxa"/>
                  <w:noWrap w:val="0"/>
                  <w:vAlign w:val="center"/>
                </w:tcPr>
                <w:p>
                  <w:pPr>
                    <w:pStyle w:val="57"/>
                    <w:bidi w:val="0"/>
                    <w:rPr>
                      <w:rFonts w:hint="default"/>
                    </w:rPr>
                  </w:pPr>
                  <w:r>
                    <w:rPr>
                      <w:rFonts w:hint="default"/>
                    </w:rPr>
                    <w:t>二级</w:t>
                  </w:r>
                </w:p>
              </w:tc>
              <w:tc>
                <w:tcPr>
                  <w:tcW w:w="692" w:type="dxa"/>
                  <w:noWrap w:val="0"/>
                  <w:vAlign w:val="center"/>
                </w:tcPr>
                <w:p>
                  <w:pPr>
                    <w:pStyle w:val="57"/>
                    <w:bidi w:val="0"/>
                    <w:rPr>
                      <w:rFonts w:hint="default"/>
                    </w:rPr>
                  </w:pPr>
                  <w:r>
                    <w:rPr>
                      <w:rFonts w:hint="default"/>
                    </w:rPr>
                    <w:t>二级</w:t>
                  </w:r>
                </w:p>
              </w:tc>
              <w:tc>
                <w:tcPr>
                  <w:tcW w:w="692" w:type="dxa"/>
                  <w:noWrap w:val="0"/>
                  <w:vAlign w:val="center"/>
                </w:tcPr>
                <w:p>
                  <w:pPr>
                    <w:pStyle w:val="57"/>
                    <w:bidi w:val="0"/>
                    <w:rPr>
                      <w:rFonts w:hint="default"/>
                    </w:rPr>
                  </w:pPr>
                  <w:r>
                    <w:rPr>
                      <w:rFonts w:hint="default"/>
                    </w:rPr>
                    <w:t>二级</w:t>
                  </w:r>
                </w:p>
              </w:tc>
              <w:tc>
                <w:tcPr>
                  <w:tcW w:w="692" w:type="dxa"/>
                  <w:noWrap w:val="0"/>
                  <w:vAlign w:val="center"/>
                </w:tcPr>
                <w:p>
                  <w:pPr>
                    <w:pStyle w:val="57"/>
                    <w:bidi w:val="0"/>
                    <w:rPr>
                      <w:rFonts w:hint="default"/>
                    </w:rPr>
                  </w:pPr>
                  <w:r>
                    <w:rPr>
                      <w:rFonts w:hint="default"/>
                    </w:rPr>
                    <w:t>三级</w:t>
                  </w:r>
                </w:p>
              </w:tc>
              <w:tc>
                <w:tcPr>
                  <w:tcW w:w="692" w:type="dxa"/>
                  <w:noWrap w:val="0"/>
                  <w:vAlign w:val="center"/>
                </w:tcPr>
                <w:p>
                  <w:pPr>
                    <w:pStyle w:val="57"/>
                    <w:bidi w:val="0"/>
                    <w:rPr>
                      <w:rFonts w:hint="default"/>
                    </w:rPr>
                  </w:pPr>
                  <w:r>
                    <w:rPr>
                      <w:rFonts w:hint="default"/>
                    </w:rPr>
                    <w:t>三级</w:t>
                  </w:r>
                </w:p>
              </w:tc>
              <w:tc>
                <w:tcPr>
                  <w:tcW w:w="693" w:type="dxa"/>
                  <w:noWrap w:val="0"/>
                  <w:vAlign w:val="center"/>
                </w:tcPr>
                <w:p>
                  <w:pPr>
                    <w:pStyle w:val="57"/>
                    <w:bidi w:val="0"/>
                    <w:rPr>
                      <w:rFonts w:hint="default"/>
                    </w:rPr>
                  </w:pPr>
                  <w:r>
                    <w:rPr>
                      <w:rFonts w:hint="default"/>
                    </w:rPr>
                    <w:t>三级</w:t>
                  </w:r>
                </w:p>
              </w:tc>
              <w:tc>
                <w:tcPr>
                  <w:tcW w:w="693" w:type="dxa"/>
                  <w:noWrap w:val="0"/>
                  <w:vAlign w:val="center"/>
                </w:tcPr>
                <w:p>
                  <w:pPr>
                    <w:pStyle w:val="57"/>
                    <w:bidi w:val="0"/>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76" w:type="dxa"/>
                  <w:noWrap w:val="0"/>
                  <w:vAlign w:val="center"/>
                </w:tcPr>
                <w:p>
                  <w:pPr>
                    <w:pStyle w:val="57"/>
                    <w:bidi w:val="0"/>
                    <w:rPr>
                      <w:rFonts w:hint="default"/>
                    </w:rPr>
                  </w:pPr>
                  <w:r>
                    <w:rPr>
                      <w:rFonts w:hint="default"/>
                    </w:rPr>
                    <w:t>不敏感</w:t>
                  </w:r>
                </w:p>
              </w:tc>
              <w:tc>
                <w:tcPr>
                  <w:tcW w:w="692" w:type="dxa"/>
                  <w:noWrap w:val="0"/>
                  <w:vAlign w:val="center"/>
                </w:tcPr>
                <w:p>
                  <w:pPr>
                    <w:pStyle w:val="57"/>
                    <w:bidi w:val="0"/>
                    <w:rPr>
                      <w:rFonts w:hint="default"/>
                    </w:rPr>
                  </w:pPr>
                  <w:r>
                    <w:rPr>
                      <w:rFonts w:hint="default"/>
                    </w:rPr>
                    <w:t>一级</w:t>
                  </w:r>
                </w:p>
              </w:tc>
              <w:tc>
                <w:tcPr>
                  <w:tcW w:w="692" w:type="dxa"/>
                  <w:noWrap w:val="0"/>
                  <w:vAlign w:val="center"/>
                </w:tcPr>
                <w:p>
                  <w:pPr>
                    <w:pStyle w:val="57"/>
                    <w:bidi w:val="0"/>
                    <w:rPr>
                      <w:rFonts w:hint="default"/>
                    </w:rPr>
                  </w:pPr>
                  <w:r>
                    <w:rPr>
                      <w:rFonts w:hint="default"/>
                    </w:rPr>
                    <w:t>二级</w:t>
                  </w:r>
                </w:p>
              </w:tc>
              <w:tc>
                <w:tcPr>
                  <w:tcW w:w="692" w:type="dxa"/>
                  <w:noWrap w:val="0"/>
                  <w:vAlign w:val="center"/>
                </w:tcPr>
                <w:p>
                  <w:pPr>
                    <w:pStyle w:val="57"/>
                    <w:bidi w:val="0"/>
                    <w:rPr>
                      <w:rFonts w:hint="default"/>
                    </w:rPr>
                  </w:pPr>
                  <w:r>
                    <w:rPr>
                      <w:rFonts w:hint="default"/>
                    </w:rPr>
                    <w:t>二级</w:t>
                  </w:r>
                </w:p>
              </w:tc>
              <w:tc>
                <w:tcPr>
                  <w:tcW w:w="692" w:type="dxa"/>
                  <w:noWrap w:val="0"/>
                  <w:vAlign w:val="center"/>
                </w:tcPr>
                <w:p>
                  <w:pPr>
                    <w:pStyle w:val="57"/>
                    <w:bidi w:val="0"/>
                    <w:rPr>
                      <w:rFonts w:hint="default"/>
                    </w:rPr>
                  </w:pPr>
                  <w:r>
                    <w:rPr>
                      <w:rFonts w:hint="default"/>
                    </w:rPr>
                    <w:t>二级</w:t>
                  </w:r>
                </w:p>
              </w:tc>
              <w:tc>
                <w:tcPr>
                  <w:tcW w:w="692" w:type="dxa"/>
                  <w:noWrap w:val="0"/>
                  <w:vAlign w:val="center"/>
                </w:tcPr>
                <w:p>
                  <w:pPr>
                    <w:pStyle w:val="57"/>
                    <w:bidi w:val="0"/>
                    <w:rPr>
                      <w:rFonts w:hint="default"/>
                    </w:rPr>
                  </w:pPr>
                  <w:r>
                    <w:rPr>
                      <w:rFonts w:hint="default"/>
                    </w:rPr>
                    <w:t>三级</w:t>
                  </w:r>
                </w:p>
              </w:tc>
              <w:tc>
                <w:tcPr>
                  <w:tcW w:w="692" w:type="dxa"/>
                  <w:noWrap w:val="0"/>
                  <w:vAlign w:val="center"/>
                </w:tcPr>
                <w:p>
                  <w:pPr>
                    <w:pStyle w:val="57"/>
                    <w:bidi w:val="0"/>
                    <w:rPr>
                      <w:rFonts w:hint="default"/>
                    </w:rPr>
                  </w:pPr>
                  <w:r>
                    <w:rPr>
                      <w:rFonts w:hint="default"/>
                    </w:rPr>
                    <w:t>三级</w:t>
                  </w:r>
                </w:p>
              </w:tc>
              <w:tc>
                <w:tcPr>
                  <w:tcW w:w="692" w:type="dxa"/>
                  <w:noWrap w:val="0"/>
                  <w:vAlign w:val="center"/>
                </w:tcPr>
                <w:p>
                  <w:pPr>
                    <w:pStyle w:val="57"/>
                    <w:bidi w:val="0"/>
                    <w:rPr>
                      <w:rFonts w:hint="default"/>
                    </w:rPr>
                  </w:pPr>
                  <w:r>
                    <w:rPr>
                      <w:rFonts w:hint="default"/>
                    </w:rPr>
                    <w:t>三级</w:t>
                  </w:r>
                </w:p>
              </w:tc>
              <w:tc>
                <w:tcPr>
                  <w:tcW w:w="693" w:type="dxa"/>
                  <w:noWrap w:val="0"/>
                  <w:vAlign w:val="center"/>
                </w:tcPr>
                <w:p>
                  <w:pPr>
                    <w:pStyle w:val="57"/>
                    <w:bidi w:val="0"/>
                    <w:rPr>
                      <w:rFonts w:hint="default"/>
                    </w:rPr>
                  </w:pPr>
                  <w:r>
                    <w:rPr>
                      <w:rFonts w:hint="default"/>
                    </w:rPr>
                    <w:t>-</w:t>
                  </w:r>
                </w:p>
              </w:tc>
              <w:tc>
                <w:tcPr>
                  <w:tcW w:w="693" w:type="dxa"/>
                  <w:noWrap w:val="0"/>
                  <w:vAlign w:val="center"/>
                </w:tcPr>
                <w:p>
                  <w:pPr>
                    <w:pStyle w:val="57"/>
                    <w:bidi w:val="0"/>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06" w:type="dxa"/>
                  <w:gridSpan w:val="10"/>
                  <w:noWrap w:val="0"/>
                  <w:vAlign w:val="center"/>
                </w:tcPr>
                <w:p>
                  <w:pPr>
                    <w:pStyle w:val="57"/>
                    <w:bidi w:val="0"/>
                    <w:rPr>
                      <w:rFonts w:hint="default"/>
                    </w:rPr>
                  </w:pPr>
                  <w:r>
                    <w:rPr>
                      <w:rFonts w:hint="default"/>
                    </w:rPr>
                    <w:t>注：“-”表示可不开展土壤环境影响评价工作。</w:t>
                  </w:r>
                </w:p>
              </w:tc>
            </w:tr>
          </w:tbl>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7</w:t>
            </w:r>
            <w:r>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 xml:space="preserve"> 运输过程环境影响分析</w:t>
            </w:r>
          </w:p>
          <w:p>
            <w:pPr>
              <w:keepNext w:val="0"/>
              <w:keepLines w:val="0"/>
              <w:suppressLineNumbers w:val="0"/>
              <w:spacing w:before="0" w:beforeAutospacing="0" w:after="0" w:afterAutospacing="0" w:line="360" w:lineRule="auto"/>
              <w:ind w:left="0" w:right="0" w:firstLine="480"/>
              <w:textAlignment w:val="baseline"/>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本项目水泥、粉煤灰均采用罐装车运输，石子运输采用专用的封闭车辆运输，沙石运输采用篷布覆盖。因此，基本可以杜绝沿途物料撒漏引起的粉尘污染。同时，禁止夜间作业，由此避免了夜间车辆噪声影响沿途居民休息，尽可能降低了运输环节对环境的影响。</w:t>
            </w:r>
          </w:p>
          <w:p>
            <w:pPr>
              <w:keepNext w:val="0"/>
              <w:keepLines w:val="0"/>
              <w:suppressLineNumbers w:val="0"/>
              <w:spacing w:before="0" w:beforeAutospacing="0" w:after="0" w:afterAutospacing="0" w:line="360" w:lineRule="auto"/>
              <w:ind w:left="0" w:right="0" w:firstLine="480"/>
              <w:textAlignment w:val="baseline"/>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对于装卸过程，水泥、粉煤灰装卸均采用气体输送方式封闭进罐，同时贮罐顶部采用袋式脉冲袋式除尘器处理，可有效控制粉尘的产生量。</w:t>
            </w:r>
          </w:p>
          <w:p>
            <w:pPr>
              <w:keepNext w:val="0"/>
              <w:keepLines w:val="0"/>
              <w:suppressLineNumbers w:val="0"/>
              <w:spacing w:before="0" w:beforeAutospacing="0" w:after="0" w:afterAutospacing="0" w:line="360" w:lineRule="auto"/>
              <w:ind w:left="0" w:right="0" w:firstLine="480"/>
              <w:textAlignment w:val="baseline"/>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在砂石装卸过程中，如管理不严、操作不当，会产生粉尘及瞬间噪声，建设单位要加强管理，同时尽可能地避免在大风天气进行装卸作业，减少扬尘的产生量，必要时，可采取喷水方式降低扬尘的影响。除此之外，运输车辆出场前应清洗轮胎，站内道路和场地应定期冲洗。为避免噪声扰民事件的发生，</w:t>
            </w:r>
            <w:r>
              <w:rPr>
                <w:rFonts w:hint="default" w:ascii="Times New Roman" w:hAnsi="Times New Roman" w:cs="Times New Roman" w:eastAsiaTheme="minorEastAsia"/>
                <w:bCs/>
                <w:color w:val="000000" w:themeColor="text1"/>
                <w:sz w:val="24"/>
                <w:szCs w:val="24"/>
                <w:highlight w:val="none"/>
                <w:u w:val="none" w:color="auto"/>
                <w14:textFill>
                  <w14:solidFill>
                    <w14:schemeClr w14:val="tx1"/>
                  </w14:solidFill>
                </w14:textFill>
              </w:rPr>
              <w:t>砂石料场</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应</w:t>
            </w:r>
            <w:r>
              <w:rPr>
                <w:rFonts w:hint="default" w:ascii="Times New Roman" w:hAnsi="Times New Roman" w:cs="Times New Roman" w:eastAsiaTheme="minorEastAsia"/>
                <w:bCs/>
                <w:color w:val="000000" w:themeColor="text1"/>
                <w:sz w:val="24"/>
                <w:szCs w:val="24"/>
                <w:highlight w:val="none"/>
                <w:u w:val="none" w:color="auto"/>
                <w14:textFill>
                  <w14:solidFill>
                    <w14:schemeClr w14:val="tx1"/>
                  </w14:solidFill>
                </w14:textFill>
              </w:rPr>
              <w:t>修建围墙，防雨棚，围墙高度应满足运料车卸料时的高度，同时要求下料时做到轻卸缓放，</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严禁在夜间进行砂石装卸作业。</w:t>
            </w:r>
          </w:p>
          <w:p>
            <w:pPr>
              <w:autoSpaceDE w:val="0"/>
              <w:autoSpaceDN w:val="0"/>
              <w:spacing w:line="360" w:lineRule="auto"/>
              <w:ind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建设项目环境风险评价是分析和预测建设项目存在的潜在危险、有害因素，对项目建设和运行期间的可预测突发性事件或事故（一般不包括人为破坏及自然灾害）引起的有毒有害、易燃易爆等物质泄漏，所造成的人身安全与环境影响和损害程度，提出合理可行的防范、应急与减缓措施，分析可能造成突发性事故的污染源及其影响，并以此为环境管理和生产部门提供决策依据。</w:t>
            </w:r>
          </w:p>
          <w:p>
            <w:pPr>
              <w:keepNext w:val="0"/>
              <w:keepLines w:val="0"/>
              <w:suppressLineNumbers w:val="0"/>
              <w:spacing w:before="0" w:beforeAutospacing="0" w:after="0" w:afterAutospacing="0" w:line="360" w:lineRule="auto"/>
              <w:ind w:right="0" w:firstLine="482" w:firstLineChars="200"/>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8</w:t>
            </w:r>
            <w:r>
              <w:rPr>
                <w:rFonts w:hint="default" w:ascii="Times New Roman" w:hAnsi="Times New Roman" w:cs="Times New Roman" w:eastAsiaTheme="minorEastAsia"/>
                <w:b/>
                <w:bCs/>
                <w:color w:val="000000" w:themeColor="text1"/>
                <w:sz w:val="24"/>
                <w:szCs w:val="24"/>
                <w:highlight w:val="none"/>
                <w:u w:val="none" w:color="auto"/>
                <w:lang w:val="en-US" w:eastAsia="zh-CN"/>
                <w14:textFill>
                  <w14:solidFill>
                    <w14:schemeClr w14:val="tx1"/>
                  </w14:solidFill>
                </w14:textFill>
              </w:rPr>
              <w:t>环境风险分析</w:t>
            </w:r>
          </w:p>
          <w:p>
            <w:pPr>
              <w:ind w:firstLine="480"/>
              <w:rPr>
                <w:rFonts w:ascii="Times New Roman" w:hAnsi="Times New Roman" w:eastAsia="宋体" w:cs="Times New Roman"/>
                <w:szCs w:val="24"/>
                <w:u w:val="none" w:color="auto"/>
              </w:rPr>
            </w:pPr>
            <w:r>
              <w:rPr>
                <w:rFonts w:hint="eastAsia" w:ascii="Times New Roman" w:hAnsi="Times New Roman" w:eastAsia="宋体" w:cs="Times New Roman"/>
                <w:szCs w:val="24"/>
                <w:u w:val="none" w:color="auto"/>
                <w:lang w:val="en-US" w:eastAsia="zh-CN"/>
              </w:rPr>
              <w:t>根据该建设项目的工程性质、作业方式及当地环境特征，确定项目风险类型，提出合理可行的防范、应急与减缓措施，以使建设项目事故率、损失和环境影响达到可接受水平。</w:t>
            </w:r>
          </w:p>
          <w:p>
            <w:pPr>
              <w:pStyle w:val="55"/>
              <w:keepNext w:val="0"/>
              <w:keepLines w:val="0"/>
              <w:pageBreakBefore w:val="0"/>
              <w:widowControl w:val="0"/>
              <w:kinsoku/>
              <w:wordWrap/>
              <w:overflowPunct/>
              <w:topLinePunct w:val="0"/>
              <w:autoSpaceDE/>
              <w:autoSpaceDN/>
              <w:bidi w:val="0"/>
              <w:adjustRightInd w:val="0"/>
              <w:snapToGrid w:val="0"/>
              <w:spacing w:line="360" w:lineRule="auto"/>
              <w:ind w:firstLine="462"/>
              <w:textAlignment w:val="auto"/>
              <w:rPr>
                <w:rFonts w:hint="default" w:ascii="Times New Roman" w:hAnsi="Times New Roman" w:eastAsia="宋体" w:cs="Times New Roman"/>
                <w:b w:val="0"/>
                <w:bCs w:val="0"/>
                <w:color w:val="auto"/>
                <w:highlight w:val="none"/>
                <w:u w:val="none" w:color="auto"/>
                <w:lang w:val="en-US" w:eastAsia="zh-CN"/>
              </w:rPr>
            </w:pPr>
            <w:r>
              <w:rPr>
                <w:rFonts w:hint="eastAsia" w:ascii="Times New Roman" w:hAnsi="Times New Roman" w:eastAsia="宋体" w:cs="Times New Roman"/>
                <w:szCs w:val="24"/>
                <w:u w:val="none" w:color="auto"/>
                <w:lang w:val="en-US" w:eastAsia="zh-CN"/>
              </w:rPr>
              <w:t>根据按照《建设项目环境风险评价技术导则》（</w:t>
            </w:r>
            <w:r>
              <w:rPr>
                <w:rFonts w:hint="default" w:ascii="Times New Roman" w:hAnsi="Times New Roman" w:eastAsia="宋体" w:cs="Times New Roman"/>
                <w:szCs w:val="24"/>
                <w:u w:val="none" w:color="auto"/>
                <w:lang w:val="en-US" w:eastAsia="zh-CN"/>
              </w:rPr>
              <w:t>HJ169-2018</w:t>
            </w:r>
            <w:r>
              <w:rPr>
                <w:rFonts w:hint="eastAsia" w:ascii="Times New Roman" w:hAnsi="Times New Roman" w:eastAsia="宋体" w:cs="Times New Roman"/>
                <w:szCs w:val="24"/>
                <w:u w:val="none" w:color="auto"/>
                <w:lang w:val="en-US" w:eastAsia="zh-CN"/>
              </w:rPr>
              <w:t xml:space="preserve">）附录 </w:t>
            </w:r>
            <w:r>
              <w:rPr>
                <w:rFonts w:hint="default" w:ascii="Times New Roman" w:hAnsi="Times New Roman" w:eastAsia="宋体" w:cs="Times New Roman"/>
                <w:szCs w:val="24"/>
                <w:u w:val="none" w:color="auto"/>
                <w:lang w:val="en-US" w:eastAsia="zh-CN"/>
              </w:rPr>
              <w:t xml:space="preserve">B </w:t>
            </w:r>
            <w:r>
              <w:rPr>
                <w:rFonts w:hint="eastAsia" w:ascii="Times New Roman" w:hAnsi="Times New Roman" w:eastAsia="宋体" w:cs="Times New Roman"/>
                <w:szCs w:val="24"/>
                <w:u w:val="none" w:color="auto"/>
                <w:lang w:val="en-US" w:eastAsia="zh-CN"/>
              </w:rPr>
              <w:t>及《重大危险源辨识》（</w:t>
            </w:r>
            <w:r>
              <w:rPr>
                <w:rFonts w:hint="default" w:ascii="Times New Roman" w:hAnsi="Times New Roman" w:eastAsia="宋体" w:cs="Times New Roman"/>
                <w:szCs w:val="24"/>
                <w:u w:val="none" w:color="auto"/>
                <w:lang w:val="en-US" w:eastAsia="zh-CN"/>
              </w:rPr>
              <w:t>GB18218-2018</w:t>
            </w:r>
            <w:r>
              <w:rPr>
                <w:rFonts w:hint="eastAsia" w:ascii="Times New Roman" w:hAnsi="Times New Roman" w:eastAsia="宋体" w:cs="Times New Roman"/>
                <w:szCs w:val="24"/>
                <w:u w:val="none" w:color="auto"/>
                <w:lang w:val="en-US" w:eastAsia="zh-CN"/>
              </w:rPr>
              <w:t>），本项目涉及有毒有害和易燃易爆等危险化学品主要为</w:t>
            </w:r>
            <w:r>
              <w:rPr>
                <w:rFonts w:hint="default" w:ascii="Times New Roman" w:hAnsi="Times New Roman" w:eastAsia="宋体" w:cs="Times New Roman"/>
                <w:b w:val="0"/>
                <w:bCs w:val="0"/>
                <w:color w:val="auto"/>
                <w:highlight w:val="none"/>
                <w:u w:val="none" w:color="auto"/>
                <w:lang w:val="en-US" w:eastAsia="zh-CN"/>
              </w:rPr>
              <w:t>萘磺酸钠甲醛缩合物</w:t>
            </w:r>
            <w:r>
              <w:rPr>
                <w:rFonts w:hint="eastAsia" w:cs="Times New Roman"/>
                <w:b w:val="0"/>
                <w:bCs w:val="0"/>
                <w:color w:val="auto"/>
                <w:highlight w:val="none"/>
                <w:u w:val="none" w:color="auto"/>
                <w:lang w:val="en-US" w:eastAsia="zh-CN"/>
              </w:rPr>
              <w:t>、石油沥青、柴油</w:t>
            </w:r>
            <w:r>
              <w:rPr>
                <w:rFonts w:hint="default" w:ascii="Times New Roman" w:hAnsi="Times New Roman" w:eastAsia="宋体" w:cs="Times New Roman"/>
                <w:b w:val="0"/>
                <w:bCs w:val="0"/>
                <w:color w:val="auto"/>
                <w:highlight w:val="none"/>
                <w:u w:val="none" w:color="auto"/>
                <w:lang w:val="en-US" w:eastAsia="zh-CN"/>
              </w:rPr>
              <w:t>。</w:t>
            </w:r>
          </w:p>
          <w:p>
            <w:pPr>
              <w:spacing w:line="240" w:lineRule="auto"/>
              <w:ind w:firstLine="0" w:firstLineChars="0"/>
              <w:jc w:val="center"/>
              <w:rPr>
                <w:rFonts w:ascii="Times New Roman" w:hAnsi="Times New Roman" w:eastAsia="宋体" w:cs="Times New Roman"/>
                <w:b/>
                <w:bCs/>
                <w:color w:val="000000"/>
                <w:sz w:val="21"/>
                <w:szCs w:val="21"/>
                <w:u w:val="none" w:color="auto"/>
              </w:rPr>
            </w:pPr>
            <w:r>
              <w:rPr>
                <w:rFonts w:ascii="Times New Roman" w:hAnsi="Times New Roman" w:eastAsia="宋体" w:cs="Times New Roman"/>
                <w:b/>
                <w:bCs/>
                <w:color w:val="000000"/>
                <w:sz w:val="21"/>
                <w:szCs w:val="21"/>
                <w:u w:val="none" w:color="auto"/>
              </w:rPr>
              <w:t>表4-</w:t>
            </w:r>
            <w:r>
              <w:rPr>
                <w:rFonts w:hint="eastAsia" w:ascii="Times New Roman" w:hAnsi="Times New Roman" w:eastAsia="宋体" w:cs="Times New Roman"/>
                <w:b/>
                <w:bCs/>
                <w:color w:val="000000"/>
                <w:sz w:val="21"/>
                <w:szCs w:val="21"/>
                <w:u w:val="none" w:color="auto"/>
              </w:rPr>
              <w:t>1</w:t>
            </w:r>
            <w:r>
              <w:rPr>
                <w:rFonts w:hint="eastAsia" w:ascii="Times New Roman" w:hAnsi="Times New Roman" w:eastAsia="宋体" w:cs="Times New Roman"/>
                <w:b/>
                <w:bCs/>
                <w:color w:val="000000"/>
                <w:sz w:val="21"/>
                <w:szCs w:val="21"/>
                <w:u w:val="none" w:color="auto"/>
                <w:lang w:val="en-US" w:eastAsia="zh-CN"/>
              </w:rPr>
              <w:t>5</w:t>
            </w:r>
            <w:r>
              <w:rPr>
                <w:rFonts w:ascii="Times New Roman" w:hAnsi="Times New Roman" w:eastAsia="宋体" w:cs="Times New Roman"/>
                <w:b/>
                <w:bCs/>
                <w:color w:val="000000"/>
                <w:sz w:val="21"/>
                <w:szCs w:val="21"/>
                <w:u w:val="none" w:color="auto"/>
              </w:rPr>
              <w:t xml:space="preserve">  评价工作等级划分</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0"/>
              <w:gridCol w:w="1596"/>
              <w:gridCol w:w="1596"/>
              <w:gridCol w:w="1596"/>
              <w:gridCol w:w="16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3" w:type="pct"/>
                  <w:noWrap w:val="0"/>
                  <w:vAlign w:val="center"/>
                </w:tcPr>
                <w:p>
                  <w:pPr>
                    <w:spacing w:line="240" w:lineRule="auto"/>
                    <w:ind w:firstLine="0" w:firstLineChars="0"/>
                    <w:jc w:val="center"/>
                    <w:rPr>
                      <w:rFonts w:ascii="Times New Roman" w:hAnsi="Times New Roman" w:eastAsia="宋体" w:cs="Times New Roman"/>
                      <w:color w:val="000000"/>
                      <w:sz w:val="21"/>
                      <w:szCs w:val="21"/>
                      <w:u w:val="none" w:color="auto"/>
                    </w:rPr>
                  </w:pPr>
                  <w:r>
                    <w:rPr>
                      <w:rFonts w:ascii="Times New Roman" w:hAnsi="Times New Roman" w:eastAsia="宋体" w:cs="Times New Roman"/>
                      <w:color w:val="000000"/>
                      <w:sz w:val="21"/>
                      <w:szCs w:val="21"/>
                      <w:u w:val="none" w:color="auto"/>
                    </w:rPr>
                    <w:t>环境风险潜势</w:t>
                  </w:r>
                </w:p>
              </w:tc>
              <w:tc>
                <w:tcPr>
                  <w:tcW w:w="968" w:type="pct"/>
                  <w:noWrap w:val="0"/>
                  <w:vAlign w:val="center"/>
                </w:tcPr>
                <w:p>
                  <w:pPr>
                    <w:spacing w:line="240" w:lineRule="auto"/>
                    <w:ind w:firstLine="0" w:firstLineChars="0"/>
                    <w:jc w:val="center"/>
                    <w:rPr>
                      <w:rFonts w:ascii="Times New Roman" w:hAnsi="Times New Roman" w:eastAsia="宋体" w:cs="Times New Roman"/>
                      <w:color w:val="000000"/>
                      <w:sz w:val="21"/>
                      <w:szCs w:val="21"/>
                      <w:u w:val="none" w:color="auto"/>
                    </w:rPr>
                  </w:pPr>
                  <w:r>
                    <w:rPr>
                      <w:rFonts w:ascii="Times New Roman" w:hAnsi="Times New Roman" w:eastAsia="宋体" w:cs="Times New Roman"/>
                      <w:color w:val="000000"/>
                      <w:sz w:val="21"/>
                      <w:szCs w:val="21"/>
                      <w:u w:val="none" w:color="auto"/>
                    </w:rPr>
                    <w:t>Ⅳ、Ⅳ+</w:t>
                  </w:r>
                </w:p>
              </w:tc>
              <w:tc>
                <w:tcPr>
                  <w:tcW w:w="968" w:type="pct"/>
                  <w:noWrap w:val="0"/>
                  <w:vAlign w:val="center"/>
                </w:tcPr>
                <w:p>
                  <w:pPr>
                    <w:spacing w:line="240" w:lineRule="auto"/>
                    <w:ind w:firstLine="0" w:firstLineChars="0"/>
                    <w:jc w:val="center"/>
                    <w:rPr>
                      <w:rFonts w:ascii="Times New Roman" w:hAnsi="Times New Roman" w:eastAsia="宋体" w:cs="Times New Roman"/>
                      <w:color w:val="000000"/>
                      <w:sz w:val="21"/>
                      <w:szCs w:val="21"/>
                      <w:u w:val="none" w:color="auto"/>
                    </w:rPr>
                  </w:pPr>
                  <w:r>
                    <w:rPr>
                      <w:rFonts w:ascii="Times New Roman" w:hAnsi="Times New Roman" w:eastAsia="宋体" w:cs="Times New Roman"/>
                      <w:color w:val="000000"/>
                      <w:sz w:val="21"/>
                      <w:szCs w:val="21"/>
                      <w:u w:val="none" w:color="auto"/>
                    </w:rPr>
                    <w:t>Ⅲ</w:t>
                  </w:r>
                </w:p>
              </w:tc>
              <w:tc>
                <w:tcPr>
                  <w:tcW w:w="968" w:type="pct"/>
                  <w:noWrap w:val="0"/>
                  <w:vAlign w:val="center"/>
                </w:tcPr>
                <w:p>
                  <w:pPr>
                    <w:spacing w:line="240" w:lineRule="auto"/>
                    <w:ind w:firstLine="0" w:firstLineChars="0"/>
                    <w:jc w:val="center"/>
                    <w:rPr>
                      <w:rFonts w:ascii="Times New Roman" w:hAnsi="Times New Roman" w:eastAsia="宋体" w:cs="Times New Roman"/>
                      <w:color w:val="000000"/>
                      <w:sz w:val="21"/>
                      <w:szCs w:val="21"/>
                      <w:u w:val="none" w:color="auto"/>
                    </w:rPr>
                  </w:pPr>
                  <w:r>
                    <w:rPr>
                      <w:rFonts w:ascii="Times New Roman" w:hAnsi="Times New Roman" w:eastAsia="宋体" w:cs="Times New Roman"/>
                      <w:color w:val="000000"/>
                      <w:sz w:val="21"/>
                      <w:szCs w:val="21"/>
                      <w:u w:val="none" w:color="auto"/>
                    </w:rPr>
                    <w:t>Ⅱ</w:t>
                  </w:r>
                </w:p>
              </w:tc>
              <w:tc>
                <w:tcPr>
                  <w:tcW w:w="970" w:type="pct"/>
                  <w:noWrap w:val="0"/>
                  <w:vAlign w:val="center"/>
                </w:tcPr>
                <w:p>
                  <w:pPr>
                    <w:spacing w:line="240" w:lineRule="auto"/>
                    <w:ind w:firstLine="0" w:firstLineChars="0"/>
                    <w:jc w:val="center"/>
                    <w:rPr>
                      <w:rFonts w:ascii="Times New Roman" w:hAnsi="Times New Roman" w:eastAsia="宋体" w:cs="Times New Roman"/>
                      <w:color w:val="000000"/>
                      <w:sz w:val="21"/>
                      <w:szCs w:val="21"/>
                      <w:u w:val="none" w:color="auto"/>
                    </w:rPr>
                  </w:pPr>
                  <w:r>
                    <w:rPr>
                      <w:rFonts w:ascii="Times New Roman" w:hAnsi="Times New Roman" w:eastAsia="宋体" w:cs="Times New Roman"/>
                      <w:color w:val="000000"/>
                      <w:sz w:val="21"/>
                      <w:szCs w:val="21"/>
                      <w:u w:val="none" w:color="auto"/>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3" w:type="pct"/>
                  <w:noWrap w:val="0"/>
                  <w:vAlign w:val="center"/>
                </w:tcPr>
                <w:p>
                  <w:pPr>
                    <w:spacing w:line="240" w:lineRule="auto"/>
                    <w:ind w:firstLine="0" w:firstLineChars="0"/>
                    <w:jc w:val="center"/>
                    <w:rPr>
                      <w:rFonts w:ascii="Times New Roman" w:hAnsi="Times New Roman" w:eastAsia="宋体" w:cs="Times New Roman"/>
                      <w:color w:val="000000"/>
                      <w:sz w:val="21"/>
                      <w:szCs w:val="21"/>
                      <w:u w:val="none" w:color="auto"/>
                    </w:rPr>
                  </w:pPr>
                  <w:r>
                    <w:rPr>
                      <w:rFonts w:ascii="Times New Roman" w:hAnsi="Times New Roman" w:eastAsia="宋体" w:cs="Times New Roman"/>
                      <w:color w:val="000000"/>
                      <w:sz w:val="21"/>
                      <w:szCs w:val="21"/>
                      <w:u w:val="none" w:color="auto"/>
                    </w:rPr>
                    <w:t>评价工作等级</w:t>
                  </w:r>
                </w:p>
              </w:tc>
              <w:tc>
                <w:tcPr>
                  <w:tcW w:w="968" w:type="pct"/>
                  <w:noWrap w:val="0"/>
                  <w:vAlign w:val="center"/>
                </w:tcPr>
                <w:p>
                  <w:pPr>
                    <w:spacing w:line="240" w:lineRule="auto"/>
                    <w:ind w:firstLine="0" w:firstLineChars="0"/>
                    <w:jc w:val="center"/>
                    <w:rPr>
                      <w:rFonts w:ascii="Times New Roman" w:hAnsi="Times New Roman" w:eastAsia="宋体" w:cs="Times New Roman"/>
                      <w:color w:val="000000"/>
                      <w:sz w:val="21"/>
                      <w:szCs w:val="21"/>
                      <w:u w:val="none" w:color="auto"/>
                    </w:rPr>
                  </w:pPr>
                  <w:r>
                    <w:rPr>
                      <w:rFonts w:ascii="Times New Roman" w:hAnsi="Times New Roman" w:eastAsia="宋体" w:cs="Times New Roman"/>
                      <w:color w:val="000000"/>
                      <w:sz w:val="21"/>
                      <w:szCs w:val="21"/>
                      <w:u w:val="none" w:color="auto"/>
                    </w:rPr>
                    <w:t>一</w:t>
                  </w:r>
                </w:p>
              </w:tc>
              <w:tc>
                <w:tcPr>
                  <w:tcW w:w="968" w:type="pct"/>
                  <w:noWrap w:val="0"/>
                  <w:vAlign w:val="center"/>
                </w:tcPr>
                <w:p>
                  <w:pPr>
                    <w:spacing w:line="240" w:lineRule="auto"/>
                    <w:ind w:firstLine="0" w:firstLineChars="0"/>
                    <w:jc w:val="center"/>
                    <w:rPr>
                      <w:rFonts w:ascii="Times New Roman" w:hAnsi="Times New Roman" w:eastAsia="宋体" w:cs="Times New Roman"/>
                      <w:color w:val="000000"/>
                      <w:sz w:val="21"/>
                      <w:szCs w:val="21"/>
                      <w:u w:val="none" w:color="auto"/>
                    </w:rPr>
                  </w:pPr>
                  <w:r>
                    <w:rPr>
                      <w:rFonts w:ascii="Times New Roman" w:hAnsi="Times New Roman" w:eastAsia="宋体" w:cs="Times New Roman"/>
                      <w:color w:val="000000"/>
                      <w:sz w:val="21"/>
                      <w:szCs w:val="21"/>
                      <w:u w:val="none" w:color="auto"/>
                    </w:rPr>
                    <w:t>二</w:t>
                  </w:r>
                </w:p>
              </w:tc>
              <w:tc>
                <w:tcPr>
                  <w:tcW w:w="968" w:type="pct"/>
                  <w:noWrap w:val="0"/>
                  <w:vAlign w:val="center"/>
                </w:tcPr>
                <w:p>
                  <w:pPr>
                    <w:spacing w:line="240" w:lineRule="auto"/>
                    <w:ind w:firstLine="0" w:firstLineChars="0"/>
                    <w:jc w:val="center"/>
                    <w:rPr>
                      <w:rFonts w:ascii="Times New Roman" w:hAnsi="Times New Roman" w:eastAsia="宋体" w:cs="Times New Roman"/>
                      <w:color w:val="000000"/>
                      <w:sz w:val="21"/>
                      <w:szCs w:val="21"/>
                      <w:u w:val="none" w:color="auto"/>
                    </w:rPr>
                  </w:pPr>
                  <w:r>
                    <w:rPr>
                      <w:rFonts w:ascii="Times New Roman" w:hAnsi="Times New Roman" w:eastAsia="宋体" w:cs="Times New Roman"/>
                      <w:color w:val="000000"/>
                      <w:sz w:val="21"/>
                      <w:szCs w:val="21"/>
                      <w:u w:val="none" w:color="auto"/>
                    </w:rPr>
                    <w:t>三</w:t>
                  </w:r>
                </w:p>
              </w:tc>
              <w:tc>
                <w:tcPr>
                  <w:tcW w:w="970" w:type="pct"/>
                  <w:noWrap w:val="0"/>
                  <w:vAlign w:val="center"/>
                </w:tcPr>
                <w:p>
                  <w:pPr>
                    <w:spacing w:line="240" w:lineRule="auto"/>
                    <w:ind w:firstLine="0" w:firstLineChars="0"/>
                    <w:jc w:val="center"/>
                    <w:rPr>
                      <w:rFonts w:ascii="Times New Roman" w:hAnsi="Times New Roman" w:eastAsia="宋体" w:cs="Times New Roman"/>
                      <w:color w:val="000000"/>
                      <w:sz w:val="21"/>
                      <w:szCs w:val="21"/>
                      <w:u w:val="none" w:color="auto"/>
                    </w:rPr>
                  </w:pPr>
                  <w:r>
                    <w:rPr>
                      <w:rFonts w:ascii="Times New Roman" w:hAnsi="Times New Roman" w:eastAsia="宋体" w:cs="Times New Roman"/>
                      <w:color w:val="000000"/>
                      <w:sz w:val="21"/>
                      <w:szCs w:val="21"/>
                      <w:u w:val="none" w:color="auto"/>
                    </w:rPr>
                    <w:t>简单分析a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pPr>
                    <w:spacing w:line="240" w:lineRule="auto"/>
                    <w:ind w:firstLine="0" w:firstLineChars="0"/>
                    <w:rPr>
                      <w:rFonts w:ascii="Times New Roman" w:hAnsi="Times New Roman" w:eastAsia="宋体" w:cs="Times New Roman"/>
                      <w:color w:val="000000"/>
                      <w:sz w:val="21"/>
                      <w:szCs w:val="21"/>
                      <w:u w:val="none" w:color="auto"/>
                    </w:rPr>
                  </w:pPr>
                  <w:r>
                    <w:rPr>
                      <w:rFonts w:ascii="Times New Roman" w:hAnsi="Times New Roman" w:eastAsia="宋体" w:cs="Times New Roman"/>
                      <w:color w:val="000000"/>
                      <w:sz w:val="21"/>
                      <w:szCs w:val="21"/>
                      <w:u w:val="none" w:color="auto"/>
                    </w:rPr>
                    <w:t>a是相对于详细评价工作内容而言，在描述危险物质、环境影响途径、环境危害后果、风险防范措施等方面给出定性的说明。见附录A。</w:t>
                  </w:r>
                </w:p>
              </w:tc>
            </w:tr>
          </w:tbl>
          <w:p>
            <w:pPr>
              <w:ind w:firstLine="480"/>
              <w:rPr>
                <w:rFonts w:hint="eastAsia" w:ascii="Times New Roman" w:hAnsi="Times New Roman" w:eastAsia="宋体" w:cs="Times New Roman"/>
                <w:szCs w:val="24"/>
                <w:u w:val="none" w:color="auto"/>
              </w:rPr>
            </w:pPr>
            <w:r>
              <w:rPr>
                <w:rFonts w:hint="eastAsia" w:ascii="Times New Roman" w:hAnsi="Times New Roman" w:eastAsia="宋体" w:cs="Times New Roman"/>
                <w:szCs w:val="24"/>
                <w:u w:val="none" w:color="auto"/>
              </w:rPr>
              <w:t>按下式计算物质总量与其临界量比值（Q)。</w:t>
            </w:r>
          </w:p>
          <w:p>
            <w:pPr>
              <w:ind w:left="0" w:leftChars="0" w:firstLine="0" w:firstLineChars="0"/>
              <w:jc w:val="center"/>
              <w:rPr>
                <w:rFonts w:hint="eastAsia" w:ascii="Times New Roman" w:hAnsi="Times New Roman" w:eastAsia="宋体" w:cs="Times New Roman"/>
                <w:szCs w:val="24"/>
                <w:u w:val="none" w:color="auto"/>
              </w:rPr>
            </w:pPr>
            <w:r>
              <w:rPr>
                <w:rFonts w:hint="eastAsia" w:ascii="Times New Roman" w:hAnsi="Times New Roman" w:eastAsia="宋体" w:cs="Times New Roman"/>
                <w:szCs w:val="24"/>
                <w:u w:val="none" w:color="auto"/>
              </w:rPr>
              <w:t>Q</w:t>
            </w:r>
            <w:r>
              <w:rPr>
                <w:rFonts w:hint="eastAsia" w:ascii="Times New Roman" w:hAnsi="Times New Roman" w:eastAsia="宋体" w:cs="Times New Roman"/>
                <w:szCs w:val="24"/>
                <w:u w:val="none" w:color="auto"/>
                <w:lang w:val="en-US" w:eastAsia="zh-CN"/>
              </w:rPr>
              <w:t>=</w:t>
            </w:r>
            <w:r>
              <w:rPr>
                <w:rFonts w:hint="eastAsia" w:ascii="Times New Roman" w:hAnsi="Times New Roman" w:eastAsia="宋体" w:cs="Times New Roman"/>
                <w:szCs w:val="24"/>
                <w:u w:val="none" w:color="auto"/>
              </w:rPr>
              <w:t>q</w:t>
            </w:r>
            <w:r>
              <w:rPr>
                <w:rFonts w:hint="eastAsia" w:ascii="Times New Roman" w:hAnsi="Times New Roman" w:eastAsia="宋体" w:cs="Times New Roman"/>
                <w:szCs w:val="24"/>
                <w:u w:val="none" w:color="auto"/>
                <w:vertAlign w:val="subscript"/>
                <w:lang w:val="en-US" w:eastAsia="zh-CN"/>
              </w:rPr>
              <w:t>1</w:t>
            </w:r>
            <w:r>
              <w:rPr>
                <w:rFonts w:hint="eastAsia" w:ascii="Times New Roman" w:hAnsi="Times New Roman" w:eastAsia="宋体" w:cs="Times New Roman"/>
                <w:szCs w:val="24"/>
                <w:u w:val="none" w:color="auto"/>
              </w:rPr>
              <w:t>/Q</w:t>
            </w:r>
            <w:r>
              <w:rPr>
                <w:rFonts w:hint="eastAsia" w:ascii="Times New Roman" w:hAnsi="Times New Roman" w:eastAsia="宋体" w:cs="Times New Roman"/>
                <w:szCs w:val="24"/>
                <w:u w:val="none" w:color="auto"/>
                <w:vertAlign w:val="subscript"/>
              </w:rPr>
              <w:t>1</w:t>
            </w:r>
            <w:r>
              <w:rPr>
                <w:rFonts w:hint="eastAsia" w:ascii="Times New Roman" w:hAnsi="Times New Roman" w:eastAsia="宋体" w:cs="Times New Roman"/>
                <w:szCs w:val="24"/>
                <w:u w:val="none" w:color="auto"/>
              </w:rPr>
              <w:t>+q</w:t>
            </w:r>
            <w:r>
              <w:rPr>
                <w:rFonts w:hint="eastAsia" w:ascii="Times New Roman" w:hAnsi="Times New Roman" w:eastAsia="宋体" w:cs="Times New Roman"/>
                <w:szCs w:val="24"/>
                <w:u w:val="none" w:color="auto"/>
                <w:vertAlign w:val="subscript"/>
              </w:rPr>
              <w:t>2</w:t>
            </w:r>
            <w:r>
              <w:rPr>
                <w:rFonts w:hint="eastAsia" w:ascii="Times New Roman" w:hAnsi="Times New Roman" w:eastAsia="宋体" w:cs="Times New Roman"/>
                <w:szCs w:val="24"/>
                <w:u w:val="none" w:color="auto"/>
              </w:rPr>
              <w:t>/Q</w:t>
            </w:r>
            <w:r>
              <w:rPr>
                <w:rFonts w:hint="eastAsia" w:ascii="Times New Roman" w:hAnsi="Times New Roman" w:eastAsia="宋体" w:cs="Times New Roman"/>
                <w:szCs w:val="24"/>
                <w:u w:val="none" w:color="auto"/>
                <w:vertAlign w:val="subscript"/>
              </w:rPr>
              <w:t>2</w:t>
            </w:r>
            <w:r>
              <w:rPr>
                <w:rFonts w:hint="eastAsia" w:ascii="Times New Roman" w:hAnsi="Times New Roman" w:eastAsia="宋体" w:cs="Times New Roman"/>
                <w:szCs w:val="24"/>
                <w:u w:val="none" w:color="auto"/>
              </w:rPr>
              <w:t>+…+qn/Qn</w:t>
            </w:r>
          </w:p>
          <w:p>
            <w:pPr>
              <w:ind w:firstLine="480"/>
              <w:rPr>
                <w:rFonts w:hint="eastAsia" w:ascii="Times New Roman" w:hAnsi="Times New Roman" w:eastAsia="宋体" w:cs="Times New Roman"/>
                <w:szCs w:val="24"/>
                <w:u w:val="none" w:color="auto"/>
                <w:lang w:eastAsia="zh-CN"/>
              </w:rPr>
            </w:pPr>
            <w:r>
              <w:rPr>
                <w:rFonts w:hint="eastAsia" w:ascii="Times New Roman" w:hAnsi="Times New Roman" w:eastAsia="宋体" w:cs="Times New Roman"/>
                <w:szCs w:val="24"/>
                <w:u w:val="none" w:color="auto"/>
              </w:rPr>
              <w:t>式中</w:t>
            </w:r>
            <w:r>
              <w:rPr>
                <w:rFonts w:hint="eastAsia" w:ascii="Times New Roman" w:hAnsi="Times New Roman" w:eastAsia="宋体" w:cs="Times New Roman"/>
                <w:szCs w:val="24"/>
                <w:u w:val="none" w:color="auto"/>
                <w:lang w:eastAsia="zh-CN"/>
              </w:rPr>
              <w:t>：</w:t>
            </w:r>
            <w:r>
              <w:rPr>
                <w:rFonts w:hint="eastAsia" w:ascii="Times New Roman" w:hAnsi="Times New Roman" w:eastAsia="宋体" w:cs="Times New Roman"/>
                <w:szCs w:val="24"/>
                <w:u w:val="none" w:color="auto"/>
              </w:rPr>
              <w:t>q</w:t>
            </w:r>
            <w:r>
              <w:rPr>
                <w:rFonts w:hint="eastAsia" w:ascii="Times New Roman" w:hAnsi="Times New Roman" w:eastAsia="宋体" w:cs="Times New Roman"/>
                <w:szCs w:val="24"/>
                <w:u w:val="none" w:color="auto"/>
                <w:vertAlign w:val="subscript"/>
              </w:rPr>
              <w:t>1</w:t>
            </w:r>
            <w:r>
              <w:rPr>
                <w:rFonts w:hint="eastAsia" w:ascii="Times New Roman" w:hAnsi="Times New Roman" w:eastAsia="宋体" w:cs="Times New Roman"/>
                <w:szCs w:val="24"/>
                <w:u w:val="none" w:color="auto"/>
              </w:rPr>
              <w:t>，q</w:t>
            </w:r>
            <w:r>
              <w:rPr>
                <w:rFonts w:hint="eastAsia" w:ascii="Times New Roman" w:hAnsi="Times New Roman" w:eastAsia="宋体" w:cs="Times New Roman"/>
                <w:szCs w:val="24"/>
                <w:u w:val="none" w:color="auto"/>
                <w:vertAlign w:val="subscript"/>
              </w:rPr>
              <w:t>2</w:t>
            </w:r>
            <w:r>
              <w:rPr>
                <w:rFonts w:hint="eastAsia" w:ascii="Times New Roman" w:hAnsi="Times New Roman" w:eastAsia="宋体" w:cs="Times New Roman"/>
                <w:szCs w:val="24"/>
                <w:u w:val="none" w:color="auto"/>
              </w:rPr>
              <w:t>，...，qn——每种危险物质的最大存在总量，t</w:t>
            </w:r>
            <w:r>
              <w:rPr>
                <w:rFonts w:hint="eastAsia" w:ascii="Times New Roman" w:hAnsi="Times New Roman" w:eastAsia="宋体" w:cs="Times New Roman"/>
                <w:szCs w:val="24"/>
                <w:u w:val="none" w:color="auto"/>
                <w:lang w:eastAsia="zh-CN"/>
              </w:rPr>
              <w:t>；</w:t>
            </w:r>
          </w:p>
          <w:p>
            <w:pPr>
              <w:ind w:firstLine="480"/>
              <w:rPr>
                <w:rFonts w:hint="eastAsia" w:ascii="Times New Roman" w:hAnsi="Times New Roman" w:eastAsia="宋体" w:cs="Times New Roman"/>
                <w:szCs w:val="24"/>
                <w:u w:val="none" w:color="auto"/>
              </w:rPr>
            </w:pPr>
            <w:r>
              <w:rPr>
                <w:rFonts w:hint="eastAsia" w:ascii="Times New Roman" w:hAnsi="Times New Roman" w:eastAsia="宋体" w:cs="Times New Roman"/>
                <w:szCs w:val="24"/>
                <w:u w:val="none" w:color="auto"/>
              </w:rPr>
              <w:t>Q</w:t>
            </w:r>
            <w:r>
              <w:rPr>
                <w:rFonts w:hint="eastAsia" w:ascii="Times New Roman" w:hAnsi="Times New Roman" w:eastAsia="宋体" w:cs="Times New Roman"/>
                <w:szCs w:val="24"/>
                <w:u w:val="none" w:color="auto"/>
                <w:vertAlign w:val="subscript"/>
                <w:lang w:val="en-US" w:eastAsia="zh-CN"/>
              </w:rPr>
              <w:t>1</w:t>
            </w:r>
            <w:r>
              <w:rPr>
                <w:rFonts w:hint="eastAsia" w:ascii="Times New Roman" w:hAnsi="Times New Roman" w:eastAsia="宋体" w:cs="Times New Roman"/>
                <w:szCs w:val="24"/>
                <w:u w:val="none" w:color="auto"/>
              </w:rPr>
              <w:t>，Q</w:t>
            </w:r>
            <w:r>
              <w:rPr>
                <w:rFonts w:hint="eastAsia" w:ascii="Times New Roman" w:hAnsi="Times New Roman" w:eastAsia="宋体" w:cs="Times New Roman"/>
                <w:szCs w:val="24"/>
                <w:u w:val="none" w:color="auto"/>
                <w:vertAlign w:val="subscript"/>
                <w:lang w:val="en-US" w:eastAsia="zh-CN"/>
              </w:rPr>
              <w:t>2</w:t>
            </w:r>
            <w:r>
              <w:rPr>
                <w:rFonts w:hint="eastAsia" w:ascii="Times New Roman" w:hAnsi="Times New Roman" w:eastAsia="宋体" w:cs="Times New Roman"/>
                <w:szCs w:val="24"/>
                <w:u w:val="none" w:color="auto"/>
              </w:rPr>
              <w:t>，...，Qn——每种危险物质的临界量，t。</w:t>
            </w:r>
          </w:p>
          <w:p>
            <w:pPr>
              <w:ind w:firstLine="480"/>
              <w:rPr>
                <w:rFonts w:hint="eastAsia" w:ascii="Times New Roman" w:hAnsi="Times New Roman" w:eastAsia="宋体" w:cs="Times New Roman"/>
                <w:szCs w:val="24"/>
                <w:u w:val="none" w:color="auto"/>
                <w:lang w:eastAsia="zh-CN"/>
              </w:rPr>
            </w:pPr>
            <w:r>
              <w:rPr>
                <w:rFonts w:hint="eastAsia" w:ascii="Times New Roman" w:hAnsi="Times New Roman" w:eastAsia="宋体" w:cs="Times New Roman"/>
                <w:szCs w:val="24"/>
                <w:u w:val="none" w:color="auto"/>
              </w:rPr>
              <w:t>本项目危险物质数量与临界量比值（Q）计算过程见下表</w:t>
            </w:r>
            <w:r>
              <w:rPr>
                <w:rFonts w:hint="eastAsia" w:ascii="Times New Roman" w:hAnsi="Times New Roman" w:eastAsia="宋体" w:cs="Times New Roman"/>
                <w:szCs w:val="24"/>
                <w:u w:val="none" w:color="auto"/>
                <w:lang w:eastAsia="zh-CN"/>
              </w:rPr>
              <w:t>：</w:t>
            </w:r>
          </w:p>
          <w:p>
            <w:pPr>
              <w:spacing w:line="240" w:lineRule="auto"/>
              <w:ind w:firstLine="0" w:firstLineChars="0"/>
              <w:jc w:val="center"/>
              <w:rPr>
                <w:rFonts w:ascii="Times New Roman" w:hAnsi="Times New Roman" w:eastAsia="宋体" w:cs="Times New Roman"/>
                <w:b/>
                <w:bCs/>
                <w:sz w:val="21"/>
                <w:szCs w:val="21"/>
                <w:u w:val="none" w:color="auto"/>
              </w:rPr>
            </w:pPr>
          </w:p>
          <w:p>
            <w:pPr>
              <w:spacing w:line="240" w:lineRule="auto"/>
              <w:ind w:firstLine="0" w:firstLineChars="0"/>
              <w:jc w:val="center"/>
              <w:rPr>
                <w:rFonts w:ascii="Times New Roman" w:hAnsi="Times New Roman" w:eastAsia="宋体" w:cs="Times New Roman"/>
                <w:b/>
                <w:bCs/>
                <w:sz w:val="21"/>
                <w:szCs w:val="21"/>
                <w:u w:val="none" w:color="auto"/>
              </w:rPr>
            </w:pPr>
          </w:p>
          <w:p>
            <w:pPr>
              <w:spacing w:line="240" w:lineRule="auto"/>
              <w:ind w:firstLine="0" w:firstLineChars="0"/>
              <w:jc w:val="center"/>
              <w:rPr>
                <w:rFonts w:ascii="Times New Roman" w:hAnsi="Times New Roman" w:eastAsia="宋体" w:cs="Times New Roman"/>
                <w:b/>
                <w:bCs/>
                <w:sz w:val="21"/>
                <w:szCs w:val="21"/>
                <w:u w:val="none" w:color="auto"/>
              </w:rPr>
            </w:pPr>
            <w:r>
              <w:rPr>
                <w:rFonts w:ascii="Times New Roman" w:hAnsi="Times New Roman" w:eastAsia="宋体" w:cs="Times New Roman"/>
                <w:b/>
                <w:bCs/>
                <w:sz w:val="21"/>
                <w:szCs w:val="21"/>
                <w:u w:val="none" w:color="auto"/>
              </w:rPr>
              <w:t>表</w:t>
            </w:r>
            <w:r>
              <w:rPr>
                <w:rFonts w:hint="eastAsia" w:ascii="Times New Roman" w:hAnsi="Times New Roman" w:eastAsia="宋体" w:cs="Times New Roman"/>
                <w:b/>
                <w:bCs/>
                <w:sz w:val="21"/>
                <w:szCs w:val="21"/>
                <w:u w:val="none" w:color="auto"/>
              </w:rPr>
              <w:t>4-1</w:t>
            </w:r>
            <w:r>
              <w:rPr>
                <w:rFonts w:hint="eastAsia" w:ascii="Times New Roman" w:hAnsi="Times New Roman" w:eastAsia="宋体" w:cs="Times New Roman"/>
                <w:b/>
                <w:bCs/>
                <w:sz w:val="21"/>
                <w:szCs w:val="21"/>
                <w:u w:val="none" w:color="auto"/>
                <w:lang w:val="en-US" w:eastAsia="zh-CN"/>
              </w:rPr>
              <w:t>6</w:t>
            </w:r>
            <w:r>
              <w:rPr>
                <w:rFonts w:hint="eastAsia" w:ascii="Times New Roman" w:hAnsi="Times New Roman" w:eastAsia="宋体" w:cs="Times New Roman"/>
                <w:b/>
                <w:bCs/>
                <w:sz w:val="21"/>
                <w:szCs w:val="21"/>
                <w:u w:val="none" w:color="auto"/>
              </w:rPr>
              <w:t xml:space="preserve">  </w:t>
            </w:r>
            <w:r>
              <w:rPr>
                <w:rFonts w:ascii="Times New Roman" w:hAnsi="Times New Roman" w:eastAsia="宋体" w:cs="Times New Roman"/>
                <w:b/>
                <w:bCs/>
                <w:sz w:val="21"/>
                <w:szCs w:val="21"/>
                <w:u w:val="none" w:color="auto"/>
              </w:rPr>
              <w:t>项目重大危险源判别表</w:t>
            </w:r>
          </w:p>
          <w:tbl>
            <w:tblPr>
              <w:tblStyle w:val="23"/>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69"/>
              <w:gridCol w:w="1811"/>
              <w:gridCol w:w="1600"/>
              <w:gridCol w:w="1381"/>
              <w:gridCol w:w="1516"/>
              <w:gridCol w:w="106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27" w:type="pct"/>
                  <w:noWrap w:val="0"/>
                  <w:vAlign w:val="center"/>
                </w:tcPr>
                <w:p>
                  <w:pPr>
                    <w:spacing w:line="240" w:lineRule="auto"/>
                    <w:ind w:firstLine="0" w:firstLineChars="0"/>
                    <w:jc w:val="center"/>
                    <w:rPr>
                      <w:rFonts w:ascii="Times New Roman" w:hAnsi="Times New Roman" w:eastAsia="宋体" w:cs="Times New Roman"/>
                      <w:sz w:val="21"/>
                      <w:szCs w:val="21"/>
                      <w:u w:val="none" w:color="auto"/>
                    </w:rPr>
                  </w:pPr>
                  <w:r>
                    <w:rPr>
                      <w:rFonts w:ascii="Times New Roman" w:hAnsi="Times New Roman" w:eastAsia="宋体" w:cs="Times New Roman"/>
                      <w:sz w:val="21"/>
                      <w:szCs w:val="21"/>
                      <w:u w:val="none" w:color="auto"/>
                    </w:rPr>
                    <w:t>序号</w:t>
                  </w:r>
                </w:p>
              </w:tc>
              <w:tc>
                <w:tcPr>
                  <w:tcW w:w="1098" w:type="pct"/>
                  <w:noWrap w:val="0"/>
                  <w:vAlign w:val="center"/>
                </w:tcPr>
                <w:p>
                  <w:pPr>
                    <w:spacing w:line="240" w:lineRule="auto"/>
                    <w:ind w:firstLine="0" w:firstLineChars="0"/>
                    <w:jc w:val="center"/>
                    <w:rPr>
                      <w:rFonts w:ascii="Times New Roman" w:hAnsi="Times New Roman" w:eastAsia="宋体" w:cs="Times New Roman"/>
                      <w:sz w:val="21"/>
                      <w:szCs w:val="21"/>
                      <w:u w:val="none" w:color="auto"/>
                    </w:rPr>
                  </w:pPr>
                  <w:r>
                    <w:rPr>
                      <w:rFonts w:ascii="Times New Roman" w:hAnsi="Times New Roman" w:eastAsia="宋体" w:cs="Times New Roman"/>
                      <w:sz w:val="21"/>
                      <w:szCs w:val="21"/>
                      <w:u w:val="none" w:color="auto"/>
                    </w:rPr>
                    <w:t>危险物质类别</w:t>
                  </w:r>
                </w:p>
              </w:tc>
              <w:tc>
                <w:tcPr>
                  <w:tcW w:w="970" w:type="pct"/>
                  <w:noWrap w:val="0"/>
                  <w:vAlign w:val="center"/>
                </w:tcPr>
                <w:p>
                  <w:pPr>
                    <w:spacing w:line="240" w:lineRule="auto"/>
                    <w:ind w:firstLine="0" w:firstLineChars="0"/>
                    <w:jc w:val="center"/>
                    <w:rPr>
                      <w:rFonts w:ascii="Times New Roman" w:hAnsi="Times New Roman" w:eastAsia="宋体" w:cs="Times New Roman"/>
                      <w:sz w:val="21"/>
                      <w:szCs w:val="21"/>
                      <w:u w:val="none" w:color="auto"/>
                    </w:rPr>
                  </w:pPr>
                  <w:r>
                    <w:rPr>
                      <w:rFonts w:ascii="Times New Roman" w:hAnsi="Times New Roman" w:eastAsia="宋体" w:cs="Times New Roman"/>
                      <w:sz w:val="21"/>
                      <w:szCs w:val="21"/>
                      <w:u w:val="none" w:color="auto"/>
                    </w:rPr>
                    <w:t>最大存在总量qn/t</w:t>
                  </w:r>
                </w:p>
              </w:tc>
              <w:tc>
                <w:tcPr>
                  <w:tcW w:w="837" w:type="pct"/>
                  <w:noWrap w:val="0"/>
                  <w:vAlign w:val="center"/>
                </w:tcPr>
                <w:p>
                  <w:pPr>
                    <w:spacing w:line="240" w:lineRule="auto"/>
                    <w:ind w:firstLine="0" w:firstLineChars="0"/>
                    <w:jc w:val="center"/>
                    <w:rPr>
                      <w:rFonts w:ascii="Times New Roman" w:hAnsi="Times New Roman" w:eastAsia="宋体" w:cs="Times New Roman"/>
                      <w:sz w:val="21"/>
                      <w:szCs w:val="21"/>
                      <w:u w:val="none" w:color="auto"/>
                    </w:rPr>
                  </w:pPr>
                  <w:r>
                    <w:rPr>
                      <w:rFonts w:ascii="Times New Roman" w:hAnsi="Times New Roman" w:eastAsia="宋体" w:cs="Times New Roman"/>
                      <w:sz w:val="21"/>
                      <w:szCs w:val="21"/>
                      <w:u w:val="none" w:color="auto"/>
                    </w:rPr>
                    <w:t>临界量Qn/t</w:t>
                  </w:r>
                </w:p>
              </w:tc>
              <w:tc>
                <w:tcPr>
                  <w:tcW w:w="919" w:type="pct"/>
                  <w:noWrap w:val="0"/>
                  <w:vAlign w:val="center"/>
                </w:tcPr>
                <w:p>
                  <w:pPr>
                    <w:spacing w:line="240" w:lineRule="auto"/>
                    <w:ind w:firstLine="0" w:firstLineChars="0"/>
                    <w:jc w:val="center"/>
                    <w:rPr>
                      <w:rFonts w:ascii="Times New Roman" w:hAnsi="Times New Roman" w:eastAsia="宋体" w:cs="Times New Roman"/>
                      <w:sz w:val="21"/>
                      <w:szCs w:val="21"/>
                      <w:u w:val="none" w:color="auto"/>
                    </w:rPr>
                  </w:pPr>
                  <w:r>
                    <w:rPr>
                      <w:rFonts w:ascii="Times New Roman" w:hAnsi="Times New Roman" w:eastAsia="宋体" w:cs="Times New Roman"/>
                      <w:sz w:val="21"/>
                      <w:szCs w:val="21"/>
                      <w:u w:val="none" w:color="auto"/>
                    </w:rPr>
                    <w:t>该危险物质</w:t>
                  </w:r>
                </w:p>
                <w:p>
                  <w:pPr>
                    <w:spacing w:line="240" w:lineRule="auto"/>
                    <w:ind w:firstLine="0" w:firstLineChars="0"/>
                    <w:jc w:val="center"/>
                    <w:rPr>
                      <w:rFonts w:ascii="Times New Roman" w:hAnsi="Times New Roman" w:eastAsia="宋体" w:cs="Times New Roman"/>
                      <w:sz w:val="21"/>
                      <w:szCs w:val="21"/>
                      <w:u w:val="none" w:color="auto"/>
                    </w:rPr>
                  </w:pPr>
                  <w:r>
                    <w:rPr>
                      <w:rFonts w:ascii="Times New Roman" w:hAnsi="Times New Roman" w:eastAsia="宋体" w:cs="Times New Roman"/>
                      <w:sz w:val="21"/>
                      <w:szCs w:val="21"/>
                      <w:u w:val="none" w:color="auto"/>
                    </w:rPr>
                    <w:t>q/Q值</w:t>
                  </w:r>
                </w:p>
              </w:tc>
              <w:tc>
                <w:tcPr>
                  <w:tcW w:w="645" w:type="pct"/>
                  <w:noWrap w:val="0"/>
                  <w:vAlign w:val="center"/>
                </w:tcPr>
                <w:p>
                  <w:pPr>
                    <w:spacing w:line="240" w:lineRule="auto"/>
                    <w:ind w:firstLine="0" w:firstLineChars="0"/>
                    <w:jc w:val="center"/>
                    <w:rPr>
                      <w:rFonts w:ascii="Times New Roman" w:hAnsi="Times New Roman" w:eastAsia="宋体" w:cs="Times New Roman"/>
                      <w:sz w:val="21"/>
                      <w:szCs w:val="21"/>
                      <w:u w:val="none" w:color="auto"/>
                    </w:rPr>
                  </w:pPr>
                  <w:r>
                    <w:rPr>
                      <w:rFonts w:ascii="Times New Roman" w:hAnsi="Times New Roman" w:eastAsia="宋体" w:cs="Times New Roman"/>
                      <w:sz w:val="21"/>
                      <w:szCs w:val="21"/>
                      <w:u w:val="none" w:color="auto"/>
                    </w:rPr>
                    <w:t>所在位置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27" w:type="pct"/>
                  <w:noWrap w:val="0"/>
                  <w:vAlign w:val="center"/>
                </w:tcPr>
                <w:p>
                  <w:pPr>
                    <w:spacing w:line="240" w:lineRule="auto"/>
                    <w:ind w:firstLine="0" w:firstLineChars="0"/>
                    <w:jc w:val="center"/>
                    <w:rPr>
                      <w:rFonts w:ascii="Times New Roman" w:hAnsi="Times New Roman" w:eastAsia="宋体" w:cs="Times New Roman"/>
                      <w:sz w:val="21"/>
                      <w:szCs w:val="21"/>
                      <w:u w:val="none" w:color="auto"/>
                    </w:rPr>
                  </w:pPr>
                  <w:r>
                    <w:rPr>
                      <w:rFonts w:ascii="Times New Roman" w:hAnsi="Times New Roman" w:eastAsia="宋体" w:cs="Times New Roman"/>
                      <w:sz w:val="21"/>
                      <w:szCs w:val="21"/>
                      <w:u w:val="none" w:color="auto"/>
                    </w:rPr>
                    <w:t>1</w:t>
                  </w:r>
                </w:p>
              </w:tc>
              <w:tc>
                <w:tcPr>
                  <w:tcW w:w="1098" w:type="pct"/>
                  <w:noWrap w:val="0"/>
                  <w:vAlign w:val="center"/>
                </w:tcPr>
                <w:p>
                  <w:pPr>
                    <w:spacing w:line="240" w:lineRule="auto"/>
                    <w:ind w:firstLine="0" w:firstLineChars="0"/>
                    <w:jc w:val="center"/>
                    <w:rPr>
                      <w:rFonts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lang w:val="en-US" w:eastAsia="zh-CN"/>
                    </w:rPr>
                    <w:t>萘磺酸钠甲醛缩合物</w:t>
                  </w:r>
                </w:p>
              </w:tc>
              <w:tc>
                <w:tcPr>
                  <w:tcW w:w="970" w:type="pct"/>
                  <w:noWrap w:val="0"/>
                  <w:vAlign w:val="center"/>
                </w:tcPr>
                <w:p>
                  <w:pPr>
                    <w:spacing w:line="240" w:lineRule="auto"/>
                    <w:ind w:firstLine="0" w:firstLineChars="0"/>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5</w:t>
                  </w:r>
                </w:p>
              </w:tc>
              <w:tc>
                <w:tcPr>
                  <w:tcW w:w="837" w:type="pct"/>
                  <w:noWrap w:val="0"/>
                  <w:vAlign w:val="center"/>
                </w:tcPr>
                <w:p>
                  <w:pPr>
                    <w:spacing w:line="240" w:lineRule="auto"/>
                    <w:ind w:firstLine="0" w:firstLineChars="0"/>
                    <w:jc w:val="center"/>
                    <w:rPr>
                      <w:rFonts w:hint="default" w:ascii="Times New Roman" w:hAnsi="Times New Roman" w:eastAsia="宋体" w:cs="Times New Roman"/>
                      <w:sz w:val="21"/>
                      <w:szCs w:val="24"/>
                      <w:u w:val="none" w:color="auto"/>
                      <w:lang w:val="en-US" w:eastAsia="zh-CN"/>
                    </w:rPr>
                  </w:pPr>
                  <w:r>
                    <w:rPr>
                      <w:rFonts w:hint="eastAsia" w:ascii="Times New Roman" w:hAnsi="Times New Roman" w:eastAsia="宋体" w:cs="Times New Roman"/>
                      <w:sz w:val="21"/>
                      <w:szCs w:val="24"/>
                      <w:u w:val="none" w:color="auto"/>
                      <w:lang w:val="en-US" w:eastAsia="zh-CN"/>
                    </w:rPr>
                    <w:t>/</w:t>
                  </w:r>
                </w:p>
              </w:tc>
              <w:tc>
                <w:tcPr>
                  <w:tcW w:w="919" w:type="pct"/>
                  <w:noWrap w:val="0"/>
                  <w:vAlign w:val="center"/>
                </w:tcPr>
                <w:p>
                  <w:pPr>
                    <w:spacing w:line="240" w:lineRule="auto"/>
                    <w:ind w:firstLine="0" w:firstLineChars="0"/>
                    <w:jc w:val="center"/>
                    <w:rPr>
                      <w:rFonts w:hint="default" w:ascii="Times New Roman" w:hAnsi="Times New Roman" w:eastAsia="宋体" w:cs="Times New Roman"/>
                      <w:sz w:val="21"/>
                      <w:szCs w:val="24"/>
                      <w:u w:val="none" w:color="auto"/>
                      <w:lang w:val="en-US" w:eastAsia="zh-CN"/>
                    </w:rPr>
                  </w:pPr>
                  <w:r>
                    <w:rPr>
                      <w:rFonts w:hint="eastAsia" w:ascii="Times New Roman" w:hAnsi="Times New Roman" w:eastAsia="宋体" w:cs="Times New Roman"/>
                      <w:sz w:val="21"/>
                      <w:szCs w:val="24"/>
                      <w:u w:val="none" w:color="auto"/>
                      <w:lang w:val="en-US" w:eastAsia="zh-CN"/>
                    </w:rPr>
                    <w:t>/</w:t>
                  </w:r>
                </w:p>
              </w:tc>
              <w:tc>
                <w:tcPr>
                  <w:tcW w:w="645" w:type="pct"/>
                  <w:noWrap w:val="0"/>
                  <w:vAlign w:val="center"/>
                </w:tcPr>
                <w:p>
                  <w:pPr>
                    <w:spacing w:line="240" w:lineRule="auto"/>
                    <w:ind w:firstLine="0" w:firstLineChars="0"/>
                    <w:jc w:val="center"/>
                    <w:rPr>
                      <w:rFonts w:ascii="Times New Roman" w:hAnsi="Times New Roman" w:eastAsia="宋体" w:cs="Times New Roman"/>
                      <w:sz w:val="21"/>
                      <w:szCs w:val="24"/>
                      <w:u w:val="none" w:color="auto"/>
                    </w:rPr>
                  </w:pPr>
                  <w:r>
                    <w:rPr>
                      <w:rFonts w:hint="eastAsia" w:ascii="Times New Roman" w:hAnsi="Times New Roman" w:eastAsia="宋体" w:cs="Times New Roman"/>
                      <w:sz w:val="21"/>
                      <w:szCs w:val="24"/>
                      <w:u w:val="none" w:color="auto"/>
                      <w:lang w:val="en-US" w:eastAsia="zh-CN"/>
                    </w:rPr>
                    <w:t>外加剂储料仓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27" w:type="pct"/>
                  <w:noWrap w:val="0"/>
                  <w:vAlign w:val="center"/>
                </w:tcPr>
                <w:p>
                  <w:pPr>
                    <w:spacing w:line="240" w:lineRule="auto"/>
                    <w:ind w:firstLine="0" w:firstLineChars="0"/>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2</w:t>
                  </w:r>
                </w:p>
              </w:tc>
              <w:tc>
                <w:tcPr>
                  <w:tcW w:w="1098" w:type="pct"/>
                  <w:noWrap w:val="0"/>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lang w:val="en-US" w:eastAsia="zh-CN"/>
                    </w:rPr>
                    <w:t>石油沥青</w:t>
                  </w:r>
                </w:p>
              </w:tc>
              <w:tc>
                <w:tcPr>
                  <w:tcW w:w="970" w:type="pct"/>
                  <w:noWrap w:val="0"/>
                  <w:vAlign w:val="center"/>
                </w:tcPr>
                <w:p>
                  <w:pPr>
                    <w:spacing w:line="240" w:lineRule="auto"/>
                    <w:ind w:firstLine="0" w:firstLineChars="0"/>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90</w:t>
                  </w:r>
                </w:p>
              </w:tc>
              <w:tc>
                <w:tcPr>
                  <w:tcW w:w="837" w:type="pct"/>
                  <w:noWrap w:val="0"/>
                  <w:vAlign w:val="center"/>
                </w:tcPr>
                <w:p>
                  <w:pPr>
                    <w:spacing w:line="240" w:lineRule="auto"/>
                    <w:ind w:firstLine="0" w:firstLineChars="0"/>
                    <w:jc w:val="center"/>
                    <w:rPr>
                      <w:rFonts w:hint="default" w:ascii="Times New Roman" w:hAnsi="Times New Roman" w:eastAsia="宋体" w:cs="Times New Roman"/>
                      <w:sz w:val="21"/>
                      <w:szCs w:val="24"/>
                      <w:u w:val="none" w:color="auto"/>
                      <w:lang w:val="en-US" w:eastAsia="zh-CN"/>
                    </w:rPr>
                  </w:pPr>
                  <w:r>
                    <w:rPr>
                      <w:rFonts w:hint="default" w:ascii="Times New Roman" w:hAnsi="Times New Roman" w:eastAsia="宋体" w:cs="Times New Roman"/>
                      <w:sz w:val="21"/>
                      <w:szCs w:val="24"/>
                      <w:u w:val="none" w:color="auto"/>
                      <w:lang w:val="en-US" w:eastAsia="zh-CN"/>
                    </w:rPr>
                    <w:t>2500</w:t>
                  </w:r>
                </w:p>
              </w:tc>
              <w:tc>
                <w:tcPr>
                  <w:tcW w:w="919" w:type="pct"/>
                  <w:noWrap w:val="0"/>
                  <w:vAlign w:val="center"/>
                </w:tcPr>
                <w:p>
                  <w:pPr>
                    <w:spacing w:line="240" w:lineRule="auto"/>
                    <w:ind w:firstLine="0" w:firstLineChars="0"/>
                    <w:jc w:val="center"/>
                    <w:rPr>
                      <w:rFonts w:hint="default" w:ascii="Times New Roman" w:hAnsi="Times New Roman" w:eastAsia="宋体" w:cs="Times New Roman"/>
                      <w:sz w:val="21"/>
                      <w:szCs w:val="24"/>
                      <w:u w:val="none" w:color="auto"/>
                      <w:lang w:val="en-US" w:eastAsia="zh-CN"/>
                    </w:rPr>
                  </w:pPr>
                  <w:r>
                    <w:rPr>
                      <w:rFonts w:hint="eastAsia" w:ascii="Times New Roman" w:hAnsi="Times New Roman" w:eastAsia="宋体" w:cs="Times New Roman"/>
                      <w:sz w:val="21"/>
                      <w:szCs w:val="24"/>
                      <w:u w:val="none" w:color="auto"/>
                      <w:lang w:val="en-US" w:eastAsia="zh-CN"/>
                    </w:rPr>
                    <w:t>0.036</w:t>
                  </w:r>
                </w:p>
              </w:tc>
              <w:tc>
                <w:tcPr>
                  <w:tcW w:w="645" w:type="pct"/>
                  <w:noWrap w:val="0"/>
                  <w:vAlign w:val="center"/>
                </w:tcPr>
                <w:p>
                  <w:pPr>
                    <w:spacing w:line="240" w:lineRule="auto"/>
                    <w:ind w:firstLine="0" w:firstLineChars="0"/>
                    <w:jc w:val="center"/>
                    <w:rPr>
                      <w:rFonts w:hint="eastAsia" w:ascii="Times New Roman" w:hAnsi="Times New Roman" w:eastAsia="宋体" w:cs="Times New Roman"/>
                      <w:sz w:val="21"/>
                      <w:szCs w:val="24"/>
                      <w:u w:val="none" w:color="auto"/>
                    </w:rPr>
                  </w:pPr>
                  <w:r>
                    <w:rPr>
                      <w:rFonts w:hint="eastAsia" w:ascii="Times New Roman" w:hAnsi="Times New Roman" w:eastAsia="宋体" w:cs="Times New Roman"/>
                      <w:sz w:val="21"/>
                      <w:szCs w:val="24"/>
                      <w:u w:val="none" w:color="auto"/>
                      <w:lang w:val="en-US" w:eastAsia="zh-CN"/>
                    </w:rPr>
                    <w:t>沥青罐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27" w:type="pct"/>
                  <w:noWrap w:val="0"/>
                  <w:vAlign w:val="center"/>
                </w:tcPr>
                <w:p>
                  <w:pPr>
                    <w:spacing w:line="240" w:lineRule="auto"/>
                    <w:ind w:firstLine="0" w:firstLineChars="0"/>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3</w:t>
                  </w:r>
                </w:p>
              </w:tc>
              <w:tc>
                <w:tcPr>
                  <w:tcW w:w="1098" w:type="pct"/>
                  <w:noWrap w:val="0"/>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lang w:val="en-US" w:eastAsia="zh-CN"/>
                    </w:rPr>
                    <w:t>柴油</w:t>
                  </w:r>
                </w:p>
              </w:tc>
              <w:tc>
                <w:tcPr>
                  <w:tcW w:w="970" w:type="pct"/>
                  <w:noWrap w:val="0"/>
                  <w:vAlign w:val="center"/>
                </w:tcPr>
                <w:p>
                  <w:pPr>
                    <w:spacing w:line="240" w:lineRule="auto"/>
                    <w:ind w:firstLine="0" w:firstLineChars="0"/>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29</w:t>
                  </w:r>
                </w:p>
              </w:tc>
              <w:tc>
                <w:tcPr>
                  <w:tcW w:w="837" w:type="pct"/>
                  <w:noWrap w:val="0"/>
                  <w:vAlign w:val="center"/>
                </w:tcPr>
                <w:p>
                  <w:pPr>
                    <w:spacing w:line="240" w:lineRule="auto"/>
                    <w:ind w:firstLine="0" w:firstLineChars="0"/>
                    <w:jc w:val="center"/>
                    <w:rPr>
                      <w:rFonts w:hint="default" w:ascii="Times New Roman" w:hAnsi="Times New Roman" w:eastAsia="宋体" w:cs="Times New Roman"/>
                      <w:sz w:val="21"/>
                      <w:szCs w:val="24"/>
                      <w:u w:val="none" w:color="auto"/>
                      <w:lang w:val="en-US" w:eastAsia="zh-CN"/>
                    </w:rPr>
                  </w:pPr>
                  <w:r>
                    <w:rPr>
                      <w:rFonts w:hint="default" w:ascii="Times New Roman" w:hAnsi="Times New Roman" w:eastAsia="宋体" w:cs="Times New Roman"/>
                      <w:sz w:val="21"/>
                      <w:szCs w:val="24"/>
                      <w:u w:val="none" w:color="auto"/>
                      <w:lang w:val="en-US" w:eastAsia="zh-CN"/>
                    </w:rPr>
                    <w:t>2500</w:t>
                  </w:r>
                </w:p>
              </w:tc>
              <w:tc>
                <w:tcPr>
                  <w:tcW w:w="919" w:type="pct"/>
                  <w:noWrap w:val="0"/>
                  <w:vAlign w:val="center"/>
                </w:tcPr>
                <w:p>
                  <w:pPr>
                    <w:spacing w:line="240" w:lineRule="auto"/>
                    <w:ind w:firstLine="0" w:firstLineChars="0"/>
                    <w:jc w:val="center"/>
                    <w:rPr>
                      <w:rFonts w:hint="default" w:ascii="Times New Roman" w:hAnsi="Times New Roman" w:eastAsia="宋体" w:cs="Times New Roman"/>
                      <w:sz w:val="21"/>
                      <w:szCs w:val="24"/>
                      <w:u w:val="none" w:color="auto"/>
                      <w:lang w:val="en-US" w:eastAsia="zh-CN"/>
                    </w:rPr>
                  </w:pPr>
                  <w:r>
                    <w:rPr>
                      <w:rFonts w:hint="eastAsia" w:ascii="Times New Roman" w:hAnsi="Times New Roman" w:eastAsia="宋体" w:cs="Times New Roman"/>
                      <w:sz w:val="21"/>
                      <w:szCs w:val="24"/>
                      <w:u w:val="none" w:color="auto"/>
                      <w:lang w:val="en-US" w:eastAsia="zh-CN"/>
                    </w:rPr>
                    <w:t>0.0116</w:t>
                  </w:r>
                </w:p>
              </w:tc>
              <w:tc>
                <w:tcPr>
                  <w:tcW w:w="645" w:type="pct"/>
                  <w:noWrap w:val="0"/>
                  <w:vAlign w:val="center"/>
                </w:tcPr>
                <w:p>
                  <w:pPr>
                    <w:spacing w:line="240" w:lineRule="auto"/>
                    <w:ind w:firstLine="0" w:firstLineChars="0"/>
                    <w:jc w:val="center"/>
                    <w:rPr>
                      <w:rFonts w:hint="eastAsia" w:ascii="Times New Roman" w:hAnsi="Times New Roman" w:eastAsia="宋体" w:cs="Times New Roman"/>
                      <w:sz w:val="21"/>
                      <w:szCs w:val="24"/>
                      <w:u w:val="none" w:color="auto"/>
                    </w:rPr>
                  </w:pPr>
                  <w:r>
                    <w:rPr>
                      <w:rFonts w:hint="eastAsia" w:ascii="Times New Roman" w:hAnsi="Times New Roman" w:eastAsia="宋体" w:cs="Times New Roman"/>
                      <w:sz w:val="21"/>
                      <w:szCs w:val="24"/>
                      <w:u w:val="none" w:color="auto"/>
                      <w:lang w:val="en-US" w:eastAsia="zh-CN"/>
                    </w:rPr>
                    <w:t>柴油储罐</w:t>
                  </w:r>
                </w:p>
              </w:tc>
            </w:tr>
          </w:tbl>
          <w:p>
            <w:pPr>
              <w:ind w:firstLine="480"/>
              <w:rPr>
                <w:rFonts w:ascii="Times New Roman" w:hAnsi="Times New Roman" w:eastAsia="宋体" w:cs="Times New Roman"/>
                <w:szCs w:val="24"/>
                <w:u w:val="none" w:color="auto"/>
              </w:rPr>
            </w:pPr>
            <w:r>
              <w:rPr>
                <w:rFonts w:ascii="Times New Roman" w:hAnsi="Times New Roman" w:eastAsia="宋体" w:cs="Times New Roman"/>
                <w:szCs w:val="24"/>
                <w:u w:val="none" w:color="auto"/>
              </w:rPr>
              <w:t>由上表分析可知，本项目Q=</w:t>
            </w:r>
            <w:r>
              <w:rPr>
                <w:rFonts w:hint="eastAsia" w:ascii="Times New Roman" w:hAnsi="Times New Roman" w:eastAsia="宋体" w:cs="Times New Roman"/>
                <w:szCs w:val="24"/>
                <w:u w:val="none" w:color="auto"/>
              </w:rPr>
              <w:t>0.0476</w:t>
            </w:r>
            <w:r>
              <w:rPr>
                <w:rFonts w:ascii="Times New Roman" w:hAnsi="Times New Roman" w:eastAsia="宋体" w:cs="Times New Roman"/>
                <w:szCs w:val="24"/>
                <w:u w:val="none" w:color="auto"/>
              </w:rPr>
              <w:t>＜1，则本项目环境风险潜势直接判定为Ⅰ。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sz w:val="24"/>
                <w:szCs w:val="21"/>
                <w:highlight w:val="none"/>
                <w:u w:val="none" w:color="auto"/>
              </w:rPr>
            </w:pPr>
            <w:r>
              <w:rPr>
                <w:rFonts w:hint="default" w:ascii="Times New Roman" w:hAnsi="Times New Roman" w:eastAsia="宋体" w:cs="Times New Roman"/>
                <w:color w:val="000000"/>
                <w:sz w:val="24"/>
                <w:szCs w:val="21"/>
                <w:highlight w:val="none"/>
                <w:u w:val="none" w:color="auto"/>
              </w:rPr>
              <w:t>（</w:t>
            </w:r>
            <w:r>
              <w:rPr>
                <w:rFonts w:hint="eastAsia" w:cs="Times New Roman"/>
                <w:color w:val="000000"/>
                <w:sz w:val="24"/>
                <w:szCs w:val="21"/>
                <w:highlight w:val="none"/>
                <w:u w:val="none" w:color="auto"/>
                <w:lang w:val="en-US" w:eastAsia="zh-CN"/>
              </w:rPr>
              <w:t>1</w:t>
            </w:r>
            <w:r>
              <w:rPr>
                <w:rFonts w:hint="default" w:ascii="Times New Roman" w:hAnsi="Times New Roman" w:eastAsia="宋体" w:cs="Times New Roman"/>
                <w:color w:val="000000"/>
                <w:sz w:val="24"/>
                <w:szCs w:val="21"/>
                <w:highlight w:val="none"/>
                <w:u w:val="none" w:color="auto"/>
              </w:rPr>
              <w:t>）风险等级</w:t>
            </w:r>
          </w:p>
          <w:p>
            <w:pPr>
              <w:autoSpaceDE w:val="0"/>
              <w:autoSpaceDN w:val="0"/>
              <w:ind w:firstLine="480"/>
              <w:jc w:val="left"/>
              <w:rPr>
                <w:rFonts w:ascii="Times New Roman" w:hAnsi="Times New Roman" w:eastAsia="宋体" w:cs="Times New Roman"/>
                <w:color w:val="000000"/>
                <w:szCs w:val="21"/>
                <w:u w:val="none" w:color="auto"/>
              </w:rPr>
            </w:pPr>
            <w:r>
              <w:rPr>
                <w:rFonts w:ascii="Times New Roman" w:hAnsi="Times New Roman" w:eastAsia="宋体" w:cs="Times New Roman"/>
                <w:color w:val="000000"/>
                <w:szCs w:val="21"/>
                <w:u w:val="none" w:color="auto"/>
              </w:rPr>
              <w:t>依据《建设项目环境风险评价技术导则》（HJ 169-2018）中评价工作等级划分基本原则的规定，环境风险评价工作等级划分为一级、二级、三级。根据建设项目涉及的物质及工艺系统危险性和所在地的环境敏感性确定环境风险潜势，评价工作级别按表4-</w:t>
            </w:r>
            <w:r>
              <w:rPr>
                <w:rFonts w:hint="eastAsia" w:ascii="Times New Roman" w:hAnsi="Times New Roman" w:eastAsia="宋体" w:cs="Times New Roman"/>
                <w:color w:val="000000"/>
                <w:szCs w:val="21"/>
                <w:u w:val="none" w:color="auto"/>
              </w:rPr>
              <w:t>12</w:t>
            </w:r>
            <w:r>
              <w:rPr>
                <w:rFonts w:ascii="Times New Roman" w:hAnsi="Times New Roman" w:eastAsia="宋体" w:cs="Times New Roman"/>
                <w:color w:val="000000"/>
                <w:szCs w:val="21"/>
                <w:u w:val="none" w:color="auto"/>
              </w:rPr>
              <w:t>划分。</w:t>
            </w:r>
          </w:p>
          <w:p>
            <w:pPr>
              <w:autoSpaceDE w:val="0"/>
              <w:autoSpaceDN w:val="0"/>
              <w:ind w:firstLine="480"/>
              <w:jc w:val="left"/>
              <w:rPr>
                <w:rFonts w:ascii="Times New Roman" w:hAnsi="Times New Roman" w:eastAsia="宋体" w:cs="Times New Roman"/>
                <w:color w:val="000000"/>
                <w:kern w:val="0"/>
                <w:sz w:val="21"/>
                <w:szCs w:val="18"/>
                <w:u w:val="none" w:color="auto"/>
              </w:rPr>
            </w:pPr>
            <w:r>
              <w:rPr>
                <w:rFonts w:ascii="Times New Roman" w:hAnsi="Times New Roman" w:eastAsia="宋体" w:cs="Times New Roman"/>
                <w:color w:val="000000"/>
                <w:szCs w:val="21"/>
                <w:u w:val="none" w:color="auto"/>
              </w:rPr>
              <w:t>风险潜势为</w:t>
            </w:r>
            <w:r>
              <w:rPr>
                <w:rFonts w:ascii="Times New Roman" w:hAnsi="Times New Roman" w:eastAsia="宋体" w:cs="Times New Roman"/>
                <w:color w:val="000000"/>
                <w:kern w:val="0"/>
                <w:szCs w:val="21"/>
                <w:u w:val="none" w:color="auto"/>
              </w:rPr>
              <w:t>Ⅳ及以上，进行一级评价；风险潜势为Ⅲ，进行二级评价；风险潜势为Ⅱ，进行三级评价；风险潜势为Ⅰ，可开展简单分析。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sz w:val="24"/>
                <w:szCs w:val="21"/>
                <w:highlight w:val="none"/>
                <w:u w:val="none" w:color="auto"/>
              </w:rPr>
            </w:pPr>
            <w:r>
              <w:rPr>
                <w:rFonts w:ascii="Times New Roman" w:hAnsi="Times New Roman" w:eastAsia="宋体" w:cs="Times New Roman"/>
                <w:bCs/>
                <w:color w:val="000000"/>
                <w:szCs w:val="21"/>
                <w:u w:val="none" w:color="auto"/>
              </w:rPr>
              <w:t>结合本项目的特点，本项目Q=</w:t>
            </w:r>
            <w:r>
              <w:rPr>
                <w:rFonts w:hint="eastAsia" w:ascii="Times New Roman" w:hAnsi="Times New Roman" w:eastAsia="宋体" w:cs="Times New Roman"/>
                <w:bCs/>
                <w:color w:val="000000"/>
                <w:szCs w:val="21"/>
                <w:u w:val="none" w:color="auto"/>
              </w:rPr>
              <w:t>0.0476</w:t>
            </w:r>
            <w:r>
              <w:rPr>
                <w:rFonts w:ascii="Times New Roman" w:hAnsi="Times New Roman" w:eastAsia="宋体" w:cs="Times New Roman"/>
                <w:bCs/>
                <w:color w:val="000000"/>
                <w:szCs w:val="21"/>
                <w:u w:val="none" w:color="auto"/>
              </w:rPr>
              <w:t>＜1</w:t>
            </w:r>
            <w:r>
              <w:rPr>
                <w:rFonts w:hint="eastAsia" w:ascii="Times New Roman" w:hAnsi="Times New Roman" w:eastAsia="宋体" w:cs="Times New Roman"/>
                <w:bCs/>
                <w:color w:val="000000"/>
                <w:szCs w:val="21"/>
                <w:u w:val="none" w:color="auto"/>
              </w:rPr>
              <w:t>，因此</w:t>
            </w:r>
            <w:r>
              <w:rPr>
                <w:rFonts w:ascii="Times New Roman" w:hAnsi="Times New Roman" w:eastAsia="宋体" w:cs="Times New Roman"/>
                <w:bCs/>
                <w:color w:val="000000"/>
                <w:szCs w:val="21"/>
                <w:u w:val="none" w:color="auto"/>
              </w:rPr>
              <w:t>本项目风险潜势为Ⅰ，可开展简单分析。</w:t>
            </w:r>
          </w:p>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表4-</w:t>
            </w:r>
            <w:r>
              <w:rPr>
                <w:rFonts w:hint="eastAsia" w:ascii="Times New Roman" w:hAnsi="Times New Roman" w:eastAsia="宋体" w:cs="Times New Roman"/>
                <w:b/>
                <w:bCs/>
                <w:kern w:val="2"/>
                <w:sz w:val="21"/>
                <w:szCs w:val="21"/>
                <w:lang w:val="en-US" w:eastAsia="zh-CN" w:bidi="ar-SA"/>
              </w:rPr>
              <w:t>1</w:t>
            </w:r>
            <w:r>
              <w:rPr>
                <w:rFonts w:hint="eastAsia" w:cs="Times New Roman"/>
                <w:b/>
                <w:bCs/>
                <w:kern w:val="2"/>
                <w:sz w:val="21"/>
                <w:szCs w:val="21"/>
                <w:lang w:val="en-US" w:eastAsia="zh-CN" w:bidi="ar-SA"/>
              </w:rPr>
              <w:t>7</w:t>
            </w:r>
            <w:r>
              <w:rPr>
                <w:rFonts w:hint="default" w:ascii="Times New Roman" w:hAnsi="Times New Roman" w:eastAsia="宋体" w:cs="Times New Roman"/>
                <w:b/>
                <w:bCs/>
                <w:kern w:val="2"/>
                <w:sz w:val="21"/>
                <w:szCs w:val="21"/>
                <w:lang w:val="en-US" w:eastAsia="zh-CN" w:bidi="ar-SA"/>
              </w:rPr>
              <w:t xml:space="preserve"> 建设项目环境风险简单分析内容表</w:t>
            </w:r>
          </w:p>
          <w:tbl>
            <w:tblPr>
              <w:tblStyle w:val="23"/>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306"/>
              <w:gridCol w:w="945"/>
              <w:gridCol w:w="2621"/>
              <w:gridCol w:w="944"/>
              <w:gridCol w:w="242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建设项目名称</w:t>
                  </w:r>
                </w:p>
              </w:tc>
              <w:tc>
                <w:tcPr>
                  <w:tcW w:w="0" w:type="auto"/>
                  <w:gridSpan w:val="4"/>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S345新田田家至二广高速宁远互通公路工程配套工程建设项目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建设地点</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湖南省</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永州</w:t>
                  </w:r>
                  <w:r>
                    <w:rPr>
                      <w:rFonts w:hint="default" w:ascii="Times New Roman" w:hAnsi="Times New Roman" w:eastAsia="宋体" w:cs="Times New Roman"/>
                      <w:kern w:val="2"/>
                      <w:sz w:val="21"/>
                      <w:szCs w:val="21"/>
                      <w:lang w:val="en-US" w:eastAsia="zh-CN" w:bidi="ar-SA"/>
                    </w:rPr>
                    <w:t>市</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新田县</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枧头/龙泉镇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地理坐标</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经度</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112.158775392</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纬度</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25.798005563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主要危险物质及分布</w:t>
                  </w:r>
                </w:p>
              </w:tc>
              <w:tc>
                <w:tcPr>
                  <w:tcW w:w="0" w:type="auto"/>
                  <w:gridSpan w:val="4"/>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外加剂储料仓</w:t>
                  </w:r>
                  <w:r>
                    <w:rPr>
                      <w:rFonts w:hint="eastAsia" w:ascii="Times New Roman" w:hAnsi="Times New Roman" w:eastAsia="宋体" w:cs="Times New Roman"/>
                      <w:kern w:val="2"/>
                      <w:sz w:val="21"/>
                      <w:szCs w:val="21"/>
                      <w:lang w:val="en-US" w:eastAsia="zh-CN" w:bidi="ar-SA"/>
                    </w:rPr>
                    <w:t>、柴油储罐、沥青罐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环境影响途径及危害后果（大气、地表水、地下水等）</w:t>
                  </w:r>
                </w:p>
              </w:tc>
              <w:tc>
                <w:tcPr>
                  <w:tcW w:w="0" w:type="auto"/>
                  <w:gridSpan w:val="4"/>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外加剂</w:t>
                  </w:r>
                  <w:r>
                    <w:rPr>
                      <w:rFonts w:hint="eastAsia" w:ascii="Times New Roman" w:hAnsi="Times New Roman" w:eastAsia="宋体" w:cs="Times New Roman"/>
                      <w:kern w:val="2"/>
                      <w:sz w:val="21"/>
                      <w:szCs w:val="21"/>
                      <w:lang w:val="en-US" w:eastAsia="zh-CN" w:bidi="ar-SA"/>
                    </w:rPr>
                    <w:t>、柴油、沥青</w:t>
                  </w:r>
                  <w:r>
                    <w:rPr>
                      <w:rFonts w:hint="default" w:ascii="Times New Roman" w:hAnsi="Times New Roman" w:eastAsia="宋体" w:cs="Times New Roman"/>
                      <w:kern w:val="2"/>
                      <w:sz w:val="21"/>
                      <w:szCs w:val="21"/>
                      <w:lang w:val="en-US" w:eastAsia="zh-CN" w:bidi="ar-SA"/>
                    </w:rPr>
                    <w:t>泄漏，将对周边的水体及土壤环境造成一定的污染；</w:t>
                  </w:r>
                  <w:r>
                    <w:rPr>
                      <w:rFonts w:hint="eastAsia" w:ascii="Times New Roman" w:hAnsi="Times New Roman" w:eastAsia="宋体" w:cs="Times New Roman"/>
                      <w:kern w:val="2"/>
                      <w:sz w:val="21"/>
                      <w:szCs w:val="21"/>
                      <w:lang w:val="en-US" w:eastAsia="zh-CN" w:bidi="ar-SA"/>
                    </w:rPr>
                    <w:t>废气</w:t>
                  </w:r>
                  <w:r>
                    <w:rPr>
                      <w:rFonts w:hint="default" w:ascii="Times New Roman" w:hAnsi="Times New Roman" w:eastAsia="宋体" w:cs="Times New Roman"/>
                      <w:kern w:val="2"/>
                      <w:sz w:val="21"/>
                      <w:szCs w:val="21"/>
                      <w:lang w:val="en-US" w:eastAsia="zh-CN" w:bidi="ar-SA"/>
                    </w:rPr>
                    <w:t>处理设施失效后，项目粉尘废气</w:t>
                  </w:r>
                  <w:r>
                    <w:rPr>
                      <w:rFonts w:hint="eastAsia" w:ascii="Times New Roman" w:hAnsi="Times New Roman" w:eastAsia="宋体" w:cs="Times New Roman"/>
                      <w:kern w:val="2"/>
                      <w:sz w:val="21"/>
                      <w:szCs w:val="21"/>
                      <w:lang w:val="en-US" w:eastAsia="zh-CN" w:bidi="ar-SA"/>
                    </w:rPr>
                    <w:t>、有机废气</w:t>
                  </w:r>
                  <w:r>
                    <w:rPr>
                      <w:rFonts w:hint="default" w:ascii="Times New Roman" w:hAnsi="Times New Roman" w:eastAsia="宋体" w:cs="Times New Roman"/>
                      <w:kern w:val="2"/>
                      <w:sz w:val="21"/>
                      <w:szCs w:val="21"/>
                      <w:lang w:val="en-US" w:eastAsia="zh-CN" w:bidi="ar-SA"/>
                    </w:rPr>
                    <w:t>未经过处理直接超标排入大气中，对项目周边的大气造成较大的影响；废水处理设施发生故障，泄漏的废水将会污染企业周边水体和土壤。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风险防范措施要求</w:t>
                  </w:r>
                </w:p>
              </w:tc>
              <w:tc>
                <w:tcPr>
                  <w:tcW w:w="0" w:type="auto"/>
                  <w:gridSpan w:val="4"/>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按照安全管理部门的要求进行生产和管理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填表说明（列出项目相关信息及评价说明）</w:t>
                  </w:r>
                </w:p>
              </w:tc>
              <w:tc>
                <w:tcPr>
                  <w:tcW w:w="0" w:type="auto"/>
                  <w:gridSpan w:val="4"/>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项目通过采取相应的风险预防、管理、应急措施后，评价认为项目环境风险是可以接受的</w:t>
                  </w:r>
                </w:p>
              </w:tc>
            </w:tr>
          </w:tbl>
          <w:p>
            <w:pPr>
              <w:autoSpaceDE w:val="0"/>
              <w:autoSpaceDN w:val="0"/>
              <w:spacing w:line="360" w:lineRule="auto"/>
              <w:ind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）环境风险影响分析</w:t>
            </w:r>
          </w:p>
          <w:p>
            <w:pPr>
              <w:spacing w:line="360" w:lineRule="auto"/>
              <w:ind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1）</w:t>
            </w:r>
            <w:r>
              <w:rPr>
                <w:rFonts w:hint="default"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外加剂</w:t>
            </w:r>
            <w:r>
              <w:rPr>
                <w:rFonts w:hint="eastAsia"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、柴油、沥青</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发生泄漏风险分析</w:t>
            </w:r>
          </w:p>
          <w:p>
            <w:pPr>
              <w:spacing w:line="360" w:lineRule="auto"/>
              <w:ind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项目使用的辅助材料</w:t>
            </w:r>
            <w:r>
              <w:rPr>
                <w:rFonts w:hint="default"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外加剂</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在使用过程中若操作不当或者管理时引发的泄漏，将对周边的水体及土壤环境造成一定的污染。</w:t>
            </w:r>
          </w:p>
          <w:p>
            <w:pPr>
              <w:spacing w:line="360" w:lineRule="auto"/>
              <w:ind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）环保设施事故状态下排放风险分析</w:t>
            </w:r>
          </w:p>
          <w:p>
            <w:pPr>
              <w:bidi w:val="0"/>
              <w:spacing w:line="360" w:lineRule="auto"/>
              <w:ind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厂区环保设施事故状态排放主要为</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废气</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处理设施失效后的粉尘废气</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、有机废气</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事故排放，沉淀池处理装置故障或破裂造成废事故排放。将针对这些环保设施事故状态排放时对环境的影响进行分析。</w:t>
            </w:r>
          </w:p>
          <w:p>
            <w:pPr>
              <w:bidi w:val="0"/>
              <w:spacing w:line="360" w:lineRule="auto"/>
              <w:ind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一旦</w:t>
            </w:r>
            <w:r>
              <w:rPr>
                <w:rFonts w:hint="default" w:ascii="Times New Roman" w:hAnsi="Times New Roman" w:cs="Times New Roman" w:eastAsiaTheme="minorEastAsia"/>
                <w:b w:val="0"/>
                <w:bCs w:val="0"/>
                <w:color w:val="000000" w:themeColor="text1"/>
                <w:sz w:val="24"/>
                <w:highlight w:val="none"/>
                <w:u w:val="none" w:color="auto"/>
                <w14:textFill>
                  <w14:solidFill>
                    <w14:schemeClr w14:val="tx1"/>
                  </w14:solidFill>
                </w14:textFill>
              </w:rPr>
              <w:t>除尘处理设施失效后，项目粉尘废气</w:t>
            </w:r>
            <w:r>
              <w:rPr>
                <w:rFonts w:hint="default" w:ascii="Times New Roman" w:hAnsi="Times New Roman" w:cs="Times New Roman" w:eastAsiaTheme="minorEastAsia"/>
                <w:b w:val="0"/>
                <w:bCs w:val="0"/>
                <w:color w:val="000000" w:themeColor="text1"/>
                <w:sz w:val="24"/>
                <w:highlight w:val="none"/>
                <w:u w:val="none" w:color="auto"/>
                <w:lang w:val="en-US" w:eastAsia="zh-CN"/>
                <w14:textFill>
                  <w14:solidFill>
                    <w14:schemeClr w14:val="tx1"/>
                  </w14:solidFill>
                </w14:textFill>
              </w:rPr>
              <w:t>、有机废气</w:t>
            </w:r>
            <w:r>
              <w:rPr>
                <w:rFonts w:hint="default" w:ascii="Times New Roman" w:hAnsi="Times New Roman" w:cs="Times New Roman" w:eastAsiaTheme="minorEastAsia"/>
                <w:b w:val="0"/>
                <w:bCs w:val="0"/>
                <w:color w:val="000000" w:themeColor="text1"/>
                <w:sz w:val="24"/>
                <w:highlight w:val="none"/>
                <w:u w:val="none" w:color="auto"/>
                <w14:textFill>
                  <w14:solidFill>
                    <w14:schemeClr w14:val="tx1"/>
                  </w14:solidFill>
                </w14:textFill>
              </w:rPr>
              <w:t>未经过处理直接超标排入大气中，对项目周边的大气造成较大的影响。</w:t>
            </w:r>
          </w:p>
          <w:p>
            <w:pPr>
              <w:bidi w:val="0"/>
              <w:spacing w:line="360" w:lineRule="auto"/>
              <w:ind w:firstLine="480" w:firstLineChars="200"/>
              <w:rPr>
                <w:rFonts w:hint="default"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一旦废水处理设施发生故障，泄漏的废水将会污染企业周边水体和土壤</w:t>
            </w:r>
            <w:r>
              <w:rPr>
                <w:rFonts w:hint="default"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w:t>
            </w:r>
          </w:p>
          <w:p>
            <w:pPr>
              <w:bidi w:val="0"/>
              <w:spacing w:line="360" w:lineRule="auto"/>
              <w:ind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风险防范措施</w:t>
            </w:r>
          </w:p>
          <w:p>
            <w:pPr>
              <w:bidi w:val="0"/>
              <w:spacing w:line="360" w:lineRule="auto"/>
              <w:ind w:firstLine="480" w:firstLineChars="200"/>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为减少风险事故的发生，环评要求项目对于外加剂储罐</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、柴油储罐、沥青罐</w:t>
            </w: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周围设置围堰，防止外加剂、柴油、沥青发生事故时直接泄漏到土壤中；同时应该配置相关技术人员，定期检查各除尘设备及沉淀池的运行情况，制定相应的安全措施，若发生了废气的非正常排放情况和废水泄漏事故时，要及时上报上级领导及相关政府部门。</w:t>
            </w:r>
          </w:p>
          <w:p>
            <w:pPr>
              <w:bidi w:val="0"/>
              <w:spacing w:line="360" w:lineRule="auto"/>
              <w:ind w:firstLine="480" w:firstLineChars="200"/>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平时应该有计划、有目的、有针对性地开展预防安全事故及有关知识的宣传；增加员工预防安全事故的常识和防范意识，提高防范能力和应急反应能力。并通过定期组织实战演习，增强应急处置能力；增加安全巡逻等。</w:t>
            </w:r>
          </w:p>
          <w:p>
            <w:pPr>
              <w:bidi w:val="0"/>
              <w:spacing w:line="360" w:lineRule="auto"/>
              <w:ind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对于生产操作和</w:t>
            </w:r>
            <w:r>
              <w:rPr>
                <w:rFonts w:hint="default"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设施设计等</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应严格按照国家相关管理条例进行，并通过加强管理避免危险事故的发生。</w:t>
            </w:r>
          </w:p>
          <w:p>
            <w:pPr>
              <w:bidi w:val="0"/>
              <w:spacing w:line="360" w:lineRule="auto"/>
              <w:ind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根据</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国家规范规定，粉仓顶部必须加装安全保护装置（安全阀），当粉尘将滤芯堵死或通气不畅时，仓内压缩空气通过安全卸压阀卸荷，避免冒顶事故发生。</w:t>
            </w:r>
          </w:p>
          <w:p>
            <w:pPr>
              <w:spacing w:line="360" w:lineRule="auto"/>
              <w:ind w:firstLine="480" w:firstLineChars="200"/>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将上料位仪指示灯接线柱接下一信号电源（此信号线与程控室内指示灯并联），配一仪表箱，将信号接至表箱中红色指示灯或蜂鸣器上，并将仓顶除尘器振动装置或反吹装置的控制开关接入表箱中，由送料司机或收料员直接操作。</w:t>
            </w:r>
          </w:p>
          <w:p>
            <w:pPr>
              <w:spacing w:line="360" w:lineRule="auto"/>
              <w:ind w:firstLine="480" w:firstLineChars="200"/>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将操作规程挂于输料口处，明确规定送料司机要按规程输送粉料，司机为第一责任人，若出现冒顶事故，要赔偿损失。当输送过程中粉仓上料位红灯亮，必须停止送料，并在送料前和送完料后3～5分钟，让仓顶除尘器的振动器或反吹装置工作3～5分钟，以振掉或吹掉附着在</w:t>
            </w:r>
            <w:r>
              <w:rPr>
                <w:rFonts w:hint="default"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布袋</w:t>
            </w: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上的水泥。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14:textFill>
                  <w14:solidFill>
                    <w14:schemeClr w14:val="tx1"/>
                  </w14:solidFill>
                </w14:textFill>
              </w:rPr>
              <w:t>经采取上述措施，本项目运营产生的环境污染事故风险能够控制在可接受范围内。</w:t>
            </w:r>
          </w:p>
          <w:p>
            <w:pPr>
              <w:bidi w:val="0"/>
              <w:spacing w:line="360" w:lineRule="auto"/>
              <w:ind w:firstLine="480" w:firstLineChars="200"/>
              <w:rPr>
                <w:rFonts w:hint="default"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w:t>
            </w:r>
            <w:r>
              <w:rPr>
                <w:rFonts w:hint="eastAsia" w:cs="Times New Roman" w:eastAsiaTheme="minorEastAsia"/>
                <w:color w:val="000000" w:themeColor="text1"/>
                <w:sz w:val="24"/>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highlight w:val="none"/>
                <w:u w:val="none" w:color="auto"/>
                <w:lang w:eastAsia="zh-CN"/>
                <w14:textFill>
                  <w14:solidFill>
                    <w14:schemeClr w14:val="tx1"/>
                  </w14:solidFill>
                </w14:textFill>
              </w:rPr>
              <w:t>）分析结论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u w:val="none" w:color="auto"/>
                <w:lang w:val="en-US" w:eastAsia="zh-CN" w:bidi="ar-SA"/>
              </w:rPr>
            </w:pPr>
            <w:r>
              <w:rPr>
                <w:rFonts w:hint="default" w:ascii="Times New Roman" w:hAnsi="Times New Roman" w:eastAsia="宋体" w:cs="Times New Roman"/>
                <w:b w:val="0"/>
                <w:bCs w:val="0"/>
                <w:color w:val="auto"/>
                <w:kern w:val="2"/>
                <w:sz w:val="24"/>
                <w:szCs w:val="24"/>
                <w:u w:val="none" w:color="auto"/>
                <w:lang w:val="en-US" w:eastAsia="zh-CN" w:bidi="ar-SA"/>
              </w:rPr>
              <w:t>综合以上分析，建设单位通过定期检修设备、安排专人巡视。确保各类设备正常运转、设置警示牌等措施，防止环境风险事故发生</w:t>
            </w:r>
            <w:r>
              <w:rPr>
                <w:rFonts w:hint="eastAsia" w:ascii="Times New Roman" w:hAnsi="Times New Roman" w:eastAsia="宋体" w:cs="Times New Roman"/>
                <w:b w:val="0"/>
                <w:bCs w:val="0"/>
                <w:color w:val="auto"/>
                <w:kern w:val="2"/>
                <w:sz w:val="24"/>
                <w:szCs w:val="24"/>
                <w:u w:val="none" w:color="auto"/>
                <w:lang w:val="en-US" w:eastAsia="zh-CN" w:bidi="ar-SA"/>
              </w:rPr>
              <w:t>。</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1"/>
              <w:rPr>
                <w:rFonts w:hint="default" w:ascii="Times New Roman" w:hAnsi="Times New Roman" w:eastAsia="宋体" w:cs="Times New Roman"/>
                <w:b w:val="0"/>
                <w:bCs w:val="0"/>
                <w:color w:val="auto"/>
                <w:kern w:val="2"/>
                <w:sz w:val="24"/>
                <w:szCs w:val="24"/>
                <w:u w:val="none" w:color="auto"/>
                <w:lang w:val="en-US" w:eastAsia="zh-CN" w:bidi="ar-SA"/>
              </w:rPr>
            </w:pPr>
            <w:r>
              <w:rPr>
                <w:rFonts w:hint="eastAsia" w:ascii="Times New Roman" w:hAnsi="Times New Roman" w:eastAsia="宋体" w:cs="Times New Roman"/>
                <w:b w:val="0"/>
                <w:bCs w:val="0"/>
                <w:color w:val="auto"/>
                <w:kern w:val="2"/>
                <w:sz w:val="24"/>
                <w:szCs w:val="24"/>
                <w:u w:val="none" w:color="auto"/>
                <w:lang w:val="en-US" w:eastAsia="zh-CN" w:bidi="ar-SA"/>
              </w:rPr>
              <w:t>在项目建设单位严格采取上述措施的前提下，环评认为项目环境风险可控，</w:t>
            </w:r>
            <w:r>
              <w:rPr>
                <w:rFonts w:hint="default" w:ascii="Times New Roman" w:hAnsi="Times New Roman" w:eastAsia="宋体" w:cs="Times New Roman"/>
                <w:b w:val="0"/>
                <w:bCs w:val="0"/>
                <w:color w:val="auto"/>
                <w:kern w:val="2"/>
                <w:sz w:val="24"/>
                <w:szCs w:val="24"/>
                <w:u w:val="none" w:color="auto"/>
                <w:lang w:val="en-US" w:eastAsia="zh-CN" w:bidi="ar-SA"/>
              </w:rPr>
              <w:t>在可接受的范围内。</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2" w:firstLineChars="200"/>
              <w:jc w:val="both"/>
              <w:textAlignment w:val="auto"/>
              <w:outlineLvl w:val="1"/>
              <w:rPr>
                <w:rFonts w:hint="default" w:ascii="Times New Roman" w:hAnsi="Times New Roman"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t>1.9</w:t>
            </w:r>
            <w:r>
              <w:rPr>
                <w:rFonts w:hint="default" w:ascii="Times New Roman" w:hAnsi="Times New Roman"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t>对排污口规范化的要求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该项目的排污口设置必须符合国家的排污口规范化的要求。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1）设置废气排气筒，在排气筒附近地面醒目处设置环保图形标志牌，标明排气筒高度、出口内径、排放污染物种类等。废气排放口必须符合《污染源监测技术规范》的要求，便于采样、监测的要求，各废气管道应设置永久采样孔，其采样口由环境监察支队和环境监测站共同确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t>（2）生产废水、生活污水不外排，</w:t>
            </w:r>
            <w:r>
              <w:rPr>
                <w:rFonts w:hint="default" w:ascii="Times New Roman" w:hAnsi="Times New Roman" w:cs="Times New Roman" w:eastAsiaTheme="minorEastAsia"/>
                <w:color w:val="000000" w:themeColor="text1"/>
                <w:sz w:val="24"/>
                <w:szCs w:val="20"/>
                <w:highlight w:val="none"/>
                <w:u w:val="none" w:color="auto"/>
                <w:lang w:val="en-US" w:eastAsia="zh-CN"/>
                <w14:textFill>
                  <w14:solidFill>
                    <w14:schemeClr w14:val="tx1"/>
                  </w14:solidFill>
                </w14:textFill>
              </w:rPr>
              <w:t>可不设置排口</w:t>
            </w:r>
            <w:r>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t>（3）厂界噪声：按规定对固定噪声进行治理，并在边界噪声敏感点、且对外界影响最大处设置标志牌。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t>（4）固体废物贮存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t>建设项目设置一般工业固体废物暂存间，应对各种固体废物分别收集、贮存和运输。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t>（5）设置标志牌要求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t>环境保护图形标志由环保部统一规定制作，并由市环境监理部门根据企业排污情况统一订购。企业排污口分布图由环境监察支队统一订制，排放一般污染物口设置提示式标志牌，排放有毒有害等污染物的排污口设置警示标志牌。</w:t>
            </w:r>
          </w:p>
          <w:p>
            <w:pPr>
              <w:spacing w:line="360" w:lineRule="auto"/>
              <w:ind w:firstLine="480" w:firstLineChars="200"/>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t>标志牌设置位置在排污口（采样口）附近且醒目处，高度为标志牌上距离地面2米。排污口附近1米范围内有建筑物的，设平面式标志牌，无建筑物设立式标志牌。</w:t>
            </w:r>
          </w:p>
          <w:p>
            <w:pPr>
              <w:spacing w:line="360" w:lineRule="auto"/>
              <w:ind w:firstLine="480" w:firstLineChars="200"/>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标志的设置应执行《环境保护图形标志排放口》（GB15562.1-1995)及《环境保护图形标志固体废物贮存（处置场》（GB155622-1995</w:t>
            </w:r>
            <w:r>
              <w:rPr>
                <w:rFonts w:hint="default"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中有关规定。</w:t>
            </w:r>
            <w:r>
              <w:rPr>
                <w:rFonts w:hint="default" w:ascii="Times New Roman" w:hAnsi="Times New Roman" w:cs="Times New Roman" w:eastAsiaTheme="minorEastAsia"/>
                <w:color w:val="000000" w:themeColor="text1"/>
                <w:sz w:val="24"/>
                <w:szCs w:val="20"/>
                <w:highlight w:val="none"/>
                <w:u w:val="none" w:color="auto"/>
                <w14:textFill>
                  <w14:solidFill>
                    <w14:schemeClr w14:val="tx1"/>
                  </w14:solidFill>
                </w14:textFill>
              </w:rPr>
              <w:t>规范化排污口的有关设置（图形标志牌、计量装置、监控装置等）属于环保设施，排污单位必须负责日常的维护保养，任何单位和个人不得擅自拆除。</w:t>
            </w:r>
          </w:p>
          <w:p>
            <w:pPr>
              <w:spacing w:line="360" w:lineRule="auto"/>
              <w:ind w:firstLine="480" w:firstLineChars="200"/>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排放口图形标志见</w:t>
            </w:r>
            <w:r>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图4-</w:t>
            </w:r>
            <w:r>
              <w:rPr>
                <w:rFonts w:hint="eastAsia"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2"/>
                <w:highlight w:val="none"/>
                <w:u w:val="none" w:color="auto"/>
                <w:lang w:val="en-US" w:eastAsia="zh-CN"/>
                <w14:textFill>
                  <w14:solidFill>
                    <w14:schemeClr w14:val="tx1"/>
                  </w14:solidFill>
                </w14:textFill>
              </w:rPr>
              <w:t>。</w:t>
            </w:r>
          </w:p>
          <w:p>
            <w:pPr>
              <w:spacing w:line="360" w:lineRule="auto"/>
              <w:ind w:left="0" w:leftChars="0" w:firstLine="0" w:firstLineChars="0"/>
              <w:jc w:val="center"/>
              <w:rPr>
                <w:rFonts w:hint="default" w:ascii="Times New Roman" w:hAnsi="Times New Roman" w:cs="Times New Roman" w:eastAsiaTheme="minorEastAsia"/>
                <w:b/>
                <w:bCs/>
                <w:color w:val="000000" w:themeColor="text1"/>
                <w:kern w:val="2"/>
                <w:sz w:val="28"/>
                <w:szCs w:val="3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24"/>
                <w:szCs w:val="24"/>
                <w:highlight w:val="none"/>
                <w:u w:val="none" w:color="auto"/>
                <w:lang w:val="en-US" w:eastAsia="zh-CN" w:bidi="ar-SA"/>
                <w14:textFill>
                  <w14:solidFill>
                    <w14:schemeClr w14:val="tx1"/>
                  </w14:solidFill>
                </w14:textFill>
              </w:rPr>
              <w:drawing>
                <wp:anchor distT="0" distB="0" distL="114300" distR="114300" simplePos="0" relativeHeight="251660288" behindDoc="1" locked="0" layoutInCell="1" allowOverlap="1">
                  <wp:simplePos x="0" y="0"/>
                  <wp:positionH relativeFrom="column">
                    <wp:posOffset>74930</wp:posOffset>
                  </wp:positionH>
                  <wp:positionV relativeFrom="paragraph">
                    <wp:posOffset>97155</wp:posOffset>
                  </wp:positionV>
                  <wp:extent cx="5219700" cy="2380615"/>
                  <wp:effectExtent l="0" t="0" r="0" b="635"/>
                  <wp:wrapTight wrapText="bothSides">
                    <wp:wrapPolygon>
                      <wp:start x="0" y="0"/>
                      <wp:lineTo x="0" y="21433"/>
                      <wp:lineTo x="21521" y="21433"/>
                      <wp:lineTo x="21521" y="0"/>
                      <wp:lineTo x="0" y="0"/>
                    </wp:wrapPolygon>
                  </wp:wrapTight>
                  <wp:docPr id="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pic:cNvPicPr>
                            <a:picLocks noChangeAspect="1"/>
                          </pic:cNvPicPr>
                        </pic:nvPicPr>
                        <pic:blipFill>
                          <a:blip r:embed="rId27"/>
                          <a:srcRect l="1459" t="2702" r="-554" b="2071"/>
                          <a:stretch>
                            <a:fillRect/>
                          </a:stretch>
                        </pic:blipFill>
                        <pic:spPr>
                          <a:xfrm>
                            <a:off x="0" y="0"/>
                            <a:ext cx="5219700" cy="2380615"/>
                          </a:xfrm>
                          <a:prstGeom prst="rect">
                            <a:avLst/>
                          </a:prstGeom>
                          <a:noFill/>
                          <a:ln>
                            <a:noFill/>
                          </a:ln>
                        </pic:spPr>
                      </pic:pic>
                    </a:graphicData>
                  </a:graphic>
                </wp:anchor>
              </w:drawing>
            </w:r>
            <w:r>
              <w:rPr>
                <w:rFonts w:hint="default" w:ascii="Times New Roman" w:hAnsi="Times New Roman" w:cs="Times New Roman" w:eastAsiaTheme="minorEastAsia"/>
                <w:b/>
                <w:color w:val="000000" w:themeColor="text1"/>
                <w:kern w:val="2"/>
                <w:sz w:val="24"/>
                <w:szCs w:val="24"/>
                <w:highlight w:val="none"/>
                <w:u w:val="none" w:color="auto"/>
                <w:lang w:val="en-US" w:eastAsia="zh-CN" w:bidi="ar-SA"/>
                <w14:textFill>
                  <w14:solidFill>
                    <w14:schemeClr w14:val="tx1"/>
                  </w14:solidFill>
                </w14:textFill>
              </w:rPr>
              <w:t>图</w:t>
            </w: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4-</w:t>
            </w:r>
            <w:r>
              <w:rPr>
                <w:rFonts w:hint="eastAsia"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5</w:t>
            </w:r>
            <w:r>
              <w:rPr>
                <w:rFonts w:hint="default" w:ascii="Times New Roman" w:hAnsi="Times New Roman" w:cs="Times New Roman" w:eastAsiaTheme="minorEastAsia"/>
                <w:b/>
                <w:bCs/>
                <w:color w:val="000000" w:themeColor="text1"/>
                <w:kern w:val="2"/>
                <w:sz w:val="21"/>
                <w:szCs w:val="21"/>
                <w:highlight w:val="none"/>
                <w:u w:val="none" w:color="auto"/>
                <w:lang w:val="en-US" w:eastAsia="zh-CN" w:bidi="ar-SA"/>
                <w14:textFill>
                  <w14:solidFill>
                    <w14:schemeClr w14:val="tx1"/>
                  </w14:solidFill>
                </w14:textFill>
              </w:rPr>
              <w:t xml:space="preserve"> 排放口图形标志一览表</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2" w:firstLineChars="200"/>
              <w:jc w:val="both"/>
              <w:textAlignment w:val="auto"/>
              <w:outlineLvl w:val="1"/>
              <w:rPr>
                <w:rFonts w:hint="default" w:ascii="Times New Roman" w:hAnsi="Times New Roman"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t>1.10</w:t>
            </w:r>
            <w:r>
              <w:rPr>
                <w:rFonts w:hint="default" w:ascii="Times New Roman" w:hAnsi="Times New Roman"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t>环保投资</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项目总投资具体详见下表。</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4-</w:t>
            </w:r>
            <w:r>
              <w:rPr>
                <w:rFonts w:hint="eastAsia"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1</w:t>
            </w:r>
            <w:r>
              <w:rPr>
                <w:rFonts w:hint="eastAsia" w:cs="Times New Roman" w:eastAsiaTheme="minorEastAsia"/>
                <w:b/>
                <w:color w:val="000000" w:themeColor="text1"/>
                <w:sz w:val="21"/>
                <w:szCs w:val="21"/>
                <w:highlight w:val="none"/>
                <w:u w:val="none" w:color="auto"/>
                <w:lang w:val="en-US" w:eastAsia="zh-CN"/>
                <w14:textFill>
                  <w14:solidFill>
                    <w14:schemeClr w14:val="tx1"/>
                  </w14:solidFill>
                </w14:textFill>
              </w:rPr>
              <w:t>8</w:t>
            </w:r>
            <w:r>
              <w:rPr>
                <w:rFonts w:hint="eastAsia"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环保投资一览表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108" w:type="dxa"/>
                <w:bottom w:w="0" w:type="dxa"/>
                <w:right w:w="108" w:type="dxa"/>
              </w:tblCellMar>
            </w:tblPr>
            <w:tblGrid>
              <w:gridCol w:w="964"/>
              <w:gridCol w:w="4630"/>
              <w:gridCol w:w="2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660" w:hRule="atLeast"/>
                <w:tblHeader/>
                <w:jc w:val="center"/>
              </w:trPr>
              <w:tc>
                <w:tcPr>
                  <w:tcW w:w="583" w:type="pct"/>
                  <w:noWrap w:val="0"/>
                  <w:vAlign w:val="center"/>
                </w:tcPr>
                <w:p>
                  <w:pPr>
                    <w:pStyle w:val="57"/>
                    <w:bidi w:val="0"/>
                    <w:rPr>
                      <w:rFonts w:hint="default"/>
                      <w:highlight w:val="none"/>
                    </w:rPr>
                  </w:pPr>
                  <w:r>
                    <w:rPr>
                      <w:rFonts w:hint="default"/>
                      <w:highlight w:val="none"/>
                    </w:rPr>
                    <w:t>类别</w:t>
                  </w:r>
                </w:p>
              </w:tc>
              <w:tc>
                <w:tcPr>
                  <w:tcW w:w="2801" w:type="pct"/>
                  <w:noWrap w:val="0"/>
                  <w:vAlign w:val="center"/>
                </w:tcPr>
                <w:p>
                  <w:pPr>
                    <w:pStyle w:val="57"/>
                    <w:bidi w:val="0"/>
                    <w:rPr>
                      <w:rFonts w:hint="default"/>
                      <w:highlight w:val="none"/>
                    </w:rPr>
                  </w:pPr>
                  <w:r>
                    <w:rPr>
                      <w:rFonts w:hint="default"/>
                      <w:highlight w:val="none"/>
                    </w:rPr>
                    <w:t>治理措施</w:t>
                  </w:r>
                </w:p>
              </w:tc>
              <w:tc>
                <w:tcPr>
                  <w:tcW w:w="1614" w:type="pct"/>
                  <w:noWrap w:val="0"/>
                  <w:vAlign w:val="center"/>
                </w:tcPr>
                <w:p>
                  <w:pPr>
                    <w:pStyle w:val="57"/>
                    <w:bidi w:val="0"/>
                    <w:rPr>
                      <w:rFonts w:hint="default"/>
                      <w:highlight w:val="none"/>
                    </w:rPr>
                  </w:pPr>
                  <w:r>
                    <w:rPr>
                      <w:rFonts w:hint="default"/>
                      <w:highlight w:val="none"/>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90" w:hRule="atLeast"/>
                <w:tblHeader/>
                <w:jc w:val="center"/>
              </w:trPr>
              <w:tc>
                <w:tcPr>
                  <w:tcW w:w="583" w:type="pct"/>
                  <w:noWrap w:val="0"/>
                  <w:vAlign w:val="center"/>
                </w:tcPr>
                <w:p>
                  <w:pPr>
                    <w:pStyle w:val="57"/>
                    <w:bidi w:val="0"/>
                    <w:rPr>
                      <w:rFonts w:hint="default"/>
                      <w:highlight w:val="none"/>
                    </w:rPr>
                  </w:pPr>
                  <w:r>
                    <w:rPr>
                      <w:rFonts w:hint="default"/>
                      <w:highlight w:val="none"/>
                    </w:rPr>
                    <w:t>废水</w:t>
                  </w:r>
                </w:p>
              </w:tc>
              <w:tc>
                <w:tcPr>
                  <w:tcW w:w="2801" w:type="pct"/>
                  <w:noWrap w:val="0"/>
                  <w:vAlign w:val="center"/>
                </w:tcPr>
                <w:p>
                  <w:pPr>
                    <w:pStyle w:val="57"/>
                    <w:bidi w:val="0"/>
                    <w:rPr>
                      <w:rFonts w:hint="default"/>
                      <w:highlight w:val="none"/>
                      <w:lang w:val="en-US" w:eastAsia="zh-CN"/>
                    </w:rPr>
                  </w:pPr>
                  <w:r>
                    <w:rPr>
                      <w:rFonts w:hint="eastAsia"/>
                      <w:highlight w:val="none"/>
                      <w:lang w:val="en-US" w:eastAsia="zh-CN"/>
                    </w:rPr>
                    <w:t>隔油池、</w:t>
                  </w:r>
                  <w:r>
                    <w:rPr>
                      <w:rFonts w:hint="default"/>
                      <w:highlight w:val="none"/>
                    </w:rPr>
                    <w:t>化粪池</w:t>
                  </w:r>
                  <w:r>
                    <w:rPr>
                      <w:rFonts w:hint="default"/>
                      <w:highlight w:val="none"/>
                      <w:lang w:eastAsia="zh-CN"/>
                    </w:rPr>
                    <w:t>、</w:t>
                  </w:r>
                  <w:r>
                    <w:rPr>
                      <w:rFonts w:hint="default"/>
                      <w:highlight w:val="none"/>
                    </w:rPr>
                    <w:t>三级沉淀池</w:t>
                  </w:r>
                  <w:r>
                    <w:rPr>
                      <w:rFonts w:hint="default"/>
                      <w:highlight w:val="none"/>
                      <w:lang w:eastAsia="zh-CN"/>
                    </w:rPr>
                    <w:t>、</w:t>
                  </w:r>
                  <w:r>
                    <w:rPr>
                      <w:rFonts w:hint="default"/>
                      <w:highlight w:val="none"/>
                      <w:lang w:val="en-US" w:eastAsia="zh-CN"/>
                    </w:rPr>
                    <w:t>雨水沉淀池</w:t>
                  </w:r>
                </w:p>
              </w:tc>
              <w:tc>
                <w:tcPr>
                  <w:tcW w:w="1614" w:type="pct"/>
                  <w:tcBorders>
                    <w:right w:val="single" w:color="auto" w:sz="4" w:space="0"/>
                  </w:tcBorders>
                  <w:noWrap w:val="0"/>
                  <w:vAlign w:val="center"/>
                </w:tcPr>
                <w:p>
                  <w:pPr>
                    <w:pStyle w:val="57"/>
                    <w:bidi w:val="0"/>
                    <w:rPr>
                      <w:rFonts w:hint="default"/>
                      <w:highlight w:val="none"/>
                      <w:lang w:val="en-US" w:eastAsia="zh-CN"/>
                    </w:rPr>
                  </w:pPr>
                  <w:r>
                    <w:rPr>
                      <w:rFonts w:hint="eastAsia"/>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990" w:hRule="atLeast"/>
                <w:tblHeader/>
                <w:jc w:val="center"/>
              </w:trPr>
              <w:tc>
                <w:tcPr>
                  <w:tcW w:w="583" w:type="pct"/>
                  <w:noWrap w:val="0"/>
                  <w:vAlign w:val="center"/>
                </w:tcPr>
                <w:p>
                  <w:pPr>
                    <w:pStyle w:val="57"/>
                    <w:bidi w:val="0"/>
                    <w:rPr>
                      <w:rFonts w:hint="default"/>
                      <w:highlight w:val="none"/>
                    </w:rPr>
                  </w:pPr>
                  <w:r>
                    <w:rPr>
                      <w:rFonts w:hint="default"/>
                      <w:highlight w:val="none"/>
                    </w:rPr>
                    <w:t>废气</w:t>
                  </w:r>
                </w:p>
              </w:tc>
              <w:tc>
                <w:tcPr>
                  <w:tcW w:w="2801" w:type="pct"/>
                  <w:noWrap w:val="0"/>
                  <w:vAlign w:val="center"/>
                </w:tcPr>
                <w:p>
                  <w:pPr>
                    <w:pStyle w:val="57"/>
                    <w:bidi w:val="0"/>
                    <w:rPr>
                      <w:rFonts w:hint="default"/>
                      <w:highlight w:val="none"/>
                      <w:lang w:eastAsia="zh-CN"/>
                    </w:rPr>
                  </w:pPr>
                  <w:r>
                    <w:rPr>
                      <w:rFonts w:hint="default"/>
                      <w:highlight w:val="none"/>
                      <w:lang w:eastAsia="zh-CN"/>
                    </w:rPr>
                    <w:t>搅拌楼密封</w:t>
                  </w:r>
                  <w:r>
                    <w:rPr>
                      <w:rFonts w:hint="default"/>
                      <w:highlight w:val="none"/>
                      <w:lang w:val="en-US" w:eastAsia="zh-CN"/>
                    </w:rPr>
                    <w:t>+脉冲</w:t>
                  </w:r>
                  <w:r>
                    <w:rPr>
                      <w:rFonts w:hint="default"/>
                      <w:highlight w:val="none"/>
                      <w:lang w:eastAsia="zh-CN"/>
                    </w:rPr>
                    <w:t>布袋除尘器</w:t>
                  </w:r>
                  <w:r>
                    <w:rPr>
                      <w:rFonts w:hint="default"/>
                      <w:highlight w:val="none"/>
                      <w:lang w:val="en-US" w:eastAsia="zh-CN"/>
                    </w:rPr>
                    <w:t>+</w:t>
                  </w:r>
                  <w:r>
                    <w:rPr>
                      <w:rFonts w:hint="eastAsia"/>
                      <w:highlight w:val="none"/>
                      <w:lang w:val="en-US" w:eastAsia="zh-CN"/>
                    </w:rPr>
                    <w:t>高空排放</w:t>
                  </w:r>
                </w:p>
                <w:p>
                  <w:pPr>
                    <w:pStyle w:val="57"/>
                    <w:bidi w:val="0"/>
                    <w:rPr>
                      <w:rFonts w:hint="default"/>
                      <w:highlight w:val="none"/>
                      <w:lang w:eastAsia="zh-CN"/>
                    </w:rPr>
                  </w:pPr>
                  <w:r>
                    <w:rPr>
                      <w:rFonts w:hint="default"/>
                      <w:highlight w:val="none"/>
                      <w:lang w:eastAsia="zh-CN"/>
                    </w:rPr>
                    <w:t>筒仓密封</w:t>
                  </w:r>
                  <w:r>
                    <w:rPr>
                      <w:rFonts w:hint="default"/>
                      <w:highlight w:val="none"/>
                      <w:lang w:val="en-US" w:eastAsia="zh-CN"/>
                    </w:rPr>
                    <w:t>+脉冲</w:t>
                  </w:r>
                  <w:r>
                    <w:rPr>
                      <w:rFonts w:hint="default"/>
                      <w:highlight w:val="none"/>
                      <w:lang w:eastAsia="zh-CN"/>
                    </w:rPr>
                    <w:t>布袋除尘器</w:t>
                  </w:r>
                  <w:r>
                    <w:rPr>
                      <w:rFonts w:hint="eastAsia"/>
                      <w:highlight w:val="none"/>
                      <w:lang w:val="en-US" w:eastAsia="zh-CN"/>
                    </w:rPr>
                    <w:t>13</w:t>
                  </w:r>
                  <w:r>
                    <w:rPr>
                      <w:rFonts w:hint="default"/>
                      <w:highlight w:val="none"/>
                      <w:lang w:val="en-US" w:eastAsia="zh-CN"/>
                    </w:rPr>
                    <w:t>套+仓顶排放</w:t>
                  </w:r>
                </w:p>
                <w:p>
                  <w:pPr>
                    <w:pStyle w:val="57"/>
                    <w:bidi w:val="0"/>
                    <w:rPr>
                      <w:rFonts w:hint="default"/>
                      <w:highlight w:val="none"/>
                      <w:lang w:val="en-US" w:eastAsia="zh-CN"/>
                    </w:rPr>
                  </w:pPr>
                  <w:r>
                    <w:rPr>
                      <w:rFonts w:hint="default"/>
                      <w:highlight w:val="none"/>
                      <w:lang w:eastAsia="zh-CN"/>
                    </w:rPr>
                    <w:t>道路两侧喷雾抑尘及</w:t>
                  </w:r>
                  <w:r>
                    <w:rPr>
                      <w:rFonts w:hint="eastAsia"/>
                      <w:highlight w:val="none"/>
                      <w:lang w:val="en-US" w:eastAsia="zh-CN"/>
                    </w:rPr>
                    <w:t>原料仓库</w:t>
                  </w:r>
                  <w:r>
                    <w:rPr>
                      <w:rFonts w:hint="default"/>
                      <w:highlight w:val="none"/>
                      <w:lang w:val="en-US" w:eastAsia="zh-CN"/>
                    </w:rPr>
                    <w:t>+喷雾抑尘</w:t>
                  </w:r>
                </w:p>
              </w:tc>
              <w:tc>
                <w:tcPr>
                  <w:tcW w:w="1614" w:type="pct"/>
                  <w:noWrap w:val="0"/>
                  <w:vAlign w:val="center"/>
                </w:tcPr>
                <w:p>
                  <w:pPr>
                    <w:pStyle w:val="57"/>
                    <w:bidi w:val="0"/>
                    <w:rPr>
                      <w:rFonts w:hint="default"/>
                      <w:highlight w:val="none"/>
                      <w:lang w:val="en-US" w:eastAsia="zh-CN"/>
                    </w:rPr>
                  </w:pPr>
                  <w:r>
                    <w:rPr>
                      <w:rFonts w:hint="eastAsia"/>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40" w:hRule="atLeast"/>
                <w:tblHeader/>
                <w:jc w:val="center"/>
              </w:trPr>
              <w:tc>
                <w:tcPr>
                  <w:tcW w:w="583" w:type="pct"/>
                  <w:noWrap w:val="0"/>
                  <w:vAlign w:val="center"/>
                </w:tcPr>
                <w:p>
                  <w:pPr>
                    <w:pStyle w:val="57"/>
                    <w:bidi w:val="0"/>
                    <w:rPr>
                      <w:rFonts w:hint="default"/>
                      <w:highlight w:val="none"/>
                    </w:rPr>
                  </w:pPr>
                  <w:r>
                    <w:rPr>
                      <w:rFonts w:hint="default"/>
                      <w:highlight w:val="none"/>
                    </w:rPr>
                    <w:t>固废</w:t>
                  </w:r>
                </w:p>
              </w:tc>
              <w:tc>
                <w:tcPr>
                  <w:tcW w:w="2801" w:type="pct"/>
                  <w:noWrap w:val="0"/>
                  <w:vAlign w:val="center"/>
                </w:tcPr>
                <w:p>
                  <w:pPr>
                    <w:pStyle w:val="57"/>
                    <w:bidi w:val="0"/>
                    <w:rPr>
                      <w:rFonts w:hint="eastAsia" w:eastAsia="宋体"/>
                      <w:highlight w:val="none"/>
                      <w:lang w:eastAsia="zh-CN"/>
                    </w:rPr>
                  </w:pPr>
                  <w:r>
                    <w:rPr>
                      <w:rFonts w:hint="eastAsia"/>
                      <w:highlight w:val="none"/>
                      <w:lang w:eastAsia="zh-CN"/>
                    </w:rPr>
                    <w:t>一般固废暂存间</w:t>
                  </w:r>
                </w:p>
              </w:tc>
              <w:tc>
                <w:tcPr>
                  <w:tcW w:w="1614" w:type="pct"/>
                  <w:noWrap w:val="0"/>
                  <w:vAlign w:val="center"/>
                </w:tcPr>
                <w:p>
                  <w:pPr>
                    <w:pStyle w:val="57"/>
                    <w:bidi w:val="0"/>
                    <w:rPr>
                      <w:rFonts w:hint="default"/>
                      <w:highlight w:val="none"/>
                      <w:lang w:val="en-US" w:eastAsia="zh-CN"/>
                    </w:rPr>
                  </w:pPr>
                  <w:r>
                    <w:rPr>
                      <w:rFonts w:hint="eastAsia"/>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40" w:hRule="atLeast"/>
                <w:tblHeader/>
                <w:jc w:val="center"/>
              </w:trPr>
              <w:tc>
                <w:tcPr>
                  <w:tcW w:w="583" w:type="pct"/>
                  <w:noWrap w:val="0"/>
                  <w:vAlign w:val="center"/>
                </w:tcPr>
                <w:p>
                  <w:pPr>
                    <w:pStyle w:val="57"/>
                    <w:bidi w:val="0"/>
                    <w:rPr>
                      <w:rFonts w:hint="default"/>
                      <w:highlight w:val="none"/>
                    </w:rPr>
                  </w:pPr>
                  <w:r>
                    <w:rPr>
                      <w:rFonts w:hint="default"/>
                      <w:highlight w:val="none"/>
                    </w:rPr>
                    <w:t>噪声</w:t>
                  </w:r>
                </w:p>
              </w:tc>
              <w:tc>
                <w:tcPr>
                  <w:tcW w:w="2801" w:type="pct"/>
                  <w:noWrap w:val="0"/>
                  <w:vAlign w:val="center"/>
                </w:tcPr>
                <w:p>
                  <w:pPr>
                    <w:pStyle w:val="57"/>
                    <w:bidi w:val="0"/>
                    <w:rPr>
                      <w:rFonts w:hint="default"/>
                      <w:highlight w:val="none"/>
                    </w:rPr>
                  </w:pPr>
                  <w:r>
                    <w:rPr>
                      <w:rFonts w:hint="default"/>
                      <w:highlight w:val="none"/>
                    </w:rPr>
                    <w:t>隔声、减振、消声设施</w:t>
                  </w:r>
                </w:p>
              </w:tc>
              <w:tc>
                <w:tcPr>
                  <w:tcW w:w="1614" w:type="pct"/>
                  <w:noWrap w:val="0"/>
                  <w:vAlign w:val="center"/>
                </w:tcPr>
                <w:p>
                  <w:pPr>
                    <w:pStyle w:val="57"/>
                    <w:bidi w:val="0"/>
                    <w:rPr>
                      <w:rFonts w:hint="default"/>
                      <w:highlight w:val="none"/>
                      <w:lang w:val="en-US" w:eastAsia="zh-CN"/>
                    </w:rPr>
                  </w:pPr>
                  <w:r>
                    <w:rPr>
                      <w:rFonts w:hint="eastAsia"/>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40" w:hRule="atLeast"/>
                <w:tblHeader/>
                <w:jc w:val="center"/>
              </w:trPr>
              <w:tc>
                <w:tcPr>
                  <w:tcW w:w="583" w:type="pct"/>
                  <w:noWrap w:val="0"/>
                  <w:vAlign w:val="center"/>
                </w:tcPr>
                <w:p>
                  <w:pPr>
                    <w:pStyle w:val="57"/>
                    <w:bidi w:val="0"/>
                    <w:rPr>
                      <w:rFonts w:hint="default" w:eastAsia="宋体"/>
                      <w:highlight w:val="none"/>
                      <w:lang w:val="en-US" w:eastAsia="zh-CN"/>
                    </w:rPr>
                  </w:pPr>
                  <w:r>
                    <w:rPr>
                      <w:rFonts w:hint="eastAsia"/>
                      <w:highlight w:val="none"/>
                      <w:lang w:val="en-US" w:eastAsia="zh-CN"/>
                    </w:rPr>
                    <w:t>生态环境</w:t>
                  </w:r>
                </w:p>
              </w:tc>
              <w:tc>
                <w:tcPr>
                  <w:tcW w:w="2801" w:type="pct"/>
                  <w:noWrap w:val="0"/>
                  <w:vAlign w:val="center"/>
                </w:tcPr>
                <w:p>
                  <w:pPr>
                    <w:pStyle w:val="57"/>
                    <w:bidi w:val="0"/>
                    <w:rPr>
                      <w:rFonts w:hint="default" w:eastAsia="宋体"/>
                      <w:highlight w:val="none"/>
                      <w:lang w:val="en-US" w:eastAsia="zh-CN"/>
                    </w:rPr>
                  </w:pPr>
                  <w:r>
                    <w:rPr>
                      <w:rFonts w:hint="eastAsia"/>
                      <w:highlight w:val="none"/>
                      <w:lang w:val="en-US" w:eastAsia="zh-CN"/>
                    </w:rPr>
                    <w:t>将项目建设内容进行拆除且将建筑垃圾清运离厂</w:t>
                  </w:r>
                </w:p>
              </w:tc>
              <w:tc>
                <w:tcPr>
                  <w:tcW w:w="1614" w:type="pct"/>
                  <w:noWrap w:val="0"/>
                  <w:vAlign w:val="center"/>
                </w:tcPr>
                <w:p>
                  <w:pPr>
                    <w:pStyle w:val="57"/>
                    <w:bidi w:val="0"/>
                    <w:rPr>
                      <w:rFonts w:hint="default"/>
                      <w:highlight w:val="none"/>
                      <w:lang w:val="en-US" w:eastAsia="zh-CN"/>
                    </w:rPr>
                  </w:pPr>
                  <w:r>
                    <w:rPr>
                      <w:rFonts w:hint="eastAsia"/>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40" w:hRule="atLeast"/>
                <w:tblHeader/>
                <w:jc w:val="center"/>
              </w:trPr>
              <w:tc>
                <w:tcPr>
                  <w:tcW w:w="583" w:type="pct"/>
                  <w:noWrap w:val="0"/>
                  <w:vAlign w:val="center"/>
                </w:tcPr>
                <w:p>
                  <w:pPr>
                    <w:pStyle w:val="57"/>
                    <w:bidi w:val="0"/>
                    <w:rPr>
                      <w:rFonts w:hint="default"/>
                      <w:highlight w:val="none"/>
                    </w:rPr>
                  </w:pPr>
                  <w:r>
                    <w:rPr>
                      <w:rFonts w:hint="default"/>
                      <w:highlight w:val="none"/>
                    </w:rPr>
                    <w:t>合计</w:t>
                  </w:r>
                </w:p>
              </w:tc>
              <w:tc>
                <w:tcPr>
                  <w:tcW w:w="2801" w:type="pct"/>
                  <w:noWrap w:val="0"/>
                  <w:vAlign w:val="center"/>
                </w:tcPr>
                <w:p>
                  <w:pPr>
                    <w:pStyle w:val="57"/>
                    <w:bidi w:val="0"/>
                    <w:rPr>
                      <w:rFonts w:hint="default"/>
                      <w:highlight w:val="none"/>
                    </w:rPr>
                  </w:pPr>
                  <w:r>
                    <w:rPr>
                      <w:rFonts w:hint="default"/>
                      <w:highlight w:val="none"/>
                    </w:rPr>
                    <w:t>/</w:t>
                  </w:r>
                </w:p>
              </w:tc>
              <w:tc>
                <w:tcPr>
                  <w:tcW w:w="1614" w:type="pct"/>
                  <w:noWrap w:val="0"/>
                  <w:vAlign w:val="center"/>
                </w:tcPr>
                <w:p>
                  <w:pPr>
                    <w:pStyle w:val="57"/>
                    <w:bidi w:val="0"/>
                    <w:rPr>
                      <w:rFonts w:hint="default"/>
                      <w:highlight w:val="none"/>
                      <w:lang w:val="en-US" w:eastAsia="zh-CN"/>
                    </w:rPr>
                  </w:pPr>
                  <w:r>
                    <w:rPr>
                      <w:rFonts w:hint="eastAsia"/>
                      <w:highlight w:val="none"/>
                      <w:lang w:val="en-US" w:eastAsia="zh-CN"/>
                    </w:rPr>
                    <w:t>77.0</w:t>
                  </w:r>
                </w:p>
              </w:tc>
            </w:tr>
          </w:tbl>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由上表可知，项目各项环保治理措施投资总计约为</w:t>
            </w:r>
            <w:r>
              <w:rPr>
                <w:rFonts w:hint="eastAsia" w:cs="Times New Roman" w:eastAsiaTheme="minorEastAsia"/>
                <w:color w:val="000000" w:themeColor="text1"/>
                <w:sz w:val="24"/>
                <w:szCs w:val="22"/>
                <w:highlight w:val="none"/>
                <w:u w:val="none" w:color="auto"/>
                <w:lang w:val="en-US" w:eastAsia="zh-CN"/>
                <w14:textFill>
                  <w14:solidFill>
                    <w14:schemeClr w14:val="tx1"/>
                  </w14:solidFill>
                </w14:textFill>
              </w:rPr>
              <w:t>77</w:t>
            </w: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万元，占总投资的</w:t>
            </w:r>
            <w:r>
              <w:rPr>
                <w:rFonts w:hint="eastAsia" w:cs="Times New Roman" w:eastAsiaTheme="minorEastAsia"/>
                <w:color w:val="000000" w:themeColor="text1"/>
                <w:sz w:val="24"/>
                <w:szCs w:val="22"/>
                <w:highlight w:val="none"/>
                <w:u w:val="none" w:color="auto"/>
                <w:lang w:val="en-US" w:eastAsia="zh-CN"/>
                <w14:textFill>
                  <w14:solidFill>
                    <w14:schemeClr w14:val="tx1"/>
                  </w14:solidFill>
                </w14:textFill>
              </w:rPr>
              <w:t>38.5</w:t>
            </w:r>
            <w:r>
              <w:rPr>
                <w:rFonts w:hint="default" w:ascii="Times New Roman" w:hAnsi="Times New Roman" w:cs="Times New Roman" w:eastAsiaTheme="minorEastAsia"/>
                <w:color w:val="000000" w:themeColor="text1"/>
                <w:sz w:val="24"/>
                <w:szCs w:val="22"/>
                <w:highlight w:val="none"/>
                <w:u w:val="none" w:color="auto"/>
                <w14:textFill>
                  <w14:solidFill>
                    <w14:schemeClr w14:val="tx1"/>
                  </w14:solidFill>
                </w14:textFill>
              </w:rPr>
              <w:t>%，上述环保投资及治理项目可使本项目各项污染物达标排放。</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2" w:firstLineChars="200"/>
              <w:jc w:val="both"/>
              <w:textAlignment w:val="auto"/>
              <w:outlineLvl w:val="1"/>
              <w:rPr>
                <w:rFonts w:hint="eastAsia"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pP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2" w:firstLineChars="200"/>
              <w:jc w:val="both"/>
              <w:textAlignment w:val="auto"/>
              <w:outlineLvl w:val="1"/>
              <w:rPr>
                <w:rFonts w:hint="default" w:ascii="Times New Roman" w:hAnsi="Times New Roman"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pPr>
            <w:bookmarkStart w:id="30" w:name="_GoBack"/>
            <w:bookmarkEnd w:id="30"/>
            <w:r>
              <w:rPr>
                <w:rFonts w:hint="eastAsia"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t>1.11</w:t>
            </w:r>
            <w:r>
              <w:rPr>
                <w:rFonts w:hint="default" w:ascii="Times New Roman" w:hAnsi="Times New Roman" w:cs="Times New Roman" w:eastAsiaTheme="minorEastAsia"/>
                <w:b/>
                <w:bCs/>
                <w:color w:val="000000" w:themeColor="text1"/>
                <w:kern w:val="2"/>
                <w:sz w:val="24"/>
                <w:szCs w:val="24"/>
                <w:highlight w:val="none"/>
                <w:u w:val="none" w:color="auto"/>
                <w:lang w:val="en-US" w:eastAsia="zh-CN" w:bidi="ar-SA"/>
                <w14:textFill>
                  <w14:solidFill>
                    <w14:schemeClr w14:val="tx1"/>
                  </w14:solidFill>
                </w14:textFill>
              </w:rPr>
              <w:t>“三同时”验收</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根据《建设项目环境保护管理条例》（2017年7月修订）、《建设项目竣工环境保护验收暂行办法》（国环规环评【2017】4号），建设项目竣工后建设单位需自主开展环境保护验收。项目竣工环保设施的验收要求如下：</w:t>
            </w:r>
          </w:p>
          <w:p>
            <w:pPr>
              <w:pageBreakBefore w:val="0"/>
              <w:widowControl w:val="0"/>
              <w:numPr>
                <w:ilvl w:val="0"/>
                <w:numId w:val="2"/>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建设项目需要配套建设的环境保护设施，必须与主体工程同时设计、同时施工、同时投产使用。</w:t>
            </w:r>
          </w:p>
          <w:p>
            <w:pPr>
              <w:pageBreakBefore w:val="0"/>
              <w:widowControl w:val="0"/>
              <w:numPr>
                <w:ilvl w:val="0"/>
                <w:numId w:val="2"/>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项目竣工后，建设单位应当按照国务院环境保护行政主管部门规定的标准和程序，对配套建设的环境保护设施进行验收，编制验收报告。</w:t>
            </w:r>
          </w:p>
          <w:p>
            <w:pPr>
              <w:pageBreakBefore w:val="0"/>
              <w:widowControl w:val="0"/>
              <w:numPr>
                <w:ilvl w:val="0"/>
                <w:numId w:val="2"/>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建设单位在环境保护设施验收过程中，应当如实查验、监测、记载建设项目环境保护设施的建设和调试情况，不得弄虚作假。建设单位不具备编制验收监测（调查）报告能力的，可以委托有能力的技术机构编制。建设单位对受委托的技术机构编制的验收监测（调查）报告结论负责。建设单位与受委托的技术机构之间的权利义务关系，以及受委托的技术机构应当承担的责任，可以通过合同形式约定。</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d、建设项目配套建设的环境保护设施经验收合格后，其主体工程方可投入生产或者使用；未经验收或者验收不合格的，不得投入生产或者使用。项目环境保护竣工验收项目见下表。</w:t>
            </w:r>
          </w:p>
          <w:p>
            <w:pPr>
              <w:adjustRightInd w:val="0"/>
              <w:snapToGrid w:val="0"/>
              <w:spacing w:line="300" w:lineRule="exact"/>
              <w:ind w:firstLine="0" w:firstLineChars="0"/>
              <w:jc w:val="cente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w:t>
            </w:r>
            <w:r>
              <w:rPr>
                <w:rFonts w:hint="eastAsia"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1</w:t>
            </w:r>
            <w:r>
              <w:rPr>
                <w:rFonts w:hint="eastAsia" w:cs="Times New Roman" w:eastAsiaTheme="minorEastAsia"/>
                <w:b/>
                <w:color w:val="000000" w:themeColor="text1"/>
                <w:sz w:val="21"/>
                <w:szCs w:val="21"/>
                <w:highlight w:val="none"/>
                <w:u w:val="none" w:color="auto"/>
                <w:lang w:val="en-US" w:eastAsia="zh-CN"/>
                <w14:textFill>
                  <w14:solidFill>
                    <w14:schemeClr w14:val="tx1"/>
                  </w14:solidFill>
                </w14:textFill>
              </w:rPr>
              <w:t>9</w:t>
            </w:r>
            <w:r>
              <w:rPr>
                <w:rFonts w:hint="eastAsia" w:ascii="Times New Roman" w:hAnsi="Times New Roman" w:cs="Times New Roman" w:eastAsiaTheme="minorEastAsia"/>
                <w:b/>
                <w:color w:val="000000" w:themeColor="text1"/>
                <w:sz w:val="21"/>
                <w:szCs w:val="21"/>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项目环保竣工验收一览表</w:t>
            </w:r>
          </w:p>
          <w:tbl>
            <w:tblPr>
              <w:tblStyle w:val="23"/>
              <w:tblW w:w="4994"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548"/>
              <w:gridCol w:w="1914"/>
              <w:gridCol w:w="578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0"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序号</w:t>
                  </w:r>
                </w:p>
              </w:tc>
              <w:tc>
                <w:tcPr>
                  <w:tcW w:w="1160"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验收项目</w:t>
                  </w:r>
                </w:p>
              </w:tc>
              <w:tc>
                <w:tcPr>
                  <w:tcW w:w="3506"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验收内容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0"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1</w:t>
                  </w:r>
                </w:p>
              </w:tc>
              <w:tc>
                <w:tcPr>
                  <w:tcW w:w="1160"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相关资料、手续</w:t>
                  </w:r>
                </w:p>
              </w:tc>
              <w:tc>
                <w:tcPr>
                  <w:tcW w:w="3506"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项目相关批复文件（主要为环境影响评价审批文件）是否齐备，项目是否具备开工条件，环境保护档案是否齐全。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0"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2</w:t>
                  </w:r>
                </w:p>
              </w:tc>
              <w:tc>
                <w:tcPr>
                  <w:tcW w:w="1160"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实际工程内容及方案设计情况</w:t>
                  </w:r>
                </w:p>
              </w:tc>
              <w:tc>
                <w:tcPr>
                  <w:tcW w:w="3506"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核实实际工程内容及方案设计变更情况，以及由此造成的环境影响变化情况。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0"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3</w:t>
                  </w:r>
                </w:p>
              </w:tc>
              <w:tc>
                <w:tcPr>
                  <w:tcW w:w="1160"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环境保护目标基本情况</w:t>
                  </w:r>
                </w:p>
              </w:tc>
              <w:tc>
                <w:tcPr>
                  <w:tcW w:w="3506"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核实环境保护目标基本情况及变更情况。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0"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4</w:t>
                  </w:r>
                </w:p>
              </w:tc>
              <w:tc>
                <w:tcPr>
                  <w:tcW w:w="1160"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环保相关评价制度及规章制度</w:t>
                  </w:r>
                </w:p>
              </w:tc>
              <w:tc>
                <w:tcPr>
                  <w:tcW w:w="3506"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核实环境影响评价制度及其他环境保护规章制度执行情况。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0"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5</w:t>
                  </w:r>
                </w:p>
              </w:tc>
              <w:tc>
                <w:tcPr>
                  <w:tcW w:w="1160"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各项环境保护设施落实情况</w:t>
                  </w:r>
                </w:p>
              </w:tc>
              <w:tc>
                <w:tcPr>
                  <w:tcW w:w="3506"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核实工程设计、环境影响评价文件及环境影响评价审批文件中提出的大气环境、水环境、声环境、固体废物及生态保护等各项措施落实情况及实施效果。</w:t>
                  </w:r>
                </w:p>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大气环境：</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项目</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混合粉尘</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是否采取</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“标准化厂房内+密闭搅拌+</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脉冲</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布袋除尘器”</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环保措施</w:t>
                  </w: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筒仓呼吸粉尘</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是否采取</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脉冲布袋除尘器</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处理措施，</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处理后的粉尘经筒仓顶部排气孔高空排放</w:t>
                  </w:r>
                  <w:r>
                    <w:rPr>
                      <w:rFonts w:hint="default"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筒仓放空口粉尘</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是否</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通过筒仓卸料口与输送皮带密闭衔接</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措施处理；</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砂石装卸堆</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放扬尘是否采取</w:t>
                  </w: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厂房遮挡</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和雨雾喷淋措施处理；运输车辆的扬尘建设方是否采取对厂区内地面进行水泥硬化措施，并派专人进行路面清扫、洒水，在运输过程中限制车速，不允许超载，以减少道路扬尘；导热油锅炉</w:t>
                  </w: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燃油烟气是否经收集后由15m高排气筒排放；沥青烟是否经活性炭吸附装置进行净化后由15m高排气筒排放；食堂油烟是否经油烟净化机通过排气管引至食堂屋顶排放；</w:t>
                  </w:r>
                </w:p>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水环境：</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生活废水</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是否通过</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化粪池</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处理</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用于周边农田施肥；生产废水是否通过沉淀池处理后回用；初期雨水是否通过雨水沉淀池处理后回用；</w:t>
                  </w:r>
                </w:p>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声环境：噪声是否采取低噪声设备、固定底座、橡胶减震</w:t>
                  </w:r>
                  <w:r>
                    <w:rPr>
                      <w:rFonts w:hint="default" w:ascii="Times New Roman" w:hAnsi="Times New Roman" w:cs="Times New Roman" w:eastAsiaTheme="minorEastAsia"/>
                      <w:bCs/>
                      <w:color w:val="000000" w:themeColor="text1"/>
                      <w:sz w:val="21"/>
                      <w:szCs w:val="21"/>
                      <w:highlight w:val="none"/>
                      <w:u w:val="none" w:color="auto"/>
                      <w14:textFill>
                        <w14:solidFill>
                          <w14:schemeClr w14:val="tx1"/>
                        </w14:solidFill>
                      </w14:textFill>
                    </w:rPr>
                    <w:t>等措施进行处理</w:t>
                  </w:r>
                  <w:r>
                    <w:rPr>
                      <w:rFonts w:hint="default" w:ascii="Times New Roman" w:hAnsi="Times New Roman" w:cs="Times New Roman" w:eastAsiaTheme="minorEastAsia"/>
                      <w:bCs/>
                      <w:color w:val="000000" w:themeColor="text1"/>
                      <w:sz w:val="21"/>
                      <w:szCs w:val="21"/>
                      <w:highlight w:val="none"/>
                      <w:u w:val="none" w:color="auto"/>
                      <w:lang w:eastAsia="zh-CN"/>
                      <w14:textFill>
                        <w14:solidFill>
                          <w14:schemeClr w14:val="tx1"/>
                        </w14:solidFill>
                      </w14:textFill>
                    </w:rPr>
                    <w:t>；</w:t>
                  </w:r>
                </w:p>
                <w:p>
                  <w:pPr>
                    <w:adjustRightInd w:val="0"/>
                    <w:snapToGrid w:val="0"/>
                    <w:spacing w:line="310" w:lineRule="exact"/>
                    <w:ind w:firstLine="0" w:firstLineChars="0"/>
                    <w:jc w:val="center"/>
                    <w:rPr>
                      <w:rFonts w:hint="eastAsia"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一般固废是否设置</w:t>
                  </w:r>
                  <w:r>
                    <w:rPr>
                      <w:rFonts w:hint="eastAsia" w:cs="Times New Roman" w:eastAsiaTheme="minorEastAsia"/>
                      <w:color w:val="000000" w:themeColor="text1"/>
                      <w:sz w:val="21"/>
                      <w:szCs w:val="21"/>
                      <w:highlight w:val="none"/>
                      <w:u w:val="none" w:color="auto"/>
                      <w:lang w:eastAsia="zh-CN"/>
                      <w14:textFill>
                        <w14:solidFill>
                          <w14:schemeClr w14:val="tx1"/>
                        </w14:solidFill>
                      </w14:textFill>
                    </w:rPr>
                    <w:t>一般固废暂存间</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收集</w:t>
                  </w:r>
                  <w:r>
                    <w:rPr>
                      <w:rFonts w:hint="eastAsia" w:cs="Times New Roman" w:eastAsiaTheme="minorEastAsia"/>
                      <w:color w:val="000000" w:themeColor="text1"/>
                      <w:sz w:val="21"/>
                      <w:szCs w:val="21"/>
                      <w:highlight w:val="none"/>
                      <w:u w:val="none" w:color="auto"/>
                      <w:lang w:eastAsia="zh-CN"/>
                      <w14:textFill>
                        <w14:solidFill>
                          <w14:schemeClr w14:val="tx1"/>
                        </w14:solidFill>
                      </w14:textFill>
                    </w:rPr>
                    <w:t>；</w:t>
                  </w:r>
                </w:p>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14:textFill>
                        <w14:solidFill>
                          <w14:schemeClr w14:val="tx1"/>
                        </w14:solidFill>
                      </w14:textFill>
                    </w:rPr>
                  </w:pP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生态环境：是否已将建设内容全部拆除且进行绿化恢复生态环境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0"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6</w:t>
                  </w:r>
                </w:p>
              </w:tc>
              <w:tc>
                <w:tcPr>
                  <w:tcW w:w="1160"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环境保护设施正产运转条件</w:t>
                  </w:r>
                </w:p>
              </w:tc>
              <w:tc>
                <w:tcPr>
                  <w:tcW w:w="3506"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活性炭装置</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是否正常稳定运行；站内生活污水是否按要求处置。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0"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7</w:t>
                  </w:r>
                </w:p>
              </w:tc>
              <w:tc>
                <w:tcPr>
                  <w:tcW w:w="1160"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污染物排放达标情况</w:t>
                  </w:r>
                </w:p>
              </w:tc>
              <w:tc>
                <w:tcPr>
                  <w:tcW w:w="3506" w:type="pct"/>
                  <w:noWrap w:val="0"/>
                  <w:vAlign w:val="center"/>
                </w:tcPr>
                <w:p>
                  <w:pPr>
                    <w:adjustRightInd w:val="0"/>
                    <w:snapToGrid w:val="0"/>
                    <w:spacing w:line="310" w:lineRule="exact"/>
                    <w:ind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生活废水</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是否通过</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化粪池</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处理</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用于周边农田施肥，生产废水是否通过沉淀池处理后回用；初期雨水是否通过雨水沉淀池处理后回用；</w:t>
                  </w:r>
                </w:p>
                <w:p>
                  <w:pPr>
                    <w:adjustRightInd w:val="0"/>
                    <w:snapToGrid w:val="0"/>
                    <w:spacing w:line="310" w:lineRule="exact"/>
                    <w:ind w:firstLine="0" w:firstLineChars="0"/>
                    <w:jc w:val="center"/>
                    <w:rPr>
                      <w:rFonts w:hint="eastAsia" w:ascii="Times New Roman" w:hAnsi="Times New Roman" w:cs="Times New Roman" w:eastAsiaTheme="minorEastAsia"/>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营运期无组织粉尘是否执行《水泥工业大气污染物排放标准》（GB4915-2013）无组织排放监控浓度限值；有组织废气是否执行《大气污染物综合排放标准》（GB16297-1996）表2中二级标准要求；燃油烟气是否执行《锅炉大气污染物排放标准》(GB13271-2014)中燃油锅炉烟气排放标准；油烟废气是否执行《饮食业油烟排放标准》(GB18483-2001)排放标准限值</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；项目厂界是否满足《工业企业厂界环境噪声排放标准》（GB12348-2008）2类标准；一般固体废物是否按要求收集至一般固废暂存间后</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回用于生产</w:t>
                  </w:r>
                  <w:r>
                    <w:rPr>
                      <w:rFonts w:hint="eastAsia" w:cs="Times New Roman" w:eastAsiaTheme="minorEastAsia"/>
                      <w:color w:val="000000" w:themeColor="text1"/>
                      <w:sz w:val="21"/>
                      <w:szCs w:val="21"/>
                      <w:highlight w:val="none"/>
                      <w:u w:val="none" w:color="auto"/>
                      <w:lang w:eastAsia="zh-CN"/>
                      <w14:textFill>
                        <w14:solidFill>
                          <w14:schemeClr w14:val="tx1"/>
                        </w14:solidFill>
                      </w14:textFill>
                    </w:rPr>
                    <w:t>；</w:t>
                  </w:r>
                  <w:r>
                    <w:rPr>
                      <w:rFonts w:hint="eastAsia" w:cs="Times New Roman" w:eastAsiaTheme="minorEastAsia"/>
                      <w:color w:val="000000" w:themeColor="text1"/>
                      <w:sz w:val="21"/>
                      <w:szCs w:val="21"/>
                      <w:highlight w:val="none"/>
                      <w:u w:val="none" w:color="auto"/>
                      <w:lang w:val="en-US" w:eastAsia="zh-CN"/>
                      <w14:textFill>
                        <w14:solidFill>
                          <w14:schemeClr w14:val="tx1"/>
                        </w14:solidFill>
                      </w14:textFill>
                    </w:rPr>
                    <w:t>是否已将建设内容全部拆除。</w:t>
                  </w:r>
                </w:p>
              </w:tc>
            </w:tr>
          </w:tbl>
          <w:p>
            <w:pPr>
              <w:pStyle w:val="18"/>
              <w:ind w:left="0" w:leftChars="0" w:firstLine="0" w:firstLineChars="0"/>
              <w:jc w:val="both"/>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bl>
    <w:p>
      <w:pPr>
        <w:pStyle w:val="18"/>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sectPr>
          <w:pgSz w:w="11906" w:h="16838"/>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bookmarkStart w:id="27" w:name="_Toc68"/>
      <w:r>
        <w:rPr>
          <w:rFonts w:hint="default" w:ascii="Times New Roman" w:hAnsi="Times New Roman" w:cs="Times New Roman" w:eastAsiaTheme="minorEastAsia"/>
          <w:b/>
          <w:color w:val="000000" w:themeColor="text1"/>
          <w:sz w:val="36"/>
          <w:szCs w:val="36"/>
          <w:highlight w:val="none"/>
          <w:u w:val="none" w:color="auto"/>
          <w:lang w:val="en-US" w:eastAsia="zh-CN"/>
          <w14:textFill>
            <w14:solidFill>
              <w14:schemeClr w14:val="tx1"/>
            </w14:solidFill>
          </w14:textFill>
        </w:rPr>
        <w:t>五、环境保护措施监督检查清单</w:t>
      </w:r>
      <w:bookmarkEnd w:id="27"/>
    </w:p>
    <w:tbl>
      <w:tblPr>
        <w:tblStyle w:val="24"/>
        <w:tblW w:w="924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662"/>
        <w:gridCol w:w="2"/>
        <w:gridCol w:w="424"/>
        <w:gridCol w:w="1121"/>
        <w:gridCol w:w="1555"/>
        <w:gridCol w:w="2904"/>
        <w:gridCol w:w="1567"/>
        <w:gridCol w:w="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03" w:hRule="atLeast"/>
        </w:trPr>
        <w:tc>
          <w:tcPr>
            <w:tcW w:w="1669" w:type="dxa"/>
            <w:gridSpan w:val="2"/>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mc:AlternateContent>
                <mc:Choice Requires="wpsCustomData">
                  <wpsCustomData:diagonalParaType/>
                </mc:Choice>
              </mc:AlternateContent>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要素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内容</w:t>
            </w:r>
          </w:p>
        </w:tc>
        <w:tc>
          <w:tcPr>
            <w:tcW w:w="15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排放口（编号、名称）/污染源</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污染物项目</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环境保护措施</w:t>
            </w:r>
          </w:p>
        </w:tc>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大气环境</w:t>
            </w: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施工期</w:t>
            </w:r>
          </w:p>
        </w:tc>
        <w:tc>
          <w:tcPr>
            <w:tcW w:w="15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施工机械和运输车辆</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汽车</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尾气</w:t>
            </w:r>
          </w:p>
        </w:tc>
        <w:tc>
          <w:tcPr>
            <w:tcW w:w="290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扬尘8个百分百处理措施</w:t>
            </w:r>
          </w:p>
        </w:tc>
        <w:tc>
          <w:tcPr>
            <w:tcW w:w="15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执行</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《大气污染物综合排放标准》（GB16297-1996）表2中颗粒物无组织排放标准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建筑材料装卸、运输、堆放</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扬尘</w:t>
            </w:r>
          </w:p>
        </w:tc>
        <w:tc>
          <w:tcPr>
            <w:tcW w:w="29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1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运输车辆往来</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扬尘</w:t>
            </w:r>
          </w:p>
        </w:tc>
        <w:tc>
          <w:tcPr>
            <w:tcW w:w="29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1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施工中土石方堆放和清运</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扬尘</w:t>
            </w:r>
          </w:p>
        </w:tc>
        <w:tc>
          <w:tcPr>
            <w:tcW w:w="29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1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营运期</w:t>
            </w:r>
          </w:p>
        </w:tc>
        <w:tc>
          <w:tcPr>
            <w:tcW w:w="1547"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混凝土混合</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粉尘</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标准化厂房内+密闭搅拌＋</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脉冲布袋除尘</w:t>
            </w:r>
          </w:p>
        </w:tc>
        <w:tc>
          <w:tcPr>
            <w:tcW w:w="15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执行《水泥工业大气污染物排放标准》（GB4915-2013）无组织排放监控浓度限值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筒仓顶呼吸孔</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粉尘</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脉冲布袋除尘</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收集</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处理</w:t>
            </w:r>
          </w:p>
        </w:tc>
        <w:tc>
          <w:tcPr>
            <w:tcW w:w="1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筒仓放空口</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粉尘</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卸料口与输送皮带密闭衔接</w:t>
            </w:r>
          </w:p>
        </w:tc>
        <w:tc>
          <w:tcPr>
            <w:tcW w:w="1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砂石装卸</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库房</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扬尘</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粉尘</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厂房遮挡</w:t>
            </w:r>
            <w:r>
              <w:rPr>
                <w:rFonts w:hint="eastAsia" w:cs="Times New Roman" w:eastAsiaTheme="minorEastAsia"/>
                <w:color w:val="000000" w:themeColor="text1"/>
                <w:sz w:val="24"/>
                <w:szCs w:val="24"/>
                <w:highlight w:val="none"/>
                <w:u w:val="none" w:color="auto"/>
                <w:lang w:val="en-US" w:eastAsia="zh-CN" w:bidi="ar"/>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雨雾喷淋措施</w:t>
            </w:r>
          </w:p>
        </w:tc>
        <w:tc>
          <w:tcPr>
            <w:tcW w:w="1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车辆道路扬尘</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粉尘</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加盖篷布、限制车速</w:t>
            </w:r>
          </w:p>
        </w:tc>
        <w:tc>
          <w:tcPr>
            <w:tcW w:w="1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稳定土水泥罐仓</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粉尘</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脉冲布袋除尘收集处理</w:t>
            </w:r>
          </w:p>
        </w:tc>
        <w:tc>
          <w:tcPr>
            <w:tcW w:w="1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稳定土投料搅拌工序</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粉尘</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经</w:t>
            </w:r>
            <w:r>
              <w:rPr>
                <w:rFonts w:hint="default" w:ascii="Times New Roman" w:hAnsi="Times New Roman" w:cs="Times New Roman" w:eastAsiaTheme="minorEastAsia"/>
                <w:color w:val="000000" w:themeColor="text1"/>
                <w:sz w:val="24"/>
                <w:szCs w:val="24"/>
                <w:highlight w:val="none"/>
                <w:u w:val="none" w:color="auto"/>
                <w:lang w:eastAsia="zh-CN" w:bidi="ar"/>
                <w14:textFill>
                  <w14:solidFill>
                    <w14:schemeClr w14:val="tx1"/>
                  </w14:solidFill>
                </w14:textFill>
              </w:rPr>
              <w:t>脉冲式除尘器</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处理后由15m高排气筒排放</w:t>
            </w:r>
          </w:p>
        </w:tc>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执行《大气污染物综合排放标准》（GB16297-1996）表2中二级标准要求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导热油锅炉</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烟尘</w:t>
            </w:r>
            <w:r>
              <w:rPr>
                <w:rFonts w:hint="default" w:ascii="Times New Roman" w:hAnsi="Times New Roman" w:eastAsia="宋体" w:cs="Times New Roman"/>
                <w:sz w:val="24"/>
                <w:szCs w:val="24"/>
                <w:highlight w:val="none"/>
              </w:rPr>
              <w:t>、SO</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、NO</w:t>
            </w:r>
            <w:r>
              <w:rPr>
                <w:rFonts w:hint="default" w:ascii="Times New Roman" w:hAnsi="Times New Roman" w:eastAsia="宋体" w:cs="Times New Roman"/>
                <w:sz w:val="24"/>
                <w:szCs w:val="24"/>
                <w:highlight w:val="none"/>
                <w:vertAlign w:val="subscript"/>
              </w:rPr>
              <w:t>X</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pPr>
            <w:r>
              <w:rPr>
                <w:rFonts w:hint="eastAsia" w:cs="Times New Roman" w:eastAsiaTheme="minorEastAsia"/>
                <w:color w:val="000000" w:themeColor="text1"/>
                <w:sz w:val="24"/>
                <w:szCs w:val="24"/>
                <w:highlight w:val="none"/>
                <w:u w:val="none" w:color="auto"/>
                <w:lang w:val="en-US" w:eastAsia="zh-CN" w:bidi="ar"/>
                <w14:textFill>
                  <w14:solidFill>
                    <w14:schemeClr w14:val="tx1"/>
                  </w14:solidFill>
                </w14:textFill>
              </w:rPr>
              <w:t>经收集后由15m高排气筒排放</w:t>
            </w:r>
          </w:p>
        </w:tc>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执行《锅炉大气污染物排放标准》(GB13271-2014)中燃油锅炉烟气排放标准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沥青混凝土搅拌楼</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苯并[a]芘</w:t>
            </w:r>
            <w:r>
              <w:rPr>
                <w:rFonts w:hint="eastAsia" w:cs="Times New Roman" w:eastAsiaTheme="minorEastAsia"/>
                <w:color w:val="000000" w:themeColor="text1"/>
                <w:sz w:val="24"/>
                <w:szCs w:val="24"/>
                <w:highlight w:val="none"/>
                <w:u w:val="none" w:color="auto"/>
                <w:lang w:eastAsia="zh-CN"/>
                <w14:textFill>
                  <w14:solidFill>
                    <w14:schemeClr w14:val="tx1"/>
                  </w14:solidFill>
                </w14:textFill>
              </w:rPr>
              <w:t>、沥青烟</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经</w:t>
            </w: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活性炭吸附装置进行净化</w:t>
            </w:r>
            <w:r>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后由15m高排气筒排放</w:t>
            </w:r>
          </w:p>
        </w:tc>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执行《大气污染物综合排放标准》（GB16297-1996）表2中二级标准要求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yellow"/>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食堂</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食堂油烟</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bidi="ar"/>
                <w14:textFill>
                  <w14:solidFill>
                    <w14:schemeClr w14:val="tx1"/>
                  </w14:solidFill>
                </w14:textFill>
              </w:rPr>
              <w:t>经油烟净化机通过排气管引至食堂屋顶排放</w:t>
            </w:r>
          </w:p>
        </w:tc>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执行《饮食业油烟排放标准》(GB18483-2001)排放标准限值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水环境</w:t>
            </w: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施工期</w:t>
            </w:r>
          </w:p>
        </w:tc>
        <w:tc>
          <w:tcPr>
            <w:tcW w:w="15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生活污水</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SS、COD、BOD</w:t>
            </w:r>
            <w:r>
              <w:rPr>
                <w:rFonts w:hint="default" w:ascii="Times New Roman" w:hAnsi="Times New Roman" w:cs="Times New Roman" w:eastAsiaTheme="minorEastAsia"/>
                <w:color w:val="000000" w:themeColor="text1"/>
                <w:sz w:val="24"/>
                <w:szCs w:val="24"/>
                <w:highlight w:val="none"/>
                <w:u w:val="none" w:color="auto"/>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4"/>
                <w:szCs w:val="24"/>
                <w:highlight w:val="none"/>
                <w:u w:val="none" w:color="auto"/>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-N、石油类</w:t>
            </w:r>
          </w:p>
        </w:tc>
        <w:tc>
          <w:tcPr>
            <w:tcW w:w="290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①做好施工期排水工程，施工前在项目周边设置截排水沟；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②施工场地设置临时厕所，定期由附近农民清掏做农肥；</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t>③施工场地内设置临时沉砂池，施工废水经沉淀后用于洒水降尘</w:t>
            </w:r>
          </w:p>
        </w:tc>
        <w:tc>
          <w:tcPr>
            <w:tcW w:w="15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本项目施工废水经隔油沉淀处理后用于洒水抑尘不外排，生产废水经三级沉淀处理后，回用做生产用水，不外排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施工废水</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SS</w:t>
            </w:r>
          </w:p>
        </w:tc>
        <w:tc>
          <w:tcPr>
            <w:tcW w:w="29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bidi="ar"/>
                <w14:textFill>
                  <w14:solidFill>
                    <w14:schemeClr w14:val="tx1"/>
                  </w14:solidFill>
                </w14:textFill>
              </w:rPr>
            </w:pPr>
          </w:p>
        </w:tc>
        <w:tc>
          <w:tcPr>
            <w:tcW w:w="1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营运期</w:t>
            </w:r>
          </w:p>
        </w:tc>
        <w:tc>
          <w:tcPr>
            <w:tcW w:w="15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生活污水</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SS、COD、BOD</w:t>
            </w:r>
            <w:r>
              <w:rPr>
                <w:rFonts w:hint="default" w:ascii="Times New Roman" w:hAnsi="Times New Roman" w:cs="Times New Roman" w:eastAsiaTheme="minorEastAsia"/>
                <w:color w:val="000000" w:themeColor="text1"/>
                <w:sz w:val="24"/>
                <w:szCs w:val="24"/>
                <w:highlight w:val="none"/>
                <w:u w:val="none" w:color="auto"/>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4"/>
                <w:szCs w:val="24"/>
                <w:highlight w:val="none"/>
                <w:u w:val="none" w:color="auto"/>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-N、石油类</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隔油池+</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化粪池</w:t>
            </w:r>
          </w:p>
        </w:tc>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用于农肥，不外排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初期雨水</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SS</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沉淀池</w:t>
            </w:r>
          </w:p>
        </w:tc>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经沉淀池处理后回于生产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426"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生产废水</w:t>
            </w:r>
          </w:p>
        </w:tc>
        <w:tc>
          <w:tcPr>
            <w:tcW w:w="1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车辆清洗废水</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SS</w:t>
            </w:r>
          </w:p>
        </w:tc>
        <w:tc>
          <w:tcPr>
            <w:tcW w:w="290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沉淀池</w:t>
            </w:r>
          </w:p>
        </w:tc>
        <w:tc>
          <w:tcPr>
            <w:tcW w:w="15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经沉淀池处理后回于生产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426" w:type="dxa"/>
            <w:gridSpan w:val="2"/>
            <w:vMerge w:val="continue"/>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1121"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地面清洗废水</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SS</w:t>
            </w:r>
          </w:p>
        </w:tc>
        <w:tc>
          <w:tcPr>
            <w:tcW w:w="29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1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声环境</w:t>
            </w:r>
          </w:p>
        </w:tc>
        <w:tc>
          <w:tcPr>
            <w:tcW w:w="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施工期</w:t>
            </w:r>
          </w:p>
        </w:tc>
        <w:tc>
          <w:tcPr>
            <w:tcW w:w="15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机械设备及车辆</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施工机械设备以及各类车辆的运行</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①加强施工管理，合理安排施工作业时间，不在夜间进行高噪声施工作业；</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②尽可能以液压工具代替气动工具；</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③在高噪声设备周围设置声波遮挡物；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④做好劳动保护工作，为高噪声源附近操作作业人员配备防护耳塞或耳罩。</w:t>
            </w:r>
          </w:p>
        </w:tc>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《建筑施工场界环境噪声排放标准》（GB12523-2011）标准限值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营运期</w:t>
            </w:r>
          </w:p>
        </w:tc>
        <w:tc>
          <w:tcPr>
            <w:tcW w:w="15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生产设备</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各类生产设备运行产生的噪声</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选用低噪声设备、固定底座、橡胶减震</w:t>
            </w:r>
          </w:p>
        </w:tc>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《工业企业厂界环境噪声排放标准》（GB12348-2008）2类标准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6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电离辐射</w:t>
            </w:r>
          </w:p>
        </w:tc>
        <w:tc>
          <w:tcPr>
            <w:tcW w:w="15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w:t>
            </w:r>
          </w:p>
        </w:tc>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固体废物</w:t>
            </w: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施工期</w:t>
            </w:r>
          </w:p>
        </w:tc>
        <w:tc>
          <w:tcPr>
            <w:tcW w:w="15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生活</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生活垃圾</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设置临时垃圾收集桶，收集的生活垃圾交环卫部门处置</w:t>
            </w:r>
          </w:p>
        </w:tc>
        <w:tc>
          <w:tcPr>
            <w:tcW w:w="15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处置率100%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施工</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建筑垃圾</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建筑垃圾经收集后送指定的地点填埋</w:t>
            </w:r>
          </w:p>
        </w:tc>
        <w:tc>
          <w:tcPr>
            <w:tcW w:w="1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营运期</w:t>
            </w:r>
          </w:p>
        </w:tc>
        <w:tc>
          <w:tcPr>
            <w:tcW w:w="1547" w:type="dxa"/>
            <w:gridSpan w:val="3"/>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员工生活</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生活垃圾</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统一收集交由环卫部门</w:t>
            </w:r>
          </w:p>
        </w:tc>
        <w:tc>
          <w:tcPr>
            <w:tcW w:w="15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处置率100%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1547" w:type="dxa"/>
            <w:gridSpan w:val="3"/>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4"/>
                <w:szCs w:val="24"/>
                <w:highlight w:val="none"/>
                <w:u w:val="none" w:color="auto"/>
                <w14:textFill>
                  <w14:solidFill>
                    <w14:schemeClr w14:val="tx1"/>
                  </w14:solidFill>
                </w14:textFill>
              </w:rPr>
              <w:t>沉淀池</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沉渣</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回</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用于</w:t>
            </w: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建设项目</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道路铺设用碎石、混凝上骨料、和人造建筑石材的原料</w:t>
            </w:r>
          </w:p>
        </w:tc>
        <w:tc>
          <w:tcPr>
            <w:tcW w:w="1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1547" w:type="dxa"/>
            <w:gridSpan w:val="3"/>
            <w:tcBorders>
              <w:tl2br w:val="nil"/>
              <w:tr2bl w:val="nil"/>
            </w:tcBorders>
            <w:vAlign w:val="center"/>
          </w:tcPr>
          <w:p>
            <w:pPr>
              <w:pStyle w:val="5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除尘器</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收集的粉尘</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回用于生产</w:t>
            </w:r>
          </w:p>
        </w:tc>
        <w:tc>
          <w:tcPr>
            <w:tcW w:w="15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1547" w:type="dxa"/>
            <w:gridSpan w:val="3"/>
            <w:tcBorders>
              <w:tl2br w:val="nil"/>
              <w:tr2bl w:val="nil"/>
            </w:tcBorders>
            <w:vAlign w:val="center"/>
          </w:tcPr>
          <w:p>
            <w:pPr>
              <w:pStyle w:val="5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实验室</w:t>
            </w:r>
          </w:p>
        </w:tc>
        <w:tc>
          <w:tcPr>
            <w:tcW w:w="1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废混凝土</w:t>
            </w:r>
          </w:p>
        </w:tc>
        <w:tc>
          <w:tcPr>
            <w:tcW w:w="2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作为建筑材料用于场地及道路填料使用</w:t>
            </w:r>
          </w:p>
        </w:tc>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处置率100%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6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土壤及地下水污染防治措施</w:t>
            </w:r>
          </w:p>
        </w:tc>
        <w:tc>
          <w:tcPr>
            <w:tcW w:w="7573"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全厂进行</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地面硬化，防腐防渗，防止土壤环境污染。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生态保护措施</w:t>
            </w:r>
          </w:p>
        </w:tc>
        <w:tc>
          <w:tcPr>
            <w:tcW w:w="6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施工期</w:t>
            </w:r>
          </w:p>
        </w:tc>
        <w:tc>
          <w:tcPr>
            <w:tcW w:w="7573"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①合理选择施工期以及科学的施工方式。避免在强暴雨季节施工；雨季施工时，应备有防雨布覆盖开挖面和土堆，防治汛期造成水土流失，平时应尽量保持表面平整，减少雨水冲刷；</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②施工中应首先选择在厂区四周设置截洪沟、挡土墙的修建，避免暴雨时雨水直接冲涮项目区域，确保暴雨时不出现大量水土流失。</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③设备堆放场、材料堆放场的防径流措施应加强，废土、废渣应及时运出填埋，防止出现废土、渣处置不妥而导致的水土流失。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p>
        </w:tc>
        <w:tc>
          <w:tcPr>
            <w:tcW w:w="6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营运期</w:t>
            </w:r>
          </w:p>
        </w:tc>
        <w:tc>
          <w:tcPr>
            <w:tcW w:w="7573"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项目占地面积较小，通过对渣土、建筑垃圾等及时清运，及时绿化恢复生态，达到减低生态影响、防治水土流失的目的</w:t>
            </w:r>
            <w:r>
              <w:rPr>
                <w:rFonts w:hint="eastAsia" w:cs="Times New Roman" w:eastAsiaTheme="minorEastAsia"/>
                <w:color w:val="000000" w:themeColor="text1"/>
                <w:sz w:val="24"/>
                <w:szCs w:val="24"/>
                <w:highlight w:val="none"/>
                <w:u w:val="none" w:color="auto"/>
                <w:lang w:eastAsia="zh-CN"/>
                <w14:textFill>
                  <w14:solidFill>
                    <w14:schemeClr w14:val="tx1"/>
                  </w14:solidFill>
                </w14:textFill>
              </w:rPr>
              <w:t>，</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且本项目为短期项目，S345新田田家至二广高速宁远互通公路工程施工完成后，本项目将进行拆除并及时恢复生态。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6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环境风险防范措施</w:t>
            </w:r>
          </w:p>
        </w:tc>
        <w:tc>
          <w:tcPr>
            <w:tcW w:w="7573" w:type="dxa"/>
            <w:gridSpan w:val="6"/>
            <w:tcBorders>
              <w:tl2br w:val="nil"/>
              <w:tr2bl w:val="nil"/>
            </w:tcBorders>
            <w:vAlign w:val="center"/>
          </w:tcPr>
          <w:p>
            <w:pPr>
              <w:pStyle w:val="5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480" w:firstLineChars="200"/>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为减少风险事故的发生，环评要求项目对于外加剂储罐</w:t>
            </w:r>
            <w:r>
              <w:rPr>
                <w:rFonts w:hint="eastAsia" w:cs="Times New Roman" w:eastAsiaTheme="minorEastAsia"/>
                <w:color w:val="000000" w:themeColor="text1"/>
                <w:sz w:val="24"/>
                <w:szCs w:val="24"/>
                <w:highlight w:val="none"/>
                <w:u w:val="none" w:color="auto"/>
                <w:lang w:val="en-US" w:eastAsia="zh-CN"/>
                <w14:textFill>
                  <w14:solidFill>
                    <w14:schemeClr w14:val="tx1"/>
                  </w14:solidFill>
                </w14:textFill>
              </w:rPr>
              <w:t>、柴油罐、沥青罐</w:t>
            </w: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周围设置围堰，防止外加剂发生事故时直接泄漏到土壤中；同时应该配置相关技术人员，定期检查各除尘设备及沉淀池的运行情况，制定相应的安全措施，若发生了废气的非正常排放情况和废水泄漏事故时，要及时上报上级领导及相关政府部门。</w:t>
            </w:r>
          </w:p>
          <w:p>
            <w:pPr>
              <w:pStyle w:val="5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480" w:firstLineChars="200"/>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平时应该有计划、有目的、有针对性地开展预防安全事故及有关知识的宣传；增加员工预防安全事故的常识和防范意识，提高防范能力和应急反应能力。并通过定期组织实战演习，增强应急处置能力；增加安全巡逻等。</w:t>
            </w:r>
          </w:p>
          <w:p>
            <w:pPr>
              <w:pStyle w:val="5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480" w:firstLineChars="200"/>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对于生产操作和</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设施设计等</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应严格按照国家相关管理条例进行，并通过加强管理避免危险事故的发生。</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根据</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国家规范规定，粉仓顶部必须加装安全保护装置（安全阀），当粉尘将滤芯堵死或通气不畅时，仓内压缩空气通过安全卸压阀卸荷，避免冒顶事故发生。将上料位仪指示灯接线柱接下一信号电源（此信号线与程控室内指示灯并联），配一仪表箱，将信号接至表箱中红色指示灯或蜂鸣器上，并将仓顶除尘器振动装置或反吹装置的控制开关接入表箱中，由送料司机或收料员直接操作。将操作规程挂于输料口处，明确规定送料司机要按规程输送粉料，司机为第一责任人，若出现冒顶事故，要赔偿损失。当输送过程中粉仓上料位红灯亮，必须停止送料，并在送料前和送完料后3～5分钟，让仓顶除尘器的振动器或反吹装置工作3～5分钟，以振掉或吹掉附着在</w:t>
            </w:r>
            <w:r>
              <w:rPr>
                <w:rFonts w:hint="default"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布袋</w:t>
            </w: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上的水泥。</w:t>
            </w:r>
          </w:p>
          <w:p>
            <w:pPr>
              <w:pStyle w:val="5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480" w:firstLineChars="200"/>
              <w:jc w:val="left"/>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14:textFill>
                  <w14:solidFill>
                    <w14:schemeClr w14:val="tx1"/>
                  </w14:solidFill>
                </w14:textFill>
              </w:rPr>
              <w:t>经采取上述措施，本项目运营产生的环境污染事故风险能够控制在可接受范围内</w:t>
            </w:r>
            <w:r>
              <w:rPr>
                <w:rFonts w:hint="eastAsia" w:ascii="Times New Roman" w:hAnsi="Times New Roman" w:cs="Times New Roman" w:eastAsiaTheme="minorEastAsia"/>
                <w:color w:val="000000" w:themeColor="text1"/>
                <w:sz w:val="24"/>
                <w:szCs w:val="24"/>
                <w:highlight w:val="none"/>
                <w:u w:val="none" w:color="auto"/>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0" w:hRule="atLeast"/>
        </w:trPr>
        <w:tc>
          <w:tcPr>
            <w:tcW w:w="16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其他环境管理要求</w:t>
            </w:r>
          </w:p>
        </w:tc>
        <w:tc>
          <w:tcPr>
            <w:tcW w:w="7573" w:type="dxa"/>
            <w:gridSpan w:val="6"/>
            <w:tcBorders>
              <w:tl2br w:val="nil"/>
              <w:tr2bl w:val="nil"/>
            </w:tcBorders>
            <w:vAlign w:val="center"/>
          </w:tcPr>
          <w:p>
            <w:pPr>
              <w:pStyle w:val="5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u w:val="none" w:color="auto"/>
                <w:lang w:val="en-US" w:eastAsia="zh-CN"/>
                <w14:textFill>
                  <w14:solidFill>
                    <w14:schemeClr w14:val="tx1"/>
                  </w14:solidFill>
                </w14:textFill>
              </w:rPr>
              <w:t>/</w:t>
            </w:r>
          </w:p>
        </w:tc>
      </w:tr>
    </w:tbl>
    <w:p>
      <w:pPr>
        <w:bidi w:val="0"/>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sectPr>
          <w:pgSz w:w="11906" w:h="16838"/>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val="0"/>
        <w:numPr>
          <w:ilvl w:val="0"/>
          <w:numId w:val="3"/>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b/>
          <w:color w:val="000000" w:themeColor="text1"/>
          <w:sz w:val="36"/>
          <w:szCs w:val="36"/>
          <w:highlight w:val="none"/>
          <w:u w:val="none" w:color="auto"/>
          <w:lang w:val="en-US" w:eastAsia="zh-CN"/>
          <w14:textFill>
            <w14:solidFill>
              <w14:schemeClr w14:val="tx1"/>
            </w14:solidFill>
          </w14:textFill>
        </w:rPr>
      </w:pPr>
      <w:bookmarkStart w:id="28" w:name="_Toc32418"/>
      <w:r>
        <w:rPr>
          <w:rFonts w:hint="default" w:ascii="Times New Roman" w:hAnsi="Times New Roman" w:cs="Times New Roman" w:eastAsiaTheme="minorEastAsia"/>
          <w:b/>
          <w:color w:val="000000" w:themeColor="text1"/>
          <w:sz w:val="36"/>
          <w:szCs w:val="36"/>
          <w:highlight w:val="none"/>
          <w:u w:val="none" w:color="auto"/>
          <w:lang w:val="en-US" w:eastAsia="zh-CN"/>
          <w14:textFill>
            <w14:solidFill>
              <w14:schemeClr w14:val="tx1"/>
            </w14:solidFill>
          </w14:textFill>
        </w:rPr>
        <w:t>结论</w:t>
      </w:r>
      <w:bookmarkEnd w:id="28"/>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42"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cs="Times New Roman" w:eastAsiaTheme="minorEastAsia"/>
                <w:b/>
                <w:bCs/>
                <w:color w:val="000000" w:themeColor="text1"/>
                <w:sz w:val="24"/>
                <w:szCs w:val="22"/>
                <w:highlight w:val="none"/>
                <w:u w:val="none" w:color="auto"/>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2"/>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4"/>
                <w:szCs w:val="22"/>
                <w:highlight w:val="none"/>
                <w:u w:val="none" w:color="auto"/>
                <w:lang w:val="en-US" w:eastAsia="zh-CN"/>
                <w14:textFill>
                  <w14:solidFill>
                    <w14:schemeClr w14:val="tx1"/>
                  </w14:solidFill>
                </w14:textFill>
              </w:rPr>
              <w:t>综合结论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r>
              <w:rPr>
                <w:rFonts w:hint="eastAsia" w:ascii="Times New Roman" w:hAnsi="Times New Roman"/>
                <w:sz w:val="24"/>
                <w:szCs w:val="24"/>
                <w:highlight w:val="none"/>
                <w:u w:val="none" w:color="auto"/>
                <w:lang w:val="en-US" w:eastAsia="zh-CN"/>
              </w:rPr>
              <w:t>一号站位于永州市新田县枧头镇</w:t>
            </w:r>
            <w:r>
              <w:rPr>
                <w:rFonts w:hint="eastAsia"/>
                <w:sz w:val="24"/>
                <w:szCs w:val="24"/>
                <w:highlight w:val="none"/>
                <w:u w:val="none" w:color="auto"/>
                <w:lang w:val="en-US" w:eastAsia="zh-CN"/>
              </w:rPr>
              <w:t>，二号站位于永州市新田县龙泉镇</w:t>
            </w:r>
            <w:r>
              <w:rPr>
                <w:rFonts w:hint="eastAsia" w:ascii="Times New Roman" w:hAnsi="Times New Roman" w:eastAsia="宋体"/>
                <w:sz w:val="24"/>
                <w:szCs w:val="24"/>
                <w:highlight w:val="none"/>
                <w:u w:val="none" w:color="auto"/>
              </w:rPr>
              <w:t>。项目营运期污染物达标排放，固体废物分类收集，去向分明。项目建设符合国家和地方相关法律法规要求，符合产业政策和“三线一单”管控要求，项目选址可行。建设单位只要严格遵守“三同时”管理制度，完成各项手续，严格按有关法律法规及本评价所提出的要求，落实污染防治措施，从环境保护角度看，本项目的建设可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szCs w:val="22"/>
                <w:highlight w:val="none"/>
                <w:u w:val="none" w:color="auto"/>
                <w:lang w:eastAsia="zh-CN"/>
                <w14:textFill>
                  <w14:solidFill>
                    <w14:schemeClr w14:val="tx1"/>
                  </w14:solidFill>
                </w14:textFill>
              </w:rPr>
            </w:pPr>
          </w:p>
          <w:p>
            <w:pPr>
              <w:ind w:left="0" w:leftChars="0" w:firstLine="0" w:firstLineChars="0"/>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p>
        </w:tc>
      </w:tr>
    </w:tbl>
    <w:p>
      <w:pPr>
        <w:pStyle w:val="18"/>
        <w:numPr>
          <w:ilvl w:val="0"/>
          <w:numId w:val="0"/>
        </w:numPr>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sectPr>
          <w:pgSz w:w="11906" w:h="16838"/>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eastAsiaTheme="minorEastAsia"/>
          <w:b/>
          <w:bCs/>
          <w:snapToGrid w:val="0"/>
          <w:color w:val="000000" w:themeColor="text1"/>
          <w:sz w:val="32"/>
          <w:szCs w:val="32"/>
          <w:highlight w:val="none"/>
          <w:u w:val="none" w:color="auto"/>
          <w14:textFill>
            <w14:solidFill>
              <w14:schemeClr w14:val="tx1"/>
            </w14:solidFill>
          </w14:textFill>
        </w:rPr>
      </w:pPr>
      <w:bookmarkStart w:id="29" w:name="_Toc21672"/>
      <w:r>
        <w:rPr>
          <w:rFonts w:hint="default" w:ascii="Times New Roman" w:hAnsi="Times New Roman" w:cs="Times New Roman" w:eastAsiaTheme="minorEastAsia"/>
          <w:b/>
          <w:bCs/>
          <w:snapToGrid w:val="0"/>
          <w:color w:val="000000" w:themeColor="text1"/>
          <w:sz w:val="32"/>
          <w:szCs w:val="32"/>
          <w:highlight w:val="none"/>
          <w:u w:val="none" w:color="auto"/>
          <w14:textFill>
            <w14:solidFill>
              <w14:schemeClr w14:val="tx1"/>
            </w14:solidFill>
          </w14:textFill>
        </w:rPr>
        <w:t>附表</w:t>
      </w:r>
      <w:bookmarkEnd w:id="29"/>
    </w:p>
    <w:p>
      <w:pPr>
        <w:bidi w:val="0"/>
        <w:jc w:val="center"/>
        <w:rPr>
          <w:rFonts w:hint="default" w:ascii="Times New Roman" w:hAnsi="Times New Roman" w:cs="Times New Roman" w:eastAsiaTheme="minorEastAsia"/>
          <w:b/>
          <w:bCs/>
          <w:color w:val="000000" w:themeColor="text1"/>
          <w:sz w:val="32"/>
          <w:szCs w:val="32"/>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z w:val="32"/>
          <w:szCs w:val="32"/>
          <w:highlight w:val="none"/>
          <w:u w:val="none" w:color="auto"/>
          <w14:textFill>
            <w14:solidFill>
              <w14:schemeClr w14:val="tx1"/>
            </w14:solidFill>
          </w14:textFill>
        </w:rPr>
        <w:t>建设项目污染物排放量汇总表</w:t>
      </w:r>
    </w:p>
    <w:tbl>
      <w:tblPr>
        <w:tblStyle w:val="23"/>
        <w:tblW w:w="13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484"/>
        <w:gridCol w:w="13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nil"/>
              <w:tr2bl w:val="nil"/>
            </w:tcBorders>
            <w:noWrap w:val="0"/>
            <w:tcMar>
              <w:left w:w="28" w:type="dxa"/>
              <w:right w:w="28" w:type="dxa"/>
            </w:tcMar>
            <w:vAlign w:val="center"/>
          </w:tcPr>
          <w:p>
            <w:pPr>
              <w:pStyle w:val="57"/>
              <w:bidi w:val="0"/>
              <w:rPr>
                <w:rFonts w:hint="default"/>
                <w:sz w:val="24"/>
                <w:szCs w:val="24"/>
                <w:highlight w:val="none"/>
              </w:rPr>
            </w:pPr>
            <w:r>
              <w:rPr>
                <w:rFonts w:hint="default"/>
                <w:sz w:val="24"/>
                <w:szCs w:val="24"/>
                <w:highlight w:val="none"/>
              </w:rPr>
              <w:t>项目</w:t>
            </w:r>
          </w:p>
          <w:p>
            <w:pPr>
              <w:pStyle w:val="57"/>
              <w:bidi w:val="0"/>
              <w:rPr>
                <w:rFonts w:hint="default"/>
                <w:sz w:val="24"/>
                <w:szCs w:val="24"/>
                <w:highlight w:val="none"/>
              </w:rPr>
            </w:pPr>
            <w:r>
              <w:rPr>
                <w:rFonts w:hint="default"/>
                <w:sz w:val="24"/>
                <w:szCs w:val="24"/>
                <w:highlight w:val="none"/>
              </w:rPr>
              <w:t>分类</w:t>
            </w:r>
          </w:p>
        </w:tc>
        <w:tc>
          <w:tcPr>
            <w:tcW w:w="1417" w:type="dxa"/>
            <w:tcBorders>
              <w:tl2br w:val="nil"/>
              <w:tr2bl w:val="nil"/>
            </w:tcBorders>
            <w:noWrap w:val="0"/>
            <w:tcMar>
              <w:left w:w="28" w:type="dxa"/>
              <w:right w:w="28" w:type="dxa"/>
            </w:tcMar>
            <w:vAlign w:val="center"/>
          </w:tcPr>
          <w:p>
            <w:pPr>
              <w:pStyle w:val="57"/>
              <w:bidi w:val="0"/>
              <w:rPr>
                <w:rFonts w:hint="default"/>
                <w:sz w:val="24"/>
                <w:szCs w:val="24"/>
                <w:highlight w:val="none"/>
              </w:rPr>
            </w:pPr>
            <w:r>
              <w:rPr>
                <w:rFonts w:hint="default"/>
                <w:sz w:val="24"/>
                <w:szCs w:val="24"/>
                <w:highlight w:val="none"/>
              </w:rPr>
              <w:t>污染物名称</w:t>
            </w:r>
          </w:p>
        </w:tc>
        <w:tc>
          <w:tcPr>
            <w:tcW w:w="1701" w:type="dxa"/>
            <w:tcBorders>
              <w:tl2br w:val="nil"/>
              <w:tr2bl w:val="nil"/>
            </w:tcBorders>
            <w:noWrap w:val="0"/>
            <w:tcMar>
              <w:left w:w="28" w:type="dxa"/>
              <w:right w:w="28" w:type="dxa"/>
            </w:tcMar>
            <w:vAlign w:val="center"/>
          </w:tcPr>
          <w:p>
            <w:pPr>
              <w:pStyle w:val="57"/>
              <w:bidi w:val="0"/>
              <w:rPr>
                <w:rFonts w:hint="default"/>
                <w:sz w:val="24"/>
                <w:szCs w:val="24"/>
                <w:highlight w:val="none"/>
              </w:rPr>
            </w:pPr>
            <w:r>
              <w:rPr>
                <w:rFonts w:hint="default"/>
                <w:sz w:val="24"/>
                <w:szCs w:val="24"/>
                <w:highlight w:val="none"/>
              </w:rPr>
              <w:t>现有工程</w:t>
            </w:r>
          </w:p>
          <w:p>
            <w:pPr>
              <w:pStyle w:val="57"/>
              <w:bidi w:val="0"/>
              <w:rPr>
                <w:rFonts w:hint="default"/>
                <w:sz w:val="24"/>
                <w:szCs w:val="24"/>
                <w:highlight w:val="none"/>
              </w:rPr>
            </w:pPr>
            <w:r>
              <w:rPr>
                <w:rFonts w:hint="default"/>
                <w:sz w:val="24"/>
                <w:szCs w:val="24"/>
                <w:highlight w:val="none"/>
              </w:rPr>
              <w:t>排放量（固体废物产生量）</w:t>
            </w:r>
            <w:r>
              <w:rPr>
                <w:rFonts w:hint="default"/>
                <w:sz w:val="24"/>
                <w:szCs w:val="24"/>
                <w:highlight w:val="none"/>
              </w:rPr>
              <w:fldChar w:fldCharType="begin"/>
            </w:r>
            <w:r>
              <w:rPr>
                <w:rFonts w:hint="default"/>
                <w:sz w:val="24"/>
                <w:szCs w:val="24"/>
                <w:highlight w:val="none"/>
              </w:rPr>
              <w:instrText xml:space="preserve"> = 1 \* GB3 \* MERGEFORMAT </w:instrText>
            </w:r>
            <w:r>
              <w:rPr>
                <w:rFonts w:hint="default"/>
                <w:sz w:val="24"/>
                <w:szCs w:val="24"/>
                <w:highlight w:val="none"/>
              </w:rPr>
              <w:fldChar w:fldCharType="separate"/>
            </w:r>
            <w:r>
              <w:rPr>
                <w:rFonts w:hint="default"/>
                <w:sz w:val="24"/>
                <w:szCs w:val="24"/>
                <w:highlight w:val="none"/>
              </w:rPr>
              <w:t>①</w:t>
            </w:r>
            <w:r>
              <w:rPr>
                <w:rFonts w:hint="default"/>
                <w:sz w:val="24"/>
                <w:szCs w:val="24"/>
                <w:highlight w:val="none"/>
              </w:rPr>
              <w:fldChar w:fldCharType="end"/>
            </w:r>
          </w:p>
        </w:tc>
        <w:tc>
          <w:tcPr>
            <w:tcW w:w="1276" w:type="dxa"/>
            <w:tcBorders>
              <w:tl2br w:val="nil"/>
              <w:tr2bl w:val="nil"/>
            </w:tcBorders>
            <w:noWrap w:val="0"/>
            <w:tcMar>
              <w:left w:w="28" w:type="dxa"/>
              <w:right w:w="28" w:type="dxa"/>
            </w:tcMar>
            <w:vAlign w:val="center"/>
          </w:tcPr>
          <w:p>
            <w:pPr>
              <w:pStyle w:val="57"/>
              <w:bidi w:val="0"/>
              <w:rPr>
                <w:rFonts w:hint="default"/>
                <w:sz w:val="24"/>
                <w:szCs w:val="24"/>
                <w:highlight w:val="none"/>
              </w:rPr>
            </w:pPr>
            <w:r>
              <w:rPr>
                <w:rFonts w:hint="default"/>
                <w:sz w:val="24"/>
                <w:szCs w:val="24"/>
                <w:highlight w:val="none"/>
              </w:rPr>
              <w:t>现有工程</w:t>
            </w:r>
          </w:p>
          <w:p>
            <w:pPr>
              <w:pStyle w:val="57"/>
              <w:bidi w:val="0"/>
              <w:rPr>
                <w:rFonts w:hint="default"/>
                <w:sz w:val="24"/>
                <w:szCs w:val="24"/>
                <w:highlight w:val="none"/>
              </w:rPr>
            </w:pPr>
            <w:r>
              <w:rPr>
                <w:rFonts w:hint="default"/>
                <w:sz w:val="24"/>
                <w:szCs w:val="24"/>
                <w:highlight w:val="none"/>
              </w:rPr>
              <w:t>许可排放量</w:t>
            </w:r>
          </w:p>
          <w:p>
            <w:pPr>
              <w:pStyle w:val="57"/>
              <w:bidi w:val="0"/>
              <w:rPr>
                <w:rFonts w:hint="default"/>
                <w:sz w:val="24"/>
                <w:szCs w:val="24"/>
                <w:highlight w:val="none"/>
              </w:rPr>
            </w:pPr>
            <w:r>
              <w:rPr>
                <w:rFonts w:hint="default"/>
                <w:sz w:val="24"/>
                <w:szCs w:val="24"/>
                <w:highlight w:val="none"/>
              </w:rPr>
              <w:fldChar w:fldCharType="begin"/>
            </w:r>
            <w:r>
              <w:rPr>
                <w:rFonts w:hint="default"/>
                <w:sz w:val="24"/>
                <w:szCs w:val="24"/>
                <w:highlight w:val="none"/>
              </w:rPr>
              <w:instrText xml:space="preserve"> = 2 \* GB3 \* MERGEFORMAT </w:instrText>
            </w:r>
            <w:r>
              <w:rPr>
                <w:rFonts w:hint="default"/>
                <w:sz w:val="24"/>
                <w:szCs w:val="24"/>
                <w:highlight w:val="none"/>
              </w:rPr>
              <w:fldChar w:fldCharType="separate"/>
            </w:r>
            <w:r>
              <w:rPr>
                <w:rFonts w:hint="default"/>
                <w:sz w:val="24"/>
                <w:szCs w:val="24"/>
                <w:highlight w:val="none"/>
              </w:rPr>
              <w:t>②</w:t>
            </w:r>
            <w:r>
              <w:rPr>
                <w:rFonts w:hint="default"/>
                <w:sz w:val="24"/>
                <w:szCs w:val="24"/>
                <w:highlight w:val="none"/>
              </w:rPr>
              <w:fldChar w:fldCharType="end"/>
            </w:r>
          </w:p>
        </w:tc>
        <w:tc>
          <w:tcPr>
            <w:tcW w:w="1701" w:type="dxa"/>
            <w:tcBorders>
              <w:tl2br w:val="nil"/>
              <w:tr2bl w:val="nil"/>
            </w:tcBorders>
            <w:noWrap w:val="0"/>
            <w:tcMar>
              <w:left w:w="28" w:type="dxa"/>
              <w:right w:w="28" w:type="dxa"/>
            </w:tcMar>
            <w:vAlign w:val="center"/>
          </w:tcPr>
          <w:p>
            <w:pPr>
              <w:pStyle w:val="57"/>
              <w:bidi w:val="0"/>
              <w:rPr>
                <w:rFonts w:hint="default"/>
                <w:sz w:val="24"/>
                <w:szCs w:val="24"/>
                <w:highlight w:val="none"/>
              </w:rPr>
            </w:pPr>
            <w:r>
              <w:rPr>
                <w:rFonts w:hint="default"/>
                <w:sz w:val="24"/>
                <w:szCs w:val="24"/>
                <w:highlight w:val="none"/>
              </w:rPr>
              <w:t>在建工程</w:t>
            </w:r>
          </w:p>
          <w:p>
            <w:pPr>
              <w:pStyle w:val="57"/>
              <w:bidi w:val="0"/>
              <w:rPr>
                <w:rFonts w:hint="default"/>
                <w:sz w:val="24"/>
                <w:szCs w:val="24"/>
                <w:highlight w:val="none"/>
              </w:rPr>
            </w:pPr>
            <w:r>
              <w:rPr>
                <w:rFonts w:hint="default"/>
                <w:sz w:val="24"/>
                <w:szCs w:val="24"/>
                <w:highlight w:val="none"/>
              </w:rPr>
              <w:t>排放量（固体废物产生量）</w:t>
            </w:r>
            <w:r>
              <w:rPr>
                <w:rFonts w:hint="default"/>
                <w:sz w:val="24"/>
                <w:szCs w:val="24"/>
                <w:highlight w:val="none"/>
              </w:rPr>
              <w:fldChar w:fldCharType="begin"/>
            </w:r>
            <w:r>
              <w:rPr>
                <w:rFonts w:hint="default"/>
                <w:sz w:val="24"/>
                <w:szCs w:val="24"/>
                <w:highlight w:val="none"/>
              </w:rPr>
              <w:instrText xml:space="preserve"> = 3 \* GB3 \* MERGEFORMAT </w:instrText>
            </w:r>
            <w:r>
              <w:rPr>
                <w:rFonts w:hint="default"/>
                <w:sz w:val="24"/>
                <w:szCs w:val="24"/>
                <w:highlight w:val="none"/>
              </w:rPr>
              <w:fldChar w:fldCharType="separate"/>
            </w:r>
            <w:r>
              <w:rPr>
                <w:rFonts w:hint="default"/>
                <w:sz w:val="24"/>
                <w:szCs w:val="24"/>
                <w:highlight w:val="none"/>
              </w:rPr>
              <w:t>③</w:t>
            </w:r>
            <w:r>
              <w:rPr>
                <w:rFonts w:hint="default"/>
                <w:sz w:val="24"/>
                <w:szCs w:val="24"/>
                <w:highlight w:val="none"/>
              </w:rPr>
              <w:fldChar w:fldCharType="end"/>
            </w:r>
          </w:p>
        </w:tc>
        <w:tc>
          <w:tcPr>
            <w:tcW w:w="1559" w:type="dxa"/>
            <w:tcBorders>
              <w:tl2br w:val="nil"/>
              <w:tr2bl w:val="nil"/>
            </w:tcBorders>
            <w:noWrap w:val="0"/>
            <w:tcMar>
              <w:left w:w="28" w:type="dxa"/>
              <w:right w:w="28" w:type="dxa"/>
            </w:tcMar>
            <w:vAlign w:val="center"/>
          </w:tcPr>
          <w:p>
            <w:pPr>
              <w:pStyle w:val="57"/>
              <w:bidi w:val="0"/>
              <w:rPr>
                <w:rFonts w:hint="default"/>
                <w:sz w:val="24"/>
                <w:szCs w:val="24"/>
                <w:highlight w:val="none"/>
              </w:rPr>
            </w:pPr>
            <w:r>
              <w:rPr>
                <w:rFonts w:hint="default"/>
                <w:sz w:val="24"/>
                <w:szCs w:val="24"/>
                <w:highlight w:val="none"/>
              </w:rPr>
              <w:t>本项目</w:t>
            </w:r>
          </w:p>
          <w:p>
            <w:pPr>
              <w:pStyle w:val="57"/>
              <w:bidi w:val="0"/>
              <w:rPr>
                <w:rFonts w:hint="default"/>
                <w:sz w:val="24"/>
                <w:szCs w:val="24"/>
                <w:highlight w:val="none"/>
              </w:rPr>
            </w:pPr>
            <w:r>
              <w:rPr>
                <w:rFonts w:hint="default"/>
                <w:sz w:val="24"/>
                <w:szCs w:val="24"/>
                <w:highlight w:val="none"/>
              </w:rPr>
              <w:t>排放量（固体废物产生量）</w:t>
            </w:r>
            <w:r>
              <w:rPr>
                <w:rFonts w:hint="default"/>
                <w:sz w:val="24"/>
                <w:szCs w:val="24"/>
                <w:highlight w:val="none"/>
              </w:rPr>
              <w:fldChar w:fldCharType="begin"/>
            </w:r>
            <w:r>
              <w:rPr>
                <w:rFonts w:hint="default"/>
                <w:sz w:val="24"/>
                <w:szCs w:val="24"/>
                <w:highlight w:val="none"/>
              </w:rPr>
              <w:instrText xml:space="preserve"> = 4 \* GB3 \* MERGEFORMAT </w:instrText>
            </w:r>
            <w:r>
              <w:rPr>
                <w:rFonts w:hint="default"/>
                <w:sz w:val="24"/>
                <w:szCs w:val="24"/>
                <w:highlight w:val="none"/>
              </w:rPr>
              <w:fldChar w:fldCharType="separate"/>
            </w:r>
            <w:r>
              <w:rPr>
                <w:rFonts w:hint="default"/>
                <w:sz w:val="24"/>
                <w:szCs w:val="24"/>
                <w:highlight w:val="none"/>
              </w:rPr>
              <w:t>④</w:t>
            </w:r>
            <w:r>
              <w:rPr>
                <w:rFonts w:hint="default"/>
                <w:sz w:val="24"/>
                <w:szCs w:val="24"/>
                <w:highlight w:val="none"/>
              </w:rPr>
              <w:fldChar w:fldCharType="end"/>
            </w:r>
          </w:p>
        </w:tc>
        <w:tc>
          <w:tcPr>
            <w:tcW w:w="1761" w:type="dxa"/>
            <w:tcBorders>
              <w:tl2br w:val="nil"/>
              <w:tr2bl w:val="nil"/>
            </w:tcBorders>
            <w:noWrap w:val="0"/>
            <w:tcMar>
              <w:left w:w="28" w:type="dxa"/>
              <w:right w:w="28" w:type="dxa"/>
            </w:tcMar>
            <w:vAlign w:val="center"/>
          </w:tcPr>
          <w:p>
            <w:pPr>
              <w:pStyle w:val="57"/>
              <w:bidi w:val="0"/>
              <w:rPr>
                <w:rFonts w:hint="default"/>
                <w:sz w:val="24"/>
                <w:szCs w:val="24"/>
                <w:highlight w:val="none"/>
              </w:rPr>
            </w:pPr>
            <w:r>
              <w:rPr>
                <w:rFonts w:hint="default"/>
                <w:sz w:val="24"/>
                <w:szCs w:val="24"/>
                <w:highlight w:val="none"/>
              </w:rPr>
              <w:t>以新带老削减量</w:t>
            </w:r>
          </w:p>
          <w:p>
            <w:pPr>
              <w:pStyle w:val="57"/>
              <w:bidi w:val="0"/>
              <w:rPr>
                <w:rFonts w:hint="default"/>
                <w:sz w:val="24"/>
                <w:szCs w:val="24"/>
                <w:highlight w:val="none"/>
              </w:rPr>
            </w:pPr>
            <w:r>
              <w:rPr>
                <w:rFonts w:hint="default"/>
                <w:sz w:val="24"/>
                <w:szCs w:val="24"/>
                <w:highlight w:val="none"/>
              </w:rPr>
              <w:t>（新建项目不填）</w:t>
            </w:r>
            <w:r>
              <w:rPr>
                <w:rFonts w:hint="default"/>
                <w:sz w:val="24"/>
                <w:szCs w:val="24"/>
                <w:highlight w:val="none"/>
              </w:rPr>
              <w:fldChar w:fldCharType="begin"/>
            </w:r>
            <w:r>
              <w:rPr>
                <w:rFonts w:hint="default"/>
                <w:sz w:val="24"/>
                <w:szCs w:val="24"/>
                <w:highlight w:val="none"/>
              </w:rPr>
              <w:instrText xml:space="preserve"> = 5 \* GB3 \* MERGEFORMAT </w:instrText>
            </w:r>
            <w:r>
              <w:rPr>
                <w:rFonts w:hint="default"/>
                <w:sz w:val="24"/>
                <w:szCs w:val="24"/>
                <w:highlight w:val="none"/>
              </w:rPr>
              <w:fldChar w:fldCharType="separate"/>
            </w:r>
            <w:r>
              <w:rPr>
                <w:rFonts w:hint="default"/>
                <w:sz w:val="24"/>
                <w:szCs w:val="24"/>
                <w:highlight w:val="none"/>
              </w:rPr>
              <w:t>⑤</w:t>
            </w:r>
            <w:r>
              <w:rPr>
                <w:rFonts w:hint="default"/>
                <w:sz w:val="24"/>
                <w:szCs w:val="24"/>
                <w:highlight w:val="none"/>
              </w:rPr>
              <w:fldChar w:fldCharType="end"/>
            </w:r>
          </w:p>
        </w:tc>
        <w:tc>
          <w:tcPr>
            <w:tcW w:w="1484" w:type="dxa"/>
            <w:tcBorders>
              <w:tl2br w:val="nil"/>
              <w:tr2bl w:val="nil"/>
            </w:tcBorders>
            <w:noWrap w:val="0"/>
            <w:tcMar>
              <w:left w:w="28" w:type="dxa"/>
              <w:right w:w="28" w:type="dxa"/>
            </w:tcMar>
            <w:vAlign w:val="center"/>
          </w:tcPr>
          <w:p>
            <w:pPr>
              <w:pStyle w:val="57"/>
              <w:bidi w:val="0"/>
              <w:rPr>
                <w:rFonts w:hint="default"/>
                <w:sz w:val="24"/>
                <w:szCs w:val="24"/>
                <w:highlight w:val="none"/>
              </w:rPr>
            </w:pPr>
            <w:r>
              <w:rPr>
                <w:rFonts w:hint="default"/>
                <w:sz w:val="24"/>
                <w:szCs w:val="24"/>
                <w:highlight w:val="none"/>
              </w:rPr>
              <w:t>本项目建成后全厂排放量（固体废物产生量）</w:t>
            </w:r>
            <w:r>
              <w:rPr>
                <w:rFonts w:hint="default"/>
                <w:sz w:val="24"/>
                <w:szCs w:val="24"/>
                <w:highlight w:val="none"/>
              </w:rPr>
              <w:fldChar w:fldCharType="begin"/>
            </w:r>
            <w:r>
              <w:rPr>
                <w:rFonts w:hint="default"/>
                <w:sz w:val="24"/>
                <w:szCs w:val="24"/>
                <w:highlight w:val="none"/>
              </w:rPr>
              <w:instrText xml:space="preserve"> = 6 \* GB3 \* MERGEFORMAT </w:instrText>
            </w:r>
            <w:r>
              <w:rPr>
                <w:rFonts w:hint="default"/>
                <w:sz w:val="24"/>
                <w:szCs w:val="24"/>
                <w:highlight w:val="none"/>
              </w:rPr>
              <w:fldChar w:fldCharType="separate"/>
            </w:r>
            <w:r>
              <w:rPr>
                <w:rFonts w:hint="default"/>
                <w:sz w:val="24"/>
                <w:szCs w:val="24"/>
                <w:highlight w:val="none"/>
              </w:rPr>
              <w:t>⑥</w:t>
            </w:r>
            <w:r>
              <w:rPr>
                <w:rFonts w:hint="default"/>
                <w:sz w:val="24"/>
                <w:szCs w:val="24"/>
                <w:highlight w:val="none"/>
              </w:rPr>
              <w:fldChar w:fldCharType="end"/>
            </w:r>
          </w:p>
        </w:tc>
        <w:tc>
          <w:tcPr>
            <w:tcW w:w="1301" w:type="dxa"/>
            <w:tcBorders>
              <w:tl2br w:val="nil"/>
              <w:tr2bl w:val="nil"/>
            </w:tcBorders>
            <w:noWrap w:val="0"/>
            <w:tcMar>
              <w:left w:w="28" w:type="dxa"/>
              <w:right w:w="28" w:type="dxa"/>
            </w:tcMar>
            <w:vAlign w:val="center"/>
          </w:tcPr>
          <w:p>
            <w:pPr>
              <w:pStyle w:val="57"/>
              <w:bidi w:val="0"/>
              <w:rPr>
                <w:rFonts w:hint="default"/>
                <w:sz w:val="24"/>
                <w:szCs w:val="24"/>
                <w:highlight w:val="none"/>
              </w:rPr>
            </w:pPr>
            <w:r>
              <w:rPr>
                <w:rFonts w:hint="default"/>
                <w:sz w:val="24"/>
                <w:szCs w:val="24"/>
                <w:highlight w:val="none"/>
              </w:rPr>
              <w:t>变化量</w:t>
            </w:r>
          </w:p>
          <w:p>
            <w:pPr>
              <w:pStyle w:val="57"/>
              <w:bidi w:val="0"/>
              <w:rPr>
                <w:rFonts w:hint="default"/>
                <w:sz w:val="24"/>
                <w:szCs w:val="24"/>
                <w:highlight w:val="none"/>
              </w:rPr>
            </w:pPr>
            <w:r>
              <w:rPr>
                <w:rFonts w:hint="default"/>
                <w:sz w:val="24"/>
                <w:szCs w:val="24"/>
                <w:highlight w:val="none"/>
              </w:rPr>
              <w:fldChar w:fldCharType="begin"/>
            </w:r>
            <w:r>
              <w:rPr>
                <w:rFonts w:hint="default"/>
                <w:sz w:val="24"/>
                <w:szCs w:val="24"/>
                <w:highlight w:val="none"/>
              </w:rPr>
              <w:instrText xml:space="preserve"> = 7 \* GB3 \* MERGEFORMAT </w:instrText>
            </w:r>
            <w:r>
              <w:rPr>
                <w:rFonts w:hint="default"/>
                <w:sz w:val="24"/>
                <w:szCs w:val="24"/>
                <w:highlight w:val="none"/>
              </w:rPr>
              <w:fldChar w:fldCharType="separate"/>
            </w:r>
            <w:r>
              <w:rPr>
                <w:rFonts w:hint="default"/>
                <w:sz w:val="24"/>
                <w:szCs w:val="24"/>
                <w:highlight w:val="none"/>
              </w:rPr>
              <w:t>⑦</w:t>
            </w:r>
            <w:r>
              <w:rPr>
                <w:rFonts w:hint="default"/>
                <w:sz w:val="24"/>
                <w:szCs w:val="24"/>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l2br w:val="nil"/>
              <w:tr2bl w:val="nil"/>
            </w:tcBorders>
            <w:noWrap w:val="0"/>
            <w:vAlign w:val="center"/>
          </w:tcPr>
          <w:p>
            <w:pPr>
              <w:pStyle w:val="57"/>
              <w:bidi w:val="0"/>
              <w:rPr>
                <w:rFonts w:hint="default"/>
                <w:sz w:val="24"/>
                <w:szCs w:val="24"/>
                <w:highlight w:val="none"/>
              </w:rPr>
            </w:pPr>
            <w:r>
              <w:rPr>
                <w:rFonts w:hint="default"/>
                <w:sz w:val="24"/>
                <w:szCs w:val="24"/>
                <w:highlight w:val="none"/>
              </w:rPr>
              <w:t>废气</w:t>
            </w:r>
          </w:p>
        </w:tc>
        <w:tc>
          <w:tcPr>
            <w:tcW w:w="1417" w:type="dxa"/>
            <w:tcBorders>
              <w:tl2br w:val="nil"/>
              <w:tr2bl w:val="nil"/>
            </w:tcBorders>
            <w:noWrap w:val="0"/>
            <w:vAlign w:val="center"/>
          </w:tcPr>
          <w:p>
            <w:pPr>
              <w:pStyle w:val="57"/>
              <w:bidi w:val="0"/>
              <w:rPr>
                <w:rFonts w:hint="default"/>
                <w:sz w:val="24"/>
                <w:szCs w:val="24"/>
                <w:highlight w:val="none"/>
                <w:lang w:val="en-US" w:eastAsia="zh-CN"/>
              </w:rPr>
            </w:pPr>
            <w:r>
              <w:rPr>
                <w:rFonts w:hint="eastAsia"/>
                <w:sz w:val="24"/>
                <w:szCs w:val="24"/>
                <w:highlight w:val="none"/>
                <w:lang w:val="en-US" w:eastAsia="zh-CN"/>
              </w:rPr>
              <w:t>颗粒物</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559"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eastAsia"/>
                <w:sz w:val="24"/>
                <w:szCs w:val="24"/>
                <w:highlight w:val="none"/>
                <w:lang w:val="en-US" w:eastAsia="zh-CN"/>
              </w:rPr>
              <w:t>4.1452t/a</w:t>
            </w:r>
          </w:p>
        </w:tc>
        <w:tc>
          <w:tcPr>
            <w:tcW w:w="17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rPr>
            </w:pPr>
            <w:r>
              <w:rPr>
                <w:rFonts w:hint="default"/>
                <w:sz w:val="24"/>
                <w:szCs w:val="24"/>
                <w:lang w:val="en-US" w:eastAsia="zh-CN"/>
              </w:rPr>
              <w:t>/</w:t>
            </w:r>
          </w:p>
        </w:tc>
        <w:tc>
          <w:tcPr>
            <w:tcW w:w="1484"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eastAsia"/>
                <w:sz w:val="24"/>
                <w:szCs w:val="24"/>
                <w:highlight w:val="none"/>
                <w:lang w:val="en-US" w:eastAsia="zh-CN"/>
              </w:rPr>
              <w:t>4.1452t/a</w:t>
            </w:r>
          </w:p>
        </w:tc>
        <w:tc>
          <w:tcPr>
            <w:tcW w:w="13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noWrap w:val="0"/>
            <w:vAlign w:val="center"/>
          </w:tcPr>
          <w:p>
            <w:pPr>
              <w:pStyle w:val="57"/>
              <w:bidi w:val="0"/>
              <w:rPr>
                <w:rFonts w:hint="default"/>
                <w:sz w:val="24"/>
                <w:szCs w:val="24"/>
                <w:highlight w:val="none"/>
              </w:rPr>
            </w:pPr>
          </w:p>
        </w:tc>
        <w:tc>
          <w:tcPr>
            <w:tcW w:w="1417" w:type="dxa"/>
            <w:tcBorders>
              <w:tl2br w:val="nil"/>
              <w:tr2bl w:val="nil"/>
            </w:tcBorders>
            <w:noWrap w:val="0"/>
            <w:vAlign w:val="center"/>
          </w:tcPr>
          <w:p>
            <w:pPr>
              <w:pStyle w:val="57"/>
              <w:bidi w:val="0"/>
              <w:rPr>
                <w:rFonts w:hint="default"/>
                <w:sz w:val="24"/>
                <w:szCs w:val="24"/>
                <w:highlight w:val="none"/>
              </w:rPr>
            </w:pPr>
            <w:r>
              <w:rPr>
                <w:rFonts w:hint="default"/>
                <w:sz w:val="24"/>
                <w:szCs w:val="24"/>
                <w:highlight w:val="none"/>
                <w:lang w:val="en-US" w:eastAsia="zh-CN"/>
              </w:rPr>
              <w:t>SO</w:t>
            </w:r>
            <w:r>
              <w:rPr>
                <w:rFonts w:hint="default"/>
                <w:sz w:val="24"/>
                <w:szCs w:val="24"/>
                <w:highlight w:val="none"/>
                <w:vertAlign w:val="subscript"/>
                <w:lang w:val="en-US" w:eastAsia="zh-CN"/>
              </w:rPr>
              <w:t>2</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559"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lang w:val="en-US" w:eastAsia="zh-CN"/>
              </w:rPr>
              <w:t>12.8t/a</w:t>
            </w:r>
          </w:p>
        </w:tc>
        <w:tc>
          <w:tcPr>
            <w:tcW w:w="17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484"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lang w:val="en-US" w:eastAsia="zh-CN"/>
              </w:rPr>
              <w:t>12.8t/a</w:t>
            </w:r>
          </w:p>
        </w:tc>
        <w:tc>
          <w:tcPr>
            <w:tcW w:w="13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noWrap w:val="0"/>
            <w:vAlign w:val="center"/>
          </w:tcPr>
          <w:p>
            <w:pPr>
              <w:pStyle w:val="57"/>
              <w:bidi w:val="0"/>
              <w:rPr>
                <w:rFonts w:hint="default"/>
                <w:sz w:val="24"/>
                <w:szCs w:val="24"/>
                <w:highlight w:val="none"/>
              </w:rPr>
            </w:pPr>
          </w:p>
        </w:tc>
        <w:tc>
          <w:tcPr>
            <w:tcW w:w="1417" w:type="dxa"/>
            <w:tcBorders>
              <w:tl2br w:val="nil"/>
              <w:tr2bl w:val="nil"/>
            </w:tcBorders>
            <w:noWrap w:val="0"/>
            <w:vAlign w:val="center"/>
          </w:tcPr>
          <w:p>
            <w:pPr>
              <w:pStyle w:val="57"/>
              <w:bidi w:val="0"/>
              <w:rPr>
                <w:rFonts w:hint="default"/>
                <w:sz w:val="24"/>
                <w:szCs w:val="24"/>
                <w:highlight w:val="none"/>
                <w:lang w:val="en-US" w:eastAsia="zh-CN"/>
              </w:rPr>
            </w:pPr>
            <w:r>
              <w:rPr>
                <w:rFonts w:hint="default"/>
                <w:sz w:val="24"/>
                <w:szCs w:val="24"/>
                <w:highlight w:val="none"/>
                <w:lang w:val="en-US" w:eastAsia="zh-CN"/>
              </w:rPr>
              <w:t>NO</w:t>
            </w:r>
            <w:r>
              <w:rPr>
                <w:rFonts w:hint="default"/>
                <w:sz w:val="24"/>
                <w:szCs w:val="24"/>
                <w:highlight w:val="none"/>
                <w:vertAlign w:val="subscript"/>
                <w:lang w:val="en-US" w:eastAsia="zh-CN"/>
              </w:rPr>
              <w:t>X</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lang w:val="en-US" w:eastAsia="zh-CN"/>
              </w:rPr>
            </w:pPr>
            <w:r>
              <w:rPr>
                <w:rFonts w:hint="default"/>
                <w:sz w:val="24"/>
                <w:szCs w:val="24"/>
                <w:lang w:val="en-US" w:eastAsia="zh-CN"/>
              </w:rPr>
              <w:t>/</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lang w:val="en-US" w:eastAsia="zh-CN"/>
              </w:rPr>
            </w:pPr>
            <w:r>
              <w:rPr>
                <w:rFonts w:hint="default"/>
                <w:sz w:val="24"/>
                <w:szCs w:val="24"/>
                <w:lang w:val="en-US" w:eastAsia="zh-CN"/>
              </w:rPr>
              <w:t>/</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lang w:val="en-US" w:eastAsia="zh-CN"/>
              </w:rPr>
            </w:pPr>
            <w:r>
              <w:rPr>
                <w:rFonts w:hint="default"/>
                <w:sz w:val="24"/>
                <w:szCs w:val="24"/>
                <w:lang w:val="en-US" w:eastAsia="zh-CN"/>
              </w:rPr>
              <w:t>/</w:t>
            </w:r>
          </w:p>
        </w:tc>
        <w:tc>
          <w:tcPr>
            <w:tcW w:w="1559"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lang w:val="en-US" w:eastAsia="zh-CN"/>
              </w:rPr>
              <w:t>2.0t/a</w:t>
            </w:r>
          </w:p>
        </w:tc>
        <w:tc>
          <w:tcPr>
            <w:tcW w:w="17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lang w:val="en-US" w:eastAsia="zh-CN"/>
              </w:rPr>
            </w:pPr>
            <w:r>
              <w:rPr>
                <w:rFonts w:hint="default"/>
                <w:sz w:val="24"/>
                <w:szCs w:val="24"/>
                <w:lang w:val="en-US" w:eastAsia="zh-CN"/>
              </w:rPr>
              <w:t>/</w:t>
            </w:r>
          </w:p>
        </w:tc>
        <w:tc>
          <w:tcPr>
            <w:tcW w:w="1484"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lang w:val="en-US" w:eastAsia="zh-CN"/>
              </w:rPr>
              <w:t>2.0t/a</w:t>
            </w:r>
          </w:p>
        </w:tc>
        <w:tc>
          <w:tcPr>
            <w:tcW w:w="13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lang w:val="en-US" w:eastAsia="zh-CN"/>
              </w:rPr>
            </w:pPr>
            <w:r>
              <w:rPr>
                <w:rFonts w:hint="default"/>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noWrap w:val="0"/>
            <w:vAlign w:val="center"/>
          </w:tcPr>
          <w:p>
            <w:pPr>
              <w:pStyle w:val="57"/>
              <w:bidi w:val="0"/>
              <w:rPr>
                <w:rFonts w:hint="default"/>
                <w:sz w:val="24"/>
                <w:szCs w:val="24"/>
                <w:highlight w:val="none"/>
              </w:rPr>
            </w:pPr>
          </w:p>
        </w:tc>
        <w:tc>
          <w:tcPr>
            <w:tcW w:w="1417" w:type="dxa"/>
            <w:tcBorders>
              <w:tl2br w:val="nil"/>
              <w:tr2bl w:val="nil"/>
            </w:tcBorders>
            <w:noWrap w:val="0"/>
            <w:vAlign w:val="center"/>
          </w:tcPr>
          <w:p>
            <w:pPr>
              <w:pStyle w:val="57"/>
              <w:bidi w:val="0"/>
              <w:rPr>
                <w:rFonts w:hint="default"/>
                <w:sz w:val="24"/>
                <w:szCs w:val="24"/>
                <w:highlight w:val="none"/>
                <w:lang w:val="en-US" w:eastAsia="zh-CN"/>
              </w:rPr>
            </w:pPr>
            <w:r>
              <w:rPr>
                <w:rFonts w:hint="default"/>
                <w:sz w:val="24"/>
                <w:szCs w:val="24"/>
                <w:highlight w:val="none"/>
                <w:lang w:val="en-US" w:eastAsia="zh-CN"/>
              </w:rPr>
              <w:t>沥青烟</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lang w:val="en-US" w:eastAsia="zh-CN"/>
              </w:rPr>
            </w:pPr>
            <w:r>
              <w:rPr>
                <w:rFonts w:hint="default"/>
                <w:sz w:val="24"/>
                <w:szCs w:val="24"/>
                <w:lang w:val="en-US" w:eastAsia="zh-CN"/>
              </w:rPr>
              <w:t>/</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lang w:val="en-US" w:eastAsia="zh-CN"/>
              </w:rPr>
            </w:pPr>
            <w:r>
              <w:rPr>
                <w:rFonts w:hint="default"/>
                <w:sz w:val="24"/>
                <w:szCs w:val="24"/>
                <w:lang w:val="en-US" w:eastAsia="zh-CN"/>
              </w:rPr>
              <w:t>/</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lang w:val="en-US" w:eastAsia="zh-CN"/>
              </w:rPr>
            </w:pPr>
            <w:r>
              <w:rPr>
                <w:rFonts w:hint="default"/>
                <w:sz w:val="24"/>
                <w:szCs w:val="24"/>
                <w:lang w:val="en-US" w:eastAsia="zh-CN"/>
              </w:rPr>
              <w:t>/</w:t>
            </w:r>
          </w:p>
        </w:tc>
        <w:tc>
          <w:tcPr>
            <w:tcW w:w="1559"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rPr>
              <w:t>0.303</w:t>
            </w:r>
            <w:r>
              <w:rPr>
                <w:rFonts w:hint="eastAsia"/>
                <w:sz w:val="24"/>
                <w:szCs w:val="24"/>
                <w:highlight w:val="none"/>
                <w:lang w:val="en-US" w:eastAsia="zh-CN"/>
              </w:rPr>
              <w:t>t</w:t>
            </w:r>
            <w:r>
              <w:rPr>
                <w:rFonts w:hint="default"/>
                <w:sz w:val="24"/>
                <w:szCs w:val="24"/>
                <w:highlight w:val="none"/>
                <w:lang w:val="en-US" w:eastAsia="zh-CN"/>
              </w:rPr>
              <w:t>/a</w:t>
            </w:r>
          </w:p>
        </w:tc>
        <w:tc>
          <w:tcPr>
            <w:tcW w:w="17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lang w:val="en-US" w:eastAsia="zh-CN"/>
              </w:rPr>
            </w:pPr>
            <w:r>
              <w:rPr>
                <w:rFonts w:hint="default"/>
                <w:sz w:val="24"/>
                <w:szCs w:val="24"/>
                <w:lang w:val="en-US" w:eastAsia="zh-CN"/>
              </w:rPr>
              <w:t>/</w:t>
            </w:r>
          </w:p>
        </w:tc>
        <w:tc>
          <w:tcPr>
            <w:tcW w:w="1484"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rPr>
              <w:t>0.303</w:t>
            </w:r>
            <w:r>
              <w:rPr>
                <w:rFonts w:hint="eastAsia"/>
                <w:sz w:val="24"/>
                <w:szCs w:val="24"/>
                <w:highlight w:val="none"/>
                <w:lang w:val="en-US" w:eastAsia="zh-CN"/>
              </w:rPr>
              <w:t>t</w:t>
            </w:r>
            <w:r>
              <w:rPr>
                <w:rFonts w:hint="default"/>
                <w:sz w:val="24"/>
                <w:szCs w:val="24"/>
                <w:highlight w:val="none"/>
                <w:lang w:val="en-US" w:eastAsia="zh-CN"/>
              </w:rPr>
              <w:t>/a</w:t>
            </w:r>
          </w:p>
        </w:tc>
        <w:tc>
          <w:tcPr>
            <w:tcW w:w="13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lang w:val="en-US" w:eastAsia="zh-CN"/>
              </w:rPr>
            </w:pPr>
            <w:r>
              <w:rPr>
                <w:rFonts w:hint="default"/>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noWrap w:val="0"/>
            <w:vAlign w:val="center"/>
          </w:tcPr>
          <w:p>
            <w:pPr>
              <w:pStyle w:val="57"/>
              <w:bidi w:val="0"/>
              <w:rPr>
                <w:rFonts w:hint="default"/>
                <w:sz w:val="24"/>
                <w:szCs w:val="24"/>
                <w:highlight w:val="none"/>
              </w:rPr>
            </w:pPr>
          </w:p>
        </w:tc>
        <w:tc>
          <w:tcPr>
            <w:tcW w:w="1417" w:type="dxa"/>
            <w:tcBorders>
              <w:tl2br w:val="nil"/>
              <w:tr2bl w:val="nil"/>
            </w:tcBorders>
            <w:noWrap w:val="0"/>
            <w:vAlign w:val="center"/>
          </w:tcPr>
          <w:p>
            <w:pPr>
              <w:pStyle w:val="57"/>
              <w:bidi w:val="0"/>
              <w:rPr>
                <w:rFonts w:hint="default"/>
                <w:sz w:val="24"/>
                <w:szCs w:val="24"/>
                <w:highlight w:val="none"/>
                <w:lang w:val="en-US" w:eastAsia="zh-CN"/>
              </w:rPr>
            </w:pPr>
            <w:r>
              <w:rPr>
                <w:rFonts w:hint="default"/>
                <w:sz w:val="24"/>
                <w:szCs w:val="24"/>
                <w:highlight w:val="none"/>
                <w:lang w:val="en-US" w:eastAsia="zh-CN"/>
              </w:rPr>
              <w:t>苯并[a]芘</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lang w:val="en-US" w:eastAsia="zh-CN"/>
              </w:rPr>
            </w:pPr>
            <w:r>
              <w:rPr>
                <w:rFonts w:hint="default"/>
                <w:sz w:val="24"/>
                <w:szCs w:val="24"/>
                <w:lang w:val="en-US" w:eastAsia="zh-CN"/>
              </w:rPr>
              <w:t>/</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lang w:val="en-US" w:eastAsia="zh-CN"/>
              </w:rPr>
            </w:pPr>
            <w:r>
              <w:rPr>
                <w:rFonts w:hint="default"/>
                <w:sz w:val="24"/>
                <w:szCs w:val="24"/>
                <w:lang w:val="en-US" w:eastAsia="zh-CN"/>
              </w:rPr>
              <w:t>/</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lang w:val="en-US" w:eastAsia="zh-CN"/>
              </w:rPr>
            </w:pPr>
            <w:r>
              <w:rPr>
                <w:rFonts w:hint="default"/>
                <w:sz w:val="24"/>
                <w:szCs w:val="24"/>
                <w:lang w:val="en-US" w:eastAsia="zh-CN"/>
              </w:rPr>
              <w:t>/</w:t>
            </w:r>
          </w:p>
        </w:tc>
        <w:tc>
          <w:tcPr>
            <w:tcW w:w="1559"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lang w:val="en-US" w:eastAsia="zh-CN"/>
              </w:rPr>
              <w:t>4.498g/a</w:t>
            </w:r>
          </w:p>
        </w:tc>
        <w:tc>
          <w:tcPr>
            <w:tcW w:w="17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lang w:val="en-US" w:eastAsia="zh-CN"/>
              </w:rPr>
            </w:pPr>
            <w:r>
              <w:rPr>
                <w:rFonts w:hint="default"/>
                <w:sz w:val="24"/>
                <w:szCs w:val="24"/>
                <w:lang w:val="en-US" w:eastAsia="zh-CN"/>
              </w:rPr>
              <w:t>/</w:t>
            </w:r>
          </w:p>
        </w:tc>
        <w:tc>
          <w:tcPr>
            <w:tcW w:w="1484"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lang w:val="en-US" w:eastAsia="zh-CN"/>
              </w:rPr>
              <w:t>4.498g/a</w:t>
            </w:r>
          </w:p>
        </w:tc>
        <w:tc>
          <w:tcPr>
            <w:tcW w:w="13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lang w:val="en-US" w:eastAsia="zh-CN"/>
              </w:rPr>
            </w:pPr>
            <w:r>
              <w:rPr>
                <w:rFonts w:hint="default"/>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l2br w:val="nil"/>
              <w:tr2bl w:val="nil"/>
            </w:tcBorders>
            <w:noWrap w:val="0"/>
            <w:vAlign w:val="center"/>
          </w:tcPr>
          <w:p>
            <w:pPr>
              <w:pStyle w:val="57"/>
              <w:bidi w:val="0"/>
              <w:rPr>
                <w:rFonts w:hint="default"/>
                <w:sz w:val="24"/>
                <w:szCs w:val="24"/>
                <w:highlight w:val="none"/>
              </w:rPr>
            </w:pPr>
            <w:r>
              <w:rPr>
                <w:rFonts w:hint="default"/>
                <w:sz w:val="24"/>
                <w:szCs w:val="24"/>
                <w:highlight w:val="none"/>
              </w:rPr>
              <w:t>废水</w:t>
            </w:r>
          </w:p>
        </w:tc>
        <w:tc>
          <w:tcPr>
            <w:tcW w:w="1417" w:type="dxa"/>
            <w:tcBorders>
              <w:tl2br w:val="nil"/>
              <w:tr2bl w:val="nil"/>
            </w:tcBorders>
            <w:noWrap w:val="0"/>
            <w:vAlign w:val="center"/>
          </w:tcPr>
          <w:p>
            <w:pPr>
              <w:pStyle w:val="57"/>
              <w:bidi w:val="0"/>
              <w:rPr>
                <w:rFonts w:hint="default"/>
                <w:sz w:val="24"/>
                <w:szCs w:val="24"/>
                <w:highlight w:val="none"/>
              </w:rPr>
            </w:pPr>
            <w:r>
              <w:rPr>
                <w:rFonts w:hint="default"/>
                <w:sz w:val="24"/>
                <w:szCs w:val="24"/>
                <w:highlight w:val="none"/>
              </w:rPr>
              <w:t>水量</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559"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4"/>
                <w:szCs w:val="24"/>
                <w:highlight w:val="none"/>
                <w:lang w:val="en-US" w:eastAsia="zh-CN"/>
              </w:rPr>
            </w:pPr>
            <w:r>
              <w:rPr>
                <w:rFonts w:hint="default"/>
                <w:sz w:val="24"/>
                <w:szCs w:val="24"/>
                <w:highlight w:val="none"/>
              </w:rPr>
              <w:t>1713.6</w:t>
            </w:r>
            <w:r>
              <w:rPr>
                <w:rFonts w:hint="eastAsia"/>
                <w:sz w:val="24"/>
                <w:szCs w:val="24"/>
                <w:highlight w:val="none"/>
                <w:lang w:val="en-US" w:eastAsia="zh-CN"/>
              </w:rPr>
              <w:t>m</w:t>
            </w:r>
            <w:r>
              <w:rPr>
                <w:rFonts w:hint="default" w:ascii="Times New Roman" w:hAnsi="Times New Roman" w:cs="Times New Roman"/>
                <w:sz w:val="24"/>
                <w:szCs w:val="24"/>
                <w:highlight w:val="none"/>
                <w:lang w:val="en-US" w:eastAsia="zh-CN"/>
              </w:rPr>
              <w:t>³</w:t>
            </w:r>
            <w:r>
              <w:rPr>
                <w:rFonts w:hint="eastAsia"/>
                <w:sz w:val="24"/>
                <w:szCs w:val="24"/>
                <w:highlight w:val="none"/>
                <w:lang w:val="en-US" w:eastAsia="zh-CN"/>
              </w:rPr>
              <w:t>/a</w:t>
            </w:r>
          </w:p>
        </w:tc>
        <w:tc>
          <w:tcPr>
            <w:tcW w:w="17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484"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rPr>
              <w:t>1713.6</w:t>
            </w:r>
            <w:r>
              <w:rPr>
                <w:rFonts w:hint="eastAsia"/>
                <w:sz w:val="24"/>
                <w:szCs w:val="24"/>
                <w:highlight w:val="none"/>
                <w:lang w:val="en-US" w:eastAsia="zh-CN"/>
              </w:rPr>
              <w:t>m</w:t>
            </w:r>
            <w:r>
              <w:rPr>
                <w:rFonts w:hint="default" w:ascii="Times New Roman" w:hAnsi="Times New Roman" w:cs="Times New Roman"/>
                <w:sz w:val="24"/>
                <w:szCs w:val="24"/>
                <w:highlight w:val="none"/>
                <w:lang w:val="en-US" w:eastAsia="zh-CN"/>
              </w:rPr>
              <w:t>³</w:t>
            </w:r>
            <w:r>
              <w:rPr>
                <w:rFonts w:hint="eastAsia"/>
                <w:sz w:val="24"/>
                <w:szCs w:val="24"/>
                <w:highlight w:val="none"/>
                <w:lang w:val="en-US" w:eastAsia="zh-CN"/>
              </w:rPr>
              <w:t>/a</w:t>
            </w:r>
          </w:p>
        </w:tc>
        <w:tc>
          <w:tcPr>
            <w:tcW w:w="13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noWrap w:val="0"/>
            <w:vAlign w:val="center"/>
          </w:tcPr>
          <w:p>
            <w:pPr>
              <w:pStyle w:val="57"/>
              <w:bidi w:val="0"/>
              <w:rPr>
                <w:rFonts w:hint="default"/>
                <w:sz w:val="24"/>
                <w:szCs w:val="24"/>
                <w:highlight w:val="none"/>
              </w:rPr>
            </w:pPr>
          </w:p>
        </w:tc>
        <w:tc>
          <w:tcPr>
            <w:tcW w:w="1417" w:type="dxa"/>
            <w:tcBorders>
              <w:tl2br w:val="nil"/>
              <w:tr2bl w:val="nil"/>
            </w:tcBorders>
            <w:noWrap w:val="0"/>
            <w:vAlign w:val="center"/>
          </w:tcPr>
          <w:p>
            <w:pPr>
              <w:pStyle w:val="57"/>
              <w:bidi w:val="0"/>
              <w:rPr>
                <w:rFonts w:hint="default"/>
                <w:sz w:val="24"/>
                <w:szCs w:val="24"/>
                <w:highlight w:val="none"/>
              </w:rPr>
            </w:pPr>
            <w:r>
              <w:rPr>
                <w:rFonts w:hint="default"/>
                <w:sz w:val="24"/>
                <w:szCs w:val="24"/>
                <w:highlight w:val="none"/>
              </w:rPr>
              <w:t>COD</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559"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4"/>
                <w:szCs w:val="24"/>
                <w:highlight w:val="none"/>
                <w:lang w:val="en-US" w:eastAsia="zh-CN"/>
              </w:rPr>
            </w:pPr>
            <w:r>
              <w:rPr>
                <w:rFonts w:hint="eastAsia"/>
                <w:sz w:val="24"/>
                <w:szCs w:val="24"/>
                <w:highlight w:val="none"/>
                <w:lang w:val="en-US" w:eastAsia="zh-CN"/>
              </w:rPr>
              <w:t>0.6t/a</w:t>
            </w:r>
          </w:p>
        </w:tc>
        <w:tc>
          <w:tcPr>
            <w:tcW w:w="17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484"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eastAsia"/>
                <w:sz w:val="24"/>
                <w:szCs w:val="24"/>
                <w:highlight w:val="none"/>
                <w:lang w:val="en-US" w:eastAsia="zh-CN"/>
              </w:rPr>
              <w:t>0.6t/a</w:t>
            </w:r>
          </w:p>
        </w:tc>
        <w:tc>
          <w:tcPr>
            <w:tcW w:w="13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noWrap w:val="0"/>
            <w:vAlign w:val="center"/>
          </w:tcPr>
          <w:p>
            <w:pPr>
              <w:pStyle w:val="57"/>
              <w:bidi w:val="0"/>
              <w:rPr>
                <w:rFonts w:hint="default"/>
                <w:sz w:val="24"/>
                <w:szCs w:val="24"/>
                <w:highlight w:val="none"/>
              </w:rPr>
            </w:pPr>
          </w:p>
        </w:tc>
        <w:tc>
          <w:tcPr>
            <w:tcW w:w="1417" w:type="dxa"/>
            <w:tcBorders>
              <w:tl2br w:val="nil"/>
              <w:tr2bl w:val="nil"/>
            </w:tcBorders>
            <w:noWrap w:val="0"/>
            <w:vAlign w:val="center"/>
          </w:tcPr>
          <w:p>
            <w:pPr>
              <w:pStyle w:val="57"/>
              <w:bidi w:val="0"/>
              <w:rPr>
                <w:rFonts w:hint="default"/>
                <w:sz w:val="24"/>
                <w:szCs w:val="24"/>
                <w:highlight w:val="none"/>
                <w:lang w:val="en-US" w:eastAsia="zh-CN"/>
              </w:rPr>
            </w:pPr>
            <w:r>
              <w:rPr>
                <w:rFonts w:hint="default"/>
                <w:sz w:val="24"/>
                <w:szCs w:val="24"/>
                <w:highlight w:val="none"/>
              </w:rPr>
              <w:t>NH</w:t>
            </w:r>
            <w:r>
              <w:rPr>
                <w:rFonts w:hint="default"/>
                <w:sz w:val="24"/>
                <w:szCs w:val="24"/>
                <w:highlight w:val="none"/>
                <w:vertAlign w:val="subscript"/>
              </w:rPr>
              <w:t>3</w:t>
            </w:r>
            <w:r>
              <w:rPr>
                <w:rFonts w:hint="default"/>
                <w:sz w:val="24"/>
                <w:szCs w:val="24"/>
                <w:highlight w:val="none"/>
              </w:rPr>
              <w:t>-N</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c>
          <w:tcPr>
            <w:tcW w:w="1559"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eastAsia"/>
                <w:sz w:val="24"/>
                <w:szCs w:val="24"/>
                <w:highlight w:val="none"/>
                <w:lang w:val="en-US" w:eastAsia="zh-CN"/>
              </w:rPr>
              <w:t>0.07t/a</w:t>
            </w:r>
          </w:p>
        </w:tc>
        <w:tc>
          <w:tcPr>
            <w:tcW w:w="17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c>
          <w:tcPr>
            <w:tcW w:w="1484"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eastAsia"/>
                <w:sz w:val="24"/>
                <w:szCs w:val="24"/>
                <w:highlight w:val="none"/>
                <w:lang w:val="en-US" w:eastAsia="zh-CN"/>
              </w:rPr>
              <w:t>0.07t/a</w:t>
            </w:r>
          </w:p>
        </w:tc>
        <w:tc>
          <w:tcPr>
            <w:tcW w:w="13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l2br w:val="nil"/>
              <w:tr2bl w:val="nil"/>
            </w:tcBorders>
            <w:noWrap w:val="0"/>
            <w:vAlign w:val="center"/>
          </w:tcPr>
          <w:p>
            <w:pPr>
              <w:pStyle w:val="57"/>
              <w:bidi w:val="0"/>
              <w:rPr>
                <w:rFonts w:hint="default"/>
                <w:sz w:val="24"/>
                <w:szCs w:val="24"/>
                <w:highlight w:val="none"/>
              </w:rPr>
            </w:pPr>
            <w:r>
              <w:rPr>
                <w:rFonts w:hint="default"/>
                <w:sz w:val="24"/>
                <w:szCs w:val="24"/>
                <w:highlight w:val="none"/>
              </w:rPr>
              <w:t>一般工业</w:t>
            </w:r>
          </w:p>
          <w:p>
            <w:pPr>
              <w:pStyle w:val="57"/>
              <w:bidi w:val="0"/>
              <w:rPr>
                <w:rFonts w:hint="default"/>
                <w:sz w:val="24"/>
                <w:szCs w:val="24"/>
                <w:highlight w:val="none"/>
              </w:rPr>
            </w:pPr>
            <w:r>
              <w:rPr>
                <w:rFonts w:hint="default"/>
                <w:sz w:val="24"/>
                <w:szCs w:val="24"/>
                <w:highlight w:val="none"/>
              </w:rPr>
              <w:t>固体废物</w:t>
            </w:r>
          </w:p>
        </w:tc>
        <w:tc>
          <w:tcPr>
            <w:tcW w:w="1417" w:type="dxa"/>
            <w:tcBorders>
              <w:tl2br w:val="nil"/>
              <w:tr2bl w:val="nil"/>
            </w:tcBorders>
            <w:noWrap w:val="0"/>
            <w:vAlign w:val="center"/>
          </w:tcPr>
          <w:p>
            <w:pPr>
              <w:pStyle w:val="57"/>
              <w:bidi w:val="0"/>
              <w:rPr>
                <w:rFonts w:hint="eastAsia" w:eastAsia="宋体"/>
                <w:sz w:val="24"/>
                <w:szCs w:val="24"/>
                <w:highlight w:val="none"/>
                <w:lang w:val="en-US" w:eastAsia="zh-CN"/>
              </w:rPr>
            </w:pPr>
            <w:r>
              <w:rPr>
                <w:rFonts w:hint="default"/>
                <w:sz w:val="24"/>
                <w:szCs w:val="24"/>
                <w:highlight w:val="none"/>
              </w:rPr>
              <w:t>员工生活</w:t>
            </w:r>
            <w:r>
              <w:rPr>
                <w:rFonts w:hint="eastAsia"/>
                <w:sz w:val="24"/>
                <w:szCs w:val="24"/>
                <w:highlight w:val="none"/>
                <w:lang w:val="en-US" w:eastAsia="zh-CN"/>
              </w:rPr>
              <w:t>垃圾</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559"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highlight w:val="none"/>
                <w:lang w:val="en-US" w:eastAsia="zh-CN"/>
              </w:rPr>
              <w:t>15.3t/a</w:t>
            </w:r>
          </w:p>
        </w:tc>
        <w:tc>
          <w:tcPr>
            <w:tcW w:w="17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484"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lang w:val="en-US" w:eastAsia="zh-CN"/>
              </w:rPr>
              <w:t>15.3t/a</w:t>
            </w:r>
          </w:p>
        </w:tc>
        <w:tc>
          <w:tcPr>
            <w:tcW w:w="13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rPr>
            </w:pPr>
            <w:r>
              <w:rPr>
                <w:rFonts w:hint="default"/>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noWrap w:val="0"/>
            <w:vAlign w:val="center"/>
          </w:tcPr>
          <w:p>
            <w:pPr>
              <w:pStyle w:val="57"/>
              <w:bidi w:val="0"/>
              <w:rPr>
                <w:rFonts w:hint="default"/>
                <w:sz w:val="24"/>
                <w:szCs w:val="24"/>
                <w:highlight w:val="none"/>
              </w:rPr>
            </w:pPr>
          </w:p>
        </w:tc>
        <w:tc>
          <w:tcPr>
            <w:tcW w:w="1417" w:type="dxa"/>
            <w:tcBorders>
              <w:tl2br w:val="nil"/>
              <w:tr2bl w:val="nil"/>
            </w:tcBorders>
            <w:noWrap w:val="0"/>
            <w:vAlign w:val="center"/>
          </w:tcPr>
          <w:p>
            <w:pPr>
              <w:pStyle w:val="57"/>
              <w:bidi w:val="0"/>
              <w:rPr>
                <w:rFonts w:hint="eastAsia"/>
                <w:sz w:val="24"/>
                <w:szCs w:val="24"/>
                <w:highlight w:val="none"/>
                <w:lang w:val="en-US" w:eastAsia="zh-CN"/>
              </w:rPr>
            </w:pPr>
            <w:r>
              <w:rPr>
                <w:rFonts w:hint="default"/>
                <w:sz w:val="24"/>
                <w:szCs w:val="24"/>
                <w:highlight w:val="none"/>
              </w:rPr>
              <w:t>沉淀池</w:t>
            </w:r>
            <w:r>
              <w:rPr>
                <w:rFonts w:hint="eastAsia"/>
                <w:sz w:val="24"/>
                <w:szCs w:val="24"/>
                <w:highlight w:val="none"/>
                <w:lang w:val="en-US" w:eastAsia="zh-CN"/>
              </w:rPr>
              <w:t>沉渣</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559"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rPr>
              <w:t>4.752</w:t>
            </w:r>
            <w:r>
              <w:rPr>
                <w:rFonts w:hint="default"/>
                <w:sz w:val="24"/>
                <w:szCs w:val="24"/>
                <w:highlight w:val="none"/>
                <w:lang w:val="en-US" w:eastAsia="zh-CN"/>
              </w:rPr>
              <w:t>t/a</w:t>
            </w:r>
          </w:p>
        </w:tc>
        <w:tc>
          <w:tcPr>
            <w:tcW w:w="17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c>
          <w:tcPr>
            <w:tcW w:w="1484"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rPr>
              <w:t>4.752</w:t>
            </w:r>
            <w:r>
              <w:rPr>
                <w:rFonts w:hint="default"/>
                <w:sz w:val="24"/>
                <w:szCs w:val="24"/>
                <w:highlight w:val="none"/>
                <w:lang w:val="en-US" w:eastAsia="zh-CN"/>
              </w:rPr>
              <w:t>t/a</w:t>
            </w:r>
          </w:p>
        </w:tc>
        <w:tc>
          <w:tcPr>
            <w:tcW w:w="13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rPr>
            </w:pPr>
            <w:r>
              <w:rPr>
                <w:rFonts w:hint="default"/>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noWrap w:val="0"/>
            <w:vAlign w:val="center"/>
          </w:tcPr>
          <w:p>
            <w:pPr>
              <w:pStyle w:val="57"/>
              <w:bidi w:val="0"/>
              <w:rPr>
                <w:rFonts w:hint="default"/>
                <w:sz w:val="24"/>
                <w:szCs w:val="24"/>
                <w:highlight w:val="none"/>
              </w:rPr>
            </w:pPr>
          </w:p>
        </w:tc>
        <w:tc>
          <w:tcPr>
            <w:tcW w:w="1417" w:type="dxa"/>
            <w:tcBorders>
              <w:tl2br w:val="nil"/>
              <w:tr2bl w:val="nil"/>
            </w:tcBorders>
            <w:noWrap w:val="0"/>
            <w:vAlign w:val="center"/>
          </w:tcPr>
          <w:p>
            <w:pPr>
              <w:pStyle w:val="57"/>
              <w:bidi w:val="0"/>
              <w:rPr>
                <w:rFonts w:hint="default"/>
                <w:sz w:val="24"/>
                <w:szCs w:val="24"/>
                <w:highlight w:val="none"/>
                <w:lang w:val="en-US" w:eastAsia="zh-CN"/>
              </w:rPr>
            </w:pPr>
            <w:r>
              <w:rPr>
                <w:rFonts w:hint="default"/>
                <w:sz w:val="24"/>
                <w:szCs w:val="24"/>
                <w:highlight w:val="none"/>
              </w:rPr>
              <w:t>除尘器</w:t>
            </w:r>
            <w:r>
              <w:rPr>
                <w:rFonts w:hint="eastAsia"/>
                <w:sz w:val="24"/>
                <w:szCs w:val="24"/>
                <w:highlight w:val="none"/>
                <w:lang w:val="en-US" w:eastAsia="zh-CN"/>
              </w:rPr>
              <w:t>收集的粉尘</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c>
          <w:tcPr>
            <w:tcW w:w="1559"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highlight w:val="none"/>
                <w:lang w:val="en-US" w:eastAsia="zh-CN"/>
              </w:rPr>
              <w:t>49.267t/a</w:t>
            </w:r>
          </w:p>
        </w:tc>
        <w:tc>
          <w:tcPr>
            <w:tcW w:w="17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c>
          <w:tcPr>
            <w:tcW w:w="1484"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highlight w:val="none"/>
                <w:lang w:val="en-US" w:eastAsia="zh-CN"/>
              </w:rPr>
              <w:t>49.267t/a</w:t>
            </w:r>
          </w:p>
        </w:tc>
        <w:tc>
          <w:tcPr>
            <w:tcW w:w="13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noWrap w:val="0"/>
            <w:vAlign w:val="center"/>
          </w:tcPr>
          <w:p>
            <w:pPr>
              <w:pStyle w:val="57"/>
              <w:bidi w:val="0"/>
              <w:rPr>
                <w:rFonts w:hint="default"/>
                <w:sz w:val="24"/>
                <w:szCs w:val="24"/>
                <w:highlight w:val="none"/>
              </w:rPr>
            </w:pPr>
          </w:p>
        </w:tc>
        <w:tc>
          <w:tcPr>
            <w:tcW w:w="1417" w:type="dxa"/>
            <w:tcBorders>
              <w:tl2br w:val="nil"/>
              <w:tr2bl w:val="nil"/>
            </w:tcBorders>
            <w:noWrap w:val="0"/>
            <w:vAlign w:val="center"/>
          </w:tcPr>
          <w:p>
            <w:pPr>
              <w:pStyle w:val="57"/>
              <w:bidi w:val="0"/>
              <w:rPr>
                <w:rFonts w:hint="default"/>
                <w:sz w:val="24"/>
                <w:szCs w:val="24"/>
                <w:highlight w:val="none"/>
              </w:rPr>
            </w:pPr>
            <w:r>
              <w:rPr>
                <w:rFonts w:hint="default"/>
                <w:sz w:val="24"/>
                <w:szCs w:val="24"/>
                <w:highlight w:val="none"/>
                <w:lang w:val="en-US" w:eastAsia="zh-CN"/>
              </w:rPr>
              <w:t>废混凝土</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c>
          <w:tcPr>
            <w:tcW w:w="1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c>
          <w:tcPr>
            <w:tcW w:w="1559"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highlight w:val="none"/>
                <w:lang w:val="en-US" w:eastAsia="zh-CN"/>
              </w:rPr>
              <w:t>3t/a</w:t>
            </w:r>
          </w:p>
        </w:tc>
        <w:tc>
          <w:tcPr>
            <w:tcW w:w="17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c>
          <w:tcPr>
            <w:tcW w:w="1484"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highlight w:val="none"/>
                <w:lang w:val="en-US" w:eastAsia="zh-CN"/>
              </w:rPr>
              <w:t>3t/a</w:t>
            </w:r>
          </w:p>
        </w:tc>
        <w:tc>
          <w:tcPr>
            <w:tcW w:w="13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88" w:type="dxa"/>
            <w:tcBorders>
              <w:tl2br w:val="nil"/>
              <w:tr2bl w:val="nil"/>
            </w:tcBorders>
            <w:noWrap w:val="0"/>
            <w:vAlign w:val="center"/>
          </w:tcPr>
          <w:p>
            <w:pPr>
              <w:pStyle w:val="57"/>
              <w:bidi w:val="0"/>
              <w:rPr>
                <w:rFonts w:hint="default"/>
                <w:sz w:val="24"/>
                <w:szCs w:val="24"/>
                <w:highlight w:val="none"/>
              </w:rPr>
            </w:pPr>
            <w:r>
              <w:rPr>
                <w:rFonts w:hint="default"/>
                <w:sz w:val="24"/>
                <w:szCs w:val="24"/>
                <w:highlight w:val="none"/>
              </w:rPr>
              <w:t>危险废物</w:t>
            </w:r>
          </w:p>
        </w:tc>
        <w:tc>
          <w:tcPr>
            <w:tcW w:w="1417" w:type="dxa"/>
            <w:tcBorders>
              <w:tl2br w:val="nil"/>
              <w:tr2bl w:val="nil"/>
            </w:tcBorders>
            <w:noWrap w:val="0"/>
            <w:vAlign w:val="center"/>
          </w:tcPr>
          <w:p>
            <w:pPr>
              <w:pStyle w:val="57"/>
              <w:bidi w:val="0"/>
              <w:rPr>
                <w:rFonts w:hint="default"/>
                <w:sz w:val="24"/>
                <w:szCs w:val="24"/>
                <w:highlight w:val="none"/>
                <w:lang w:val="en-US" w:eastAsia="zh-CN"/>
              </w:rPr>
            </w:pPr>
            <w:r>
              <w:rPr>
                <w:rFonts w:hint="default"/>
                <w:sz w:val="24"/>
                <w:szCs w:val="24"/>
                <w:highlight w:val="none"/>
                <w:lang w:val="en-US" w:eastAsia="zh-CN"/>
              </w:rPr>
              <w:t>/</w:t>
            </w:r>
          </w:p>
        </w:tc>
        <w:tc>
          <w:tcPr>
            <w:tcW w:w="1701"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lang w:val="en-US" w:eastAsia="zh-CN"/>
              </w:rPr>
              <w:t>/</w:t>
            </w:r>
          </w:p>
        </w:tc>
        <w:tc>
          <w:tcPr>
            <w:tcW w:w="1276"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lang w:val="en-US" w:eastAsia="zh-CN"/>
              </w:rPr>
              <w:t>/</w:t>
            </w:r>
          </w:p>
        </w:tc>
        <w:tc>
          <w:tcPr>
            <w:tcW w:w="1701"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lang w:val="en-US" w:eastAsia="zh-CN"/>
              </w:rPr>
              <w:t>/</w:t>
            </w:r>
          </w:p>
        </w:tc>
        <w:tc>
          <w:tcPr>
            <w:tcW w:w="1559"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lang w:val="en-US" w:eastAsia="zh-CN"/>
              </w:rPr>
            </w:pPr>
            <w:r>
              <w:rPr>
                <w:rFonts w:hint="default"/>
                <w:sz w:val="24"/>
                <w:szCs w:val="24"/>
                <w:highlight w:val="none"/>
                <w:lang w:val="en-US" w:eastAsia="zh-CN"/>
              </w:rPr>
              <w:t>/</w:t>
            </w:r>
          </w:p>
        </w:tc>
        <w:tc>
          <w:tcPr>
            <w:tcW w:w="1761"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lang w:val="en-US" w:eastAsia="zh-CN"/>
              </w:rPr>
              <w:t>/</w:t>
            </w:r>
          </w:p>
        </w:tc>
        <w:tc>
          <w:tcPr>
            <w:tcW w:w="1484" w:type="dxa"/>
            <w:tcBorders>
              <w:tl2br w:val="nil"/>
              <w:tr2bl w:val="nil"/>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highlight w:val="none"/>
                <w:lang w:val="en-US" w:eastAsia="zh-CN"/>
              </w:rPr>
              <w:t>/</w:t>
            </w:r>
          </w:p>
        </w:tc>
        <w:tc>
          <w:tcPr>
            <w:tcW w:w="13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rPr>
            </w:pPr>
            <w:r>
              <w:rPr>
                <w:rFonts w:hint="default"/>
                <w:sz w:val="24"/>
                <w:szCs w:val="24"/>
                <w:lang w:val="en-US" w:eastAsia="zh-CN"/>
              </w:rPr>
              <w:t>/</w:t>
            </w:r>
          </w:p>
        </w:tc>
      </w:tr>
    </w:tbl>
    <w:p>
      <w:pPr>
        <w:pStyle w:val="3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Chars="0"/>
        <w:jc w:val="left"/>
        <w:textAlignment w:val="auto"/>
        <w:rPr>
          <w:rFonts w:hint="default" w:ascii="Times New Roman" w:hAnsi="Times New Roman" w:cs="Times New Roman" w:eastAsiaTheme="minorEastAsia"/>
          <w:snapToGrid w:val="0"/>
          <w:color w:val="000000" w:themeColor="text1"/>
          <w:spacing w:val="-6"/>
          <w:kern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highlight w:val="none"/>
          <w:u w:val="none" w:color="auto"/>
          <w14:textFill>
            <w14:solidFill>
              <w14:schemeClr w14:val="tx1"/>
            </w14:solidFill>
          </w14:textFill>
        </w:rPr>
        <w:t>注：</w: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instrText xml:space="preserve"> = 6 \* GB3 \* MERGEFORMAT </w:instrTex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⑥</w: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instrText xml:space="preserve"> = 1 \* GB3 \* MERGEFORMAT </w:instrTex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①</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instrText xml:space="preserve"> = 3 \* GB3 \* MERGEFORMAT </w:instrTex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③</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instrText xml:space="preserve"> = 4 \* GB3 \* MERGEFORMAT </w:instrTex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④</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instrText xml:space="preserve"> = 5 \* GB3 \* MERGEFORMAT </w:instrTex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⑤</w: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instrText xml:space="preserve"> = 7 \* GB3 \* MERGEFORMAT </w:instrTex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⑦</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instrText xml:space="preserve"> = 6 \* GB3 \* MERGEFORMAT </w:instrTex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⑥</w:t>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16"/>
          <w:kern w:val="21"/>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instrText xml:space="preserve"> = 1 \* GB3 \* MERGEFORMAT </w:instrTex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zCs w:val="21"/>
          <w:highlight w:val="none"/>
          <w:u w:val="none" w:color="auto"/>
          <w14:textFill>
            <w14:solidFill>
              <w14:schemeClr w14:val="tx1"/>
            </w14:solidFill>
          </w14:textFill>
        </w:rPr>
        <w:t>①</w:t>
      </w:r>
      <w:r>
        <w:rPr>
          <w:rFonts w:hint="default" w:ascii="Times New Roman" w:hAnsi="Times New Roman" w:cs="Times New Roman" w:eastAsiaTheme="minorEastAsia"/>
          <w:snapToGrid w:val="0"/>
          <w:color w:val="000000" w:themeColor="text1"/>
          <w:spacing w:val="-6"/>
          <w:kern w:val="21"/>
          <w:szCs w:val="21"/>
          <w:highlight w:val="none"/>
          <w:u w:val="none" w:color="auto"/>
          <w14:textFill>
            <w14:solidFill>
              <w14:schemeClr w14:val="tx1"/>
            </w14:solidFill>
          </w14:textFill>
        </w:rPr>
        <w:fldChar w:fldCharType="end"/>
      </w:r>
    </w:p>
    <w:sectPr>
      <w:footerReference r:id="rId6" w:type="default"/>
      <w:pgSz w:w="16838" w:h="11906" w:orient="landscape"/>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swiss"/>
    <w:pitch w:val="default"/>
    <w:sig w:usb0="00000001" w:usb1="080E0000" w:usb2="00000000" w:usb3="00000000" w:csb0="00040000" w:csb1="00000000"/>
  </w:font>
  <w:font w:name="Impact">
    <w:panose1 w:val="020B0806030902050204"/>
    <w:charset w:val="00"/>
    <w:family w:val="swiss"/>
    <w:pitch w:val="default"/>
    <w:sig w:usb0="00000287" w:usb1="00000000" w:usb2="00000000" w:usb3="00000000" w:csb0="2000009F" w:csb1="DFD70000"/>
  </w:font>
  <w:font w:name="Wingdings 2">
    <w:panose1 w:val="05020102010507070707"/>
    <w:charset w:val="00"/>
    <w:family w:val="auto"/>
    <w:pitch w:val="default"/>
    <w:sig w:usb0="00000000" w:usb1="00000000" w:usb2="00000000" w:usb3="00000000" w:csb0="80000000"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posOffset>2691130</wp:posOffset>
              </wp:positionH>
              <wp:positionV relativeFrom="paragraph">
                <wp:posOffset>-20320</wp:posOffset>
              </wp:positionV>
              <wp:extent cx="455295" cy="22352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55295" cy="223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1.9pt;margin-top:-1.6pt;height:17.6pt;width:35.85pt;mso-position-horizontal-relative:margin;z-index:251660288;mso-width-relative:page;mso-height-relative:page;" filled="f" stroked="f" coordsize="21600,21600" o:gfxdata="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7bcSNgAAAAJAQAADwAAAAAAAAABACAAAAAiAAAAZHJzL2Rvd25y&#10;ZXYueG1sUEsBAhQAFAAAAAgAh07iQO1aMfU3AgAAYQQAAA4AAAAAAAAAAQAgAAAAJwEAAGRycy9l&#10;Mm9Eb2MueG1sUEsFBgAAAAAGAAYAWQEAANAFAAAAAA==&#10;">
              <v:fill on="f" focussize="0,0"/>
              <v:stroke on="f" weight="0.5pt"/>
              <v:imagedata o:title=""/>
              <o:lock v:ext="edit" aspectratio="f"/>
              <v:textbox inset="0mm,0mm,0mm,0mm">
                <w:txbxContent>
                  <w:p>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ind w:right="227" w:firstLine="0"/>
      <w:jc w:val="right"/>
      <w:rPr>
        <w:rFonts w:ascii="Times New Roman" w:hAnsi="Times New Roman" w:cs="Times New Roman"/>
        <w:kern w:val="21"/>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41DA27"/>
    <w:multiLevelType w:val="singleLevel"/>
    <w:tmpl w:val="0041DA27"/>
    <w:lvl w:ilvl="0" w:tentative="0">
      <w:start w:val="1"/>
      <w:numFmt w:val="lowerLetter"/>
      <w:suff w:val="nothing"/>
      <w:lvlText w:val="%1、"/>
      <w:lvlJc w:val="left"/>
    </w:lvl>
  </w:abstractNum>
  <w:abstractNum w:abstractNumId="1">
    <w:nsid w:val="560AEB4E"/>
    <w:multiLevelType w:val="singleLevel"/>
    <w:tmpl w:val="560AEB4E"/>
    <w:lvl w:ilvl="0" w:tentative="0">
      <w:start w:val="6"/>
      <w:numFmt w:val="chineseCounting"/>
      <w:suff w:val="nothing"/>
      <w:lvlText w:val="%1、"/>
      <w:lvlJc w:val="left"/>
      <w:rPr>
        <w:rFonts w:hint="eastAsia"/>
      </w:rPr>
    </w:lvl>
  </w:abstractNum>
  <w:abstractNum w:abstractNumId="2">
    <w:nsid w:val="57C91313"/>
    <w:multiLevelType w:val="multilevel"/>
    <w:tmpl w:val="57C91313"/>
    <w:lvl w:ilvl="0" w:tentative="0">
      <w:start w:val="1"/>
      <w:numFmt w:val="decimal"/>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1004"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611910"/>
    <w:rsid w:val="04444DE3"/>
    <w:rsid w:val="04596941"/>
    <w:rsid w:val="05B7390E"/>
    <w:rsid w:val="06C6290B"/>
    <w:rsid w:val="0B5F2AD8"/>
    <w:rsid w:val="0B726AE8"/>
    <w:rsid w:val="0B81391C"/>
    <w:rsid w:val="0B9E14B9"/>
    <w:rsid w:val="12B31987"/>
    <w:rsid w:val="17625842"/>
    <w:rsid w:val="18F2207B"/>
    <w:rsid w:val="19B40E22"/>
    <w:rsid w:val="1A4603CF"/>
    <w:rsid w:val="1C0B572D"/>
    <w:rsid w:val="1DC30FB3"/>
    <w:rsid w:val="1F907F3D"/>
    <w:rsid w:val="23255780"/>
    <w:rsid w:val="23754881"/>
    <w:rsid w:val="25FC529D"/>
    <w:rsid w:val="26713DC1"/>
    <w:rsid w:val="27BF0E73"/>
    <w:rsid w:val="2DD941CF"/>
    <w:rsid w:val="2F093873"/>
    <w:rsid w:val="31781D58"/>
    <w:rsid w:val="371D3113"/>
    <w:rsid w:val="3A9B346C"/>
    <w:rsid w:val="3C9D24B3"/>
    <w:rsid w:val="3EA7613F"/>
    <w:rsid w:val="3F5E6B71"/>
    <w:rsid w:val="40AC19E7"/>
    <w:rsid w:val="4B255FC2"/>
    <w:rsid w:val="4BCF3B3E"/>
    <w:rsid w:val="4E1C0E16"/>
    <w:rsid w:val="4E2D31BC"/>
    <w:rsid w:val="4EEA363B"/>
    <w:rsid w:val="50A429EA"/>
    <w:rsid w:val="51E8700C"/>
    <w:rsid w:val="536D491A"/>
    <w:rsid w:val="53A14B90"/>
    <w:rsid w:val="53CC4AFE"/>
    <w:rsid w:val="60987E01"/>
    <w:rsid w:val="60F0335E"/>
    <w:rsid w:val="61F52EFD"/>
    <w:rsid w:val="61F83BB0"/>
    <w:rsid w:val="63E328F0"/>
    <w:rsid w:val="6548189E"/>
    <w:rsid w:val="665D4972"/>
    <w:rsid w:val="686A13AA"/>
    <w:rsid w:val="6AEF29F4"/>
    <w:rsid w:val="71F445C6"/>
    <w:rsid w:val="74F55321"/>
    <w:rsid w:val="768F78B4"/>
    <w:rsid w:val="76FE7545"/>
    <w:rsid w:val="7718236A"/>
    <w:rsid w:val="77536C55"/>
    <w:rsid w:val="77552028"/>
    <w:rsid w:val="796523E8"/>
    <w:rsid w:val="79B26B2C"/>
    <w:rsid w:val="79F91226"/>
    <w:rsid w:val="7CA447A3"/>
    <w:rsid w:val="7D827EEF"/>
    <w:rsid w:val="7DDA4D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1446" w:firstLineChars="200"/>
      <w:jc w:val="both"/>
    </w:pPr>
    <w:rPr>
      <w:rFonts w:ascii="Times New Roman" w:hAnsi="Times New Roman" w:eastAsia="宋体" w:cs="Times New Roman"/>
      <w:kern w:val="2"/>
      <w:sz w:val="24"/>
      <w:szCs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9"/>
    <w:pPr>
      <w:keepNext/>
      <w:keepLines/>
      <w:widowControl w:val="0"/>
      <w:numPr>
        <w:ilvl w:val="1"/>
        <w:numId w:val="1"/>
      </w:numPr>
      <w:spacing w:line="360" w:lineRule="auto"/>
      <w:ind w:left="575" w:leftChars="0" w:right="0" w:rightChars="0" w:hanging="575" w:firstLineChars="0"/>
      <w:jc w:val="both"/>
      <w:outlineLvl w:val="1"/>
    </w:pPr>
    <w:rPr>
      <w:rFonts w:ascii="Times New Roman" w:hAnsi="Times New Roman" w:eastAsia="宋体" w:cs="Times New Roman"/>
      <w:b/>
      <w:bCs/>
      <w:kern w:val="0"/>
      <w:sz w:val="28"/>
      <w:szCs w:val="32"/>
      <w:lang w:val="en-US" w:eastAsia="zh-CN" w:bidi="ar-SA"/>
    </w:rPr>
  </w:style>
  <w:style w:type="paragraph" w:styleId="5">
    <w:name w:val="heading 3"/>
    <w:basedOn w:val="1"/>
    <w:next w:val="1"/>
    <w:qFormat/>
    <w:uiPriority w:val="9"/>
    <w:pPr>
      <w:keepNext/>
      <w:keepLines/>
      <w:widowControl w:val="0"/>
      <w:numPr>
        <w:ilvl w:val="2"/>
        <w:numId w:val="1"/>
      </w:numPr>
      <w:spacing w:line="360" w:lineRule="auto"/>
      <w:ind w:firstLine="1440" w:firstLineChars="0"/>
      <w:jc w:val="both"/>
      <w:outlineLvl w:val="2"/>
    </w:pPr>
    <w:rPr>
      <w:rFonts w:ascii="Times New Roman" w:hAnsi="Times New Roman" w:eastAsia="宋体" w:cs="Times New Roman"/>
      <w:b/>
      <w:bCs/>
      <w:kern w:val="2"/>
      <w:sz w:val="24"/>
      <w:szCs w:val="32"/>
      <w:lang w:val="en-US" w:eastAsia="zh-CN" w:bidi="ar-SA"/>
    </w:rPr>
  </w:style>
  <w:style w:type="paragraph" w:styleId="6">
    <w:name w:val="heading 4"/>
    <w:next w:val="1"/>
    <w:qFormat/>
    <w:uiPriority w:val="0"/>
    <w:pPr>
      <w:keepNext/>
      <w:keepLines/>
      <w:widowControl w:val="0"/>
      <w:numPr>
        <w:ilvl w:val="3"/>
        <w:numId w:val="1"/>
      </w:numPr>
      <w:spacing w:beforeLines="0" w:beforeAutospacing="0" w:afterLines="0" w:afterAutospacing="0" w:line="360" w:lineRule="auto"/>
      <w:ind w:left="864" w:hanging="864" w:firstLineChars="0"/>
      <w:jc w:val="both"/>
      <w:outlineLvl w:val="3"/>
    </w:pPr>
    <w:rPr>
      <w:rFonts w:ascii="Times New Roman" w:hAnsi="Times New Roman" w:eastAsia="宋体" w:cs="Times New Roman"/>
      <w:b/>
      <w:kern w:val="2"/>
      <w:sz w:val="24"/>
      <w:szCs w:val="24"/>
      <w:lang w:val="en-US" w:eastAsia="zh-CN" w:bidi="ar-SA"/>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7">
    <w:name w:val="caption"/>
    <w:next w:val="1"/>
    <w:qFormat/>
    <w:uiPriority w:val="0"/>
    <w:pPr>
      <w:widowControl w:val="0"/>
      <w:spacing w:beforeLines="30" w:line="240" w:lineRule="auto"/>
      <w:ind w:firstLine="0" w:firstLineChars="0"/>
      <w:jc w:val="center"/>
    </w:pPr>
    <w:rPr>
      <w:rFonts w:ascii="Times New Roman" w:hAnsi="Times New Roman" w:eastAsia="宋体" w:cs="Times New Roman"/>
      <w:b/>
      <w:color w:val="000000"/>
      <w:kern w:val="2"/>
      <w:sz w:val="24"/>
      <w:szCs w:val="21"/>
      <w:lang w:val="en-US" w:eastAsia="zh-CN" w:bidi="ar-SA"/>
    </w:rPr>
  </w:style>
  <w:style w:type="paragraph" w:styleId="8">
    <w:name w:val="annotation text"/>
    <w:basedOn w:val="1"/>
    <w:qFormat/>
    <w:uiPriority w:val="0"/>
    <w:pPr>
      <w:jc w:val="left"/>
    </w:pPr>
  </w:style>
  <w:style w:type="paragraph" w:styleId="9">
    <w:name w:val="Body Text"/>
    <w:basedOn w:val="1"/>
    <w:next w:val="10"/>
    <w:qFormat/>
    <w:uiPriority w:val="0"/>
    <w:pPr>
      <w:widowControl/>
      <w:snapToGrid w:val="0"/>
      <w:spacing w:before="60" w:after="160" w:line="259" w:lineRule="auto"/>
      <w:ind w:right="113"/>
    </w:pPr>
    <w:rPr>
      <w:kern w:val="0"/>
      <w:sz w:val="18"/>
      <w:szCs w:val="20"/>
    </w:rPr>
  </w:style>
  <w:style w:type="paragraph" w:customStyle="1" w:styleId="10">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Lines="0" w:beforeAutospacing="1" w:after="100" w:afterLines="0" w:afterAutospacing="1"/>
      <w:jc w:val="center"/>
    </w:pPr>
    <w:rPr>
      <w:rFonts w:ascii="新宋体-18030" w:hAnsi="新宋体-18030" w:eastAsia="新宋体-18030" w:cs="新宋体-18030"/>
      <w:kern w:val="0"/>
    </w:rPr>
  </w:style>
  <w:style w:type="paragraph" w:styleId="11">
    <w:name w:val="Body Text Indent"/>
    <w:basedOn w:val="1"/>
    <w:qFormat/>
    <w:uiPriority w:val="0"/>
    <w:pPr>
      <w:widowControl w:val="0"/>
      <w:spacing w:line="640" w:lineRule="exact"/>
      <w:ind w:firstLine="567"/>
      <w:jc w:val="both"/>
    </w:pPr>
    <w:rPr>
      <w:rFonts w:ascii="Times New Roman" w:hAnsi="Times New Roman" w:eastAsia="宋体" w:cs="Times New Roman"/>
      <w:kern w:val="2"/>
      <w:sz w:val="28"/>
      <w:szCs w:val="20"/>
      <w:lang w:val="en-US" w:eastAsia="zh-CN" w:bidi="ar-SA"/>
    </w:rPr>
  </w:style>
  <w:style w:type="paragraph" w:styleId="12">
    <w:name w:val="Plain Text"/>
    <w:qFormat/>
    <w:uiPriority w:val="99"/>
    <w:pPr>
      <w:widowControl w:val="0"/>
      <w:ind w:firstLine="567"/>
      <w:jc w:val="both"/>
    </w:pPr>
    <w:rPr>
      <w:rFonts w:ascii="宋体" w:hAnsi="Courier New" w:eastAsia="宋体" w:cs="Times New Roman"/>
      <w:kern w:val="2"/>
      <w:sz w:val="21"/>
      <w:szCs w:val="21"/>
      <w:lang w:val="en-US" w:eastAsia="zh-CN" w:bidi="ar-SA"/>
    </w:rPr>
  </w:style>
  <w:style w:type="paragraph" w:styleId="13">
    <w:name w:val="Body Text Indent 2"/>
    <w:basedOn w:val="1"/>
    <w:qFormat/>
    <w:uiPriority w:val="0"/>
    <w:pPr>
      <w:spacing w:after="120" w:afterLines="0" w:line="480" w:lineRule="auto"/>
      <w:ind w:left="420" w:leftChars="200"/>
    </w:pPr>
  </w:style>
  <w:style w:type="paragraph" w:styleId="14">
    <w:name w:val="footer"/>
    <w:qFormat/>
    <w:uiPriority w:val="0"/>
    <w:pPr>
      <w:widowControl w:val="0"/>
      <w:tabs>
        <w:tab w:val="center" w:pos="4153"/>
        <w:tab w:val="right" w:pos="8306"/>
      </w:tabs>
      <w:snapToGrid w:val="0"/>
      <w:spacing w:line="360" w:lineRule="auto"/>
      <w:ind w:firstLine="1440" w:firstLineChars="200"/>
      <w:jc w:val="left"/>
    </w:pPr>
    <w:rPr>
      <w:rFonts w:ascii="Times New Roman" w:hAnsi="Times New Roman" w:eastAsia="宋体" w:cs="Times New Roman"/>
      <w:kern w:val="2"/>
      <w:sz w:val="18"/>
      <w:szCs w:val="18"/>
      <w:lang w:val="en-US" w:eastAsia="zh-CN" w:bidi="ar-SA"/>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next w:val="1"/>
    <w:qFormat/>
    <w:uiPriority w:val="39"/>
    <w:pPr>
      <w:widowControl w:val="0"/>
      <w:spacing w:line="360" w:lineRule="auto"/>
      <w:ind w:firstLine="0" w:firstLineChars="0"/>
      <w:jc w:val="both"/>
    </w:pPr>
    <w:rPr>
      <w:rFonts w:ascii="Times New Roman" w:hAnsi="Times New Roman" w:eastAsia="宋体" w:cs="Times New Roman"/>
      <w:kern w:val="2"/>
      <w:sz w:val="24"/>
      <w:szCs w:val="22"/>
      <w:lang w:val="en-US" w:eastAsia="zh-CN" w:bidi="ar-SA"/>
    </w:rPr>
  </w:style>
  <w:style w:type="paragraph" w:styleId="17">
    <w:name w:val="List"/>
    <w:qFormat/>
    <w:uiPriority w:val="0"/>
    <w:pPr>
      <w:widowControl w:val="0"/>
      <w:spacing w:before="0" w:after="0"/>
      <w:ind w:left="200" w:right="0" w:hanging="200" w:hangingChars="200"/>
      <w:jc w:val="both"/>
    </w:pPr>
    <w:rPr>
      <w:rFonts w:ascii="Times New Roman" w:hAnsi="Times New Roman" w:eastAsia="宋体" w:cs="Times New Roman"/>
      <w:kern w:val="2"/>
      <w:sz w:val="21"/>
      <w:szCs w:val="24"/>
      <w:lang w:val="en-US" w:eastAsia="zh-CN" w:bidi="ar-SA"/>
    </w:rPr>
  </w:style>
  <w:style w:type="paragraph" w:styleId="18">
    <w:name w:val="toc 2"/>
    <w:basedOn w:val="1"/>
    <w:next w:val="1"/>
    <w:qFormat/>
    <w:uiPriority w:val="0"/>
    <w:pPr>
      <w:widowControl w:val="0"/>
      <w:ind w:left="420" w:leftChars="200"/>
      <w:jc w:val="both"/>
    </w:pPr>
    <w:rPr>
      <w:rFonts w:ascii="Calibri" w:hAnsi="Calibri" w:eastAsia="宋体" w:cs="Times New Roman"/>
      <w:kern w:val="2"/>
      <w:sz w:val="21"/>
      <w:szCs w:val="21"/>
      <w:lang w:val="en-US" w:eastAsia="zh-CN" w:bidi="ar-SA"/>
    </w:rPr>
  </w:style>
  <w:style w:type="paragraph" w:styleId="19">
    <w:name w:val="Body Text 2"/>
    <w:qFormat/>
    <w:uiPriority w:val="0"/>
    <w:pPr>
      <w:widowControl w:val="0"/>
      <w:adjustRightInd w:val="0"/>
      <w:snapToGrid w:val="0"/>
      <w:spacing w:line="360" w:lineRule="auto"/>
      <w:jc w:val="both"/>
      <w:textAlignment w:val="baseline"/>
    </w:pPr>
    <w:rPr>
      <w:rFonts w:ascii="Times New Roman" w:hAnsi="Times New Roman" w:eastAsia="宋体" w:cs="Times New Roman"/>
      <w:kern w:val="2"/>
      <w:sz w:val="24"/>
      <w:szCs w:val="24"/>
      <w:lang w:val="en-US" w:eastAsia="zh-CN" w:bidi="ar-SA"/>
    </w:rPr>
  </w:style>
  <w:style w:type="paragraph" w:styleId="20">
    <w:name w:val="Normal (Web)"/>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21">
    <w:name w:val="Body Text First Indent"/>
    <w:basedOn w:val="1"/>
    <w:next w:val="22"/>
    <w:unhideWhenUsed/>
    <w:qFormat/>
    <w:uiPriority w:val="99"/>
    <w:pPr>
      <w:adjustRightInd w:val="0"/>
      <w:snapToGrid w:val="0"/>
      <w:spacing w:after="200" w:line="360" w:lineRule="auto"/>
      <w:ind w:firstLine="200" w:firstLineChars="200"/>
    </w:pPr>
    <w:rPr>
      <w:rFonts w:ascii="Tahoma" w:hAnsi="Tahoma" w:eastAsia="微软雅黑" w:cs="Times New Roman"/>
      <w:sz w:val="24"/>
      <w:szCs w:val="20"/>
      <w:lang w:val="en-US" w:eastAsia="zh-CN" w:bidi="ar-SA"/>
    </w:rPr>
  </w:style>
  <w:style w:type="paragraph" w:styleId="22">
    <w:name w:val="Body Text First Indent 2"/>
    <w:basedOn w:val="11"/>
    <w:next w:val="21"/>
    <w:qFormat/>
    <w:uiPriority w:val="0"/>
    <w:pPr>
      <w:widowControl w:val="0"/>
      <w:spacing w:line="640" w:lineRule="exact"/>
      <w:ind w:firstLine="420" w:firstLineChars="200"/>
      <w:jc w:val="both"/>
    </w:pPr>
    <w:rPr>
      <w:rFonts w:ascii="Times New Roman" w:hAnsi="Times New Roman" w:eastAsia="宋体" w:cs="Times New Roman"/>
      <w:kern w:val="2"/>
      <w:sz w:val="28"/>
      <w:szCs w:val="20"/>
      <w:lang w:val="en-US" w:eastAsia="zh-CN" w:bidi="ar-SA"/>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qFormat/>
    <w:uiPriority w:val="0"/>
    <w:rPr>
      <w:color w:val="0000FF"/>
      <w:u w:val="single"/>
    </w:rPr>
  </w:style>
  <w:style w:type="character" w:styleId="27">
    <w:name w:val="annotation reference"/>
    <w:qFormat/>
    <w:uiPriority w:val="99"/>
    <w:rPr>
      <w:sz w:val="21"/>
      <w:szCs w:val="21"/>
    </w:rPr>
  </w:style>
  <w:style w:type="paragraph" w:customStyle="1" w:styleId="28">
    <w:name w:val="Default"/>
    <w:next w:val="22"/>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29">
    <w:name w:val="样式 标题 2 +"/>
    <w:qFormat/>
    <w:uiPriority w:val="0"/>
    <w:pPr>
      <w:keepNext/>
      <w:keepLines/>
      <w:widowControl w:val="0"/>
      <w:numPr>
        <w:ilvl w:val="1"/>
        <w:numId w:val="1"/>
      </w:numPr>
      <w:spacing w:line="240" w:lineRule="auto"/>
      <w:ind w:left="575" w:leftChars="0" w:right="0" w:rightChars="0" w:hanging="575" w:firstLineChars="0"/>
      <w:jc w:val="both"/>
      <w:outlineLvl w:val="1"/>
    </w:pPr>
    <w:rPr>
      <w:rFonts w:ascii="Times New Roman" w:hAnsi="Times New Roman" w:eastAsia="宋体" w:cs="Times New Roman"/>
      <w:b/>
      <w:bCs/>
      <w:kern w:val="2"/>
      <w:sz w:val="28"/>
      <w:szCs w:val="32"/>
      <w:lang w:val="en-US" w:eastAsia="zh-CN" w:bidi="ar-SA"/>
    </w:rPr>
  </w:style>
  <w:style w:type="paragraph" w:customStyle="1" w:styleId="30">
    <w:name w:val="表格内文字"/>
    <w:qFormat/>
    <w:uiPriority w:val="0"/>
    <w:pPr>
      <w:widowControl w:val="0"/>
      <w:tabs>
        <w:tab w:val="left" w:pos="0"/>
      </w:tabs>
      <w:adjustRightInd w:val="0"/>
      <w:snapToGrid w:val="0"/>
      <w:spacing w:line="240" w:lineRule="auto"/>
      <w:ind w:firstLine="0" w:firstLineChars="0"/>
      <w:jc w:val="center"/>
    </w:pPr>
    <w:rPr>
      <w:rFonts w:ascii="仿宋_GB2312" w:hAnsi="Times New Roman" w:eastAsia="仿宋_GB2312" w:cs="Times New Roman"/>
      <w:kern w:val="2"/>
      <w:sz w:val="24"/>
      <w:szCs w:val="24"/>
      <w:lang w:val="en-US" w:eastAsia="zh-CN" w:bidi="ar-SA"/>
    </w:rPr>
  </w:style>
  <w:style w:type="paragraph" w:customStyle="1" w:styleId="31">
    <w:name w:val="报告书正文"/>
    <w:qFormat/>
    <w:uiPriority w:val="0"/>
    <w:pPr>
      <w:widowControl w:val="0"/>
      <w:spacing w:line="300" w:lineRule="auto"/>
      <w:ind w:firstLine="200" w:firstLineChars="200"/>
      <w:jc w:val="both"/>
    </w:pPr>
    <w:rPr>
      <w:rFonts w:ascii="Calibri" w:hAnsi="Calibri" w:eastAsia="宋体" w:cs="Times New Roman"/>
      <w:kern w:val="2"/>
      <w:sz w:val="24"/>
      <w:szCs w:val="21"/>
      <w:lang w:val="en-US" w:eastAsia="zh-CN" w:bidi="ar-SA"/>
    </w:rPr>
  </w:style>
  <w:style w:type="paragraph" w:customStyle="1" w:styleId="32">
    <w:name w:val="aa正文aa"/>
    <w:qFormat/>
    <w:uiPriority w:val="0"/>
    <w:pPr>
      <w:widowControl w:val="0"/>
      <w:snapToGrid w:val="0"/>
      <w:spacing w:line="360" w:lineRule="auto"/>
      <w:ind w:firstLine="200" w:firstLineChars="200"/>
      <w:jc w:val="left"/>
      <w:textAlignment w:val="auto"/>
    </w:pPr>
    <w:rPr>
      <w:rFonts w:ascii="Times New Roman" w:hAnsi="Times New Roman" w:eastAsia="宋体" w:cs="Arial"/>
      <w:kern w:val="2"/>
      <w:sz w:val="24"/>
      <w:szCs w:val="24"/>
      <w:lang w:val="en-US" w:eastAsia="zh-CN" w:bidi="ar-SA"/>
    </w:rPr>
  </w:style>
  <w:style w:type="paragraph" w:customStyle="1" w:styleId="33">
    <w:name w:val="_Style 2"/>
    <w:qFormat/>
    <w:uiPriority w:val="0"/>
    <w:pPr>
      <w:widowControl w:val="0"/>
      <w:spacing w:line="380" w:lineRule="exact"/>
      <w:jc w:val="center"/>
    </w:pPr>
    <w:rPr>
      <w:rFonts w:ascii="Times New Roman" w:hAnsi="Times New Roman" w:eastAsia="宋体" w:cs="Times New Roman"/>
      <w:kern w:val="2"/>
      <w:sz w:val="21"/>
      <w:szCs w:val="22"/>
      <w:lang w:val="en-US" w:eastAsia="zh-CN" w:bidi="ar-SA"/>
    </w:rPr>
  </w:style>
  <w:style w:type="paragraph" w:customStyle="1" w:styleId="34">
    <w:name w:val="+"/>
    <w:link w:val="35"/>
    <w:qFormat/>
    <w:uiPriority w:val="0"/>
    <w:pPr>
      <w:widowControl w:val="0"/>
      <w:adjustRightInd w:val="0"/>
      <w:snapToGrid w:val="0"/>
      <w:spacing w:line="360" w:lineRule="auto"/>
      <w:ind w:firstLine="420" w:firstLineChars="200"/>
      <w:jc w:val="left"/>
    </w:pPr>
    <w:rPr>
      <w:rFonts w:ascii="Times New Roman" w:hAnsi="Times New Roman" w:eastAsia="宋体" w:cs="Times New Roman"/>
      <w:kern w:val="0"/>
      <w:sz w:val="24"/>
      <w:szCs w:val="24"/>
      <w:lang w:val="en-US" w:eastAsia="zh-CN" w:bidi="ar-SA"/>
    </w:rPr>
  </w:style>
  <w:style w:type="character" w:customStyle="1" w:styleId="35">
    <w:name w:val="+ Char"/>
    <w:link w:val="34"/>
    <w:qFormat/>
    <w:uiPriority w:val="0"/>
    <w:rPr>
      <w:rFonts w:ascii="Times New Roman" w:hAnsi="Times New Roman" w:eastAsia="宋体" w:cs="Times New Roman"/>
      <w:kern w:val="0"/>
      <w:sz w:val="24"/>
      <w:szCs w:val="24"/>
      <w:lang w:val="en-US" w:eastAsia="zh-CN" w:bidi="ar-SA"/>
    </w:rPr>
  </w:style>
  <w:style w:type="paragraph" w:customStyle="1" w:styleId="36">
    <w:name w:val="BT"/>
    <w:qFormat/>
    <w:uiPriority w:val="0"/>
    <w:pPr>
      <w:widowControl w:val="0"/>
      <w:adjustRightInd w:val="0"/>
      <w:snapToGrid w:val="0"/>
      <w:jc w:val="center"/>
    </w:pPr>
    <w:rPr>
      <w:rFonts w:ascii="Times New Roman" w:hAnsi="Times New Roman" w:eastAsia="宋体" w:cs="Times New Roman"/>
      <w:b/>
      <w:kern w:val="0"/>
      <w:sz w:val="24"/>
      <w:szCs w:val="20"/>
      <w:lang w:val="en-US" w:eastAsia="zh-CN" w:bidi="ar-SA"/>
    </w:rPr>
  </w:style>
  <w:style w:type="paragraph" w:customStyle="1" w:styleId="37">
    <w:name w:val="Table Paragraph"/>
    <w:qFormat/>
    <w:uiPriority w:val="1"/>
    <w:pPr>
      <w:widowControl w:val="0"/>
      <w:autoSpaceDE w:val="0"/>
      <w:autoSpaceDN w:val="0"/>
      <w:adjustRightInd w:val="0"/>
      <w:spacing w:line="240" w:lineRule="auto"/>
      <w:ind w:firstLine="0" w:firstLineChars="0"/>
      <w:jc w:val="left"/>
    </w:pPr>
    <w:rPr>
      <w:rFonts w:ascii="Times New Roman" w:hAnsi="Times New Roman" w:eastAsia="宋体" w:cs="Times New Roman"/>
      <w:kern w:val="0"/>
      <w:sz w:val="24"/>
      <w:szCs w:val="24"/>
      <w:lang w:val="en-US" w:eastAsia="zh-CN" w:bidi="ar-SA"/>
    </w:rPr>
  </w:style>
  <w:style w:type="paragraph" w:customStyle="1" w:styleId="38">
    <w:name w:val="表格"/>
    <w:basedOn w:val="39"/>
    <w:next w:val="1"/>
    <w:qFormat/>
    <w:uiPriority w:val="0"/>
    <w:pPr>
      <w:widowControl w:val="0"/>
      <w:tabs>
        <w:tab w:val="right" w:pos="0"/>
      </w:tabs>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paragraph" w:customStyle="1" w:styleId="39">
    <w:name w:val="表题"/>
    <w:basedOn w:val="1"/>
    <w:qFormat/>
    <w:uiPriority w:val="0"/>
    <w:pPr>
      <w:tabs>
        <w:tab w:val="right" w:pos="0"/>
      </w:tabs>
      <w:adjustRightInd w:val="0"/>
      <w:snapToGrid w:val="0"/>
      <w:ind w:firstLine="0"/>
      <w:jc w:val="center"/>
    </w:pPr>
    <w:rPr>
      <w:rFonts w:ascii="宋体" w:hAnsi="宋体"/>
      <w:b/>
      <w:spacing w:val="12"/>
      <w:sz w:val="24"/>
      <w:szCs w:val="24"/>
    </w:rPr>
  </w:style>
  <w:style w:type="table" w:customStyle="1" w:styleId="40">
    <w:name w:val="网格型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1">
    <w:name w:val="font01"/>
    <w:basedOn w:val="25"/>
    <w:qFormat/>
    <w:uiPriority w:val="0"/>
    <w:rPr>
      <w:rFonts w:hint="default" w:ascii="Times New Roman" w:hAnsi="Times New Roman" w:cs="Times New Roman"/>
      <w:color w:val="000000"/>
      <w:sz w:val="22"/>
      <w:szCs w:val="22"/>
      <w:u w:val="none"/>
      <w:vertAlign w:val="superscript"/>
    </w:rPr>
  </w:style>
  <w:style w:type="paragraph" w:customStyle="1" w:styleId="42">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3">
    <w:name w:val="样式 小四 行距: 1.5 倍行距"/>
    <w:qFormat/>
    <w:uiPriority w:val="0"/>
    <w:pPr>
      <w:widowControl w:val="0"/>
      <w:ind w:firstLine="480" w:firstLineChars="200"/>
      <w:jc w:val="both"/>
    </w:pPr>
    <w:rPr>
      <w:rFonts w:hint="default" w:ascii="Times New Roman" w:hAnsi="Times New Roman" w:eastAsia="宋体" w:cs="宋体"/>
      <w:kern w:val="2"/>
      <w:sz w:val="24"/>
      <w:lang w:val="en-US" w:eastAsia="zh-CN" w:bidi="ar-SA"/>
    </w:rPr>
  </w:style>
  <w:style w:type="paragraph" w:customStyle="1" w:styleId="44">
    <w:name w:val="表标题"/>
    <w:next w:val="38"/>
    <w:qFormat/>
    <w:uiPriority w:val="0"/>
    <w:pPr>
      <w:widowControl w:val="0"/>
      <w:jc w:val="center"/>
    </w:pPr>
    <w:rPr>
      <w:rFonts w:ascii="Times New Roman" w:hAnsi="Times New Roman" w:eastAsia="宋体" w:cs="Times New Roman"/>
      <w:b/>
      <w:kern w:val="0"/>
      <w:sz w:val="20"/>
      <w:szCs w:val="20"/>
      <w:lang w:val="en-US" w:eastAsia="zh-CN" w:bidi="ar-SA"/>
    </w:rPr>
  </w:style>
  <w:style w:type="paragraph" w:customStyle="1" w:styleId="45">
    <w:name w:val="表头"/>
    <w:next w:val="38"/>
    <w:qFormat/>
    <w:uiPriority w:val="0"/>
    <w:pPr>
      <w:widowControl w:val="0"/>
      <w:adjustRightInd w:val="0"/>
      <w:snapToGrid w:val="0"/>
      <w:spacing w:line="240" w:lineRule="auto"/>
      <w:jc w:val="center"/>
      <w:textAlignment w:val="baseline"/>
    </w:pPr>
    <w:rPr>
      <w:rFonts w:ascii="Times New Roman" w:hAnsi="Times New Roman" w:eastAsia="宋体" w:cs="Times New Roman"/>
      <w:spacing w:val="-10"/>
      <w:kern w:val="0"/>
      <w:sz w:val="24"/>
      <w:szCs w:val="20"/>
      <w:lang w:val="en-US" w:eastAsia="zh-CN" w:bidi="ar-SA"/>
    </w:rPr>
  </w:style>
  <w:style w:type="paragraph" w:customStyle="1" w:styleId="46">
    <w:name w:val="样式 表格 32 + 首行缩进:  2 字符"/>
    <w:qFormat/>
    <w:uiPriority w:val="0"/>
    <w:pPr>
      <w:widowControl w:val="0"/>
      <w:autoSpaceDE w:val="0"/>
      <w:autoSpaceDN w:val="0"/>
      <w:adjustRightInd w:val="0"/>
      <w:spacing w:line="0" w:lineRule="atLeast"/>
      <w:jc w:val="center"/>
      <w:textAlignment w:val="baseline"/>
    </w:pPr>
    <w:rPr>
      <w:rFonts w:ascii="Times New Roman" w:hAnsi="Times New Roman" w:eastAsia="宋体" w:cs="宋体"/>
      <w:kern w:val="0"/>
      <w:sz w:val="21"/>
      <w:szCs w:val="21"/>
      <w:lang w:val="en-US" w:eastAsia="zh-CN" w:bidi="ar-SA"/>
    </w:rPr>
  </w:style>
  <w:style w:type="paragraph" w:customStyle="1" w:styleId="47">
    <w:name w:val="表格 32"/>
    <w:qFormat/>
    <w:uiPriority w:val="0"/>
    <w:pPr>
      <w:widowControl w:val="0"/>
      <w:autoSpaceDE w:val="0"/>
      <w:autoSpaceDN w:val="0"/>
      <w:adjustRightInd w:val="0"/>
      <w:jc w:val="center"/>
      <w:textAlignment w:val="baseline"/>
    </w:pPr>
    <w:rPr>
      <w:rFonts w:ascii="宋体" w:hAnsi="Impact" w:eastAsia="宋体" w:cs="Times New Roman"/>
      <w:kern w:val="24"/>
      <w:sz w:val="24"/>
      <w:szCs w:val="20"/>
      <w:lang w:val="en-US" w:eastAsia="zh-CN" w:bidi="ar-SA"/>
    </w:rPr>
  </w:style>
  <w:style w:type="character" w:customStyle="1" w:styleId="48">
    <w:name w:val="font31"/>
    <w:basedOn w:val="25"/>
    <w:qFormat/>
    <w:uiPriority w:val="0"/>
    <w:rPr>
      <w:rFonts w:hint="default" w:ascii="Times New Roman" w:hAnsi="Times New Roman" w:cs="Times New Roman"/>
      <w:color w:val="FF0000"/>
      <w:sz w:val="21"/>
      <w:szCs w:val="21"/>
      <w:u w:val="none"/>
      <w:vertAlign w:val="superscript"/>
    </w:rPr>
  </w:style>
  <w:style w:type="character" w:customStyle="1" w:styleId="49">
    <w:name w:val="font21"/>
    <w:basedOn w:val="25"/>
    <w:qFormat/>
    <w:uiPriority w:val="0"/>
    <w:rPr>
      <w:rFonts w:hint="default" w:ascii="Times New Roman" w:hAnsi="Times New Roman" w:cs="Times New Roman"/>
      <w:color w:val="FF0000"/>
      <w:sz w:val="21"/>
      <w:szCs w:val="21"/>
      <w:u w:val="none"/>
    </w:rPr>
  </w:style>
  <w:style w:type="character" w:customStyle="1" w:styleId="50">
    <w:name w:val="font11"/>
    <w:basedOn w:val="25"/>
    <w:qFormat/>
    <w:uiPriority w:val="0"/>
    <w:rPr>
      <w:rFonts w:hint="eastAsia" w:ascii="宋体" w:hAnsi="宋体" w:eastAsia="宋体" w:cs="宋体"/>
      <w:color w:val="FF0000"/>
      <w:sz w:val="21"/>
      <w:szCs w:val="21"/>
      <w:u w:val="none"/>
    </w:rPr>
  </w:style>
  <w:style w:type="paragraph" w:customStyle="1" w:styleId="51">
    <w:name w:val="表头 1"/>
    <w:next w:val="1"/>
    <w:qFormat/>
    <w:uiPriority w:val="0"/>
    <w:pPr>
      <w:widowControl w:val="0"/>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52">
    <w:name w:val="表格字体"/>
    <w:qFormat/>
    <w:uiPriority w:val="0"/>
    <w:pPr>
      <w:widowControl w:val="0"/>
      <w:adjustRightInd w:val="0"/>
      <w:snapToGrid w:val="0"/>
      <w:spacing w:line="240" w:lineRule="exact"/>
      <w:jc w:val="center"/>
    </w:pPr>
    <w:rPr>
      <w:rFonts w:ascii="Times New Roman" w:hAnsi="Times New Roman" w:eastAsia="宋体" w:cs="Times New Roman"/>
      <w:kern w:val="2"/>
      <w:sz w:val="21"/>
      <w:szCs w:val="21"/>
      <w:lang w:val="en-US" w:eastAsia="zh-CN" w:bidi="ar-SA"/>
    </w:rPr>
  </w:style>
  <w:style w:type="paragraph" w:customStyle="1" w:styleId="53">
    <w:name w:val="表格字体1"/>
    <w:qFormat/>
    <w:uiPriority w:val="0"/>
    <w:pPr>
      <w:widowControl/>
      <w:adjustRightInd w:val="0"/>
      <w:snapToGrid w:val="0"/>
      <w:spacing w:before="48" w:beforeLines="20" w:after="48" w:afterLines="20"/>
      <w:jc w:val="center"/>
    </w:pPr>
    <w:rPr>
      <w:rFonts w:ascii="Times New Roman" w:hAnsi="Times New Roman" w:eastAsia="宋体" w:cs="Times New Roman"/>
      <w:color w:val="000000"/>
      <w:kern w:val="0"/>
      <w:sz w:val="21"/>
      <w:szCs w:val="21"/>
      <w:lang w:val="en-US" w:eastAsia="zh-CN" w:bidi="ar-SA"/>
    </w:rPr>
  </w:style>
  <w:style w:type="paragraph" w:customStyle="1" w:styleId="54">
    <w:name w:val="卓龙正文"/>
    <w:basedOn w:val="1"/>
    <w:qFormat/>
    <w:uiPriority w:val="0"/>
    <w:pPr>
      <w:spacing w:line="360" w:lineRule="auto"/>
      <w:ind w:firstLine="200" w:firstLineChars="200"/>
    </w:pPr>
    <w:rPr>
      <w:sz w:val="24"/>
      <w:szCs w:val="24"/>
    </w:rPr>
  </w:style>
  <w:style w:type="paragraph" w:customStyle="1" w:styleId="55">
    <w:name w:val="标准正文"/>
    <w:qFormat/>
    <w:uiPriority w:val="0"/>
    <w:pPr>
      <w:widowControl w:val="0"/>
      <w:adjustRightInd w:val="0"/>
      <w:snapToGrid w:val="0"/>
      <w:spacing w:line="540" w:lineRule="exact"/>
      <w:ind w:firstLine="480" w:firstLineChars="200"/>
      <w:jc w:val="both"/>
    </w:pPr>
    <w:rPr>
      <w:rFonts w:ascii="Times New Roman" w:hAnsi="Times New Roman" w:eastAsia="宋体" w:cs="Times New Roman"/>
      <w:bCs/>
      <w:kern w:val="2"/>
      <w:sz w:val="24"/>
      <w:szCs w:val="24"/>
      <w:lang w:val="en-US" w:eastAsia="zh-CN" w:bidi="ar-SA"/>
    </w:rPr>
  </w:style>
  <w:style w:type="paragraph" w:customStyle="1" w:styleId="56">
    <w:name w:val="ctrl+~  正文"/>
    <w:qFormat/>
    <w:uiPriority w:val="0"/>
    <w:pPr>
      <w:widowControl w:val="0"/>
      <w:spacing w:line="480" w:lineRule="exact"/>
      <w:ind w:firstLine="480" w:firstLineChars="200"/>
      <w:jc w:val="both"/>
    </w:pPr>
    <w:rPr>
      <w:rFonts w:ascii="Times New Roman" w:hAnsi="Times New Roman" w:eastAsia="Times New Roman" w:cs="Times New Roman"/>
      <w:kern w:val="2"/>
      <w:sz w:val="21"/>
      <w:szCs w:val="24"/>
      <w:lang w:val="en-US" w:eastAsia="zh-CN" w:bidi="ar-SA"/>
    </w:rPr>
  </w:style>
  <w:style w:type="paragraph" w:customStyle="1" w:styleId="57">
    <w:name w:val="表格文字"/>
    <w:basedOn w:val="1"/>
    <w:qFormat/>
    <w:uiPriority w:val="0"/>
    <w:pPr>
      <w:spacing w:line="240" w:lineRule="auto"/>
      <w:ind w:firstLine="0" w:firstLineChars="0"/>
      <w:jc w:val="center"/>
    </w:pPr>
    <w:rPr>
      <w:rFonts w:ascii="Times New Roman" w:hAnsi="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wmf"/><Relationship Id="rId25" Type="http://schemas.openxmlformats.org/officeDocument/2006/relationships/oleObject" Target="embeddings/oleObject4.bin"/><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xMzIzNDk2MjgzMjYiLAogICAiR3JvdXBJZCIgOiAiNjg2MjEyNTE0IiwKICAgIkltYWdlIiA6ICJpVkJPUncwS0dnb0FBQUFOU1VoRVVnQUFBejhBQUFLdkNBWUFBQUJFUkhHMEFBQUFDWEJJV1hNQUFBc1RBQUFMRXdFQW1wd1lBQUFnQUVsRVFWUjRuT3pkZVhoVTVkay84TytaTTNzbWsyU1N5YjZ5SmF3aEUxeHF0ZnFxRlZ0RksxamMrNnExWXQxZUFiRks5YWNVRmEyMlZNWGRTclZXaTdpTHBjVjlvMWJOSkFFU0NHUWpHNW5zeVNTeno1emZIOG1razMwaFpFam0rN211WE9RODUzbk91VS9ta013OXozSUF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dMSS93ZU1ocmVkV2FNeTlnQUFBQUJKUlU1RXJrSmdnZz09IiwKICAgIlRoZW1lIiA6ICIiLAogICAiVHlwZSIgOiAiZmxvdyIsCiAgICJWZXJzaW9uIiA6ICI0M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33750</Words>
  <Characters>38070</Characters>
  <Lines>0</Lines>
  <Paragraphs>0</Paragraphs>
  <TotalTime>15</TotalTime>
  <ScaleCrop>false</ScaleCrop>
  <LinksUpToDate>false</LinksUpToDate>
  <CharactersWithSpaces>38436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2021-03-08T00:56:00Z</dcterms:created>
  <dc:creator>HP</dc:creator>
  <cp:lastModifiedBy></cp:lastModifiedBy>
  <dcterms:modified xsi:type="dcterms:W3CDTF">2021-09-10T09:05:26Z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F4EF23A7A9A645BBA337E5ED363469B6</vt:lpwstr>
  </property>
</Properties>
</file>