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before="312"/>
        <w:jc w:val="center"/>
        <w:textAlignment w:val="baseline"/>
        <w:rPr>
          <w:rFonts w:hint="default" w:ascii="Times New Roman" w:hAnsi="Times New Roman" w:eastAsia="宋体" w:cs="Times New Roman"/>
          <w:b/>
          <w:color w:val="auto"/>
          <w:sz w:val="72"/>
          <w:szCs w:val="72"/>
        </w:rPr>
      </w:pPr>
    </w:p>
    <w:p>
      <w:pPr>
        <w:overflowPunct w:val="0"/>
        <w:autoSpaceDE w:val="0"/>
        <w:autoSpaceDN w:val="0"/>
        <w:adjustRightInd w:val="0"/>
        <w:spacing w:before="312"/>
        <w:jc w:val="center"/>
        <w:textAlignment w:val="baseline"/>
        <w:rPr>
          <w:rFonts w:hint="default" w:ascii="Times New Roman" w:hAnsi="Times New Roman" w:eastAsia="宋体" w:cs="Times New Roman"/>
          <w:b/>
          <w:color w:val="auto"/>
          <w:sz w:val="48"/>
          <w:szCs w:val="48"/>
        </w:rPr>
      </w:pPr>
      <w:r>
        <w:rPr>
          <w:rFonts w:hint="default" w:ascii="Times New Roman" w:hAnsi="Times New Roman" w:eastAsia="宋体" w:cs="Times New Roman"/>
          <w:b/>
          <w:color w:val="auto"/>
          <w:sz w:val="72"/>
          <w:szCs w:val="72"/>
        </w:rPr>
        <w:t>建设项目环境影响报告表</w:t>
      </w:r>
    </w:p>
    <w:p>
      <w:pPr>
        <w:overflowPunct w:val="0"/>
        <w:autoSpaceDE w:val="0"/>
        <w:autoSpaceDN w:val="0"/>
        <w:adjustRightInd w:val="0"/>
        <w:spacing w:before="312"/>
        <w:jc w:val="center"/>
        <w:textAlignment w:val="baseline"/>
        <w:rPr>
          <w:rFonts w:hint="default" w:ascii="Times New Roman" w:hAnsi="Times New Roman" w:eastAsia="宋体" w:cs="Times New Roman"/>
          <w:b/>
          <w:bCs/>
          <w:color w:val="auto"/>
          <w:sz w:val="40"/>
          <w:szCs w:val="28"/>
        </w:rPr>
      </w:pPr>
      <w:r>
        <w:rPr>
          <w:rFonts w:hint="default" w:ascii="Times New Roman" w:hAnsi="Times New Roman" w:eastAsia="宋体" w:cs="Times New Roman"/>
          <w:b/>
          <w:bCs/>
          <w:color w:val="auto"/>
          <w:sz w:val="40"/>
          <w:szCs w:val="28"/>
        </w:rPr>
        <w:t>（</w:t>
      </w:r>
      <w:r>
        <w:rPr>
          <w:rFonts w:hint="eastAsia" w:ascii="Times New Roman" w:hAnsi="Times New Roman" w:cs="Times New Roman"/>
          <w:b/>
          <w:bCs/>
          <w:color w:val="auto"/>
          <w:sz w:val="40"/>
          <w:szCs w:val="28"/>
          <w:lang w:val="en-US" w:eastAsia="zh-CN"/>
        </w:rPr>
        <w:t>污染影响类</w:t>
      </w:r>
      <w:r>
        <w:rPr>
          <w:rFonts w:hint="default" w:ascii="Times New Roman" w:hAnsi="Times New Roman" w:eastAsia="宋体" w:cs="Times New Roman"/>
          <w:b/>
          <w:bCs/>
          <w:color w:val="auto"/>
          <w:sz w:val="40"/>
          <w:szCs w:val="28"/>
        </w:rPr>
        <w:t>）</w:t>
      </w:r>
    </w:p>
    <w:p>
      <w:pPr>
        <w:spacing w:line="360" w:lineRule="auto"/>
        <w:ind w:left="180"/>
        <w:jc w:val="center"/>
        <w:rPr>
          <w:rFonts w:hint="default" w:ascii="Times New Roman" w:hAnsi="Times New Roman" w:eastAsia="宋体" w:cs="Times New Roman"/>
          <w:b/>
          <w:color w:val="auto"/>
          <w:w w:val="110"/>
          <w:kern w:val="0"/>
          <w:sz w:val="44"/>
          <w:szCs w:val="44"/>
          <w:highlight w:val="yellow"/>
        </w:rPr>
      </w:pPr>
    </w:p>
    <w:p>
      <w:pPr>
        <w:jc w:val="center"/>
        <w:rPr>
          <w:rFonts w:hint="default" w:ascii="Times New Roman" w:hAnsi="Times New Roman" w:eastAsia="宋体" w:cs="Times New Roman"/>
          <w:color w:val="auto"/>
          <w:sz w:val="28"/>
          <w:szCs w:val="20"/>
          <w:highlight w:val="yellow"/>
        </w:rPr>
      </w:pPr>
    </w:p>
    <w:p>
      <w:pPr>
        <w:widowControl w:val="0"/>
        <w:autoSpaceDE w:val="0"/>
        <w:autoSpaceDN w:val="0"/>
        <w:ind w:firstLine="560"/>
        <w:jc w:val="left"/>
        <w:rPr>
          <w:rFonts w:hint="default" w:ascii="Times New Roman" w:hAnsi="Times New Roman" w:eastAsia="宋体" w:cs="Times New Roman"/>
          <w:color w:val="auto"/>
          <w:kern w:val="0"/>
          <w:sz w:val="28"/>
          <w:szCs w:val="24"/>
          <w:highlight w:val="yellow"/>
          <w:lang w:val="en-US" w:eastAsia="zh-CN" w:bidi="ar-SA"/>
        </w:rPr>
      </w:pPr>
    </w:p>
    <w:p>
      <w:pPr>
        <w:widowControl w:val="0"/>
        <w:autoSpaceDE w:val="0"/>
        <w:autoSpaceDN w:val="0"/>
        <w:ind w:firstLine="560"/>
        <w:jc w:val="left"/>
        <w:rPr>
          <w:rFonts w:hint="default" w:ascii="Times New Roman" w:hAnsi="Times New Roman" w:eastAsia="宋体" w:cs="Times New Roman"/>
          <w:color w:val="auto"/>
          <w:kern w:val="0"/>
          <w:sz w:val="28"/>
          <w:szCs w:val="24"/>
          <w:highlight w:val="yellow"/>
          <w:lang w:val="en-US" w:eastAsia="zh-CN" w:bidi="ar-SA"/>
        </w:rPr>
      </w:pPr>
    </w:p>
    <w:p>
      <w:pPr>
        <w:jc w:val="center"/>
        <w:rPr>
          <w:rFonts w:hint="default" w:ascii="Times New Roman" w:hAnsi="Times New Roman" w:eastAsia="宋体" w:cs="Times New Roman"/>
          <w:color w:val="auto"/>
          <w:sz w:val="28"/>
          <w:szCs w:val="20"/>
          <w:highlight w:val="yellow"/>
        </w:rPr>
      </w:pPr>
    </w:p>
    <w:p>
      <w:pPr>
        <w:pStyle w:val="11"/>
        <w:rPr>
          <w:rFonts w:hint="default" w:ascii="Times New Roman" w:hAnsi="Times New Roman" w:eastAsia="宋体" w:cs="Times New Roman"/>
          <w:color w:val="auto"/>
          <w:szCs w:val="24"/>
          <w:highlight w:val="yellow"/>
        </w:rPr>
      </w:pPr>
    </w:p>
    <w:p>
      <w:pPr>
        <w:pStyle w:val="11"/>
        <w:rPr>
          <w:rFonts w:hint="default" w:ascii="Times New Roman" w:hAnsi="Times New Roman" w:eastAsia="宋体" w:cs="Times New Roman"/>
          <w:color w:val="auto"/>
          <w:szCs w:val="24"/>
          <w:highlight w:val="yellow"/>
        </w:rPr>
      </w:pPr>
    </w:p>
    <w:p>
      <w:pPr>
        <w:keepNext w:val="0"/>
        <w:keepLines w:val="0"/>
        <w:pageBreakBefore w:val="0"/>
        <w:widowControl w:val="0"/>
        <w:kinsoku/>
        <w:wordWrap/>
        <w:overflowPunct/>
        <w:topLinePunct w:val="0"/>
        <w:autoSpaceDE/>
        <w:autoSpaceDN/>
        <w:bidi w:val="0"/>
        <w:adjustRightInd w:val="0"/>
        <w:snapToGrid w:val="0"/>
        <w:spacing w:afterAutospacing="0" w:line="480" w:lineRule="auto"/>
        <w:ind w:firstLine="1120" w:firstLineChars="400"/>
        <w:jc w:val="left"/>
        <w:textAlignment w:val="auto"/>
        <w:rPr>
          <w:rFonts w:hint="default" w:ascii="Times New Roman" w:hAnsi="Times New Roman" w:eastAsia="宋体" w:cs="Times New Roman"/>
          <w:b w:val="0"/>
          <w:bCs w:val="0"/>
          <w:color w:val="auto"/>
          <w:kern w:val="2"/>
          <w:sz w:val="28"/>
          <w:szCs w:val="28"/>
          <w:u w:val="single"/>
          <w:lang w:val="en-US" w:eastAsia="zh-CN" w:bidi="ar-SA"/>
        </w:rPr>
      </w:pPr>
      <w:r>
        <w:rPr>
          <w:rFonts w:hint="default" w:ascii="Times New Roman" w:hAnsi="Times New Roman" w:eastAsia="宋体" w:cs="Times New Roman"/>
          <w:b w:val="0"/>
          <w:bCs w:val="0"/>
          <w:color w:val="auto"/>
          <w:kern w:val="2"/>
          <w:sz w:val="28"/>
          <w:szCs w:val="28"/>
          <w:lang w:val="en-US" w:eastAsia="zh-CN" w:bidi="ar-SA"/>
        </w:rPr>
        <w:t>项目名称：</w:t>
      </w:r>
      <w:r>
        <w:rPr>
          <w:rFonts w:hint="default" w:ascii="Times New Roman" w:hAnsi="Times New Roman" w:eastAsia="宋体" w:cs="Times New Roman"/>
          <w:b w:val="0"/>
          <w:bCs w:val="0"/>
          <w:color w:val="auto"/>
          <w:kern w:val="2"/>
          <w:sz w:val="28"/>
          <w:szCs w:val="28"/>
          <w:u w:val="single"/>
          <w:lang w:val="en-US" w:eastAsia="zh-CN" w:bidi="ar-SA"/>
        </w:rPr>
        <w:t>年产1900吨豆制品建设项目</w:t>
      </w:r>
      <w:r>
        <w:rPr>
          <w:rFonts w:hint="eastAsia" w:ascii="Times New Roman" w:hAnsi="Times New Roman" w:eastAsia="宋体" w:cs="Times New Roman"/>
          <w:b w:val="0"/>
          <w:bCs w:val="0"/>
          <w:color w:val="auto"/>
          <w:kern w:val="2"/>
          <w:sz w:val="28"/>
          <w:szCs w:val="28"/>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480" w:lineRule="auto"/>
        <w:ind w:firstLine="1120" w:firstLineChars="400"/>
        <w:jc w:val="left"/>
        <w:textAlignment w:val="auto"/>
        <w:rPr>
          <w:rFonts w:hint="default" w:ascii="Times New Roman" w:hAnsi="Times New Roman" w:cs="Times New Roman"/>
          <w:b w:val="0"/>
          <w:bCs w:val="0"/>
          <w:color w:val="auto"/>
          <w:sz w:val="28"/>
          <w:szCs w:val="28"/>
          <w:u w:val="single"/>
          <w:lang w:val="en-US" w:eastAsia="zh-CN"/>
        </w:rPr>
      </w:pPr>
      <w:r>
        <w:rPr>
          <w:rFonts w:hint="default" w:ascii="Times New Roman" w:hAnsi="Times New Roman" w:eastAsia="宋体" w:cs="Times New Roman"/>
          <w:b w:val="0"/>
          <w:bCs w:val="0"/>
          <w:color w:val="auto"/>
          <w:sz w:val="28"/>
          <w:szCs w:val="28"/>
        </w:rPr>
        <w:t>建设单位</w:t>
      </w:r>
      <w:r>
        <w:rPr>
          <w:rFonts w:hint="eastAsia" w:ascii="Times New Roman" w:hAnsi="Times New Roman" w:cs="Times New Roman"/>
          <w:b w:val="0"/>
          <w:bCs w:val="0"/>
          <w:color w:val="auto"/>
          <w:sz w:val="28"/>
          <w:szCs w:val="28"/>
          <w:lang w:eastAsia="zh-CN"/>
        </w:rPr>
        <w:t>（</w:t>
      </w:r>
      <w:r>
        <w:rPr>
          <w:rFonts w:hint="eastAsia" w:ascii="Times New Roman" w:hAnsi="Times New Roman" w:cs="Times New Roman"/>
          <w:b w:val="0"/>
          <w:bCs w:val="0"/>
          <w:color w:val="auto"/>
          <w:sz w:val="28"/>
          <w:szCs w:val="28"/>
          <w:lang w:val="en-US" w:eastAsia="zh-CN"/>
        </w:rPr>
        <w:t>盖章）</w:t>
      </w:r>
      <w:r>
        <w:rPr>
          <w:rFonts w:hint="default" w:ascii="Times New Roman" w:hAnsi="Times New Roman" w:eastAsia="宋体" w:cs="Times New Roman"/>
          <w:b w:val="0"/>
          <w:bCs w:val="0"/>
          <w:color w:val="auto"/>
          <w:sz w:val="28"/>
          <w:szCs w:val="28"/>
        </w:rPr>
        <w:t>：</w:t>
      </w:r>
      <w:r>
        <w:rPr>
          <w:rFonts w:hint="default" w:ascii="Times New Roman" w:hAnsi="Times New Roman" w:eastAsia="宋体" w:cs="Times New Roman"/>
          <w:b w:val="0"/>
          <w:bCs w:val="0"/>
          <w:color w:val="auto"/>
          <w:sz w:val="28"/>
          <w:szCs w:val="28"/>
          <w:u w:val="single"/>
          <w:lang w:val="en-US" w:eastAsia="zh-CN"/>
        </w:rPr>
        <w:t xml:space="preserve"> </w:t>
      </w:r>
      <w:r>
        <w:rPr>
          <w:rFonts w:hint="eastAsia" w:ascii="Times New Roman" w:hAnsi="Times New Roman" w:cs="Times New Roman"/>
          <w:b w:val="0"/>
          <w:bCs w:val="0"/>
          <w:color w:val="auto"/>
          <w:kern w:val="2"/>
          <w:sz w:val="28"/>
          <w:szCs w:val="28"/>
          <w:u w:val="single"/>
          <w:lang w:val="en-US" w:eastAsia="zh-CN" w:bidi="ar-SA"/>
        </w:rPr>
        <w:t>新田县千山龙食品有限公司</w:t>
      </w:r>
      <w:r>
        <w:rPr>
          <w:rFonts w:hint="eastAsia" w:ascii="Times New Roman" w:hAnsi="Times New Roman" w:cs="Times New Roman"/>
          <w:b w:val="0"/>
          <w:bCs w:val="0"/>
          <w:color w:val="auto"/>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80" w:lineRule="auto"/>
        <w:ind w:firstLine="1120" w:firstLineChars="400"/>
        <w:jc w:val="left"/>
        <w:textAlignment w:val="auto"/>
        <w:rPr>
          <w:rFonts w:hint="default" w:ascii="Times New Roman" w:hAnsi="Times New Roman" w:eastAsia="宋体" w:cs="Times New Roman"/>
          <w:b w:val="0"/>
          <w:bCs w:val="0"/>
          <w:color w:val="auto"/>
          <w:sz w:val="28"/>
          <w:szCs w:val="28"/>
          <w:u w:val="single"/>
          <w:lang w:val="en-US" w:eastAsia="zh-CN"/>
        </w:rPr>
      </w:pPr>
      <w:r>
        <w:rPr>
          <w:rFonts w:hint="eastAsia" w:ascii="Times New Roman" w:hAnsi="Times New Roman" w:cs="Times New Roman"/>
          <w:b w:val="0"/>
          <w:bCs w:val="0"/>
          <w:color w:val="auto"/>
          <w:sz w:val="28"/>
          <w:szCs w:val="28"/>
          <w:lang w:val="en-US" w:eastAsia="zh-CN"/>
        </w:rPr>
        <w:t>编制日期：</w:t>
      </w:r>
      <w:r>
        <w:rPr>
          <w:rFonts w:hint="eastAsia" w:ascii="Times New Roman" w:hAnsi="Times New Roman" w:cs="Times New Roman"/>
          <w:b w:val="0"/>
          <w:bCs w:val="0"/>
          <w:color w:val="auto"/>
          <w:sz w:val="28"/>
          <w:szCs w:val="28"/>
          <w:u w:val="single"/>
          <w:lang w:val="en-US" w:eastAsia="zh-CN"/>
        </w:rPr>
        <w:t xml:space="preserve">   2021年4月                      </w:t>
      </w:r>
    </w:p>
    <w:p/>
    <w:p>
      <w:pPr>
        <w:pStyle w:val="16"/>
      </w:pPr>
    </w:p>
    <w:p/>
    <w:p>
      <w:pPr>
        <w:pStyle w:val="16"/>
      </w:pPr>
    </w:p>
    <w:p/>
    <w:p>
      <w:pPr>
        <w:pStyle w:val="16"/>
      </w:pPr>
    </w:p>
    <w:p/>
    <w:p>
      <w:pPr>
        <w:pStyle w:val="16"/>
      </w:pPr>
    </w:p>
    <w:p>
      <w:pPr>
        <w:spacing w:line="480" w:lineRule="auto"/>
        <w:ind w:firstLine="1124" w:firstLineChars="400"/>
        <w:jc w:val="left"/>
        <w:rPr>
          <w:rFonts w:hint="eastAsia" w:ascii="Times New Roman" w:hAnsi="Times New Roman" w:cs="Times New Roman"/>
          <w:b/>
          <w:color w:val="auto"/>
          <w:sz w:val="28"/>
          <w:szCs w:val="28"/>
          <w:lang w:val="en-US" w:eastAsia="zh-CN"/>
        </w:rPr>
      </w:pPr>
    </w:p>
    <w:p>
      <w:pPr>
        <w:spacing w:line="480" w:lineRule="auto"/>
        <w:ind w:firstLine="1285" w:firstLineChars="400"/>
        <w:jc w:val="center"/>
        <w:rPr>
          <w:rFonts w:hint="eastAsia" w:ascii="Times New Roman" w:hAnsi="Times New Roman" w:cs="Times New Roman"/>
          <w:b/>
          <w:color w:val="auto"/>
          <w:sz w:val="32"/>
          <w:szCs w:val="32"/>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cs="Times New Roman"/>
          <w:b/>
          <w:color w:val="auto"/>
          <w:sz w:val="32"/>
          <w:szCs w:val="32"/>
          <w:lang w:val="en-US" w:eastAsia="zh-CN"/>
        </w:rPr>
        <w:t>中华人民共和国生态环境部制</w:t>
      </w:r>
    </w:p>
    <w:p>
      <w:pPr>
        <w:pStyle w:val="2"/>
        <w:rPr>
          <w:rFonts w:hint="eastAsia"/>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eastAsia"/>
          <w:lang w:val="en-US" w:eastAsia="zh-CN"/>
        </w:rPr>
        <w:drawing>
          <wp:anchor distT="0" distB="0" distL="114300" distR="114300" simplePos="0" relativeHeight="251666432" behindDoc="0" locked="0" layoutInCell="1" allowOverlap="1">
            <wp:simplePos x="0" y="0"/>
            <wp:positionH relativeFrom="column">
              <wp:posOffset>-295275</wp:posOffset>
            </wp:positionH>
            <wp:positionV relativeFrom="paragraph">
              <wp:posOffset>-476250</wp:posOffset>
            </wp:positionV>
            <wp:extent cx="9369425" cy="5655310"/>
            <wp:effectExtent l="0" t="0" r="3175" b="2540"/>
            <wp:wrapSquare wrapText="bothSides"/>
            <wp:docPr id="7" name="图片 7" descr="1-5 放于报告封面后 1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 放于报告封面后 1营业执照"/>
                    <pic:cNvPicPr>
                      <a:picLocks noChangeAspect="1"/>
                    </pic:cNvPicPr>
                  </pic:nvPicPr>
                  <pic:blipFill>
                    <a:blip r:embed="rId7"/>
                    <a:stretch>
                      <a:fillRect/>
                    </a:stretch>
                  </pic:blipFill>
                  <pic:spPr>
                    <a:xfrm>
                      <a:off x="0" y="0"/>
                      <a:ext cx="9369425" cy="5655310"/>
                    </a:xfrm>
                    <a:prstGeom prst="rect">
                      <a:avLst/>
                    </a:prstGeom>
                  </pic:spPr>
                </pic:pic>
              </a:graphicData>
            </a:graphic>
          </wp:anchor>
        </w:drawing>
      </w:r>
    </w:p>
    <w:p>
      <w:pPr>
        <w:pStyle w:val="2"/>
        <w:rPr>
          <w:rFonts w:hint="eastAsia"/>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lang w:val="en-US" w:eastAsia="zh-CN"/>
        </w:rPr>
        <w:drawing>
          <wp:anchor distT="0" distB="0" distL="114300" distR="114300" simplePos="0" relativeHeight="251667456" behindDoc="0" locked="0" layoutInCell="1" allowOverlap="1">
            <wp:simplePos x="0" y="0"/>
            <wp:positionH relativeFrom="column">
              <wp:posOffset>-504825</wp:posOffset>
            </wp:positionH>
            <wp:positionV relativeFrom="paragraph">
              <wp:posOffset>-171450</wp:posOffset>
            </wp:positionV>
            <wp:extent cx="5970905" cy="9237345"/>
            <wp:effectExtent l="0" t="0" r="10795" b="1905"/>
            <wp:wrapSquare wrapText="bothSides"/>
            <wp:docPr id="8" name="图片 8" descr="微信图片_20201018124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10181246452"/>
                    <pic:cNvPicPr>
                      <a:picLocks noChangeAspect="1"/>
                    </pic:cNvPicPr>
                  </pic:nvPicPr>
                  <pic:blipFill>
                    <a:blip r:embed="rId8"/>
                    <a:stretch>
                      <a:fillRect/>
                    </a:stretch>
                  </pic:blipFill>
                  <pic:spPr>
                    <a:xfrm>
                      <a:off x="0" y="0"/>
                      <a:ext cx="5970905" cy="9237345"/>
                    </a:xfrm>
                    <a:prstGeom prst="rect">
                      <a:avLst/>
                    </a:prstGeom>
                  </pic:spPr>
                </pic:pic>
              </a:graphicData>
            </a:graphic>
          </wp:anchor>
        </w:drawing>
      </w:r>
    </w:p>
    <w:p>
      <w:pPr>
        <w:pStyle w:val="2"/>
        <w:rPr>
          <w:rFonts w:hint="eastAsia"/>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lang w:val="en-US" w:eastAsia="zh-CN"/>
        </w:rPr>
        <w:drawing>
          <wp:anchor distT="0" distB="0" distL="114300" distR="114300" simplePos="0" relativeHeight="251668480" behindDoc="0" locked="0" layoutInCell="1" allowOverlap="1">
            <wp:simplePos x="0" y="0"/>
            <wp:positionH relativeFrom="column">
              <wp:posOffset>-266700</wp:posOffset>
            </wp:positionH>
            <wp:positionV relativeFrom="paragraph">
              <wp:posOffset>-314325</wp:posOffset>
            </wp:positionV>
            <wp:extent cx="6021705" cy="9083675"/>
            <wp:effectExtent l="0" t="0" r="17145" b="3175"/>
            <wp:wrapSquare wrapText="bothSides"/>
            <wp:docPr id="4" name="图片 4" descr="ce21c1ced00b4ce9a86bb9ea68d7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e21c1ced00b4ce9a86bb9ea68d7ea3"/>
                    <pic:cNvPicPr>
                      <a:picLocks noChangeAspect="1"/>
                    </pic:cNvPicPr>
                  </pic:nvPicPr>
                  <pic:blipFill>
                    <a:blip r:embed="rId9"/>
                    <a:stretch>
                      <a:fillRect/>
                    </a:stretch>
                  </pic:blipFill>
                  <pic:spPr>
                    <a:xfrm>
                      <a:off x="0" y="0"/>
                      <a:ext cx="6021705" cy="9083675"/>
                    </a:xfrm>
                    <a:prstGeom prst="rect">
                      <a:avLst/>
                    </a:prstGeom>
                  </pic:spPr>
                </pic:pic>
              </a:graphicData>
            </a:graphic>
          </wp:anchor>
        </w:drawing>
      </w:r>
    </w:p>
    <w:p>
      <w:pPr>
        <w:pStyle w:val="2"/>
        <w:rPr>
          <w:rFonts w:hint="eastAsia"/>
          <w:lang w:val="en-US" w:eastAsia="zh-CN"/>
        </w:rPr>
        <w:sectPr>
          <w:pgSz w:w="11906" w:h="16838"/>
          <w:pgMar w:top="1440" w:right="1800" w:bottom="1440" w:left="1800" w:header="851" w:footer="992" w:gutter="0"/>
          <w:pgNumType w:fmt="numberInDash"/>
          <w:cols w:space="425" w:num="1"/>
          <w:docGrid w:type="lines" w:linePitch="312" w:charSpace="0"/>
        </w:sectPr>
      </w:pPr>
      <w:r>
        <w:drawing>
          <wp:anchor distT="0" distB="0" distL="114300" distR="114300" simplePos="0" relativeHeight="251665408" behindDoc="0" locked="0" layoutInCell="1" allowOverlap="1">
            <wp:simplePos x="0" y="0"/>
            <wp:positionH relativeFrom="column">
              <wp:posOffset>-342900</wp:posOffset>
            </wp:positionH>
            <wp:positionV relativeFrom="paragraph">
              <wp:posOffset>-95250</wp:posOffset>
            </wp:positionV>
            <wp:extent cx="5915025" cy="7562850"/>
            <wp:effectExtent l="0" t="0" r="9525" b="0"/>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915025" cy="7562850"/>
                    </a:xfrm>
                    <a:prstGeom prst="rect">
                      <a:avLst/>
                    </a:prstGeom>
                    <a:noFill/>
                    <a:ln>
                      <a:noFill/>
                    </a:ln>
                  </pic:spPr>
                </pic:pic>
              </a:graphicData>
            </a:graphic>
          </wp:anchor>
        </w:drawing>
      </w:r>
    </w:p>
    <w:p>
      <w:pPr>
        <w:spacing w:line="360" w:lineRule="auto"/>
        <w:ind w:firstLine="562" w:firstLineChars="200"/>
        <w:jc w:val="center"/>
        <w:rPr>
          <w:rFonts w:hint="default" w:ascii="Times New Roman" w:hAnsi="Times New Roman" w:eastAsia="宋体" w:cs="Times New Roman"/>
          <w:b/>
          <w:bCs/>
          <w:color w:val="000000"/>
          <w:sz w:val="28"/>
          <w:szCs w:val="22"/>
        </w:rPr>
      </w:pPr>
      <w:r>
        <w:rPr>
          <w:rFonts w:hint="default" w:ascii="Times New Roman" w:hAnsi="Times New Roman" w:eastAsia="宋体" w:cs="Times New Roman"/>
          <w:b/>
          <w:bCs/>
          <w:color w:val="000000"/>
          <w:sz w:val="28"/>
          <w:szCs w:val="22"/>
        </w:rPr>
        <w:t>目录</w:t>
      </w:r>
    </w:p>
    <w:p>
      <w:pPr>
        <w:pStyle w:val="15"/>
        <w:tabs>
          <w:tab w:val="right" w:leader="dot" w:pos="8306"/>
        </w:tabs>
      </w:pPr>
      <w:r>
        <w:rPr>
          <w:rFonts w:hint="default" w:ascii="Times New Roman" w:hAnsi="Times New Roman" w:cs="Times New Roman" w:eastAsiaTheme="minorEastAsia"/>
          <w:color w:val="000000"/>
          <w:sz w:val="28"/>
        </w:rPr>
        <w:fldChar w:fldCharType="begin"/>
      </w:r>
      <w:r>
        <w:rPr>
          <w:rFonts w:hint="default" w:ascii="Times New Roman" w:hAnsi="Times New Roman" w:cs="Times New Roman" w:eastAsiaTheme="minorEastAsia"/>
          <w:color w:val="000000"/>
          <w:sz w:val="28"/>
        </w:rPr>
        <w:instrText xml:space="preserve">TOC \o "1-1" \h \u </w:instrText>
      </w:r>
      <w:r>
        <w:rPr>
          <w:rFonts w:hint="default" w:ascii="Times New Roman" w:hAnsi="Times New Roman" w:cs="Times New Roman" w:eastAsiaTheme="minorEastAsia"/>
          <w:color w:val="000000"/>
          <w:sz w:val="28"/>
        </w:rPr>
        <w:fldChar w:fldCharType="separate"/>
      </w:r>
      <w:r>
        <w:rPr>
          <w:rFonts w:hint="default" w:ascii="Times New Roman" w:hAnsi="Times New Roman" w:cs="Times New Roman" w:eastAsiaTheme="minorEastAsia"/>
          <w:color w:val="000000"/>
        </w:rPr>
        <w:fldChar w:fldCharType="begin"/>
      </w:r>
      <w:r>
        <w:rPr>
          <w:rFonts w:hint="default" w:ascii="Times New Roman" w:hAnsi="Times New Roman" w:cs="Times New Roman" w:eastAsiaTheme="minorEastAsia"/>
        </w:rPr>
        <w:instrText xml:space="preserve"> HYPERLINK \l _Toc20196 </w:instrText>
      </w:r>
      <w:r>
        <w:rPr>
          <w:rFonts w:hint="default" w:ascii="Times New Roman" w:hAnsi="Times New Roman" w:cs="Times New Roman" w:eastAsiaTheme="minorEastAsia"/>
        </w:rPr>
        <w:fldChar w:fldCharType="separate"/>
      </w:r>
      <w:r>
        <w:rPr>
          <w:rFonts w:hint="eastAsia"/>
          <w:lang w:val="en-US" w:eastAsia="zh-CN"/>
        </w:rPr>
        <w:t xml:space="preserve">一、 </w:t>
      </w:r>
      <w:r>
        <w:rPr>
          <w:rFonts w:hint="eastAsia"/>
          <w:szCs w:val="36"/>
          <w:lang w:val="en-US" w:eastAsia="zh-CN"/>
        </w:rPr>
        <w:t>建设项目基本情况</w:t>
      </w:r>
      <w:r>
        <w:tab/>
      </w:r>
      <w:r>
        <w:fldChar w:fldCharType="begin"/>
      </w:r>
      <w:r>
        <w:instrText xml:space="preserve"> PAGEREF _Toc20196 \h </w:instrText>
      </w:r>
      <w:r>
        <w:fldChar w:fldCharType="separate"/>
      </w:r>
      <w:r>
        <w:t>1</w:t>
      </w:r>
      <w:r>
        <w:fldChar w:fldCharType="end"/>
      </w:r>
      <w:r>
        <w:rPr>
          <w:rFonts w:hint="default" w:ascii="Times New Roman" w:hAnsi="Times New Roman" w:cs="Times New Roman" w:eastAsiaTheme="minorEastAsia"/>
          <w:color w:val="000000"/>
        </w:rPr>
        <w:fldChar w:fldCharType="end"/>
      </w:r>
    </w:p>
    <w:p>
      <w:pPr>
        <w:pStyle w:val="15"/>
        <w:tabs>
          <w:tab w:val="right" w:leader="dot" w:pos="8306"/>
        </w:tabs>
      </w:pPr>
      <w:r>
        <w:rPr>
          <w:rFonts w:hint="default" w:ascii="Times New Roman" w:hAnsi="Times New Roman" w:cs="Times New Roman" w:eastAsiaTheme="minorEastAsia"/>
          <w:color w:val="000000"/>
          <w:szCs w:val="22"/>
        </w:rPr>
        <w:fldChar w:fldCharType="begin"/>
      </w:r>
      <w:r>
        <w:rPr>
          <w:rFonts w:hint="default" w:ascii="Times New Roman" w:hAnsi="Times New Roman" w:cs="Times New Roman" w:eastAsiaTheme="minorEastAsia"/>
          <w:szCs w:val="22"/>
        </w:rPr>
        <w:instrText xml:space="preserve"> HYPERLINK \l _Toc31677 </w:instrText>
      </w:r>
      <w:r>
        <w:rPr>
          <w:rFonts w:hint="default" w:ascii="Times New Roman" w:hAnsi="Times New Roman" w:cs="Times New Roman" w:eastAsiaTheme="minorEastAsia"/>
          <w:szCs w:val="22"/>
        </w:rPr>
        <w:fldChar w:fldCharType="separate"/>
      </w:r>
      <w:r>
        <w:rPr>
          <w:rFonts w:hint="eastAsia"/>
          <w:szCs w:val="36"/>
          <w:lang w:val="en-US" w:eastAsia="zh-CN"/>
        </w:rPr>
        <w:t>二、建设项目工程分析</w:t>
      </w:r>
      <w:r>
        <w:tab/>
      </w:r>
      <w:r>
        <w:fldChar w:fldCharType="begin"/>
      </w:r>
      <w:r>
        <w:instrText xml:space="preserve"> PAGEREF _Toc31677 \h </w:instrText>
      </w:r>
      <w:r>
        <w:fldChar w:fldCharType="separate"/>
      </w:r>
      <w:r>
        <w:t>4</w:t>
      </w:r>
      <w:r>
        <w:fldChar w:fldCharType="end"/>
      </w:r>
      <w:r>
        <w:rPr>
          <w:rFonts w:hint="default" w:ascii="Times New Roman" w:hAnsi="Times New Roman" w:cs="Times New Roman" w:eastAsiaTheme="minorEastAsia"/>
          <w:color w:val="000000"/>
          <w:szCs w:val="22"/>
        </w:rPr>
        <w:fldChar w:fldCharType="end"/>
      </w:r>
    </w:p>
    <w:p>
      <w:pPr>
        <w:pStyle w:val="15"/>
        <w:tabs>
          <w:tab w:val="right" w:leader="dot" w:pos="8306"/>
        </w:tabs>
      </w:pPr>
      <w:r>
        <w:rPr>
          <w:rFonts w:hint="default" w:ascii="Times New Roman" w:hAnsi="Times New Roman" w:cs="Times New Roman" w:eastAsiaTheme="minorEastAsia"/>
          <w:color w:val="000000"/>
          <w:szCs w:val="22"/>
        </w:rPr>
        <w:fldChar w:fldCharType="begin"/>
      </w:r>
      <w:r>
        <w:rPr>
          <w:rFonts w:hint="default" w:ascii="Times New Roman" w:hAnsi="Times New Roman" w:cs="Times New Roman" w:eastAsiaTheme="minorEastAsia"/>
          <w:szCs w:val="22"/>
        </w:rPr>
        <w:instrText xml:space="preserve"> HYPERLINK \l _Toc18699 </w:instrText>
      </w:r>
      <w:r>
        <w:rPr>
          <w:rFonts w:hint="default" w:ascii="Times New Roman" w:hAnsi="Times New Roman" w:cs="Times New Roman" w:eastAsiaTheme="minorEastAsia"/>
          <w:szCs w:val="22"/>
        </w:rPr>
        <w:fldChar w:fldCharType="separate"/>
      </w:r>
      <w:r>
        <w:rPr>
          <w:rFonts w:hint="eastAsia"/>
          <w:szCs w:val="36"/>
          <w:lang w:val="en-US" w:eastAsia="zh-CN"/>
        </w:rPr>
        <w:t>三、区域环境质量现状、环境保护目标及评价标准</w:t>
      </w:r>
      <w:r>
        <w:tab/>
      </w:r>
      <w:r>
        <w:fldChar w:fldCharType="begin"/>
      </w:r>
      <w:r>
        <w:instrText xml:space="preserve"> PAGEREF _Toc18699 \h </w:instrText>
      </w:r>
      <w:r>
        <w:fldChar w:fldCharType="separate"/>
      </w:r>
      <w:r>
        <w:t>21</w:t>
      </w:r>
      <w:r>
        <w:fldChar w:fldCharType="end"/>
      </w:r>
      <w:r>
        <w:rPr>
          <w:rFonts w:hint="default" w:ascii="Times New Roman" w:hAnsi="Times New Roman" w:cs="Times New Roman" w:eastAsiaTheme="minorEastAsia"/>
          <w:color w:val="000000"/>
          <w:szCs w:val="22"/>
        </w:rPr>
        <w:fldChar w:fldCharType="end"/>
      </w:r>
    </w:p>
    <w:p>
      <w:pPr>
        <w:pStyle w:val="15"/>
        <w:tabs>
          <w:tab w:val="right" w:leader="dot" w:pos="8306"/>
        </w:tabs>
      </w:pPr>
      <w:r>
        <w:rPr>
          <w:rFonts w:hint="default" w:ascii="Times New Roman" w:hAnsi="Times New Roman" w:cs="Times New Roman" w:eastAsiaTheme="minorEastAsia"/>
          <w:color w:val="000000"/>
          <w:szCs w:val="22"/>
        </w:rPr>
        <w:fldChar w:fldCharType="begin"/>
      </w:r>
      <w:r>
        <w:rPr>
          <w:rFonts w:hint="default" w:ascii="Times New Roman" w:hAnsi="Times New Roman" w:cs="Times New Roman" w:eastAsiaTheme="minorEastAsia"/>
          <w:szCs w:val="22"/>
        </w:rPr>
        <w:instrText xml:space="preserve"> HYPERLINK \l _Toc13828 </w:instrText>
      </w:r>
      <w:r>
        <w:rPr>
          <w:rFonts w:hint="default" w:ascii="Times New Roman" w:hAnsi="Times New Roman" w:cs="Times New Roman" w:eastAsiaTheme="minorEastAsia"/>
          <w:szCs w:val="22"/>
        </w:rPr>
        <w:fldChar w:fldCharType="separate"/>
      </w:r>
      <w:r>
        <w:rPr>
          <w:rFonts w:hint="eastAsia"/>
          <w:szCs w:val="36"/>
          <w:lang w:val="en-US" w:eastAsia="zh-CN"/>
        </w:rPr>
        <w:t>四、主要环境影响和保护措施</w:t>
      </w:r>
      <w:r>
        <w:tab/>
      </w:r>
      <w:r>
        <w:fldChar w:fldCharType="begin"/>
      </w:r>
      <w:r>
        <w:instrText xml:space="preserve"> PAGEREF _Toc13828 \h </w:instrText>
      </w:r>
      <w:r>
        <w:fldChar w:fldCharType="separate"/>
      </w:r>
      <w:r>
        <w:t>28</w:t>
      </w:r>
      <w:r>
        <w:fldChar w:fldCharType="end"/>
      </w:r>
      <w:r>
        <w:rPr>
          <w:rFonts w:hint="default" w:ascii="Times New Roman" w:hAnsi="Times New Roman" w:cs="Times New Roman" w:eastAsiaTheme="minorEastAsia"/>
          <w:color w:val="000000"/>
          <w:szCs w:val="22"/>
        </w:rPr>
        <w:fldChar w:fldCharType="end"/>
      </w:r>
    </w:p>
    <w:p>
      <w:pPr>
        <w:pStyle w:val="15"/>
        <w:tabs>
          <w:tab w:val="right" w:leader="dot" w:pos="8306"/>
        </w:tabs>
      </w:pPr>
      <w:r>
        <w:rPr>
          <w:rFonts w:hint="default" w:ascii="Times New Roman" w:hAnsi="Times New Roman" w:cs="Times New Roman" w:eastAsiaTheme="minorEastAsia"/>
          <w:color w:val="000000"/>
          <w:szCs w:val="22"/>
        </w:rPr>
        <w:fldChar w:fldCharType="begin"/>
      </w:r>
      <w:r>
        <w:rPr>
          <w:rFonts w:hint="default" w:ascii="Times New Roman" w:hAnsi="Times New Roman" w:cs="Times New Roman" w:eastAsiaTheme="minorEastAsia"/>
          <w:szCs w:val="22"/>
        </w:rPr>
        <w:instrText xml:space="preserve"> HYPERLINK \l _Toc16156 </w:instrText>
      </w:r>
      <w:r>
        <w:rPr>
          <w:rFonts w:hint="default" w:ascii="Times New Roman" w:hAnsi="Times New Roman" w:cs="Times New Roman" w:eastAsiaTheme="minorEastAsia"/>
          <w:szCs w:val="22"/>
        </w:rPr>
        <w:fldChar w:fldCharType="separate"/>
      </w:r>
      <w:r>
        <w:rPr>
          <w:rFonts w:hint="eastAsia"/>
          <w:szCs w:val="36"/>
          <w:lang w:val="en-US" w:eastAsia="zh-CN"/>
        </w:rPr>
        <w:t>五、环境保护措施监督检查清单</w:t>
      </w:r>
      <w:r>
        <w:tab/>
      </w:r>
      <w:r>
        <w:fldChar w:fldCharType="begin"/>
      </w:r>
      <w:r>
        <w:instrText xml:space="preserve"> PAGEREF _Toc16156 \h </w:instrText>
      </w:r>
      <w:r>
        <w:fldChar w:fldCharType="separate"/>
      </w:r>
      <w:r>
        <w:t>56</w:t>
      </w:r>
      <w:r>
        <w:fldChar w:fldCharType="end"/>
      </w:r>
      <w:r>
        <w:rPr>
          <w:rFonts w:hint="default" w:ascii="Times New Roman" w:hAnsi="Times New Roman" w:cs="Times New Roman" w:eastAsiaTheme="minorEastAsia"/>
          <w:color w:val="000000"/>
          <w:szCs w:val="22"/>
        </w:rPr>
        <w:fldChar w:fldCharType="end"/>
      </w:r>
    </w:p>
    <w:p>
      <w:pPr>
        <w:pStyle w:val="15"/>
        <w:tabs>
          <w:tab w:val="right" w:leader="dot" w:pos="8306"/>
        </w:tabs>
      </w:pPr>
      <w:r>
        <w:rPr>
          <w:rFonts w:hint="default" w:ascii="Times New Roman" w:hAnsi="Times New Roman" w:cs="Times New Roman" w:eastAsiaTheme="minorEastAsia"/>
          <w:color w:val="000000"/>
          <w:szCs w:val="22"/>
        </w:rPr>
        <w:fldChar w:fldCharType="begin"/>
      </w:r>
      <w:r>
        <w:rPr>
          <w:rFonts w:hint="default" w:ascii="Times New Roman" w:hAnsi="Times New Roman" w:cs="Times New Roman" w:eastAsiaTheme="minorEastAsia"/>
          <w:szCs w:val="22"/>
        </w:rPr>
        <w:instrText xml:space="preserve"> HYPERLINK \l _Toc1975 </w:instrText>
      </w:r>
      <w:r>
        <w:rPr>
          <w:rFonts w:hint="default" w:ascii="Times New Roman" w:hAnsi="Times New Roman" w:cs="Times New Roman" w:eastAsiaTheme="minorEastAsia"/>
          <w:szCs w:val="22"/>
        </w:rPr>
        <w:fldChar w:fldCharType="separate"/>
      </w:r>
      <w:r>
        <w:rPr>
          <w:rFonts w:hint="eastAsia"/>
          <w:szCs w:val="36"/>
          <w:lang w:val="en-US" w:eastAsia="zh-CN"/>
        </w:rPr>
        <w:t>六、 结论</w:t>
      </w:r>
      <w:r>
        <w:tab/>
      </w:r>
      <w:r>
        <w:fldChar w:fldCharType="begin"/>
      </w:r>
      <w:r>
        <w:instrText xml:space="preserve"> PAGEREF _Toc1975 \h </w:instrText>
      </w:r>
      <w:r>
        <w:fldChar w:fldCharType="separate"/>
      </w:r>
      <w:r>
        <w:t>58</w:t>
      </w:r>
      <w:r>
        <w:fldChar w:fldCharType="end"/>
      </w:r>
      <w:r>
        <w:rPr>
          <w:rFonts w:hint="default" w:ascii="Times New Roman" w:hAnsi="Times New Roman" w:cs="Times New Roman" w:eastAsiaTheme="minorEastAsia"/>
          <w:color w:val="000000"/>
          <w:szCs w:val="22"/>
        </w:rPr>
        <w:fldChar w:fldCharType="end"/>
      </w:r>
    </w:p>
    <w:p>
      <w:pPr>
        <w:pStyle w:val="15"/>
        <w:tabs>
          <w:tab w:val="right" w:leader="dot" w:pos="8306"/>
        </w:tabs>
      </w:pPr>
      <w:r>
        <w:rPr>
          <w:rFonts w:hint="default" w:ascii="Times New Roman" w:hAnsi="Times New Roman" w:cs="Times New Roman" w:eastAsiaTheme="minorEastAsia"/>
          <w:color w:val="000000"/>
          <w:szCs w:val="22"/>
        </w:rPr>
        <w:fldChar w:fldCharType="begin"/>
      </w:r>
      <w:r>
        <w:rPr>
          <w:rFonts w:hint="default" w:ascii="Times New Roman" w:hAnsi="Times New Roman" w:cs="Times New Roman" w:eastAsiaTheme="minorEastAsia"/>
          <w:szCs w:val="22"/>
        </w:rPr>
        <w:instrText xml:space="preserve"> HYPERLINK \l _Toc18029 </w:instrText>
      </w:r>
      <w:r>
        <w:rPr>
          <w:rFonts w:hint="default" w:ascii="Times New Roman" w:hAnsi="Times New Roman" w:cs="Times New Roman" w:eastAsiaTheme="minorEastAsia"/>
          <w:szCs w:val="22"/>
        </w:rPr>
        <w:fldChar w:fldCharType="separate"/>
      </w:r>
      <w:r>
        <w:rPr>
          <w:rFonts w:hint="eastAsia" w:ascii="宋体" w:hAnsi="宋体" w:eastAsia="宋体" w:cs="宋体"/>
          <w:bCs/>
          <w:snapToGrid w:val="0"/>
          <w:szCs w:val="32"/>
        </w:rPr>
        <w:t>附表</w:t>
      </w:r>
      <w:r>
        <w:tab/>
      </w:r>
      <w:r>
        <w:fldChar w:fldCharType="begin"/>
      </w:r>
      <w:r>
        <w:instrText xml:space="preserve"> PAGEREF _Toc18029 \h </w:instrText>
      </w:r>
      <w:r>
        <w:fldChar w:fldCharType="separate"/>
      </w:r>
      <w:r>
        <w:t>60</w:t>
      </w:r>
      <w:r>
        <w:fldChar w:fldCharType="end"/>
      </w:r>
      <w:r>
        <w:rPr>
          <w:rFonts w:hint="default" w:ascii="Times New Roman" w:hAnsi="Times New Roman" w:cs="Times New Roman" w:eastAsiaTheme="minorEastAsia"/>
          <w:color w:val="000000"/>
          <w:szCs w:val="22"/>
        </w:rPr>
        <w:fldChar w:fldCharType="end"/>
      </w:r>
    </w:p>
    <w:p>
      <w:pPr>
        <w:spacing w:line="380" w:lineRule="exact"/>
        <w:ind w:firstLine="0" w:firstLineChars="0"/>
        <w:jc w:val="left"/>
        <w:rPr>
          <w:rStyle w:val="23"/>
          <w:rFonts w:hint="default" w:ascii="Times New Roman" w:hAnsi="Times New Roman" w:eastAsia="宋体" w:cs="Times New Roman"/>
          <w:color w:val="000000"/>
          <w:sz w:val="24"/>
          <w:szCs w:val="24"/>
        </w:rPr>
      </w:pPr>
      <w:r>
        <w:rPr>
          <w:rFonts w:hint="default" w:ascii="Times New Roman" w:hAnsi="Times New Roman" w:cs="Times New Roman" w:eastAsiaTheme="minorEastAsia"/>
          <w:color w:val="000000"/>
          <w:szCs w:val="22"/>
        </w:rPr>
        <w:fldChar w:fldCharType="end"/>
      </w:r>
      <w:r>
        <w:rPr>
          <w:rStyle w:val="23"/>
          <w:rFonts w:hint="default" w:ascii="Times New Roman" w:hAnsi="Times New Roman" w:eastAsia="宋体" w:cs="Times New Roman"/>
          <w:b/>
          <w:bCs/>
          <w:color w:val="000000"/>
          <w:sz w:val="24"/>
          <w:szCs w:val="24"/>
        </w:rPr>
        <w:t>附表：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附表1：</w:t>
      </w:r>
      <w:r>
        <w:rPr>
          <w:rFonts w:hint="eastAsia" w:ascii="Times New Roman" w:hAnsi="Times New Roman" w:eastAsia="宋体" w:cs="Times New Roman"/>
          <w:color w:val="000000"/>
          <w:sz w:val="24"/>
          <w:szCs w:val="22"/>
        </w:rPr>
        <w:t>建设项目污染物排放量汇总表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附表2：建设项目大气环境影响评价自查表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附表3：建设项目地表水环境影响评价自查表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附表4：建设项目环境风险评价自查表</w:t>
      </w:r>
    </w:p>
    <w:p>
      <w:pPr>
        <w:keepNext w:val="0"/>
        <w:keepLines w:val="0"/>
        <w:pageBreakBefore w:val="0"/>
        <w:widowControl w:val="0"/>
        <w:kinsoku/>
        <w:wordWrap/>
        <w:overflowPunct/>
        <w:topLinePunct w:val="0"/>
        <w:autoSpaceDE/>
        <w:autoSpaceDN/>
        <w:bidi w:val="0"/>
        <w:adjustRightInd w:val="0"/>
        <w:snapToGrid w:val="0"/>
        <w:spacing w:line="360" w:lineRule="auto"/>
        <w:ind w:left="479" w:leftChars="228" w:firstLine="0" w:firstLineChars="0"/>
        <w:jc w:val="left"/>
        <w:textAlignment w:val="auto"/>
        <w:rPr>
          <w:rFonts w:hint="default"/>
          <w:lang w:val="en-US"/>
        </w:rPr>
      </w:pPr>
      <w:r>
        <w:rPr>
          <w:rFonts w:hint="default" w:ascii="Times New Roman" w:hAnsi="Times New Roman" w:eastAsia="宋体" w:cs="Times New Roman"/>
          <w:color w:val="000000"/>
          <w:sz w:val="24"/>
          <w:szCs w:val="22"/>
        </w:rPr>
        <w:t>附表</w:t>
      </w:r>
      <w:r>
        <w:rPr>
          <w:rFonts w:hint="eastAsia" w:ascii="Times New Roman" w:hAnsi="Times New Roman" w:cs="Times New Roman"/>
          <w:color w:val="000000"/>
          <w:sz w:val="24"/>
          <w:szCs w:val="22"/>
          <w:lang w:val="en-US" w:eastAsia="zh-CN"/>
        </w:rPr>
        <w:t>5</w:t>
      </w:r>
      <w:r>
        <w:rPr>
          <w:rFonts w:hint="default" w:ascii="Times New Roman" w:hAnsi="Times New Roman" w:eastAsia="宋体" w:cs="Times New Roman"/>
          <w:color w:val="000000"/>
          <w:sz w:val="24"/>
          <w:szCs w:val="22"/>
        </w:rPr>
        <w:t>：建设项目</w:t>
      </w:r>
      <w:r>
        <w:rPr>
          <w:rFonts w:hint="eastAsia" w:ascii="Times New Roman" w:hAnsi="Times New Roman" w:eastAsia="宋体" w:cs="Times New Roman"/>
          <w:color w:val="000000"/>
          <w:sz w:val="24"/>
          <w:szCs w:val="22"/>
          <w:lang w:val="en-US" w:eastAsia="zh-CN"/>
        </w:rPr>
        <w:t>土壤环境影响评价自评表</w:t>
      </w:r>
      <w:r>
        <w:rPr>
          <w:rFonts w:hint="eastAsia" w:ascii="Times New Roman" w:hAnsi="Times New Roman" w:eastAsia="宋体" w:cs="Times New Roman"/>
          <w:color w:val="000000"/>
          <w:sz w:val="24"/>
          <w:szCs w:val="22"/>
          <w:lang w:val="en-US" w:eastAsia="zh-CN"/>
        </w:rPr>
        <w:br w:type="textWrapping"/>
      </w:r>
      <w:r>
        <w:rPr>
          <w:rFonts w:hint="eastAsia" w:ascii="Times New Roman" w:cs="Times New Roman"/>
          <w:color w:val="000000"/>
          <w:sz w:val="24"/>
          <w:szCs w:val="22"/>
          <w:lang w:val="en-US" w:eastAsia="zh-CN"/>
        </w:rPr>
        <w:t>附表6：建设项目基础信息表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Style w:val="23"/>
          <w:rFonts w:hint="default" w:ascii="Times New Roman" w:hAnsi="Times New Roman" w:eastAsia="宋体" w:cs="Times New Roman"/>
          <w:b/>
          <w:bCs/>
          <w:color w:val="000000"/>
          <w:sz w:val="24"/>
          <w:szCs w:val="24"/>
        </w:rPr>
      </w:pPr>
      <w:r>
        <w:rPr>
          <w:rStyle w:val="23"/>
          <w:rFonts w:hint="default" w:ascii="Times New Roman" w:hAnsi="Times New Roman" w:eastAsia="宋体" w:cs="Times New Roman"/>
          <w:b/>
          <w:bCs/>
          <w:color w:val="000000"/>
          <w:sz w:val="24"/>
          <w:szCs w:val="24"/>
        </w:rPr>
        <w:t>附件：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附件1</w:t>
      </w:r>
      <w:r>
        <w:rPr>
          <w:rFonts w:hint="eastAsia" w:ascii="Times New Roman" w:hAnsi="Times New Roman" w:eastAsia="宋体" w:cs="Times New Roman"/>
          <w:color w:val="000000"/>
          <w:sz w:val="24"/>
          <w:szCs w:val="22"/>
          <w:lang w:eastAsia="zh-CN"/>
        </w:rPr>
        <w:t>：</w:t>
      </w:r>
      <w:r>
        <w:rPr>
          <w:rFonts w:hint="eastAsia" w:ascii="Times New Roman" w:hAnsi="Times New Roman" w:cs="Times New Roman"/>
          <w:color w:val="000000"/>
          <w:sz w:val="24"/>
          <w:szCs w:val="22"/>
          <w:lang w:val="en-US" w:eastAsia="zh-CN"/>
        </w:rPr>
        <w:t>环评</w:t>
      </w:r>
      <w:r>
        <w:rPr>
          <w:rFonts w:hint="default" w:ascii="Times New Roman" w:hAnsi="Times New Roman" w:eastAsia="宋体" w:cs="Times New Roman"/>
          <w:color w:val="000000"/>
          <w:sz w:val="24"/>
          <w:szCs w:val="22"/>
        </w:rPr>
        <w:t>委托书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sz w:val="24"/>
          <w:szCs w:val="22"/>
          <w:lang w:val="en-US" w:eastAsia="zh-CN"/>
        </w:rPr>
      </w:pPr>
      <w:r>
        <w:rPr>
          <w:rFonts w:hint="default" w:ascii="Times New Roman" w:hAnsi="Times New Roman" w:eastAsia="宋体" w:cs="Times New Roman"/>
          <w:color w:val="000000"/>
          <w:sz w:val="24"/>
          <w:szCs w:val="22"/>
        </w:rPr>
        <w:t>附件2</w:t>
      </w:r>
      <w:r>
        <w:rPr>
          <w:rFonts w:hint="eastAsia" w:ascii="Times New Roman" w:hAnsi="Times New Roman" w:eastAsia="宋体" w:cs="Times New Roman"/>
          <w:color w:val="000000"/>
          <w:sz w:val="24"/>
          <w:szCs w:val="22"/>
          <w:lang w:eastAsia="zh-CN"/>
        </w:rPr>
        <w:t>：</w:t>
      </w:r>
      <w:r>
        <w:rPr>
          <w:rFonts w:hint="default" w:ascii="Times New Roman" w:hAnsi="Times New Roman" w:eastAsia="宋体" w:cs="Times New Roman"/>
          <w:color w:val="000000"/>
          <w:sz w:val="24"/>
          <w:szCs w:val="22"/>
          <w:lang w:val="en-US" w:eastAsia="zh-CN"/>
        </w:rPr>
        <w:t>营业执照</w:t>
      </w:r>
    </w:p>
    <w:p>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jc w:val="left"/>
        <w:textAlignment w:val="auto"/>
        <w:rPr>
          <w:rFonts w:hint="default" w:ascii="Times New Roman" w:hAnsi="Times New Roman" w:eastAsia="宋体" w:cs="Times New Roman"/>
          <w:b w:val="0"/>
          <w:bCs w:val="0"/>
          <w:color w:val="000000"/>
          <w:kern w:val="2"/>
          <w:sz w:val="24"/>
          <w:szCs w:val="22"/>
          <w:lang w:val="en-US" w:eastAsia="zh-CN" w:bidi="ar-SA"/>
        </w:rPr>
      </w:pPr>
      <w:r>
        <w:rPr>
          <w:rFonts w:hint="default" w:ascii="Times New Roman" w:hAnsi="Times New Roman" w:eastAsia="宋体" w:cs="Times New Roman"/>
          <w:b w:val="0"/>
          <w:bCs w:val="0"/>
          <w:color w:val="000000"/>
          <w:kern w:val="2"/>
          <w:sz w:val="24"/>
          <w:szCs w:val="22"/>
          <w:lang w:val="en-US" w:eastAsia="zh-CN" w:bidi="ar-SA"/>
        </w:rPr>
        <w:t>附件</w:t>
      </w:r>
      <w:r>
        <w:rPr>
          <w:rFonts w:hint="eastAsia" w:ascii="Times New Roman" w:hAnsi="Times New Roman" w:cs="Times New Roman"/>
          <w:b w:val="0"/>
          <w:bCs w:val="0"/>
          <w:color w:val="000000"/>
          <w:kern w:val="2"/>
          <w:sz w:val="24"/>
          <w:szCs w:val="22"/>
          <w:lang w:val="en-US" w:eastAsia="zh-CN" w:bidi="ar-SA"/>
        </w:rPr>
        <w:t>3</w:t>
      </w:r>
      <w:r>
        <w:rPr>
          <w:rFonts w:hint="eastAsia" w:ascii="Times New Roman" w:hAnsi="Times New Roman" w:eastAsia="宋体" w:cs="Times New Roman"/>
          <w:b w:val="0"/>
          <w:bCs w:val="0"/>
          <w:color w:val="000000"/>
          <w:sz w:val="24"/>
          <w:szCs w:val="22"/>
          <w:lang w:eastAsia="zh-CN"/>
        </w:rPr>
        <w:t>：</w:t>
      </w:r>
      <w:r>
        <w:rPr>
          <w:rFonts w:hint="default" w:ascii="Times New Roman" w:hAnsi="Times New Roman" w:eastAsia="宋体" w:cs="Times New Roman"/>
          <w:b w:val="0"/>
          <w:bCs w:val="0"/>
          <w:color w:val="000000"/>
          <w:kern w:val="2"/>
          <w:sz w:val="24"/>
          <w:szCs w:val="22"/>
          <w:lang w:val="en-US" w:eastAsia="zh-CN" w:bidi="ar-SA"/>
        </w:rPr>
        <w:t>项目租赁协议</w:t>
      </w:r>
    </w:p>
    <w:p>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480" w:firstLineChars="200"/>
        <w:jc w:val="left"/>
        <w:textAlignment w:val="auto"/>
        <w:rPr>
          <w:rStyle w:val="23"/>
          <w:rFonts w:hint="default" w:ascii="Times New Roman" w:hAnsi="Times New Roman" w:eastAsia="宋体" w:cs="Times New Roman"/>
          <w:b/>
          <w:bCs/>
          <w:color w:val="000000"/>
          <w:sz w:val="24"/>
          <w:szCs w:val="24"/>
        </w:rPr>
      </w:pPr>
      <w:r>
        <w:rPr>
          <w:rFonts w:hint="default" w:ascii="Times New Roman" w:hAnsi="Times New Roman" w:eastAsia="宋体" w:cs="Times New Roman"/>
          <w:b w:val="0"/>
          <w:bCs w:val="0"/>
          <w:kern w:val="2"/>
          <w:sz w:val="24"/>
          <w:szCs w:val="24"/>
          <w:lang w:val="en-US" w:eastAsia="zh-CN" w:bidi="ar-SA"/>
        </w:rPr>
        <w:t>附件</w:t>
      </w:r>
      <w:r>
        <w:rPr>
          <w:rFonts w:hint="eastAsia" w:ascii="Times New Roman" w:hAnsi="Times New Roman" w:cs="Times New Roman"/>
          <w:b w:val="0"/>
          <w:bCs w:val="0"/>
          <w:kern w:val="2"/>
          <w:sz w:val="24"/>
          <w:szCs w:val="24"/>
          <w:lang w:val="en-US" w:eastAsia="zh-CN" w:bidi="ar-SA"/>
        </w:rPr>
        <w:t>4</w:t>
      </w:r>
      <w:r>
        <w:rPr>
          <w:rFonts w:hint="eastAsia" w:ascii="Times New Roman" w:hAnsi="Times New Roman" w:eastAsia="宋体" w:cs="Times New Roman"/>
          <w:b w:val="0"/>
          <w:bCs w:val="0"/>
          <w:color w:val="000000"/>
          <w:sz w:val="24"/>
          <w:szCs w:val="22"/>
          <w:lang w:eastAsia="zh-CN"/>
        </w:rPr>
        <w:t>：</w:t>
      </w:r>
      <w:r>
        <w:rPr>
          <w:rFonts w:hint="default" w:ascii="Times New Roman" w:hAnsi="Times New Roman" w:eastAsia="宋体" w:cs="Times New Roman"/>
          <w:b w:val="0"/>
          <w:bCs w:val="0"/>
          <w:kern w:val="2"/>
          <w:sz w:val="24"/>
          <w:szCs w:val="24"/>
          <w:lang w:val="en-US" w:eastAsia="zh-CN" w:bidi="ar-SA"/>
        </w:rPr>
        <w:t>项目检测报告</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Style w:val="23"/>
          <w:rFonts w:hint="default" w:ascii="Times New Roman" w:hAnsi="Times New Roman" w:eastAsia="宋体" w:cs="Times New Roman"/>
          <w:b/>
          <w:bCs/>
          <w:color w:val="000000"/>
          <w:sz w:val="24"/>
          <w:szCs w:val="24"/>
        </w:rPr>
      </w:pPr>
      <w:r>
        <w:rPr>
          <w:rStyle w:val="23"/>
          <w:rFonts w:hint="default" w:ascii="Times New Roman" w:hAnsi="Times New Roman" w:eastAsia="宋体" w:cs="Times New Roman"/>
          <w:b/>
          <w:bCs/>
          <w:color w:val="000000"/>
          <w:sz w:val="24"/>
          <w:szCs w:val="24"/>
        </w:rPr>
        <w:t>附图：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sz w:val="24"/>
          <w:szCs w:val="22"/>
          <w:lang w:val="en-US" w:eastAsia="zh-CN"/>
        </w:rPr>
      </w:pPr>
      <w:r>
        <w:rPr>
          <w:rFonts w:hint="default" w:ascii="Times New Roman" w:hAnsi="Times New Roman" w:eastAsia="宋体" w:cs="Times New Roman"/>
          <w:color w:val="000000"/>
          <w:sz w:val="24"/>
          <w:szCs w:val="22"/>
          <w:lang w:val="en-US" w:eastAsia="zh-CN"/>
        </w:rPr>
        <w:t>附</w:t>
      </w:r>
      <w:r>
        <w:rPr>
          <w:rFonts w:hint="default" w:ascii="Times New Roman" w:hAnsi="Times New Roman" w:eastAsia="宋体" w:cs="Times New Roman"/>
          <w:b w:val="0"/>
          <w:bCs w:val="0"/>
          <w:color w:val="000000"/>
          <w:sz w:val="24"/>
          <w:szCs w:val="22"/>
          <w:lang w:val="en-US" w:eastAsia="zh-CN"/>
        </w:rPr>
        <w:t>图1</w:t>
      </w:r>
      <w:r>
        <w:rPr>
          <w:rFonts w:hint="eastAsia" w:ascii="Times New Roman" w:hAnsi="Times New Roman" w:eastAsia="宋体" w:cs="Times New Roman"/>
          <w:b w:val="0"/>
          <w:bCs w:val="0"/>
          <w:color w:val="000000"/>
          <w:sz w:val="24"/>
          <w:szCs w:val="22"/>
          <w:lang w:val="en-US" w:eastAsia="zh-CN"/>
        </w:rPr>
        <w:t>：</w:t>
      </w:r>
      <w:r>
        <w:rPr>
          <w:rFonts w:hint="default" w:ascii="Times New Roman" w:hAnsi="Times New Roman" w:eastAsia="宋体" w:cs="Times New Roman"/>
          <w:b w:val="0"/>
          <w:bCs w:val="0"/>
          <w:color w:val="000000"/>
          <w:sz w:val="24"/>
          <w:szCs w:val="22"/>
          <w:lang w:val="en-US" w:eastAsia="zh-CN"/>
        </w:rPr>
        <w:t>项目所在地理位置图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sz w:val="24"/>
          <w:szCs w:val="22"/>
          <w:lang w:val="en-US" w:eastAsia="zh-CN"/>
        </w:rPr>
      </w:pPr>
      <w:r>
        <w:rPr>
          <w:rFonts w:hint="eastAsia" w:ascii="Times New Roman" w:hAnsi="Times New Roman" w:eastAsia="宋体" w:cs="Times New Roman"/>
          <w:b w:val="0"/>
          <w:bCs w:val="0"/>
          <w:color w:val="000000"/>
          <w:sz w:val="24"/>
          <w:szCs w:val="22"/>
          <w:lang w:val="en-US" w:eastAsia="zh-CN"/>
        </w:rPr>
        <w:t>附图2：项目详细地理位置示意图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sz w:val="24"/>
          <w:szCs w:val="22"/>
          <w:lang w:val="en-US" w:eastAsia="zh-CN"/>
        </w:rPr>
      </w:pPr>
      <w:r>
        <w:rPr>
          <w:rFonts w:hint="default" w:ascii="Times New Roman" w:hAnsi="Times New Roman" w:eastAsia="宋体" w:cs="Times New Roman"/>
          <w:b w:val="0"/>
          <w:bCs w:val="0"/>
          <w:color w:val="000000"/>
          <w:sz w:val="24"/>
          <w:szCs w:val="22"/>
          <w:lang w:val="en-US" w:eastAsia="zh-CN"/>
        </w:rPr>
        <w:t>附图</w:t>
      </w:r>
      <w:r>
        <w:rPr>
          <w:rFonts w:hint="eastAsia" w:ascii="Times New Roman" w:hAnsi="Times New Roman" w:eastAsia="宋体" w:cs="Times New Roman"/>
          <w:b w:val="0"/>
          <w:bCs w:val="0"/>
          <w:color w:val="000000"/>
          <w:sz w:val="24"/>
          <w:szCs w:val="22"/>
          <w:lang w:val="en-US" w:eastAsia="zh-CN"/>
        </w:rPr>
        <w:t>3：</w:t>
      </w:r>
      <w:r>
        <w:rPr>
          <w:rFonts w:hint="default" w:ascii="Times New Roman" w:hAnsi="Times New Roman" w:eastAsia="宋体" w:cs="Times New Roman"/>
          <w:b w:val="0"/>
          <w:bCs w:val="0"/>
          <w:color w:val="000000"/>
          <w:sz w:val="24"/>
          <w:szCs w:val="22"/>
          <w:lang w:val="en-US" w:eastAsia="zh-CN"/>
        </w:rPr>
        <w:t>项目环境保护目标图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sz w:val="24"/>
          <w:szCs w:val="22"/>
          <w:lang w:val="en-US" w:eastAsia="zh-CN"/>
        </w:rPr>
      </w:pPr>
      <w:r>
        <w:rPr>
          <w:rFonts w:hint="default" w:ascii="Times New Roman" w:hAnsi="Times New Roman" w:eastAsia="宋体" w:cs="Times New Roman"/>
          <w:b w:val="0"/>
          <w:bCs w:val="0"/>
          <w:color w:val="000000"/>
          <w:sz w:val="24"/>
          <w:szCs w:val="22"/>
          <w:lang w:val="en-US" w:eastAsia="zh-CN"/>
        </w:rPr>
        <w:t>附图4</w:t>
      </w:r>
      <w:r>
        <w:rPr>
          <w:rFonts w:hint="eastAsia" w:ascii="Times New Roman" w:hAnsi="Times New Roman" w:eastAsia="宋体" w:cs="Times New Roman"/>
          <w:b w:val="0"/>
          <w:bCs w:val="0"/>
          <w:color w:val="000000"/>
          <w:sz w:val="24"/>
          <w:szCs w:val="22"/>
          <w:lang w:val="en-US" w:eastAsia="zh-CN"/>
        </w:rPr>
        <w:t>：</w:t>
      </w:r>
      <w:r>
        <w:rPr>
          <w:rFonts w:hint="default" w:ascii="Times New Roman" w:hAnsi="Times New Roman" w:eastAsia="宋体" w:cs="Times New Roman"/>
          <w:b w:val="0"/>
          <w:bCs w:val="0"/>
          <w:sz w:val="24"/>
          <w:szCs w:val="24"/>
          <w:lang w:val="en-US" w:eastAsia="zh-CN"/>
        </w:rPr>
        <w:t>项目</w:t>
      </w:r>
      <w:r>
        <w:rPr>
          <w:rFonts w:hint="eastAsia" w:ascii="Times New Roman" w:hAnsi="Times New Roman" w:eastAsia="宋体" w:cs="Times New Roman"/>
          <w:b w:val="0"/>
          <w:bCs w:val="0"/>
          <w:sz w:val="24"/>
          <w:szCs w:val="24"/>
          <w:lang w:val="en-US" w:eastAsia="zh-CN"/>
        </w:rPr>
        <w:t>引用的</w:t>
      </w:r>
      <w:r>
        <w:rPr>
          <w:rFonts w:hint="eastAsia" w:ascii="Times New Roman" w:hAnsi="Times New Roman" w:cs="Times New Roman"/>
          <w:b w:val="0"/>
          <w:bCs w:val="0"/>
          <w:sz w:val="24"/>
          <w:szCs w:val="24"/>
          <w:lang w:val="en-US" w:eastAsia="zh-CN"/>
        </w:rPr>
        <w:t>水</w:t>
      </w:r>
      <w:r>
        <w:rPr>
          <w:rFonts w:hint="default" w:ascii="Times New Roman" w:hAnsi="Times New Roman" w:eastAsia="宋体" w:cs="Times New Roman"/>
          <w:b w:val="0"/>
          <w:bCs w:val="0"/>
          <w:sz w:val="24"/>
          <w:szCs w:val="24"/>
          <w:lang w:val="en-US" w:eastAsia="zh-CN"/>
        </w:rPr>
        <w:t>环境</w:t>
      </w:r>
      <w:r>
        <w:rPr>
          <w:rFonts w:hint="eastAsia" w:ascii="Times New Roman" w:hAnsi="Times New Roman" w:cs="Times New Roman"/>
          <w:b w:val="0"/>
          <w:bCs w:val="0"/>
          <w:sz w:val="24"/>
          <w:szCs w:val="24"/>
          <w:lang w:val="en-US" w:eastAsia="zh-CN"/>
        </w:rPr>
        <w:t>质量</w:t>
      </w:r>
      <w:r>
        <w:rPr>
          <w:rFonts w:hint="default" w:ascii="Times New Roman" w:hAnsi="Times New Roman" w:eastAsia="宋体" w:cs="Times New Roman"/>
          <w:b w:val="0"/>
          <w:bCs w:val="0"/>
          <w:sz w:val="24"/>
          <w:szCs w:val="24"/>
          <w:lang w:val="en-US" w:eastAsia="zh-CN"/>
        </w:rPr>
        <w:t>监测布点图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sz w:val="24"/>
          <w:szCs w:val="22"/>
          <w:lang w:val="en-US" w:eastAsia="zh-CN"/>
        </w:rPr>
      </w:pPr>
      <w:r>
        <w:rPr>
          <w:rFonts w:hint="default" w:ascii="Times New Roman" w:hAnsi="Times New Roman" w:eastAsia="宋体" w:cs="Times New Roman"/>
          <w:b w:val="0"/>
          <w:bCs w:val="0"/>
          <w:color w:val="000000"/>
          <w:sz w:val="24"/>
          <w:szCs w:val="22"/>
          <w:lang w:val="en-US" w:eastAsia="zh-CN"/>
        </w:rPr>
        <w:t>附图5</w:t>
      </w:r>
      <w:r>
        <w:rPr>
          <w:rFonts w:hint="eastAsia" w:ascii="Times New Roman" w:hAnsi="Times New Roman" w:eastAsia="宋体" w:cs="Times New Roman"/>
          <w:b w:val="0"/>
          <w:bCs w:val="0"/>
          <w:color w:val="000000"/>
          <w:sz w:val="24"/>
          <w:szCs w:val="22"/>
          <w:lang w:val="en-US" w:eastAsia="zh-CN"/>
        </w:rPr>
        <w:t>：</w:t>
      </w:r>
      <w:r>
        <w:rPr>
          <w:rFonts w:hint="default" w:ascii="Times New Roman" w:hAnsi="Times New Roman" w:eastAsia="宋体" w:cs="Times New Roman"/>
          <w:b w:val="0"/>
          <w:bCs w:val="0"/>
          <w:sz w:val="24"/>
          <w:szCs w:val="24"/>
          <w:lang w:val="en-US" w:eastAsia="zh-CN"/>
        </w:rPr>
        <w:t>项目</w:t>
      </w:r>
      <w:r>
        <w:rPr>
          <w:rFonts w:hint="eastAsia" w:ascii="Times New Roman" w:hAnsi="Times New Roman" w:eastAsia="宋体" w:cs="Times New Roman"/>
          <w:b w:val="0"/>
          <w:bCs w:val="0"/>
          <w:sz w:val="24"/>
          <w:szCs w:val="24"/>
          <w:lang w:val="en-US" w:eastAsia="zh-CN"/>
        </w:rPr>
        <w:t>声环境</w:t>
      </w:r>
      <w:r>
        <w:rPr>
          <w:rFonts w:hint="default" w:ascii="Times New Roman" w:hAnsi="Times New Roman" w:eastAsia="宋体" w:cs="Times New Roman"/>
          <w:b w:val="0"/>
          <w:bCs w:val="0"/>
          <w:sz w:val="24"/>
          <w:szCs w:val="24"/>
          <w:lang w:val="en-US" w:eastAsia="zh-CN"/>
        </w:rPr>
        <w:t>监测布点图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color w:val="000000"/>
          <w:sz w:val="24"/>
          <w:szCs w:val="22"/>
        </w:rPr>
        <w:t>附图</w:t>
      </w:r>
      <w:r>
        <w:rPr>
          <w:rFonts w:hint="default" w:ascii="Times New Roman" w:hAnsi="Times New Roman" w:eastAsia="宋体" w:cs="Times New Roman"/>
          <w:b w:val="0"/>
          <w:bCs w:val="0"/>
          <w:color w:val="000000"/>
          <w:sz w:val="24"/>
          <w:szCs w:val="22"/>
          <w:lang w:val="en-US" w:eastAsia="zh-CN"/>
        </w:rPr>
        <w:t>6</w:t>
      </w:r>
      <w:r>
        <w:rPr>
          <w:rFonts w:hint="eastAsia" w:ascii="Times New Roman" w:hAnsi="Times New Roman" w:eastAsia="宋体" w:cs="Times New Roman"/>
          <w:b w:val="0"/>
          <w:bCs w:val="0"/>
          <w:color w:val="000000"/>
          <w:sz w:val="24"/>
          <w:szCs w:val="22"/>
          <w:lang w:eastAsia="zh-CN"/>
        </w:rPr>
        <w:t>：</w:t>
      </w:r>
      <w:r>
        <w:rPr>
          <w:rFonts w:hint="default" w:ascii="Times New Roman" w:hAnsi="Times New Roman" w:eastAsia="宋体" w:cs="Times New Roman"/>
          <w:b w:val="0"/>
          <w:bCs w:val="0"/>
          <w:sz w:val="24"/>
          <w:szCs w:val="24"/>
          <w:lang w:val="en-US" w:eastAsia="zh-CN"/>
        </w:rPr>
        <w:t>项目</w:t>
      </w:r>
      <w:r>
        <w:rPr>
          <w:rFonts w:hint="eastAsia" w:ascii="Times New Roman" w:hAnsi="Times New Roman" w:eastAsia="宋体" w:cs="Times New Roman"/>
          <w:b w:val="0"/>
          <w:bCs w:val="0"/>
          <w:sz w:val="24"/>
          <w:szCs w:val="24"/>
          <w:lang w:val="en-US" w:eastAsia="zh-CN"/>
        </w:rPr>
        <w:t>现场照片图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lang w:val="en-US" w:eastAsia="zh-CN"/>
        </w:rPr>
      </w:pPr>
      <w:r>
        <w:rPr>
          <w:rFonts w:hint="eastAsia" w:ascii="Times New Roman" w:cs="Times New Roman"/>
          <w:b w:val="0"/>
          <w:bCs w:val="0"/>
          <w:sz w:val="24"/>
          <w:szCs w:val="24"/>
          <w:lang w:val="en-US" w:eastAsia="zh-CN"/>
        </w:rPr>
        <w:t>附图7：新田县生态红线图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sz w:val="24"/>
          <w:szCs w:val="22"/>
          <w:lang w:val="en-US" w:eastAsia="zh-CN"/>
        </w:rPr>
      </w:pPr>
      <w:r>
        <w:rPr>
          <w:rFonts w:hint="default" w:ascii="Times New Roman" w:hAnsi="Times New Roman" w:eastAsia="宋体" w:cs="Times New Roman"/>
          <w:b w:val="0"/>
          <w:bCs w:val="0"/>
          <w:color w:val="000000"/>
          <w:sz w:val="24"/>
          <w:szCs w:val="22"/>
        </w:rPr>
        <w:t>附图</w:t>
      </w:r>
      <w:r>
        <w:rPr>
          <w:rFonts w:hint="eastAsia" w:ascii="Times New Roman" w:hAnsi="Times New Roman" w:cs="Times New Roman"/>
          <w:b w:val="0"/>
          <w:bCs w:val="0"/>
          <w:color w:val="000000"/>
          <w:sz w:val="24"/>
          <w:szCs w:val="22"/>
          <w:lang w:val="en-US" w:eastAsia="zh-CN"/>
        </w:rPr>
        <w:t>8</w:t>
      </w:r>
      <w:r>
        <w:rPr>
          <w:rFonts w:hint="eastAsia" w:ascii="Times New Roman" w:hAnsi="Times New Roman" w:eastAsia="宋体" w:cs="Times New Roman"/>
          <w:b w:val="0"/>
          <w:bCs w:val="0"/>
          <w:color w:val="000000"/>
          <w:sz w:val="24"/>
          <w:szCs w:val="22"/>
          <w:lang w:eastAsia="zh-CN"/>
        </w:rPr>
        <w:t>：</w:t>
      </w:r>
      <w:r>
        <w:rPr>
          <w:rFonts w:hint="eastAsia" w:ascii="Times New Roman" w:hAnsi="Times New Roman" w:cs="Times New Roman"/>
          <w:b w:val="0"/>
          <w:bCs w:val="0"/>
          <w:sz w:val="24"/>
          <w:szCs w:val="24"/>
          <w:lang w:val="en-US" w:eastAsia="zh-CN"/>
        </w:rPr>
        <w:t>项目</w:t>
      </w:r>
      <w:r>
        <w:rPr>
          <w:rFonts w:hint="default" w:ascii="Times New Roman" w:hAnsi="Times New Roman" w:cs="Times New Roman"/>
          <w:b w:val="0"/>
          <w:bCs w:val="0"/>
          <w:sz w:val="24"/>
          <w:szCs w:val="24"/>
          <w:lang w:val="en-US" w:eastAsia="zh-CN"/>
        </w:rPr>
        <w:t>总平面示意图</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lang w:val="en-US" w:eastAsia="zh-CN"/>
        </w:rPr>
        <w:sectPr>
          <w:pgSz w:w="11906" w:h="16838"/>
          <w:pgMar w:top="1440" w:right="1800" w:bottom="1440" w:left="1800" w:header="851" w:footer="992" w:gutter="0"/>
          <w:pgNumType w:fmt="numberInDash"/>
          <w:cols w:space="425" w:num="1"/>
          <w:docGrid w:type="lines" w:linePitch="312" w:charSpace="0"/>
        </w:sectPr>
      </w:pPr>
    </w:p>
    <w:p>
      <w:pPr>
        <w:pStyle w:val="4"/>
        <w:keepNext/>
        <w:keepLines/>
        <w:pageBreakBefore w:val="0"/>
        <w:widowControl w:val="0"/>
        <w:numPr>
          <w:ilvl w:val="0"/>
          <w:numId w:val="2"/>
        </w:numPr>
        <w:kinsoku/>
        <w:wordWrap/>
        <w:overflowPunct/>
        <w:topLinePunct w:val="0"/>
        <w:autoSpaceDE/>
        <w:autoSpaceDN/>
        <w:bidi w:val="0"/>
        <w:adjustRightInd w:val="0"/>
        <w:snapToGrid w:val="0"/>
        <w:spacing w:before="0" w:beforeLines="0" w:after="0" w:afterLines="0" w:line="240" w:lineRule="auto"/>
        <w:jc w:val="center"/>
        <w:textAlignment w:val="auto"/>
        <w:rPr>
          <w:rFonts w:hint="eastAsia"/>
          <w:lang w:val="en-US" w:eastAsia="zh-CN"/>
        </w:rPr>
      </w:pPr>
      <w:bookmarkStart w:id="0" w:name="_Toc20196"/>
      <w:r>
        <w:rPr>
          <w:rFonts w:hint="eastAsia"/>
          <w:sz w:val="36"/>
          <w:szCs w:val="36"/>
          <w:lang w:val="en-US" w:eastAsia="zh-CN"/>
        </w:rPr>
        <w:t>建设项目基本情况</w:t>
      </w:r>
      <w:bookmarkEnd w:id="0"/>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1845"/>
        <w:gridCol w:w="1575"/>
        <w:gridCol w:w="3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建设项目名称</w:t>
            </w:r>
          </w:p>
        </w:tc>
        <w:tc>
          <w:tcPr>
            <w:tcW w:w="7246" w:type="dxa"/>
            <w:gridSpan w:val="3"/>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年产1900吨豆制品</w:t>
            </w:r>
            <w:r>
              <w:rPr>
                <w:rFonts w:hint="default" w:ascii="Times New Roman" w:hAnsi="Times New Roman" w:cs="Times New Roman" w:eastAsiaTheme="minorEastAsia"/>
                <w:sz w:val="24"/>
                <w:szCs w:val="24"/>
                <w:lang w:val="en-US" w:eastAsia="zh-CN"/>
              </w:rPr>
              <w:t>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项目代码</w:t>
            </w:r>
          </w:p>
        </w:tc>
        <w:tc>
          <w:tcPr>
            <w:tcW w:w="7246" w:type="dxa"/>
            <w:gridSpan w:val="3"/>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建设单位联系人</w:t>
            </w:r>
          </w:p>
        </w:tc>
        <w:tc>
          <w:tcPr>
            <w:tcW w:w="1845"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邓功生</w:t>
            </w:r>
          </w:p>
        </w:tc>
        <w:tc>
          <w:tcPr>
            <w:tcW w:w="1575"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联系方式</w:t>
            </w:r>
          </w:p>
        </w:tc>
        <w:tc>
          <w:tcPr>
            <w:tcW w:w="3826"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18942583053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建设地点</w:t>
            </w:r>
          </w:p>
        </w:tc>
        <w:tc>
          <w:tcPr>
            <w:tcW w:w="7246" w:type="dxa"/>
            <w:gridSpan w:val="3"/>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u w:val="single"/>
                <w:lang w:val="en-US" w:eastAsia="zh-CN"/>
              </w:rPr>
              <w:t xml:space="preserve">    湖南   </w:t>
            </w:r>
            <w:r>
              <w:rPr>
                <w:rFonts w:hint="default" w:ascii="Times New Roman" w:hAnsi="Times New Roman" w:cs="Times New Roman" w:eastAsiaTheme="minorEastAsia"/>
                <w:sz w:val="24"/>
                <w:szCs w:val="24"/>
                <w:lang w:val="en-US" w:eastAsia="zh-CN"/>
              </w:rPr>
              <w:t>省（自治区）</w:t>
            </w:r>
            <w:r>
              <w:rPr>
                <w:rFonts w:hint="default" w:ascii="Times New Roman" w:hAnsi="Times New Roman" w:cs="Times New Roman" w:eastAsiaTheme="minorEastAsia"/>
                <w:sz w:val="24"/>
                <w:szCs w:val="24"/>
                <w:u w:val="single"/>
                <w:lang w:val="en-US" w:eastAsia="zh-CN"/>
              </w:rPr>
              <w:t xml:space="preserve">  </w:t>
            </w:r>
            <w:r>
              <w:rPr>
                <w:rFonts w:hint="eastAsia" w:ascii="Times New Roman" w:hAnsi="Times New Roman" w:cs="Times New Roman" w:eastAsiaTheme="minorEastAsia"/>
                <w:sz w:val="24"/>
                <w:szCs w:val="24"/>
                <w:u w:val="single"/>
                <w:lang w:val="en-US" w:eastAsia="zh-CN"/>
              </w:rPr>
              <w:t>永州</w:t>
            </w:r>
            <w:r>
              <w:rPr>
                <w:rFonts w:hint="default" w:ascii="Times New Roman" w:hAnsi="Times New Roman" w:cs="Times New Roman" w:eastAsiaTheme="minorEastAsia"/>
                <w:sz w:val="24"/>
                <w:szCs w:val="24"/>
                <w:u w:val="single"/>
                <w:lang w:val="en-US" w:eastAsia="zh-CN"/>
              </w:rPr>
              <w:t xml:space="preserve">   </w:t>
            </w:r>
            <w:r>
              <w:rPr>
                <w:rFonts w:hint="default" w:ascii="Times New Roman" w:hAnsi="Times New Roman" w:cs="Times New Roman" w:eastAsiaTheme="minorEastAsia"/>
                <w:sz w:val="24"/>
                <w:szCs w:val="24"/>
                <w:lang w:val="en-US" w:eastAsia="zh-CN"/>
              </w:rPr>
              <w:t>市</w:t>
            </w:r>
            <w:r>
              <w:rPr>
                <w:rFonts w:hint="default" w:ascii="Times New Roman" w:hAnsi="Times New Roman" w:cs="Times New Roman" w:eastAsiaTheme="minorEastAsia"/>
                <w:sz w:val="24"/>
                <w:szCs w:val="24"/>
                <w:u w:val="single"/>
                <w:lang w:val="en-US" w:eastAsia="zh-CN"/>
              </w:rPr>
              <w:t xml:space="preserve">   </w:t>
            </w:r>
            <w:r>
              <w:rPr>
                <w:rFonts w:hint="eastAsia" w:ascii="Times New Roman" w:hAnsi="Times New Roman" w:cs="Times New Roman" w:eastAsiaTheme="minorEastAsia"/>
                <w:sz w:val="24"/>
                <w:szCs w:val="24"/>
                <w:u w:val="single"/>
                <w:lang w:val="en-US" w:eastAsia="zh-CN"/>
              </w:rPr>
              <w:t>新田</w:t>
            </w:r>
            <w:r>
              <w:rPr>
                <w:rFonts w:hint="default" w:ascii="Times New Roman" w:hAnsi="Times New Roman" w:cs="Times New Roman" w:eastAsiaTheme="minorEastAsia"/>
                <w:sz w:val="24"/>
                <w:szCs w:val="24"/>
                <w:u w:val="single"/>
                <w:lang w:val="en-US" w:eastAsia="zh-CN"/>
              </w:rPr>
              <w:t xml:space="preserve">   </w:t>
            </w:r>
            <w:r>
              <w:rPr>
                <w:rFonts w:hint="default" w:ascii="Times New Roman" w:hAnsi="Times New Roman" w:cs="Times New Roman" w:eastAsiaTheme="minorEastAsia"/>
                <w:sz w:val="24"/>
                <w:szCs w:val="24"/>
                <w:lang w:val="en-US" w:eastAsia="zh-CN"/>
              </w:rPr>
              <w:t>县（区）</w:t>
            </w:r>
            <w:r>
              <w:rPr>
                <w:rFonts w:hint="default" w:ascii="Times New Roman" w:hAnsi="Times New Roman" w:cs="Times New Roman" w:eastAsiaTheme="minorEastAsia"/>
                <w:sz w:val="24"/>
                <w:szCs w:val="24"/>
                <w:u w:val="single"/>
                <w:lang w:val="en-US" w:eastAsia="zh-CN"/>
              </w:rPr>
              <w:t xml:space="preserve">  </w:t>
            </w:r>
            <w:r>
              <w:rPr>
                <w:rFonts w:hint="eastAsia" w:ascii="Times New Roman" w:hAnsi="Times New Roman" w:cs="Times New Roman" w:eastAsiaTheme="minorEastAsia"/>
                <w:sz w:val="24"/>
                <w:szCs w:val="24"/>
                <w:u w:val="single"/>
                <w:lang w:val="en-US" w:eastAsia="zh-CN"/>
              </w:rPr>
              <w:t>大坪塘</w:t>
            </w:r>
            <w:r>
              <w:rPr>
                <w:rFonts w:hint="default" w:ascii="Times New Roman" w:hAnsi="Times New Roman" w:cs="Times New Roman" w:eastAsiaTheme="minorEastAsia"/>
                <w:sz w:val="24"/>
                <w:szCs w:val="24"/>
                <w:u w:val="single"/>
                <w:lang w:val="en-US" w:eastAsia="zh-CN"/>
              </w:rPr>
              <w:t xml:space="preserve">  </w:t>
            </w:r>
            <w:r>
              <w:rPr>
                <w:rFonts w:hint="default" w:ascii="Times New Roman" w:hAnsi="Times New Roman" w:cs="Times New Roman" w:eastAsiaTheme="minorEastAsia"/>
                <w:sz w:val="24"/>
                <w:szCs w:val="24"/>
                <w:lang w:val="en-US" w:eastAsia="zh-CN"/>
              </w:rPr>
              <w:t>乡（街道）</w:t>
            </w:r>
            <w:r>
              <w:rPr>
                <w:rFonts w:hint="default" w:ascii="Times New Roman" w:hAnsi="Times New Roman" w:cs="Times New Roman" w:eastAsiaTheme="minorEastAsia"/>
                <w:sz w:val="24"/>
                <w:szCs w:val="24"/>
                <w:u w:val="single"/>
                <w:lang w:val="en-US" w:eastAsia="zh-CN"/>
              </w:rPr>
              <w:t xml:space="preserve">  </w:t>
            </w:r>
            <w:r>
              <w:rPr>
                <w:rFonts w:hint="eastAsia" w:ascii="Times New Roman" w:hAnsi="Times New Roman" w:cs="Times New Roman" w:eastAsiaTheme="minorEastAsia"/>
                <w:sz w:val="24"/>
                <w:szCs w:val="24"/>
                <w:u w:val="single"/>
                <w:lang w:val="en-US" w:eastAsia="zh-CN"/>
              </w:rPr>
              <w:t>小明路村</w:t>
            </w:r>
            <w:r>
              <w:rPr>
                <w:rFonts w:hint="default" w:ascii="Times New Roman" w:hAnsi="Times New Roman" w:cs="Times New Roman" w:eastAsiaTheme="minorEastAsia"/>
                <w:sz w:val="24"/>
                <w:szCs w:val="24"/>
                <w:u w:val="single"/>
                <w:lang w:val="en-US" w:eastAsia="zh-CN"/>
              </w:rPr>
              <w:t xml:space="preserve"> </w:t>
            </w:r>
            <w:r>
              <w:rPr>
                <w:rFonts w:hint="eastAsia" w:ascii="Times New Roman" w:hAnsi="Times New Roman" w:cs="Times New Roman" w:eastAsiaTheme="minorEastAsia"/>
                <w:sz w:val="24"/>
                <w:szCs w:val="24"/>
                <w:u w:val="single"/>
                <w:lang w:val="en-US" w:eastAsia="zh-CN"/>
              </w:rPr>
              <w:t xml:space="preserve"> </w:t>
            </w:r>
            <w:r>
              <w:rPr>
                <w:rFonts w:hint="default" w:ascii="Times New Roman" w:hAnsi="Times New Roman" w:cs="Times New Roman" w:eastAsiaTheme="minorEastAsia"/>
                <w:sz w:val="24"/>
                <w:szCs w:val="24"/>
                <w:lang w:val="en-US" w:eastAsia="zh-CN"/>
              </w:rPr>
              <w:t>（具体地址）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地理坐标</w:t>
            </w:r>
          </w:p>
        </w:tc>
        <w:tc>
          <w:tcPr>
            <w:tcW w:w="7246" w:type="dxa"/>
            <w:gridSpan w:val="3"/>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u w:val="single"/>
                <w:lang w:val="en-US" w:eastAsia="zh-CN"/>
              </w:rPr>
              <w:t xml:space="preserve"> 112 </w:t>
            </w:r>
            <w:r>
              <w:rPr>
                <w:rFonts w:hint="default" w:ascii="Times New Roman" w:hAnsi="Times New Roman" w:cs="Times New Roman" w:eastAsiaTheme="minorEastAsia"/>
                <w:sz w:val="24"/>
                <w:szCs w:val="24"/>
                <w:lang w:val="en-US" w:eastAsia="zh-CN"/>
              </w:rPr>
              <w:t>度</w:t>
            </w:r>
            <w:r>
              <w:rPr>
                <w:rFonts w:hint="default" w:ascii="Times New Roman" w:hAnsi="Times New Roman" w:cs="Times New Roman" w:eastAsiaTheme="minorEastAsia"/>
                <w:sz w:val="24"/>
                <w:szCs w:val="24"/>
                <w:u w:val="single"/>
                <w:lang w:val="en-US" w:eastAsia="zh-CN"/>
              </w:rPr>
              <w:t xml:space="preserve">  20 </w:t>
            </w:r>
            <w:r>
              <w:rPr>
                <w:rFonts w:hint="default" w:ascii="Times New Roman" w:hAnsi="Times New Roman" w:cs="Times New Roman" w:eastAsiaTheme="minorEastAsia"/>
                <w:sz w:val="24"/>
                <w:szCs w:val="24"/>
                <w:lang w:val="en-US" w:eastAsia="zh-CN"/>
              </w:rPr>
              <w:t>分</w:t>
            </w:r>
            <w:r>
              <w:rPr>
                <w:rFonts w:hint="default" w:ascii="Times New Roman" w:hAnsi="Times New Roman" w:cs="Times New Roman" w:eastAsiaTheme="minorEastAsia"/>
                <w:sz w:val="24"/>
                <w:szCs w:val="24"/>
                <w:u w:val="single"/>
                <w:lang w:val="en-US" w:eastAsia="zh-CN"/>
              </w:rPr>
              <w:t xml:space="preserve">  </w:t>
            </w:r>
            <w:r>
              <w:rPr>
                <w:rFonts w:hint="eastAsia" w:ascii="Times New Roman" w:hAnsi="Times New Roman" w:cs="Times New Roman" w:eastAsiaTheme="minorEastAsia"/>
                <w:sz w:val="24"/>
                <w:szCs w:val="24"/>
                <w:u w:val="single"/>
                <w:lang w:val="en-US" w:eastAsia="zh-CN"/>
              </w:rPr>
              <w:t>10.94097</w:t>
            </w:r>
            <w:r>
              <w:rPr>
                <w:rFonts w:hint="default" w:ascii="Times New Roman" w:hAnsi="Times New Roman" w:cs="Times New Roman" w:eastAsiaTheme="minorEastAsia"/>
                <w:sz w:val="24"/>
                <w:szCs w:val="24"/>
                <w:u w:val="single"/>
                <w:lang w:val="en-US" w:eastAsia="zh-CN"/>
              </w:rPr>
              <w:t xml:space="preserve">  </w:t>
            </w:r>
            <w:r>
              <w:rPr>
                <w:rFonts w:hint="default" w:ascii="Times New Roman" w:hAnsi="Times New Roman" w:cs="Times New Roman" w:eastAsiaTheme="minorEastAsia"/>
                <w:sz w:val="24"/>
                <w:szCs w:val="24"/>
                <w:lang w:val="en-US" w:eastAsia="zh-CN"/>
              </w:rPr>
              <w:t>秒，</w:t>
            </w:r>
            <w:r>
              <w:rPr>
                <w:rFonts w:hint="default" w:ascii="Times New Roman" w:hAnsi="Times New Roman" w:cs="Times New Roman" w:eastAsiaTheme="minorEastAsia"/>
                <w:sz w:val="24"/>
                <w:szCs w:val="24"/>
                <w:u w:val="single"/>
                <w:lang w:val="en-US" w:eastAsia="zh-CN"/>
              </w:rPr>
              <w:t xml:space="preserve">  25  </w:t>
            </w:r>
            <w:r>
              <w:rPr>
                <w:rFonts w:hint="default" w:ascii="Times New Roman" w:hAnsi="Times New Roman" w:cs="Times New Roman" w:eastAsiaTheme="minorEastAsia"/>
                <w:sz w:val="24"/>
                <w:szCs w:val="24"/>
                <w:u w:val="none"/>
                <w:lang w:val="en-US" w:eastAsia="zh-CN"/>
              </w:rPr>
              <w:t>度</w:t>
            </w:r>
            <w:r>
              <w:rPr>
                <w:rFonts w:hint="eastAsia" w:ascii="Times New Roman" w:hAnsi="Times New Roman" w:cs="Times New Roman" w:eastAsiaTheme="minorEastAsia"/>
                <w:sz w:val="24"/>
                <w:szCs w:val="24"/>
                <w:u w:val="single"/>
                <w:lang w:val="en-US" w:eastAsia="zh-CN"/>
              </w:rPr>
              <w:t xml:space="preserve"> 50</w:t>
            </w:r>
            <w:r>
              <w:rPr>
                <w:rFonts w:hint="default" w:ascii="Times New Roman" w:hAnsi="Times New Roman" w:cs="Times New Roman" w:eastAsiaTheme="minorEastAsia"/>
                <w:sz w:val="24"/>
                <w:szCs w:val="24"/>
                <w:u w:val="single"/>
                <w:lang w:val="en-US" w:eastAsia="zh-CN"/>
              </w:rPr>
              <w:t xml:space="preserve"> </w:t>
            </w:r>
            <w:r>
              <w:rPr>
                <w:rFonts w:hint="default" w:ascii="Times New Roman" w:hAnsi="Times New Roman" w:cs="Times New Roman" w:eastAsiaTheme="minorEastAsia"/>
                <w:sz w:val="24"/>
                <w:szCs w:val="24"/>
                <w:u w:val="none"/>
                <w:lang w:val="en-US" w:eastAsia="zh-CN"/>
              </w:rPr>
              <w:t>分</w:t>
            </w:r>
            <w:r>
              <w:rPr>
                <w:rFonts w:hint="eastAsia" w:ascii="Times New Roman" w:hAnsi="Times New Roman" w:cs="Times New Roman" w:eastAsiaTheme="minorEastAsia"/>
                <w:sz w:val="24"/>
                <w:szCs w:val="24"/>
                <w:u w:val="single"/>
                <w:lang w:val="en-US" w:eastAsia="zh-CN"/>
              </w:rPr>
              <w:t xml:space="preserve"> 55.96061</w:t>
            </w:r>
            <w:r>
              <w:rPr>
                <w:rFonts w:hint="default" w:ascii="Times New Roman" w:hAnsi="Times New Roman" w:cs="Times New Roman" w:eastAsiaTheme="minorEastAsia"/>
                <w:sz w:val="24"/>
                <w:szCs w:val="24"/>
                <w:u w:val="single"/>
                <w:lang w:val="en-US" w:eastAsia="zh-CN"/>
              </w:rPr>
              <w:t xml:space="preserve">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996"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国民经济</w:t>
            </w:r>
          </w:p>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行业类别</w:t>
            </w:r>
          </w:p>
        </w:tc>
        <w:tc>
          <w:tcPr>
            <w:tcW w:w="1845"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C</w:t>
            </w:r>
            <w:r>
              <w:rPr>
                <w:rFonts w:hint="eastAsia" w:ascii="Times New Roman" w:hAnsi="Times New Roman" w:cs="Times New Roman" w:eastAsiaTheme="minorEastAsia"/>
                <w:sz w:val="24"/>
                <w:szCs w:val="24"/>
                <w:lang w:val="en-US" w:eastAsia="zh-CN"/>
              </w:rPr>
              <w:t>1392豆制品制造</w:t>
            </w:r>
          </w:p>
        </w:tc>
        <w:tc>
          <w:tcPr>
            <w:tcW w:w="1575"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建设项目</w:t>
            </w:r>
          </w:p>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行业类别</w:t>
            </w:r>
          </w:p>
        </w:tc>
        <w:tc>
          <w:tcPr>
            <w:tcW w:w="3826" w:type="dxa"/>
            <w:vAlign w:val="center"/>
          </w:tcPr>
          <w:p>
            <w:pPr>
              <w:keepNext w:val="0"/>
              <w:keepLines w:val="0"/>
              <w:widowControl/>
              <w:suppressLineNumbers w:val="0"/>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十</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农副食品加工业20</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其他农副食品加工139</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不含发酵工艺的淀粉、淀粉糖制造；淀粉制品制造；豆制品制造以上均不含单纯分装的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建设性质</w:t>
            </w:r>
          </w:p>
        </w:tc>
        <w:tc>
          <w:tcPr>
            <w:tcW w:w="1845" w:type="dxa"/>
            <w:vAlign w:val="center"/>
          </w:tcPr>
          <w:p>
            <w:pPr>
              <w:spacing w:line="480" w:lineRule="exact"/>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52"/>
            </w:r>
            <w:r>
              <w:rPr>
                <w:rFonts w:hint="default" w:ascii="Times New Roman" w:hAnsi="Times New Roman" w:cs="Times New Roman" w:eastAsiaTheme="minorEastAsia"/>
                <w:sz w:val="24"/>
                <w:szCs w:val="24"/>
                <w:lang w:val="en-US" w:eastAsia="zh-CN"/>
              </w:rPr>
              <w:t>新建（迁建）</w:t>
            </w:r>
          </w:p>
          <w:p>
            <w:pPr>
              <w:spacing w:line="480" w:lineRule="exact"/>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A3"/>
            </w:r>
            <w:r>
              <w:rPr>
                <w:rFonts w:hint="default" w:ascii="Times New Roman" w:hAnsi="Times New Roman" w:cs="Times New Roman" w:eastAsiaTheme="minorEastAsia"/>
                <w:sz w:val="24"/>
                <w:szCs w:val="24"/>
                <w:lang w:val="en-US" w:eastAsia="zh-CN"/>
              </w:rPr>
              <w:t>改建</w:t>
            </w:r>
          </w:p>
          <w:p>
            <w:pPr>
              <w:spacing w:line="480" w:lineRule="exact"/>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A3"/>
            </w:r>
            <w:r>
              <w:rPr>
                <w:rFonts w:hint="default" w:ascii="Times New Roman" w:hAnsi="Times New Roman" w:cs="Times New Roman" w:eastAsiaTheme="minorEastAsia"/>
                <w:sz w:val="24"/>
                <w:szCs w:val="24"/>
                <w:lang w:val="en-US" w:eastAsia="zh-CN"/>
              </w:rPr>
              <w:t>扩建</w:t>
            </w:r>
          </w:p>
          <w:p>
            <w:pPr>
              <w:spacing w:line="480" w:lineRule="exact"/>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A3"/>
            </w:r>
            <w:r>
              <w:rPr>
                <w:rFonts w:hint="default" w:ascii="Times New Roman" w:hAnsi="Times New Roman" w:cs="Times New Roman" w:eastAsiaTheme="minorEastAsia"/>
                <w:sz w:val="24"/>
                <w:szCs w:val="24"/>
                <w:lang w:val="en-US" w:eastAsia="zh-CN"/>
              </w:rPr>
              <w:t>技术改造</w:t>
            </w:r>
          </w:p>
        </w:tc>
        <w:tc>
          <w:tcPr>
            <w:tcW w:w="1575"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建设项目申报情形</w:t>
            </w:r>
          </w:p>
        </w:tc>
        <w:tc>
          <w:tcPr>
            <w:tcW w:w="3826" w:type="dxa"/>
            <w:vAlign w:val="center"/>
          </w:tcPr>
          <w:p>
            <w:pPr>
              <w:spacing w:line="480" w:lineRule="exact"/>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52"/>
            </w:r>
            <w:r>
              <w:rPr>
                <w:rFonts w:hint="default" w:ascii="Times New Roman" w:hAnsi="Times New Roman" w:cs="Times New Roman" w:eastAsiaTheme="minorEastAsia"/>
                <w:sz w:val="24"/>
                <w:szCs w:val="24"/>
                <w:lang w:val="en-US" w:eastAsia="zh-CN"/>
              </w:rPr>
              <w:t>首次申报项目</w:t>
            </w:r>
          </w:p>
          <w:p>
            <w:pPr>
              <w:spacing w:line="480" w:lineRule="exact"/>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A3"/>
            </w:r>
            <w:r>
              <w:rPr>
                <w:rFonts w:hint="default" w:ascii="Times New Roman" w:hAnsi="Times New Roman" w:cs="Times New Roman" w:eastAsiaTheme="minorEastAsia"/>
                <w:sz w:val="24"/>
                <w:szCs w:val="24"/>
                <w:lang w:val="en-US" w:eastAsia="zh-CN"/>
              </w:rPr>
              <w:t>不予批准后再次申报项目</w:t>
            </w:r>
          </w:p>
          <w:p>
            <w:pPr>
              <w:spacing w:line="480" w:lineRule="exact"/>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A3"/>
            </w:r>
            <w:r>
              <w:rPr>
                <w:rFonts w:hint="default" w:ascii="Times New Roman" w:hAnsi="Times New Roman" w:cs="Times New Roman" w:eastAsiaTheme="minorEastAsia"/>
                <w:sz w:val="24"/>
                <w:szCs w:val="24"/>
                <w:lang w:val="en-US" w:eastAsia="zh-CN"/>
              </w:rPr>
              <w:t>超五年重新审核项目</w:t>
            </w:r>
          </w:p>
          <w:p>
            <w:pPr>
              <w:spacing w:line="480" w:lineRule="exact"/>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A3"/>
            </w:r>
            <w:r>
              <w:rPr>
                <w:rFonts w:hint="default" w:ascii="Times New Roman" w:hAnsi="Times New Roman" w:cs="Times New Roman" w:eastAsiaTheme="minorEastAsia"/>
                <w:sz w:val="24"/>
                <w:szCs w:val="24"/>
                <w:lang w:val="en-US" w:eastAsia="zh-CN"/>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项目审批（核准/备案）部门（选填）</w:t>
            </w:r>
          </w:p>
        </w:tc>
        <w:tc>
          <w:tcPr>
            <w:tcW w:w="1845"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w:t>
            </w:r>
          </w:p>
        </w:tc>
        <w:tc>
          <w:tcPr>
            <w:tcW w:w="1575"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项目审批（核准/备案）文号（选填）</w:t>
            </w:r>
          </w:p>
        </w:tc>
        <w:tc>
          <w:tcPr>
            <w:tcW w:w="3826" w:type="dxa"/>
            <w:vAlign w:val="center"/>
          </w:tcPr>
          <w:p>
            <w:pPr>
              <w:spacing w:line="480" w:lineRule="exact"/>
              <w:jc w:val="center"/>
              <w:rPr>
                <w:rFonts w:hint="default" w:ascii="Times New Roman" w:hAnsi="Times New Roman" w:cs="Times New Roman" w:eastAsiaTheme="minorEastAsia"/>
                <w:sz w:val="24"/>
                <w:szCs w:val="24"/>
                <w:lang w:val="en-US" w:eastAsia="zh-CN"/>
              </w:rPr>
            </w:pPr>
            <w:bookmarkStart w:id="23" w:name="_GoBack"/>
            <w:bookmarkEnd w:id="23"/>
            <w:r>
              <w:rPr>
                <w:rFonts w:hint="eastAsia" w:ascii="Times New Roman" w:hAnsi="Times New Roman" w:cs="Times New Roman" w:eastAsiaTheme="minor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line="480" w:lineRule="exact"/>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总投资（万元）</w:t>
            </w:r>
          </w:p>
        </w:tc>
        <w:tc>
          <w:tcPr>
            <w:tcW w:w="1845" w:type="dxa"/>
            <w:vAlign w:val="center"/>
          </w:tcPr>
          <w:p>
            <w:pPr>
              <w:spacing w:line="480" w:lineRule="exact"/>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600</w:t>
            </w:r>
          </w:p>
        </w:tc>
        <w:tc>
          <w:tcPr>
            <w:tcW w:w="1575" w:type="dxa"/>
            <w:vAlign w:val="center"/>
          </w:tcPr>
          <w:p>
            <w:pPr>
              <w:spacing w:line="480" w:lineRule="exact"/>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环保投资（万元）</w:t>
            </w:r>
          </w:p>
        </w:tc>
        <w:tc>
          <w:tcPr>
            <w:tcW w:w="3826" w:type="dxa"/>
            <w:vAlign w:val="center"/>
          </w:tcPr>
          <w:p>
            <w:pPr>
              <w:spacing w:line="480" w:lineRule="exact"/>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line="480" w:lineRule="exact"/>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环保投资占比（%）</w:t>
            </w:r>
          </w:p>
        </w:tc>
        <w:tc>
          <w:tcPr>
            <w:tcW w:w="1845" w:type="dxa"/>
            <w:vAlign w:val="center"/>
          </w:tcPr>
          <w:p>
            <w:pPr>
              <w:spacing w:line="480" w:lineRule="exact"/>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5.83</w:t>
            </w:r>
          </w:p>
        </w:tc>
        <w:tc>
          <w:tcPr>
            <w:tcW w:w="1575" w:type="dxa"/>
            <w:vAlign w:val="center"/>
          </w:tcPr>
          <w:p>
            <w:pPr>
              <w:spacing w:line="480" w:lineRule="exact"/>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施工工期</w:t>
            </w:r>
          </w:p>
        </w:tc>
        <w:tc>
          <w:tcPr>
            <w:tcW w:w="3826" w:type="dxa"/>
            <w:vAlign w:val="center"/>
          </w:tcPr>
          <w:p>
            <w:pPr>
              <w:spacing w:line="480" w:lineRule="exact"/>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预计</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是否开工建设</w:t>
            </w:r>
          </w:p>
        </w:tc>
        <w:tc>
          <w:tcPr>
            <w:tcW w:w="1845" w:type="dxa"/>
            <w:vAlign w:val="center"/>
          </w:tcPr>
          <w:p>
            <w:pPr>
              <w:spacing w:line="480" w:lineRule="exact"/>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52"/>
            </w:r>
            <w:r>
              <w:rPr>
                <w:rFonts w:hint="default" w:ascii="Times New Roman" w:hAnsi="Times New Roman" w:cs="Times New Roman" w:eastAsiaTheme="minorEastAsia"/>
                <w:sz w:val="24"/>
                <w:szCs w:val="24"/>
                <w:lang w:val="en-US" w:eastAsia="zh-CN"/>
              </w:rPr>
              <w:t>否</w:t>
            </w:r>
          </w:p>
          <w:p>
            <w:pPr>
              <w:spacing w:line="480" w:lineRule="exact"/>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A3"/>
            </w:r>
            <w:r>
              <w:rPr>
                <w:rFonts w:hint="default" w:ascii="Times New Roman" w:hAnsi="Times New Roman" w:cs="Times New Roman" w:eastAsiaTheme="minorEastAsia"/>
                <w:sz w:val="24"/>
                <w:szCs w:val="24"/>
                <w:lang w:val="en-US" w:eastAsia="zh-CN"/>
              </w:rPr>
              <w:t>是：</w:t>
            </w:r>
          </w:p>
        </w:tc>
        <w:tc>
          <w:tcPr>
            <w:tcW w:w="1575"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用地（用海）面积（m</w:t>
            </w:r>
            <w:r>
              <w:rPr>
                <w:rFonts w:hint="default" w:ascii="Times New Roman" w:hAnsi="Times New Roman" w:cs="Times New Roman" w:eastAsiaTheme="minorEastAsia"/>
                <w:sz w:val="24"/>
                <w:szCs w:val="24"/>
                <w:vertAlign w:val="superscript"/>
                <w:lang w:val="en-US" w:eastAsia="zh-CN"/>
              </w:rPr>
              <w:t>2</w:t>
            </w:r>
            <w:r>
              <w:rPr>
                <w:rFonts w:hint="default" w:ascii="Times New Roman" w:hAnsi="Times New Roman" w:cs="Times New Roman" w:eastAsiaTheme="minorEastAsia"/>
                <w:sz w:val="24"/>
                <w:szCs w:val="24"/>
                <w:lang w:val="en-US" w:eastAsia="zh-CN"/>
              </w:rPr>
              <w:t>）</w:t>
            </w:r>
          </w:p>
        </w:tc>
        <w:tc>
          <w:tcPr>
            <w:tcW w:w="3826"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专项评价设置情况</w:t>
            </w:r>
          </w:p>
        </w:tc>
        <w:tc>
          <w:tcPr>
            <w:tcW w:w="7246" w:type="dxa"/>
            <w:gridSpan w:val="3"/>
            <w:vAlign w:val="center"/>
          </w:tcPr>
          <w:p>
            <w:pPr>
              <w:jc w:val="center"/>
              <w:rPr>
                <w:rFonts w:hint="default"/>
                <w:sz w:val="24"/>
                <w:szCs w:val="24"/>
                <w:lang w:val="en-US" w:eastAsia="zh-CN"/>
              </w:rPr>
            </w:pPr>
            <w:r>
              <w:rPr>
                <w:rFonts w:hint="default" w:ascii="Times New Roman" w:hAnsi="Times New Roman" w:eastAsia="宋体" w:cs="Times New Roman"/>
                <w:kern w:val="0"/>
                <w:sz w:val="24"/>
                <w:szCs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规划情况</w:t>
            </w:r>
          </w:p>
        </w:tc>
        <w:tc>
          <w:tcPr>
            <w:tcW w:w="7246"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z w:val="24"/>
                <w:szCs w:val="24"/>
                <w:lang w:val="en-US" w:eastAsia="zh-CN"/>
              </w:rPr>
            </w:pPr>
            <w:r>
              <w:rPr>
                <w:rFonts w:hint="default" w:ascii="Times New Roman" w:hAnsi="Times New Roman" w:eastAsia="宋体" w:cs="Times New Roman"/>
                <w:kern w:val="0"/>
                <w:sz w:val="24"/>
                <w:szCs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规划环境影响评价情况</w:t>
            </w:r>
          </w:p>
        </w:tc>
        <w:tc>
          <w:tcPr>
            <w:tcW w:w="7246"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z w:val="24"/>
                <w:szCs w:val="24"/>
                <w:lang w:val="en-US" w:eastAsia="zh-CN"/>
              </w:rPr>
            </w:pPr>
            <w:r>
              <w:rPr>
                <w:rFonts w:hint="default" w:ascii="Times New Roman" w:hAnsi="Times New Roman" w:eastAsia="宋体" w:cs="Times New Roman"/>
                <w:kern w:val="0"/>
                <w:sz w:val="24"/>
                <w:szCs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规划及规划环境影响评价符合性分析</w:t>
            </w:r>
          </w:p>
        </w:tc>
        <w:tc>
          <w:tcPr>
            <w:tcW w:w="724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i w:val="0"/>
                <w:iCs w:val="0"/>
                <w:color w:val="000000"/>
                <w:sz w:val="24"/>
                <w:szCs w:val="24"/>
                <w:lang w:val="en-US" w:eastAsia="zh-CN"/>
              </w:rPr>
            </w:pPr>
            <w:r>
              <w:rPr>
                <w:rFonts w:hint="default" w:ascii="Times New Roman" w:hAnsi="Times New Roman" w:eastAsia="宋体" w:cs="Times New Roman"/>
                <w:b/>
                <w:bCs/>
                <w:i w:val="0"/>
                <w:iCs w:val="0"/>
                <w:color w:val="000000"/>
                <w:sz w:val="24"/>
                <w:szCs w:val="24"/>
                <w:lang w:val="en-US" w:eastAsia="zh-CN"/>
              </w:rPr>
              <w:t>1、选址合理性分析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（1）规划符合性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本项目位于</w:t>
            </w:r>
            <w:r>
              <w:rPr>
                <w:rFonts w:hint="eastAsia" w:ascii="Times New Roman" w:hAnsi="Times New Roman" w:cs="Times New Roman"/>
                <w:color w:val="000000"/>
                <w:kern w:val="0"/>
                <w:sz w:val="24"/>
                <w:szCs w:val="24"/>
                <w:lang w:val="en-US" w:eastAsia="zh-CN"/>
              </w:rPr>
              <w:t>湖南省永州市新田县大坪塘小明路村</w:t>
            </w:r>
            <w:r>
              <w:rPr>
                <w:rFonts w:hint="default" w:ascii="Times New Roman" w:hAnsi="Times New Roman" w:eastAsia="宋体" w:cs="Times New Roman"/>
                <w:color w:val="000000"/>
                <w:sz w:val="24"/>
                <w:szCs w:val="24"/>
              </w:rPr>
              <w:t>，本项目用地不在城区规划范围内，不占用基本农田，附近区域无自然保护区、世界文化和自然遗产及等需要特殊保护的生态敏感区，无风景名胜区、森林公园、地质公园、重要湿地等重要生态敏感区，因此选址合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（2）周边环境功能区划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拟建区域环境质量现状良好，有较大的环境容量；各污废物均得到妥善处理，做到达标排放或综合利用，排放的污染物符合区域总量控制要求；环境影响预测分析表明，本工程实施后，正常生产情况下项目对地表水环境、环境空气和声环境影响不大，满足相应的环境质量要求；且项目从生产原料到生产工艺潜在的环境风险小。</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cs="Times New Roman"/>
                <w:b/>
                <w:bCs/>
                <w:color w:val="000000"/>
                <w:sz w:val="24"/>
                <w:szCs w:val="24"/>
                <w:lang w:val="en-US" w:eastAsia="zh-CN"/>
              </w:rPr>
              <w:t>2</w:t>
            </w:r>
            <w:r>
              <w:rPr>
                <w:rFonts w:hint="default" w:ascii="Times New Roman" w:hAnsi="Times New Roman" w:eastAsia="宋体" w:cs="Times New Roman"/>
                <w:b/>
                <w:bCs/>
                <w:color w:val="000000"/>
                <w:sz w:val="24"/>
                <w:szCs w:val="24"/>
                <w:lang w:val="en-US" w:eastAsia="zh-CN"/>
              </w:rPr>
              <w:t>、产业政策符合性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lang w:val="zh-CN"/>
              </w:rPr>
            </w:pPr>
            <w:r>
              <w:rPr>
                <w:rFonts w:hint="default" w:ascii="Times New Roman" w:hAnsi="Times New Roman" w:eastAsia="宋体" w:cs="Times New Roman"/>
                <w:color w:val="000000"/>
                <w:sz w:val="24"/>
                <w:szCs w:val="24"/>
                <w:lang w:val="zh-CN"/>
              </w:rPr>
              <w:t>（1）国家产业政策分析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sz w:val="24"/>
                <w:szCs w:val="24"/>
                <w:lang w:val="en-US" w:eastAsia="zh-CN"/>
              </w:rPr>
            </w:pPr>
            <w:r>
              <w:rPr>
                <w:rFonts w:hint="default" w:ascii="Times New Roman" w:hAnsi="Times New Roman" w:eastAsia="宋体" w:cs="Times New Roman"/>
                <w:color w:val="000000"/>
                <w:sz w:val="24"/>
                <w:szCs w:val="24"/>
              </w:rPr>
              <w:t>本项目为</w:t>
            </w:r>
            <w:r>
              <w:rPr>
                <w:rFonts w:hint="eastAsia" w:ascii="Times New Roman" w:hAnsi="Times New Roman" w:eastAsia="宋体" w:cs="Times New Roman"/>
                <w:color w:val="000000"/>
                <w:sz w:val="24"/>
                <w:szCs w:val="24"/>
                <w:lang w:val="en-US" w:eastAsia="zh-CN"/>
              </w:rPr>
              <w:t>豆制品制造</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根据中华人民共和国国家发展和改革委员会令第29号公布的《产业结构调整指导目录（2019年本）》，本项目不属于目录中鼓励类和限制类，不属于淘汰项目，属允许类项目。</w:t>
            </w:r>
            <w:r>
              <w:rPr>
                <w:rFonts w:hint="default" w:ascii="Times New Roman" w:hAnsi="Times New Roman" w:eastAsia="宋体" w:cs="Times New Roman"/>
                <w:color w:val="000000"/>
                <w:sz w:val="24"/>
                <w:szCs w:val="24"/>
              </w:rPr>
              <w:t>项目用地不属于《禁止用地项目目录（2012年本）》和《限制用地项目目录（2012年本）》所规定的用地类型，因此项目建设符合国家产业政策</w:t>
            </w:r>
            <w:r>
              <w:rPr>
                <w:rFonts w:hint="eastAsia" w:ascii="Times New Roman" w:hAnsi="Times New Roman" w:cs="Times New Roman"/>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line="480" w:lineRule="exact"/>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其他符合性分析</w:t>
            </w:r>
          </w:p>
        </w:tc>
        <w:tc>
          <w:tcPr>
            <w:tcW w:w="724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sz w:val="24"/>
                <w:szCs w:val="22"/>
              </w:rPr>
            </w:pPr>
            <w:r>
              <w:rPr>
                <w:rFonts w:hint="eastAsia" w:ascii="Times New Roman" w:hAnsi="Times New Roman" w:cs="Times New Roman"/>
                <w:b/>
                <w:bCs/>
                <w:color w:val="000000"/>
                <w:sz w:val="24"/>
                <w:szCs w:val="22"/>
                <w:lang w:val="en-US" w:eastAsia="zh-CN"/>
              </w:rPr>
              <w:t>1、</w:t>
            </w:r>
            <w:r>
              <w:rPr>
                <w:rFonts w:hint="default" w:ascii="Times New Roman" w:hAnsi="Times New Roman" w:eastAsia="宋体" w:cs="Times New Roman"/>
                <w:b/>
                <w:bCs/>
                <w:color w:val="000000"/>
                <w:sz w:val="24"/>
                <w:szCs w:val="22"/>
              </w:rPr>
              <w:t>与“三线一单”相符性分析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根据《关于以改善环境质量为核心加强环境影响评价管理的通知》（环评[2016]150号）：“为适应以改善环境质量为核心的环境管理要求”，切实加强环境影响评价（以下简称环评）管理，落实“生态保护红线、环境质量底线、资源利用上线和环境准入负面清单”（以下简称三线一单）约束。</w:t>
            </w:r>
          </w:p>
          <w:p>
            <w:pPr>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表</w:t>
            </w:r>
            <w:r>
              <w:rPr>
                <w:rFonts w:hint="eastAsia" w:ascii="Times New Roman" w:hAnsi="Times New Roman" w:eastAsia="宋体" w:cs="Times New Roman"/>
                <w:b/>
                <w:color w:val="000000"/>
                <w:kern w:val="2"/>
                <w:sz w:val="21"/>
                <w:szCs w:val="21"/>
                <w:lang w:val="en-US" w:eastAsia="zh-CN" w:bidi="ar-SA"/>
              </w:rPr>
              <w:t>1</w:t>
            </w:r>
            <w:r>
              <w:rPr>
                <w:rFonts w:hint="default" w:ascii="Times New Roman" w:hAnsi="Times New Roman" w:eastAsia="宋体" w:cs="Times New Roman"/>
                <w:b/>
                <w:color w:val="000000"/>
                <w:kern w:val="2"/>
                <w:sz w:val="21"/>
                <w:szCs w:val="21"/>
                <w:lang w:val="en-US" w:eastAsia="zh-CN" w:bidi="ar-SA"/>
              </w:rPr>
              <w:t>-</w:t>
            </w:r>
            <w:r>
              <w:rPr>
                <w:rFonts w:hint="eastAsia" w:ascii="Times New Roman" w:hAnsi="Times New Roman" w:cs="Times New Roman"/>
                <w:b/>
                <w:color w:val="000000"/>
                <w:kern w:val="2"/>
                <w:sz w:val="21"/>
                <w:szCs w:val="21"/>
                <w:lang w:val="en-US" w:eastAsia="zh-CN" w:bidi="ar-SA"/>
              </w:rPr>
              <w:t>1</w:t>
            </w:r>
            <w:r>
              <w:rPr>
                <w:rFonts w:hint="default" w:ascii="Times New Roman" w:hAnsi="Times New Roman" w:eastAsia="宋体" w:cs="Times New Roman"/>
                <w:b/>
                <w:color w:val="000000"/>
                <w:kern w:val="2"/>
                <w:sz w:val="21"/>
                <w:szCs w:val="21"/>
                <w:lang w:val="en-US" w:eastAsia="zh-CN" w:bidi="ar-SA"/>
              </w:rPr>
              <w:t xml:space="preserve"> 项目与“三线一单”相符性分析</w:t>
            </w:r>
          </w:p>
          <w:tbl>
            <w:tblPr>
              <w:tblStyle w:val="20"/>
              <w:tblW w:w="0" w:type="auto"/>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382"/>
              <w:gridCol w:w="1515"/>
              <w:gridCol w:w="5123"/>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382" w:type="dxa"/>
                  <w:tcBorders>
                    <w:top w:val="single" w:color="000000" w:sz="4" w:space="0"/>
                    <w:left w:val="single" w:color="000000" w:sz="4" w:space="0"/>
                    <w:bottom w:val="single" w:color="000000" w:sz="6"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序号</w:t>
                  </w:r>
                </w:p>
              </w:tc>
              <w:tc>
                <w:tcPr>
                  <w:tcW w:w="1515" w:type="dxa"/>
                  <w:tcBorders>
                    <w:top w:val="single" w:color="000000" w:sz="4"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三线一单</w:t>
                  </w:r>
                </w:p>
              </w:tc>
              <w:tc>
                <w:tcPr>
                  <w:tcW w:w="5123" w:type="dxa"/>
                  <w:tcBorders>
                    <w:top w:val="single" w:color="000000" w:sz="4" w:space="0"/>
                    <w:left w:val="single" w:color="000000" w:sz="6" w:space="0"/>
                    <w:bottom w:val="single" w:color="000000" w:sz="6" w:space="0"/>
                    <w:right w:val="single" w:color="000000" w:sz="4"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相符性分析</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382" w:type="dxa"/>
                  <w:tcBorders>
                    <w:top w:val="single" w:color="000000" w:sz="6" w:space="0"/>
                    <w:left w:val="single" w:color="000000" w:sz="4" w:space="0"/>
                    <w:bottom w:val="single" w:color="000000" w:sz="6"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w:t>
                  </w:r>
                </w:p>
              </w:tc>
              <w:tc>
                <w:tcPr>
                  <w:tcW w:w="1515" w:type="dxa"/>
                  <w:tcBorders>
                    <w:top w:val="single" w:color="000000" w:sz="6"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生态保护红线</w:t>
                  </w:r>
                </w:p>
              </w:tc>
              <w:tc>
                <w:tcPr>
                  <w:tcW w:w="5123" w:type="dxa"/>
                  <w:tcBorders>
                    <w:top w:val="single" w:color="000000" w:sz="6" w:space="0"/>
                    <w:left w:val="single" w:color="000000" w:sz="6" w:space="0"/>
                    <w:bottom w:val="single" w:color="000000" w:sz="6" w:space="0"/>
                    <w:right w:val="single" w:color="000000" w:sz="4"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本项目不位于</w:t>
                  </w:r>
                  <w:r>
                    <w:rPr>
                      <w:rFonts w:hint="eastAsia" w:ascii="Times New Roman" w:hAnsi="Times New Roman" w:cs="Times New Roman"/>
                      <w:color w:val="000000"/>
                      <w:kern w:val="0"/>
                      <w:sz w:val="21"/>
                      <w:szCs w:val="21"/>
                      <w:lang w:val="en-US" w:eastAsia="zh-CN"/>
                    </w:rPr>
                    <w:t>新田</w:t>
                  </w:r>
                  <w:r>
                    <w:rPr>
                      <w:rFonts w:hint="default" w:ascii="Times New Roman" w:hAnsi="Times New Roman" w:eastAsia="宋体" w:cs="Times New Roman"/>
                      <w:color w:val="000000"/>
                      <w:kern w:val="0"/>
                      <w:sz w:val="21"/>
                      <w:szCs w:val="21"/>
                      <w:lang w:val="en-US" w:eastAsia="zh-CN"/>
                    </w:rPr>
                    <w:t>县</w:t>
                  </w:r>
                  <w:r>
                    <w:rPr>
                      <w:rFonts w:hint="default" w:ascii="Times New Roman" w:hAnsi="Times New Roman" w:eastAsia="宋体" w:cs="Times New Roman"/>
                      <w:color w:val="000000"/>
                      <w:kern w:val="0"/>
                      <w:sz w:val="21"/>
                      <w:szCs w:val="21"/>
                    </w:rPr>
                    <w:t>生态保护红线范围内</w:t>
                  </w:r>
                  <w:r>
                    <w:rPr>
                      <w:rFonts w:hint="eastAsia" w:ascii="Times New Roman" w:hAnsi="Times New Roman" w:cs="Times New Roman"/>
                      <w:color w:val="000000"/>
                      <w:kern w:val="0"/>
                      <w:sz w:val="21"/>
                      <w:szCs w:val="21"/>
                      <w:lang w:eastAsia="zh-CN"/>
                    </w:rPr>
                    <w:t>，</w:t>
                  </w:r>
                  <w:r>
                    <w:rPr>
                      <w:rFonts w:hint="eastAsia" w:ascii="Times New Roman" w:hAnsi="Times New Roman" w:cs="Times New Roman"/>
                      <w:color w:val="000000"/>
                      <w:kern w:val="0"/>
                      <w:sz w:val="21"/>
                      <w:szCs w:val="21"/>
                      <w:lang w:val="en-US" w:eastAsia="zh-CN"/>
                    </w:rPr>
                    <w:t>详见附图7</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382" w:type="dxa"/>
                  <w:tcBorders>
                    <w:top w:val="single" w:color="000000" w:sz="6" w:space="0"/>
                    <w:left w:val="single" w:color="000000" w:sz="4" w:space="0"/>
                    <w:bottom w:val="single" w:color="000000" w:sz="6"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w:t>
                  </w:r>
                </w:p>
              </w:tc>
              <w:tc>
                <w:tcPr>
                  <w:tcW w:w="1515" w:type="dxa"/>
                  <w:tcBorders>
                    <w:top w:val="single" w:color="000000" w:sz="6"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环境质量底线</w:t>
                  </w:r>
                </w:p>
              </w:tc>
              <w:tc>
                <w:tcPr>
                  <w:tcW w:w="5123" w:type="dxa"/>
                  <w:tcBorders>
                    <w:top w:val="single" w:color="000000" w:sz="6" w:space="0"/>
                    <w:left w:val="single" w:color="000000" w:sz="6" w:space="0"/>
                    <w:bottom w:val="single" w:color="000000" w:sz="6" w:space="0"/>
                    <w:right w:val="single" w:color="000000" w:sz="4"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根据现状监测结果可知，项目所在区域大气、地表水、声等环境质量能够满足相应功能区划要求。在严格落实各项污染防治措施的前提下，本项目的建设对周边环境影响较小，建成后不会突破当地环境质量底线</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382" w:type="dxa"/>
                  <w:tcBorders>
                    <w:top w:val="single" w:color="000000" w:sz="6" w:space="0"/>
                    <w:left w:val="single" w:color="000000" w:sz="4" w:space="0"/>
                    <w:bottom w:val="single" w:color="000000" w:sz="6"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w:t>
                  </w:r>
                </w:p>
              </w:tc>
              <w:tc>
                <w:tcPr>
                  <w:tcW w:w="1515" w:type="dxa"/>
                  <w:tcBorders>
                    <w:top w:val="single" w:color="000000" w:sz="6"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资源利用上线</w:t>
                  </w:r>
                </w:p>
              </w:tc>
              <w:tc>
                <w:tcPr>
                  <w:tcW w:w="5123" w:type="dxa"/>
                  <w:tcBorders>
                    <w:top w:val="single" w:color="000000" w:sz="6" w:space="0"/>
                    <w:left w:val="single" w:color="000000" w:sz="6" w:space="0"/>
                    <w:bottom w:val="single" w:color="000000" w:sz="6" w:space="0"/>
                    <w:right w:val="single" w:color="000000" w:sz="4"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项目所在地不属于资源、能源紧缺区域，不会超过资源利用上线</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382" w:type="dxa"/>
                  <w:tcBorders>
                    <w:top w:val="single" w:color="000000" w:sz="6" w:space="0"/>
                    <w:left w:val="single" w:color="000000" w:sz="4" w:space="0"/>
                    <w:bottom w:val="single" w:color="000000" w:sz="4"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w:t>
                  </w:r>
                </w:p>
              </w:tc>
              <w:tc>
                <w:tcPr>
                  <w:tcW w:w="1515" w:type="dxa"/>
                  <w:tcBorders>
                    <w:top w:val="single" w:color="000000" w:sz="6" w:space="0"/>
                    <w:left w:val="single" w:color="000000" w:sz="6" w:space="0"/>
                    <w:bottom w:val="single" w:color="000000" w:sz="4" w:space="0"/>
                    <w:right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环境准入负面清单</w:t>
                  </w:r>
                </w:p>
              </w:tc>
              <w:tc>
                <w:tcPr>
                  <w:tcW w:w="5123" w:type="dxa"/>
                  <w:tcBorders>
                    <w:top w:val="single" w:color="000000" w:sz="6" w:space="0"/>
                    <w:left w:val="single" w:color="000000" w:sz="6" w:space="0"/>
                    <w:bottom w:val="single" w:color="000000" w:sz="4" w:space="0"/>
                    <w:right w:val="single" w:color="000000" w:sz="4"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该行业不属于当地环境准入负面清单行业内容</w:t>
                  </w:r>
                </w:p>
              </w:tc>
            </w:tr>
          </w:tbl>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r>
              <w:rPr>
                <w:rFonts w:hint="default" w:ascii="Times New Roman" w:hAnsi="Times New Roman" w:eastAsia="宋体" w:cs="Times New Roman"/>
                <w:color w:val="000000"/>
                <w:sz w:val="24"/>
                <w:szCs w:val="22"/>
              </w:rPr>
              <w:t>由上表可知，本项目不在生态敏感区保护范围内，符合《关于以改善环境质量为核心加强</w:t>
            </w:r>
            <w:r>
              <w:rPr>
                <w:rFonts w:hint="default" w:ascii="Times New Roman" w:hAnsi="Times New Roman" w:eastAsia="宋体" w:cs="Times New Roman"/>
                <w:color w:val="000000"/>
                <w:sz w:val="24"/>
                <w:szCs w:val="22"/>
                <w:u w:val="none"/>
              </w:rPr>
              <w:t>环境影响评价管理的通知》（环评[2016]150号）。</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2"/>
                <w:u w:val="none"/>
                <w:lang w:eastAsia="zh-CN"/>
              </w:rPr>
            </w:pPr>
            <w:r>
              <w:rPr>
                <w:rFonts w:hint="default" w:ascii="Times New Roman" w:hAnsi="Times New Roman" w:eastAsia="宋体" w:cs="Times New Roman"/>
                <w:color w:val="000000"/>
                <w:sz w:val="24"/>
                <w:szCs w:val="22"/>
                <w:u w:val="none"/>
              </w:rPr>
              <w:t>综上，项目建设不存在明显限制因素，选址合理</w:t>
            </w:r>
            <w:r>
              <w:rPr>
                <w:rFonts w:hint="eastAsia" w:ascii="Times New Roman" w:hAnsi="Times New Roman" w:cs="Times New Roman"/>
                <w:color w:val="000000"/>
                <w:sz w:val="24"/>
                <w:szCs w:val="22"/>
                <w:u w:val="none"/>
                <w:lang w:eastAsia="zh-CN"/>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p>
          <w:p>
            <w:pPr>
              <w:pStyle w:val="16"/>
              <w:ind w:left="0" w:leftChars="0" w:firstLine="0" w:firstLineChars="0"/>
              <w:rPr>
                <w:rFonts w:hint="default"/>
                <w:lang w:val="en-US" w:eastAsia="zh-CN"/>
              </w:rPr>
            </w:pPr>
          </w:p>
        </w:tc>
      </w:tr>
    </w:tbl>
    <w:p>
      <w:pPr>
        <w:bidi w:val="0"/>
        <w:rPr>
          <w:rFonts w:hint="eastAsia"/>
          <w:lang w:val="en-US" w:eastAsia="zh-CN"/>
        </w:rPr>
        <w:sectPr>
          <w:footerReference r:id="rId3" w:type="default"/>
          <w:pgSz w:w="11906" w:h="16838"/>
          <w:pgMar w:top="1803" w:right="1440" w:bottom="1803" w:left="1440" w:header="851" w:footer="992" w:gutter="0"/>
          <w:pgNumType w:fmt="decimal" w:start="1"/>
          <w:cols w:space="425" w:num="1"/>
          <w:docGrid w:type="lines" w:linePitch="31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eastAsia"/>
          <w:lang w:val="en-US" w:eastAsia="zh-CN"/>
        </w:rPr>
      </w:pPr>
      <w:bookmarkStart w:id="1" w:name="_Toc31677"/>
      <w:r>
        <w:rPr>
          <w:rFonts w:hint="eastAsia"/>
          <w:b/>
          <w:sz w:val="36"/>
          <w:szCs w:val="36"/>
          <w:lang w:val="en-US" w:eastAsia="zh-CN"/>
        </w:rPr>
        <w:t>二、建设项目工程分析</w:t>
      </w:r>
      <w:bookmarkEnd w:id="1"/>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56" w:type="dxa"/>
            <w:vAlign w:val="center"/>
          </w:tcPr>
          <w:p>
            <w:pPr>
              <w:pageBreakBefore w:val="0"/>
              <w:widowControl w:val="0"/>
              <w:kinsoku/>
              <w:wordWrap/>
              <w:overflowPunct/>
              <w:topLinePunct w:val="0"/>
              <w:autoSpaceDE/>
              <w:autoSpaceDN/>
              <w:bidi w:val="0"/>
              <w:adjustRightInd w:val="0"/>
              <w:snapToGrid w:val="0"/>
              <w:spacing w:line="360" w:lineRule="auto"/>
              <w:ind w:left="0" w:leftChars="0"/>
              <w:jc w:val="center"/>
              <w:textAlignment w:val="auto"/>
              <w:rPr>
                <w:rFonts w:hint="default"/>
                <w:sz w:val="24"/>
                <w:szCs w:val="24"/>
                <w:vertAlign w:val="baseline"/>
                <w:lang w:val="en-US" w:eastAsia="zh-CN"/>
              </w:rPr>
            </w:pPr>
            <w:r>
              <w:rPr>
                <w:rFonts w:hint="eastAsia"/>
                <w:sz w:val="24"/>
                <w:szCs w:val="24"/>
                <w:vertAlign w:val="baseline"/>
                <w:lang w:val="en-US" w:eastAsia="zh-CN"/>
              </w:rPr>
              <w:t>建设内容</w:t>
            </w:r>
          </w:p>
        </w:tc>
        <w:tc>
          <w:tcPr>
            <w:tcW w:w="878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color w:val="auto"/>
                <w:sz w:val="30"/>
                <w:szCs w:val="30"/>
                <w:lang w:eastAsia="zh-CN"/>
              </w:rPr>
            </w:pPr>
            <w:r>
              <w:rPr>
                <w:rFonts w:hint="eastAsia" w:ascii="Times New Roman" w:hAnsi="Times New Roman" w:cs="Times New Roman"/>
                <w:b/>
                <w:color w:val="auto"/>
                <w:sz w:val="30"/>
                <w:szCs w:val="30"/>
                <w:lang w:val="en-US" w:eastAsia="zh-CN"/>
              </w:rPr>
              <w:t>1、</w:t>
            </w:r>
            <w:r>
              <w:rPr>
                <w:rFonts w:hint="default" w:ascii="Times New Roman" w:hAnsi="Times New Roman" w:eastAsia="宋体" w:cs="Times New Roman"/>
                <w:b/>
                <w:color w:val="auto"/>
                <w:sz w:val="30"/>
                <w:szCs w:val="30"/>
                <w:lang w:val="en-US" w:eastAsia="zh-CN"/>
              </w:rPr>
              <w:t>项目工程概况</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宋体" w:cs="Times New Roman"/>
                <w:b/>
                <w:bCs/>
                <w:sz w:val="24"/>
                <w:szCs w:val="24"/>
                <w:u w:val="none"/>
              </w:rPr>
            </w:pPr>
            <w:r>
              <w:rPr>
                <w:rFonts w:hint="eastAsia" w:ascii="Times New Roman" w:hAnsi="Times New Roman" w:cs="Times New Roman"/>
                <w:b/>
                <w:bCs/>
                <w:sz w:val="24"/>
                <w:szCs w:val="24"/>
                <w:u w:val="none"/>
                <w:lang w:val="en-US" w:eastAsia="zh-CN"/>
              </w:rPr>
              <w:t>1</w:t>
            </w:r>
            <w:r>
              <w:rPr>
                <w:rFonts w:hint="eastAsia" w:ascii="Times New Roman" w:hAnsi="Times New Roman" w:eastAsia="宋体" w:cs="Times New Roman"/>
                <w:b/>
                <w:bCs/>
                <w:sz w:val="24"/>
                <w:szCs w:val="24"/>
                <w:u w:val="none"/>
                <w:lang w:val="en-US" w:eastAsia="zh-CN"/>
              </w:rPr>
              <w:t xml:space="preserve">.1 </w:t>
            </w:r>
            <w:r>
              <w:rPr>
                <w:rFonts w:hint="default" w:ascii="Times New Roman" w:hAnsi="Times New Roman" w:eastAsia="宋体" w:cs="Times New Roman"/>
                <w:b/>
                <w:bCs/>
                <w:sz w:val="24"/>
                <w:szCs w:val="24"/>
                <w:u w:val="none"/>
              </w:rPr>
              <w:t>工程概况</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2"/>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u w:val="none"/>
                <w14:textFill>
                  <w14:solidFill>
                    <w14:schemeClr w14:val="tx1"/>
                  </w14:solidFill>
                </w14:textFill>
              </w:rPr>
              <w:t>项目名</w:t>
            </w:r>
            <w:r>
              <w:rPr>
                <w:rFonts w:hint="eastAsia" w:ascii="Times New Roman" w:hAnsi="Times New Roman" w:eastAsia="宋体" w:cs="Times New Roman"/>
                <w:color w:val="000000" w:themeColor="text1"/>
                <w:sz w:val="24"/>
                <w:szCs w:val="22"/>
                <w:u w:val="none"/>
                <w:lang w:val="en-US" w:eastAsia="zh-CN"/>
                <w14:textFill>
                  <w14:solidFill>
                    <w14:schemeClr w14:val="tx1"/>
                  </w14:solidFill>
                </w14:textFill>
              </w:rPr>
              <w:t>称：年产1900吨豆制品</w:t>
            </w:r>
            <w:r>
              <w:rPr>
                <w:rFonts w:hint="default" w:ascii="Times New Roman" w:hAnsi="Times New Roman" w:eastAsia="宋体" w:cs="Times New Roman"/>
                <w:color w:val="000000" w:themeColor="text1"/>
                <w:sz w:val="24"/>
                <w:szCs w:val="22"/>
                <w:u w:val="none"/>
                <w:lang w:val="en-US" w:eastAsia="zh-CN"/>
                <w14:textFill>
                  <w14:solidFill>
                    <w14:schemeClr w14:val="tx1"/>
                  </w14:solidFill>
                </w14:textFill>
              </w:rPr>
              <w:t>建设项目</w:t>
            </w:r>
            <w:r>
              <w:rPr>
                <w:rFonts w:hint="eastAsia" w:ascii="Times New Roman" w:hAnsi="Times New Roman" w:eastAsia="宋体" w:cs="Times New Roman"/>
                <w:color w:val="000000" w:themeColor="text1"/>
                <w:sz w:val="24"/>
                <w:szCs w:val="22"/>
                <w:u w:val="none"/>
                <w:lang w:val="en-US"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2"/>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2"/>
                <w:u w:val="none"/>
                <w:lang w:val="en-US" w:eastAsia="zh-CN"/>
                <w14:textFill>
                  <w14:solidFill>
                    <w14:schemeClr w14:val="tx1"/>
                  </w14:solidFill>
                </w14:textFill>
              </w:rPr>
              <w:t>建设单位：新田县千山龙食品有限公司；</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u w:val="none"/>
                <w:lang w:val="en-US" w:eastAsia="zh-CN"/>
                <w14:textFill>
                  <w14:solidFill>
                    <w14:schemeClr w14:val="tx1"/>
                  </w14:solidFill>
                </w14:textFill>
              </w:rPr>
              <w:t>占地面积：</w:t>
            </w:r>
            <w:r>
              <w:rPr>
                <w:rFonts w:hint="eastAsia" w:ascii="Times New Roman" w:hAnsi="Times New Roman" w:eastAsia="宋体" w:cs="Times New Roman"/>
                <w:color w:val="000000" w:themeColor="text1"/>
                <w:sz w:val="24"/>
                <w:szCs w:val="22"/>
                <w:u w:val="none"/>
                <w:lang w:val="en-US" w:eastAsia="zh-CN"/>
                <w14:textFill>
                  <w14:solidFill>
                    <w14:schemeClr w14:val="tx1"/>
                  </w14:solidFill>
                </w14:textFill>
              </w:rPr>
              <w:t>10000平方米（15亩）</w:t>
            </w:r>
            <w:r>
              <w:rPr>
                <w:rFonts w:hint="default" w:ascii="Times New Roman" w:hAnsi="Times New Roman" w:eastAsia="宋体" w:cs="Times New Roman"/>
                <w:color w:val="000000" w:themeColor="text1"/>
                <w:sz w:val="24"/>
                <w:szCs w:val="22"/>
                <w:u w:val="none"/>
                <w:lang w:val="en-US"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2"/>
                <w:u w:val="none"/>
                <w:lang w:val="en-US" w:eastAsia="zh-CN"/>
                <w14:textFill>
                  <w14:solidFill>
                    <w14:schemeClr w14:val="tx1"/>
                  </w14:solidFill>
                </w14:textFill>
              </w:rPr>
              <w:t>项目性质</w:t>
            </w:r>
            <w:r>
              <w:rPr>
                <w:rFonts w:hint="default" w:ascii="Times New Roman" w:hAnsi="Times New Roman" w:eastAsia="宋体" w:cs="Times New Roman"/>
                <w:color w:val="000000" w:themeColor="text1"/>
                <w:sz w:val="24"/>
                <w:szCs w:val="22"/>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2"/>
                <w:u w:val="none"/>
                <w:lang w:val="en-US" w:eastAsia="zh-CN"/>
                <w14:textFill>
                  <w14:solidFill>
                    <w14:schemeClr w14:val="tx1"/>
                  </w14:solidFill>
                </w14:textFill>
              </w:rPr>
              <w:t>新建</w:t>
            </w:r>
            <w:r>
              <w:rPr>
                <w:rFonts w:hint="default" w:ascii="Times New Roman" w:hAnsi="Times New Roman" w:eastAsia="宋体" w:cs="Times New Roman"/>
                <w:color w:val="000000" w:themeColor="text1"/>
                <w:sz w:val="24"/>
                <w:szCs w:val="22"/>
                <w:u w:val="none"/>
                <w:lang w:val="en-US"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u w:val="none"/>
                <w14:textFill>
                  <w14:solidFill>
                    <w14:schemeClr w14:val="tx1"/>
                  </w14:solidFill>
                </w14:textFill>
              </w:rPr>
            </w:pPr>
            <w:r>
              <w:rPr>
                <w:rFonts w:hint="default" w:ascii="Times New Roman" w:hAnsi="Times New Roman" w:eastAsia="宋体" w:cs="Times New Roman"/>
                <w:color w:val="000000" w:themeColor="text1"/>
                <w:sz w:val="24"/>
                <w:szCs w:val="22"/>
                <w:u w:val="none"/>
                <w14:textFill>
                  <w14:solidFill>
                    <w14:schemeClr w14:val="tx1"/>
                  </w14:solidFill>
                </w14:textFill>
              </w:rPr>
              <w:t>项目投资：</w:t>
            </w:r>
            <w:r>
              <w:rPr>
                <w:rFonts w:hint="eastAsia" w:ascii="Times New Roman" w:hAnsi="Times New Roman" w:cs="Times New Roman"/>
                <w:color w:val="000000" w:themeColor="text1"/>
                <w:sz w:val="24"/>
                <w:szCs w:val="22"/>
                <w:u w:val="none"/>
                <w:lang w:val="en-US" w:eastAsia="zh-CN"/>
                <w14:textFill>
                  <w14:solidFill>
                    <w14:schemeClr w14:val="tx1"/>
                  </w14:solidFill>
                </w14:textFill>
              </w:rPr>
              <w:t>600</w:t>
            </w:r>
            <w:r>
              <w:rPr>
                <w:rFonts w:hint="default" w:ascii="Times New Roman" w:hAnsi="Times New Roman" w:eastAsia="宋体" w:cs="Times New Roman"/>
                <w:color w:val="000000" w:themeColor="text1"/>
                <w:sz w:val="24"/>
                <w:szCs w:val="22"/>
                <w:u w:val="none"/>
                <w14:textFill>
                  <w14:solidFill>
                    <w14:schemeClr w14:val="tx1"/>
                  </w14:solidFill>
                </w14:textFill>
              </w:rPr>
              <w:t>万元，环保投资</w:t>
            </w:r>
            <w:r>
              <w:rPr>
                <w:rFonts w:hint="eastAsia" w:ascii="Times New Roman" w:hAnsi="Times New Roman" w:cs="Times New Roman"/>
                <w:color w:val="000000" w:themeColor="text1"/>
                <w:sz w:val="24"/>
                <w:szCs w:val="22"/>
                <w:u w:val="none"/>
                <w:lang w:val="en-US" w:eastAsia="zh-CN"/>
                <w14:textFill>
                  <w14:solidFill>
                    <w14:schemeClr w14:val="tx1"/>
                  </w14:solidFill>
                </w14:textFill>
              </w:rPr>
              <w:t>35</w:t>
            </w:r>
            <w:r>
              <w:rPr>
                <w:rFonts w:hint="default" w:ascii="Times New Roman" w:hAnsi="Times New Roman" w:eastAsia="宋体" w:cs="Times New Roman"/>
                <w:color w:val="000000" w:themeColor="text1"/>
                <w:sz w:val="24"/>
                <w:szCs w:val="22"/>
                <w:u w:val="none"/>
                <w14:textFill>
                  <w14:solidFill>
                    <w14:schemeClr w14:val="tx1"/>
                  </w14:solidFill>
                </w14:textFill>
              </w:rPr>
              <w:t>万元；</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eastAsia="宋体" w:cs="Times New Roman"/>
                <w:b/>
                <w:bCs/>
                <w:color w:val="000000" w:themeColor="text1"/>
                <w:kern w:val="2"/>
                <w:sz w:val="24"/>
                <w:szCs w:val="22"/>
                <w:u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2"/>
                <w:u w:val="none"/>
                <w:lang w:val="en-US" w:eastAsia="zh-CN" w:bidi="ar-SA"/>
                <w14:textFill>
                  <w14:solidFill>
                    <w14:schemeClr w14:val="tx1"/>
                  </w14:solidFill>
                </w14:textFill>
              </w:rPr>
              <w:t>2.2</w:t>
            </w:r>
            <w:r>
              <w:rPr>
                <w:rFonts w:hint="default" w:ascii="Times New Roman" w:hAnsi="Times New Roman" w:eastAsia="宋体" w:cs="Times New Roman"/>
                <w:b/>
                <w:bCs/>
                <w:color w:val="000000" w:themeColor="text1"/>
                <w:kern w:val="2"/>
                <w:sz w:val="24"/>
                <w:szCs w:val="22"/>
                <w:u w:val="none"/>
                <w:lang w:val="en-US" w:eastAsia="zh-CN" w:bidi="ar-SA"/>
                <w14:textFill>
                  <w14:solidFill>
                    <w14:schemeClr w14:val="tx1"/>
                  </w14:solidFill>
                </w14:textFill>
              </w:rPr>
              <w:t>总平面布置 </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u w:val="none"/>
                <w14:textFill>
                  <w14:solidFill>
                    <w14:schemeClr w14:val="tx1"/>
                  </w14:solidFill>
                </w14:textFill>
              </w:rPr>
            </w:pPr>
            <w:r>
              <w:rPr>
                <w:rFonts w:hint="default" w:ascii="Times New Roman" w:hAnsi="Times New Roman" w:eastAsia="宋体" w:cs="Times New Roman"/>
                <w:color w:val="000000" w:themeColor="text1"/>
                <w:sz w:val="24"/>
                <w:szCs w:val="22"/>
                <w:u w:val="none"/>
                <w14:textFill>
                  <w14:solidFill>
                    <w14:schemeClr w14:val="tx1"/>
                  </w14:solidFill>
                </w14:textFill>
              </w:rPr>
              <w:t>根据</w:t>
            </w:r>
            <w:r>
              <w:rPr>
                <w:rFonts w:hint="eastAsia" w:ascii="Times New Roman" w:hAnsi="Times New Roman" w:eastAsia="宋体" w:cs="Times New Roman"/>
                <w:color w:val="000000" w:themeColor="text1"/>
                <w:sz w:val="24"/>
                <w:szCs w:val="22"/>
                <w:u w:val="none"/>
                <w:lang w:val="en-US" w:eastAsia="zh-CN"/>
                <w14:textFill>
                  <w14:solidFill>
                    <w14:schemeClr w14:val="tx1"/>
                  </w14:solidFill>
                </w14:textFill>
              </w:rPr>
              <w:t>附图</w:t>
            </w:r>
            <w:r>
              <w:rPr>
                <w:rFonts w:hint="eastAsia" w:ascii="Times New Roman" w:hAnsi="Times New Roman" w:cs="Times New Roman"/>
                <w:color w:val="000000" w:themeColor="text1"/>
                <w:sz w:val="24"/>
                <w:szCs w:val="22"/>
                <w:u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2"/>
                <w:u w:val="none"/>
                <w14:textFill>
                  <w14:solidFill>
                    <w14:schemeClr w14:val="tx1"/>
                  </w14:solidFill>
                </w14:textFill>
              </w:rPr>
              <w:t>项目平面布置图可知，项目</w:t>
            </w:r>
            <w:r>
              <w:rPr>
                <w:rFonts w:hint="eastAsia" w:ascii="Times New Roman" w:hAnsi="Times New Roman" w:cs="Times New Roman"/>
                <w:color w:val="000000" w:themeColor="text1"/>
                <w:sz w:val="24"/>
                <w:szCs w:val="22"/>
                <w:u w:val="none"/>
                <w:lang w:val="en-US" w:eastAsia="zh-CN"/>
                <w14:textFill>
                  <w14:solidFill>
                    <w14:schemeClr w14:val="tx1"/>
                  </w14:solidFill>
                </w14:textFill>
              </w:rPr>
              <w:t>建设包括1栋燃料仓库、1栋锅炉房和1栋生活楼</w:t>
            </w:r>
            <w:r>
              <w:rPr>
                <w:rFonts w:hint="default" w:ascii="Times New Roman" w:hAnsi="Times New Roman" w:eastAsia="宋体" w:cs="Times New Roman"/>
                <w:color w:val="000000" w:themeColor="text1"/>
                <w:sz w:val="24"/>
                <w:szCs w:val="22"/>
                <w:u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szCs w:val="24"/>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u w:val="none"/>
                <w:lang w:val="en-US" w:eastAsia="zh-CN"/>
                <w14:textFill>
                  <w14:solidFill>
                    <w14:schemeClr w14:val="tx1"/>
                  </w14:solidFill>
                </w14:textFill>
              </w:rPr>
              <w:t>生产</w:t>
            </w:r>
            <w:r>
              <w:rPr>
                <w:rFonts w:hint="default" w:ascii="Times New Roman" w:hAnsi="Times New Roman" w:eastAsia="宋体" w:cs="Times New Roman"/>
                <w:color w:val="000000" w:themeColor="text1"/>
                <w:sz w:val="24"/>
                <w:szCs w:val="22"/>
                <w:u w:val="none"/>
                <w14:textFill>
                  <w14:solidFill>
                    <w14:schemeClr w14:val="tx1"/>
                  </w14:solidFill>
                </w14:textFill>
              </w:rPr>
              <w:t>厂房位于厂区</w:t>
            </w:r>
            <w:r>
              <w:rPr>
                <w:rFonts w:hint="eastAsia" w:ascii="Times New Roman" w:hAnsi="Times New Roman" w:cs="Times New Roman"/>
                <w:color w:val="000000" w:themeColor="text1"/>
                <w:sz w:val="24"/>
                <w:szCs w:val="22"/>
                <w:u w:val="none"/>
                <w:lang w:val="en-US" w:eastAsia="zh-CN"/>
                <w14:textFill>
                  <w14:solidFill>
                    <w14:schemeClr w14:val="tx1"/>
                  </w14:solidFill>
                </w14:textFill>
              </w:rPr>
              <w:t>南侧</w:t>
            </w:r>
            <w:r>
              <w:rPr>
                <w:rFonts w:hint="default" w:ascii="Times New Roman" w:hAnsi="Times New Roman" w:eastAsia="宋体" w:cs="Times New Roman"/>
                <w:color w:val="000000" w:themeColor="text1"/>
                <w:sz w:val="24"/>
                <w:szCs w:val="22"/>
                <w:u w:val="none"/>
                <w:lang w:val="en-US" w:eastAsia="zh-CN"/>
                <w14:textFill>
                  <w14:solidFill>
                    <w14:schemeClr w14:val="tx1"/>
                  </w14:solidFill>
                </w14:textFill>
              </w:rPr>
              <w:t>，</w:t>
            </w:r>
            <w:r>
              <w:rPr>
                <w:rFonts w:hint="eastAsia" w:ascii="Times New Roman" w:hAnsi="Times New Roman" w:cs="Times New Roman"/>
                <w:color w:val="000000" w:themeColor="text1"/>
                <w:sz w:val="24"/>
                <w:szCs w:val="22"/>
                <w:u w:val="none"/>
                <w:lang w:val="en-US" w:eastAsia="zh-CN"/>
                <w14:textFill>
                  <w14:solidFill>
                    <w14:schemeClr w14:val="tx1"/>
                  </w14:solidFill>
                </w14:textFill>
              </w:rPr>
              <w:t>燃料仓库位于</w:t>
            </w:r>
            <w:r>
              <w:rPr>
                <w:rFonts w:hint="default" w:ascii="Times New Roman" w:hAnsi="Times New Roman" w:eastAsia="宋体" w:cs="Times New Roman"/>
                <w:color w:val="000000" w:themeColor="text1"/>
                <w:sz w:val="24"/>
                <w:szCs w:val="22"/>
                <w:u w:val="none"/>
                <w14:textFill>
                  <w14:solidFill>
                    <w14:schemeClr w14:val="tx1"/>
                  </w14:solidFill>
                </w14:textFill>
              </w:rPr>
              <w:t>厂区</w:t>
            </w:r>
            <w:r>
              <w:rPr>
                <w:rFonts w:hint="eastAsia" w:ascii="Times New Roman" w:hAnsi="Times New Roman" w:cs="Times New Roman"/>
                <w:color w:val="000000" w:themeColor="text1"/>
                <w:sz w:val="24"/>
                <w:szCs w:val="22"/>
                <w:u w:val="none"/>
                <w:lang w:val="en-US" w:eastAsia="zh-CN"/>
                <w14:textFill>
                  <w14:solidFill>
                    <w14:schemeClr w14:val="tx1"/>
                  </w14:solidFill>
                </w14:textFill>
              </w:rPr>
              <w:t>北侧偏东，锅炉房位于厂区北侧偏西，生活楼</w:t>
            </w:r>
            <w:r>
              <w:rPr>
                <w:rFonts w:hint="default" w:ascii="Times New Roman" w:hAnsi="Times New Roman" w:eastAsia="宋体" w:cs="Times New Roman"/>
                <w:color w:val="000000" w:themeColor="text1"/>
                <w:sz w:val="24"/>
                <w:szCs w:val="22"/>
                <w:u w:val="none"/>
                <w:lang w:val="en-US" w:eastAsia="zh-CN"/>
                <w14:textFill>
                  <w14:solidFill>
                    <w14:schemeClr w14:val="tx1"/>
                  </w14:solidFill>
                </w14:textFill>
              </w:rPr>
              <w:t>位于</w:t>
            </w:r>
            <w:r>
              <w:rPr>
                <w:rFonts w:hint="eastAsia" w:ascii="Times New Roman" w:hAnsi="Times New Roman" w:cs="Times New Roman"/>
                <w:color w:val="000000" w:themeColor="text1"/>
                <w:sz w:val="24"/>
                <w:szCs w:val="22"/>
                <w:u w:val="none"/>
                <w:lang w:val="en-US" w:eastAsia="zh-CN"/>
                <w14:textFill>
                  <w14:solidFill>
                    <w14:schemeClr w14:val="tx1"/>
                  </w14:solidFill>
                </w14:textFill>
              </w:rPr>
              <w:t>燃料仓库东南侧</w:t>
            </w:r>
            <w:r>
              <w:rPr>
                <w:rFonts w:hint="default" w:ascii="Times New Roman" w:hAnsi="Times New Roman" w:eastAsia="宋体" w:cs="Times New Roman"/>
                <w:color w:val="000000" w:themeColor="text1"/>
                <w:sz w:val="24"/>
                <w:szCs w:val="22"/>
                <w:u w:val="none"/>
                <w14:textFill>
                  <w14:solidFill>
                    <w14:schemeClr w14:val="tx1"/>
                  </w14:solidFill>
                </w14:textFill>
              </w:rPr>
              <w:t>；废气排放口设在下风向的</w:t>
            </w:r>
            <w:r>
              <w:rPr>
                <w:rFonts w:hint="default" w:ascii="Times New Roman" w:hAnsi="Times New Roman" w:eastAsia="宋体" w:cs="Times New Roman"/>
                <w:color w:val="000000" w:themeColor="text1"/>
                <w:sz w:val="24"/>
                <w:szCs w:val="22"/>
                <w:u w:val="none"/>
                <w:lang w:val="en-US" w:eastAsia="zh-CN"/>
                <w14:textFill>
                  <w14:solidFill>
                    <w14:schemeClr w14:val="tx1"/>
                  </w14:solidFill>
                </w14:textFill>
              </w:rPr>
              <w:t>东</w:t>
            </w:r>
            <w:r>
              <w:rPr>
                <w:rFonts w:hint="default" w:ascii="Times New Roman" w:hAnsi="Times New Roman" w:eastAsia="宋体" w:cs="Times New Roman"/>
                <w:color w:val="000000" w:themeColor="text1"/>
                <w:sz w:val="24"/>
                <w:szCs w:val="22"/>
                <w:u w:val="none"/>
                <w14:textFill>
                  <w14:solidFill>
                    <w14:schemeClr w14:val="tx1"/>
                  </w14:solidFill>
                </w14:textFill>
              </w:rPr>
              <w:t>南角，</w:t>
            </w:r>
            <w:r>
              <w:rPr>
                <w:rFonts w:hint="eastAsia" w:ascii="Times New Roman" w:hAnsi="Times New Roman" w:cs="Times New Roman"/>
                <w:color w:val="000000" w:themeColor="text1"/>
                <w:sz w:val="24"/>
                <w:szCs w:val="22"/>
                <w:u w:val="none"/>
                <w:lang w:val="en-US" w:eastAsia="zh-CN"/>
                <w14:textFill>
                  <w14:solidFill>
                    <w14:schemeClr w14:val="tx1"/>
                  </w14:solidFill>
                </w14:textFill>
              </w:rPr>
              <w:t>一般固体废物</w:t>
            </w:r>
            <w:r>
              <w:rPr>
                <w:rFonts w:hint="default" w:ascii="Times New Roman" w:hAnsi="Times New Roman" w:eastAsia="宋体" w:cs="Times New Roman"/>
                <w:color w:val="000000" w:themeColor="text1"/>
                <w:sz w:val="24"/>
                <w:szCs w:val="22"/>
                <w:u w:val="none"/>
                <w14:textFill>
                  <w14:solidFill>
                    <w14:schemeClr w14:val="tx1"/>
                  </w14:solidFill>
                </w14:textFill>
              </w:rPr>
              <w:t>暂存间位于</w:t>
            </w:r>
            <w:r>
              <w:rPr>
                <w:rFonts w:hint="default" w:ascii="Times New Roman" w:hAnsi="Times New Roman" w:eastAsia="宋体" w:cs="Times New Roman"/>
                <w:color w:val="000000" w:themeColor="text1"/>
                <w:sz w:val="24"/>
                <w:szCs w:val="22"/>
                <w:u w:val="none"/>
                <w:lang w:val="en-US" w:eastAsia="zh-CN"/>
                <w14:textFill>
                  <w14:solidFill>
                    <w14:schemeClr w14:val="tx1"/>
                  </w14:solidFill>
                </w14:textFill>
              </w:rPr>
              <w:t>厂房内</w:t>
            </w:r>
            <w:r>
              <w:rPr>
                <w:rFonts w:hint="default" w:ascii="Times New Roman" w:hAnsi="Times New Roman" w:eastAsia="宋体" w:cs="Times New Roman"/>
                <w:color w:val="000000" w:themeColor="text1"/>
                <w:sz w:val="24"/>
                <w:szCs w:val="22"/>
                <w:u w:val="none"/>
                <w14:textFill>
                  <w14:solidFill>
                    <w14:schemeClr w14:val="tx1"/>
                  </w14:solidFill>
                </w14:textFill>
              </w:rPr>
              <w:t>，远离生活区，避免对生活区造成影响。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000000"/>
                <w:sz w:val="24"/>
                <w:szCs w:val="22"/>
                <w:u w:val="none"/>
              </w:rPr>
            </w:pPr>
            <w:r>
              <w:rPr>
                <w:rFonts w:hint="eastAsia" w:ascii="Times New Roman" w:hAnsi="Times New Roman" w:cs="Times New Roman"/>
                <w:b/>
                <w:sz w:val="24"/>
                <w:szCs w:val="24"/>
                <w:lang w:val="en-US" w:eastAsia="zh-CN"/>
              </w:rPr>
              <w:t>2.3</w:t>
            </w:r>
            <w:r>
              <w:rPr>
                <w:rFonts w:ascii="Times New Roman" w:hAnsi="Times New Roman" w:cs="Times New Roman"/>
                <w:b/>
                <w:sz w:val="24"/>
                <w:szCs w:val="24"/>
              </w:rPr>
              <w:t>工程内容及规模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
                <w:bCs/>
                <w:color w:val="000000"/>
                <w:sz w:val="21"/>
                <w:szCs w:val="21"/>
                <w:u w:val="none"/>
              </w:rPr>
            </w:pPr>
            <w:r>
              <w:rPr>
                <w:rFonts w:hint="eastAsia" w:ascii="Times New Roman" w:hAnsi="Times New Roman" w:eastAsia="宋体" w:cs="Times New Roman"/>
                <w:color w:val="000000"/>
                <w:sz w:val="24"/>
                <w:szCs w:val="24"/>
                <w:u w:val="none"/>
              </w:rPr>
              <w:t>本项目租用</w:t>
            </w:r>
            <w:r>
              <w:rPr>
                <w:rFonts w:hint="eastAsia" w:ascii="Times New Roman" w:hAnsi="Times New Roman" w:eastAsia="宋体" w:cs="Times New Roman"/>
                <w:color w:val="000000"/>
                <w:sz w:val="24"/>
                <w:szCs w:val="24"/>
                <w:u w:val="none"/>
                <w:lang w:val="en-US" w:eastAsia="zh-CN"/>
              </w:rPr>
              <w:t>湖南省永州市新田县大坪塘小明路村的集体土地</w:t>
            </w:r>
            <w:r>
              <w:rPr>
                <w:rFonts w:hint="eastAsia" w:ascii="Times New Roman" w:hAnsi="Times New Roman" w:eastAsia="宋体" w:cs="Times New Roman"/>
                <w:color w:val="000000"/>
                <w:sz w:val="24"/>
                <w:szCs w:val="24"/>
                <w:u w:val="none"/>
              </w:rPr>
              <w:t>进行建设，</w:t>
            </w:r>
            <w:r>
              <w:rPr>
                <w:rFonts w:hint="eastAsia" w:ascii="Times New Roman" w:hAnsi="Times New Roman" w:eastAsia="宋体" w:cs="Times New Roman"/>
                <w:color w:val="000000"/>
                <w:sz w:val="24"/>
                <w:szCs w:val="24"/>
                <w:u w:val="none"/>
                <w:lang w:val="en-US" w:eastAsia="zh-CN"/>
              </w:rPr>
              <w:t>新建</w:t>
            </w:r>
            <w:r>
              <w:rPr>
                <w:rFonts w:hint="eastAsia" w:ascii="Times New Roman" w:hAnsi="Times New Roman" w:cs="Times New Roman"/>
                <w:color w:val="000000"/>
                <w:sz w:val="24"/>
                <w:szCs w:val="24"/>
                <w:u w:val="none"/>
                <w:lang w:val="en-US" w:eastAsia="zh-CN"/>
              </w:rPr>
              <w:t>1栋生产厂房、</w:t>
            </w:r>
            <w:r>
              <w:rPr>
                <w:rFonts w:hint="eastAsia" w:ascii="Times New Roman" w:hAnsi="Times New Roman" w:eastAsia="宋体" w:cs="Times New Roman"/>
                <w:color w:val="000000"/>
                <w:sz w:val="24"/>
                <w:szCs w:val="24"/>
                <w:u w:val="none"/>
                <w:lang w:val="en-US" w:eastAsia="zh-CN"/>
              </w:rPr>
              <w:t>1座锅炉房、1座燃料堆场、1栋生活楼以及</w:t>
            </w:r>
            <w:r>
              <w:rPr>
                <w:rFonts w:hint="eastAsia" w:ascii="Times New Roman" w:hAnsi="Times New Roman" w:eastAsia="宋体" w:cs="Times New Roman"/>
                <w:color w:val="000000"/>
                <w:sz w:val="24"/>
                <w:szCs w:val="24"/>
                <w:u w:val="none"/>
              </w:rPr>
              <w:t>1座配电室等构筑物机配套的环保设施。本项目工程内容包括主体工程，辅助工程，公用工程及环保工程，项目</w:t>
            </w:r>
            <w:r>
              <w:rPr>
                <w:rFonts w:hint="eastAsia" w:ascii="Times New Roman" w:hAnsi="Times New Roman" w:cs="Times New Roman"/>
                <w:color w:val="000000"/>
                <w:sz w:val="24"/>
                <w:szCs w:val="24"/>
                <w:u w:val="none"/>
                <w:lang w:val="en-US" w:eastAsia="zh-CN"/>
              </w:rPr>
              <w:t>主要建筑物见表2-1，</w:t>
            </w:r>
            <w:r>
              <w:rPr>
                <w:rFonts w:hint="eastAsia" w:ascii="Times New Roman" w:hAnsi="Times New Roman" w:eastAsia="宋体" w:cs="Times New Roman"/>
                <w:color w:val="000000"/>
                <w:sz w:val="24"/>
                <w:szCs w:val="24"/>
                <w:u w:val="none"/>
              </w:rPr>
              <w:t>具体</w:t>
            </w:r>
            <w:r>
              <w:rPr>
                <w:rFonts w:hint="eastAsia" w:ascii="Times New Roman" w:hAnsi="Times New Roman" w:cs="Times New Roman"/>
                <w:color w:val="000000"/>
                <w:sz w:val="24"/>
                <w:szCs w:val="24"/>
                <w:u w:val="none"/>
                <w:lang w:val="en-US" w:eastAsia="zh-CN"/>
              </w:rPr>
              <w:t>建设</w:t>
            </w:r>
            <w:r>
              <w:rPr>
                <w:rFonts w:hint="eastAsia" w:ascii="Times New Roman" w:hAnsi="Times New Roman" w:eastAsia="宋体" w:cs="Times New Roman"/>
                <w:color w:val="000000"/>
                <w:sz w:val="24"/>
                <w:szCs w:val="24"/>
                <w:u w:val="none"/>
              </w:rPr>
              <w:t>内容见表</w:t>
            </w:r>
            <w:r>
              <w:rPr>
                <w:rFonts w:hint="eastAsia" w:ascii="Times New Roman" w:hAnsi="Times New Roman" w:cs="Times New Roman"/>
                <w:color w:val="000000"/>
                <w:sz w:val="24"/>
                <w:szCs w:val="24"/>
                <w:u w:val="none"/>
                <w:lang w:val="en-US" w:eastAsia="zh-CN"/>
              </w:rPr>
              <w:t>2-2</w:t>
            </w:r>
            <w:r>
              <w:rPr>
                <w:rFonts w:hint="eastAsia" w:ascii="Times New Roman" w:hAnsi="Times New Roman" w:eastAsia="宋体" w:cs="Times New Roman"/>
                <w:color w:val="000000"/>
                <w:sz w:val="24"/>
                <w:szCs w:val="24"/>
                <w:u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w:t>
            </w:r>
            <w:r>
              <w:rPr>
                <w:rFonts w:hint="eastAsia" w:ascii="Times New Roman" w:hAnsi="Times New Roman" w:eastAsia="宋体" w:cs="Times New Roman"/>
                <w:b/>
                <w:bCs/>
                <w:color w:val="000000"/>
                <w:sz w:val="21"/>
                <w:szCs w:val="21"/>
                <w:lang w:val="en-US" w:eastAsia="zh-CN"/>
              </w:rPr>
              <w:t>2</w:t>
            </w:r>
            <w:r>
              <w:rPr>
                <w:rFonts w:hint="default" w:ascii="Times New Roman" w:hAnsi="Times New Roman" w:eastAsia="宋体" w:cs="Times New Roman"/>
                <w:b/>
                <w:bCs/>
                <w:color w:val="000000"/>
                <w:sz w:val="21"/>
                <w:szCs w:val="21"/>
              </w:rPr>
              <w:t>-1</w:t>
            </w:r>
            <w:r>
              <w:rPr>
                <w:rFonts w:hint="default" w:ascii="Times New Roman" w:hAnsi="Times New Roman" w:eastAsia="宋体" w:cs="Times New Roman"/>
                <w:b/>
                <w:bCs/>
                <w:color w:val="000000"/>
                <w:sz w:val="21"/>
                <w:szCs w:val="21"/>
                <w:lang w:val="en-US" w:eastAsia="zh-CN"/>
              </w:rPr>
              <w:t xml:space="preserve"> 第一期项目</w:t>
            </w:r>
            <w:r>
              <w:rPr>
                <w:rFonts w:hint="default" w:ascii="Times New Roman" w:hAnsi="Times New Roman" w:eastAsia="宋体" w:cs="Times New Roman"/>
                <w:b/>
                <w:bCs/>
                <w:color w:val="000000"/>
                <w:sz w:val="21"/>
                <w:szCs w:val="21"/>
              </w:rPr>
              <w:t>建（构）筑物一览表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012"/>
              <w:gridCol w:w="1800"/>
              <w:gridCol w:w="1620"/>
              <w:gridCol w:w="1048"/>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6" w:type="pct"/>
                  <w:gridSpan w:val="2"/>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厂房</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占地面积（m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建筑面积（m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层数（F）</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01" w:type="pct"/>
                  <w:vMerge w:val="restart"/>
                  <w:noWrap w:val="0"/>
                  <w:vAlign w:val="center"/>
                </w:tcPr>
                <w:p>
                  <w:pPr>
                    <w:adjustRightInd w:val="0"/>
                    <w:spacing w:line="360" w:lineRule="atLeast"/>
                    <w:ind w:firstLine="0" w:firstLineChars="0"/>
                    <w:jc w:val="center"/>
                    <w:textAlignment w:val="baseline"/>
                    <w:rPr>
                      <w:rFonts w:hint="eastAsia" w:eastAsia="宋体"/>
                      <w:lang w:val="en-US" w:eastAsia="zh-CN"/>
                    </w:rPr>
                  </w:pPr>
                  <w:r>
                    <w:rPr>
                      <w:rFonts w:hint="default" w:ascii="Times New Roman" w:hAnsi="Times New Roman" w:cs="Times New Roman"/>
                    </w:rPr>
                    <w:t>1栋</w:t>
                  </w:r>
                  <w:r>
                    <w:rPr>
                      <w:rFonts w:hint="eastAsia" w:ascii="Times New Roman" w:hAnsi="Times New Roman" w:cs="Times New Roman"/>
                      <w:color w:val="000000"/>
                      <w:sz w:val="21"/>
                      <w:szCs w:val="21"/>
                      <w:lang w:val="en-US" w:eastAsia="zh-CN"/>
                    </w:rPr>
                    <w:t>厂房</w:t>
                  </w:r>
                  <w:r>
                    <w:rPr>
                      <w:rFonts w:hint="default" w:ascii="Times New Roman" w:hAnsi="Times New Roman" w:cs="Times New Roman"/>
                      <w:lang w:eastAsia="zh-CN"/>
                    </w:rPr>
                    <w:t>（</w:t>
                  </w:r>
                  <w:r>
                    <w:rPr>
                      <w:rFonts w:hint="default" w:ascii="Times New Roman" w:hAnsi="Times New Roman" w:cs="Times New Roman"/>
                      <w:lang w:val="en-US" w:eastAsia="zh-CN"/>
                    </w:rPr>
                    <w:t>总占地面积为7000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cs="Times New Roman"/>
                      <w:lang w:eastAsia="zh-CN"/>
                    </w:rPr>
                    <w:t>）</w:t>
                  </w:r>
                </w:p>
              </w:tc>
              <w:tc>
                <w:tcPr>
                  <w:tcW w:w="1175"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腐竹车间1</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1800</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1800</w:t>
                  </w:r>
                </w:p>
              </w:tc>
              <w:tc>
                <w:tcPr>
                  <w:tcW w:w="612" w:type="pct"/>
                  <w:vMerge w:val="restar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1栋厂房共1F</w:t>
                  </w:r>
                </w:p>
              </w:tc>
              <w:tc>
                <w:tcPr>
                  <w:tcW w:w="612" w:type="pct"/>
                  <w:vMerge w:val="restar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1栋厂房高6m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01"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p>
              </w:tc>
              <w:tc>
                <w:tcPr>
                  <w:tcW w:w="1175"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周转区</w:t>
                  </w:r>
                </w:p>
              </w:tc>
              <w:tc>
                <w:tcPr>
                  <w:tcW w:w="1051" w:type="pct"/>
                  <w:noWrap w:val="0"/>
                  <w:vAlign w:val="center"/>
                </w:tcPr>
                <w:p>
                  <w:pPr>
                    <w:adjustRightInd w:val="0"/>
                    <w:spacing w:line="360" w:lineRule="atLeast"/>
                    <w:ind w:firstLine="0" w:firstLineChars="0"/>
                    <w:jc w:val="center"/>
                    <w:textAlignment w:val="baseline"/>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u w:val="none"/>
                      <w:lang w:val="en-US" w:eastAsia="zh-CN"/>
                    </w:rPr>
                    <w:t>280</w:t>
                  </w:r>
                </w:p>
              </w:tc>
              <w:tc>
                <w:tcPr>
                  <w:tcW w:w="946" w:type="pct"/>
                  <w:noWrap w:val="0"/>
                  <w:vAlign w:val="center"/>
                </w:tcPr>
                <w:p>
                  <w:pPr>
                    <w:adjustRightInd w:val="0"/>
                    <w:spacing w:line="360" w:lineRule="atLeast"/>
                    <w:ind w:firstLine="0" w:firstLineChars="0"/>
                    <w:jc w:val="center"/>
                    <w:textAlignment w:val="baseline"/>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u w:val="none"/>
                      <w:lang w:val="en-US" w:eastAsia="zh-CN"/>
                    </w:rPr>
                    <w:t>280</w:t>
                  </w: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01"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p>
              </w:tc>
              <w:tc>
                <w:tcPr>
                  <w:tcW w:w="1175" w:type="pct"/>
                  <w:noWrap w:val="0"/>
                  <w:vAlign w:val="center"/>
                </w:tcPr>
                <w:p>
                  <w:pPr>
                    <w:adjustRightInd w:val="0"/>
                    <w:spacing w:line="360" w:lineRule="atLeast"/>
                    <w:ind w:firstLine="0" w:firstLineChars="0"/>
                    <w:jc w:val="center"/>
                    <w:textAlignment w:val="baseline"/>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腐竹车间2</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1920</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800</w:t>
                  </w: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01"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p>
              </w:tc>
              <w:tc>
                <w:tcPr>
                  <w:tcW w:w="1175" w:type="pct"/>
                  <w:noWrap w:val="0"/>
                  <w:vAlign w:val="center"/>
                </w:tcPr>
                <w:p>
                  <w:pPr>
                    <w:adjustRightInd w:val="0"/>
                    <w:spacing w:line="360" w:lineRule="atLeast"/>
                    <w:ind w:firstLine="0" w:firstLineChars="0"/>
                    <w:jc w:val="center"/>
                    <w:textAlignment w:val="baseline"/>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豆皮车间</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600</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600</w:t>
                  </w: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p>
              </w:tc>
              <w:tc>
                <w:tcPr>
                  <w:tcW w:w="612" w:type="pct"/>
                  <w:vMerge w:val="continue"/>
                  <w:noWrap w:val="0"/>
                  <w:vAlign w:val="center"/>
                </w:tcPr>
                <w:p>
                  <w:pPr>
                    <w:adjustRightInd w:val="0"/>
                    <w:spacing w:line="360" w:lineRule="atLeast"/>
                    <w:ind w:firstLine="0" w:firstLineChars="0"/>
                    <w:jc w:val="center"/>
                    <w:textAlignment w:val="baseline"/>
                    <w:rPr>
                      <w:rFonts w:hint="eastAsia"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01"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p>
              </w:tc>
              <w:tc>
                <w:tcPr>
                  <w:tcW w:w="1175"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烘干房</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420</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420</w:t>
                  </w: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p>
              </w:tc>
              <w:tc>
                <w:tcPr>
                  <w:tcW w:w="612" w:type="pct"/>
                  <w:vMerge w:val="continue"/>
                  <w:noWrap w:val="0"/>
                  <w:vAlign w:val="center"/>
                </w:tcPr>
                <w:p>
                  <w:pPr>
                    <w:adjustRightInd w:val="0"/>
                    <w:spacing w:line="360" w:lineRule="atLeast"/>
                    <w:ind w:firstLine="0" w:firstLineChars="0"/>
                    <w:jc w:val="center"/>
                    <w:textAlignment w:val="baseline"/>
                    <w:rPr>
                      <w:rFonts w:hint="eastAsia"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01"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p>
              </w:tc>
              <w:tc>
                <w:tcPr>
                  <w:tcW w:w="1175"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回潮房</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300</w:t>
                  </w:r>
                </w:p>
              </w:tc>
              <w:tc>
                <w:tcPr>
                  <w:tcW w:w="946" w:type="pct"/>
                  <w:noWrap w:val="0"/>
                  <w:vAlign w:val="center"/>
                </w:tcPr>
                <w:p>
                  <w:pPr>
                    <w:adjustRightInd w:val="0"/>
                    <w:spacing w:line="360" w:lineRule="atLeast"/>
                    <w:ind w:firstLine="0" w:firstLineChars="0"/>
                    <w:jc w:val="center"/>
                    <w:textAlignment w:val="baseline"/>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300</w:t>
                  </w: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p>
              </w:tc>
              <w:tc>
                <w:tcPr>
                  <w:tcW w:w="612" w:type="pct"/>
                  <w:vMerge w:val="continue"/>
                  <w:noWrap w:val="0"/>
                  <w:vAlign w:val="center"/>
                </w:tcPr>
                <w:p>
                  <w:pPr>
                    <w:adjustRightInd w:val="0"/>
                    <w:spacing w:line="360" w:lineRule="atLeast"/>
                    <w:ind w:firstLine="0" w:firstLineChars="0"/>
                    <w:jc w:val="center"/>
                    <w:textAlignment w:val="baseline"/>
                    <w:rPr>
                      <w:rFonts w:hint="eastAsia"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01"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p>
              </w:tc>
              <w:tc>
                <w:tcPr>
                  <w:tcW w:w="1175"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包装房</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300</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300</w:t>
                  </w: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p>
              </w:tc>
              <w:tc>
                <w:tcPr>
                  <w:tcW w:w="612" w:type="pct"/>
                  <w:vMerge w:val="continue"/>
                  <w:noWrap w:val="0"/>
                  <w:vAlign w:val="center"/>
                </w:tcPr>
                <w:p>
                  <w:pPr>
                    <w:adjustRightInd w:val="0"/>
                    <w:spacing w:line="360" w:lineRule="atLeast"/>
                    <w:ind w:firstLine="0" w:firstLineChars="0"/>
                    <w:jc w:val="center"/>
                    <w:textAlignment w:val="baseline"/>
                    <w:rPr>
                      <w:rFonts w:hint="eastAsia"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01"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p>
              </w:tc>
              <w:tc>
                <w:tcPr>
                  <w:tcW w:w="1175"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腐竹</w:t>
                  </w:r>
                  <w:r>
                    <w:rPr>
                      <w:rFonts w:hint="default" w:ascii="Times New Roman" w:hAnsi="Times New Roman" w:eastAsia="宋体" w:cs="Times New Roman"/>
                      <w:color w:val="000000"/>
                      <w:sz w:val="21"/>
                      <w:szCs w:val="21"/>
                      <w:lang w:val="en-US" w:eastAsia="zh-CN"/>
                    </w:rPr>
                    <w:t>原料</w:t>
                  </w:r>
                  <w:r>
                    <w:rPr>
                      <w:rFonts w:hint="eastAsia" w:ascii="Times New Roman" w:hAnsi="Times New Roman" w:cs="Times New Roman"/>
                      <w:color w:val="000000"/>
                      <w:sz w:val="21"/>
                      <w:szCs w:val="21"/>
                      <w:lang w:val="en-US" w:eastAsia="zh-CN"/>
                    </w:rPr>
                    <w:t>仓库1个</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200</w:t>
                  </w:r>
                </w:p>
              </w:tc>
              <w:tc>
                <w:tcPr>
                  <w:tcW w:w="946" w:type="pct"/>
                  <w:noWrap w:val="0"/>
                  <w:vAlign w:val="center"/>
                </w:tcPr>
                <w:p>
                  <w:pPr>
                    <w:adjustRightInd w:val="0"/>
                    <w:spacing w:line="360" w:lineRule="atLeast"/>
                    <w:ind w:firstLine="0" w:firstLineChars="0"/>
                    <w:jc w:val="center"/>
                    <w:textAlignment w:val="baseline"/>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200</w:t>
                  </w: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p>
              </w:tc>
              <w:tc>
                <w:tcPr>
                  <w:tcW w:w="612" w:type="pct"/>
                  <w:vMerge w:val="continue"/>
                  <w:noWrap w:val="0"/>
                  <w:vAlign w:val="center"/>
                </w:tcPr>
                <w:p>
                  <w:pPr>
                    <w:adjustRightInd w:val="0"/>
                    <w:spacing w:line="360" w:lineRule="atLeast"/>
                    <w:ind w:firstLine="0" w:firstLineChars="0"/>
                    <w:jc w:val="center"/>
                    <w:textAlignment w:val="baseline"/>
                    <w:rPr>
                      <w:rFonts w:hint="eastAsia"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p>
              </w:tc>
              <w:tc>
                <w:tcPr>
                  <w:tcW w:w="1175"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腐竹</w:t>
                  </w:r>
                  <w:r>
                    <w:rPr>
                      <w:rFonts w:hint="default" w:ascii="Times New Roman" w:hAnsi="Times New Roman" w:eastAsia="宋体" w:cs="Times New Roman"/>
                      <w:color w:val="000000"/>
                      <w:sz w:val="21"/>
                      <w:szCs w:val="21"/>
                      <w:lang w:val="en-US" w:eastAsia="zh-CN"/>
                    </w:rPr>
                    <w:t>成品仓库</w:t>
                  </w:r>
                  <w:r>
                    <w:rPr>
                      <w:rFonts w:hint="eastAsia" w:ascii="Times New Roman" w:hAnsi="Times New Roman" w:cs="Times New Roman"/>
                      <w:color w:val="000000"/>
                      <w:sz w:val="21"/>
                      <w:szCs w:val="21"/>
                      <w:lang w:val="en-US" w:eastAsia="zh-CN"/>
                    </w:rPr>
                    <w:t>2个</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500</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500</w:t>
                  </w: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p>
              </w:tc>
              <w:tc>
                <w:tcPr>
                  <w:tcW w:w="612" w:type="pct"/>
                  <w:vMerge w:val="continue"/>
                  <w:noWrap w:val="0"/>
                  <w:vAlign w:val="center"/>
                </w:tcPr>
                <w:p>
                  <w:pPr>
                    <w:adjustRightInd w:val="0"/>
                    <w:spacing w:line="360" w:lineRule="atLeast"/>
                    <w:ind w:firstLine="0" w:firstLineChars="0"/>
                    <w:jc w:val="center"/>
                    <w:textAlignment w:val="baseline"/>
                    <w:rPr>
                      <w:rFonts w:hint="eastAsia" w:ascii="Times New Roman" w:hAnsi="Times New Roman" w:eastAsia="宋体" w:cs="Times New Roman"/>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p>
              </w:tc>
              <w:tc>
                <w:tcPr>
                  <w:tcW w:w="1175"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豆皮</w:t>
                  </w:r>
                  <w:r>
                    <w:rPr>
                      <w:rFonts w:hint="default" w:ascii="Times New Roman" w:hAnsi="Times New Roman" w:eastAsia="宋体" w:cs="Times New Roman"/>
                      <w:color w:val="000000"/>
                      <w:sz w:val="21"/>
                      <w:szCs w:val="21"/>
                      <w:lang w:val="en-US" w:eastAsia="zh-CN"/>
                    </w:rPr>
                    <w:t>原料</w:t>
                  </w:r>
                  <w:r>
                    <w:rPr>
                      <w:rFonts w:hint="eastAsia" w:ascii="Times New Roman" w:hAnsi="Times New Roman" w:cs="Times New Roman"/>
                      <w:color w:val="000000"/>
                      <w:sz w:val="21"/>
                      <w:szCs w:val="21"/>
                      <w:lang w:val="en-US" w:eastAsia="zh-CN"/>
                    </w:rPr>
                    <w:t>仓库1个</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150</w:t>
                  </w:r>
                </w:p>
              </w:tc>
              <w:tc>
                <w:tcPr>
                  <w:tcW w:w="946" w:type="pct"/>
                  <w:noWrap w:val="0"/>
                  <w:vAlign w:val="center"/>
                </w:tcPr>
                <w:p>
                  <w:pPr>
                    <w:adjustRightInd w:val="0"/>
                    <w:spacing w:line="360" w:lineRule="atLeast"/>
                    <w:ind w:firstLine="0" w:firstLineChars="0"/>
                    <w:jc w:val="center"/>
                    <w:textAlignment w:val="baseline"/>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150</w:t>
                  </w: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p>
              </w:tc>
              <w:tc>
                <w:tcPr>
                  <w:tcW w:w="612" w:type="pct"/>
                  <w:vMerge w:val="continue"/>
                  <w:noWrap w:val="0"/>
                  <w:vAlign w:val="center"/>
                </w:tcPr>
                <w:p>
                  <w:pPr>
                    <w:adjustRightInd w:val="0"/>
                    <w:spacing w:line="360" w:lineRule="atLeast"/>
                    <w:ind w:firstLine="0" w:firstLineChars="0"/>
                    <w:jc w:val="center"/>
                    <w:textAlignment w:val="baseline"/>
                    <w:rPr>
                      <w:rFonts w:hint="eastAsia" w:ascii="Times New Roman" w:hAnsi="Times New Roman" w:eastAsia="宋体" w:cs="Times New Roman"/>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p>
              </w:tc>
              <w:tc>
                <w:tcPr>
                  <w:tcW w:w="1175"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豆皮</w:t>
                  </w:r>
                  <w:r>
                    <w:rPr>
                      <w:rFonts w:hint="default" w:ascii="Times New Roman" w:hAnsi="Times New Roman" w:eastAsia="宋体" w:cs="Times New Roman"/>
                      <w:color w:val="000000"/>
                      <w:sz w:val="21"/>
                      <w:szCs w:val="21"/>
                      <w:lang w:val="en-US" w:eastAsia="zh-CN"/>
                    </w:rPr>
                    <w:t>成品仓库</w:t>
                  </w:r>
                  <w:r>
                    <w:rPr>
                      <w:rFonts w:hint="eastAsia" w:ascii="Times New Roman" w:hAnsi="Times New Roman" w:cs="Times New Roman"/>
                      <w:color w:val="000000"/>
                      <w:sz w:val="21"/>
                      <w:szCs w:val="21"/>
                      <w:lang w:val="en-US" w:eastAsia="zh-CN"/>
                    </w:rPr>
                    <w:t>1个</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300</w:t>
                  </w:r>
                </w:p>
              </w:tc>
              <w:tc>
                <w:tcPr>
                  <w:tcW w:w="946" w:type="pct"/>
                  <w:noWrap w:val="0"/>
                  <w:vAlign w:val="center"/>
                </w:tcPr>
                <w:p>
                  <w:pPr>
                    <w:adjustRightInd w:val="0"/>
                    <w:spacing w:line="360" w:lineRule="atLeast"/>
                    <w:ind w:firstLine="0" w:firstLineChars="0"/>
                    <w:jc w:val="center"/>
                    <w:textAlignment w:val="baseline"/>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300</w:t>
                  </w: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p>
              </w:tc>
              <w:tc>
                <w:tcPr>
                  <w:tcW w:w="612" w:type="pct"/>
                  <w:vMerge w:val="continue"/>
                  <w:noWrap w:val="0"/>
                  <w:vAlign w:val="center"/>
                </w:tcPr>
                <w:p>
                  <w:pPr>
                    <w:adjustRightInd w:val="0"/>
                    <w:spacing w:line="360" w:lineRule="atLeast"/>
                    <w:ind w:firstLine="0" w:firstLineChars="0"/>
                    <w:jc w:val="center"/>
                    <w:textAlignment w:val="baseline"/>
                    <w:rPr>
                      <w:rFonts w:hint="eastAsia" w:ascii="Times New Roman" w:hAnsi="Times New Roman" w:eastAsia="宋体" w:cs="Times New Roman"/>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p>
              </w:tc>
              <w:tc>
                <w:tcPr>
                  <w:tcW w:w="1175"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包材库</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122</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122</w:t>
                  </w: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p>
              </w:tc>
              <w:tc>
                <w:tcPr>
                  <w:tcW w:w="1175" w:type="pct"/>
                  <w:noWrap w:val="0"/>
                  <w:vAlign w:val="center"/>
                </w:tcPr>
                <w:p>
                  <w:pPr>
                    <w:adjustRightInd w:val="0"/>
                    <w:spacing w:line="360" w:lineRule="atLeast"/>
                    <w:ind w:firstLine="0" w:firstLineChars="0"/>
                    <w:jc w:val="center"/>
                    <w:textAlignment w:val="baseline"/>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一般固废暂存间</w:t>
                  </w:r>
                </w:p>
              </w:tc>
              <w:tc>
                <w:tcPr>
                  <w:tcW w:w="1051" w:type="pct"/>
                  <w:noWrap w:val="0"/>
                  <w:vAlign w:val="center"/>
                </w:tcPr>
                <w:p>
                  <w:pPr>
                    <w:adjustRightInd w:val="0"/>
                    <w:spacing w:line="360" w:lineRule="atLeast"/>
                    <w:ind w:firstLine="0" w:firstLineChars="0"/>
                    <w:jc w:val="center"/>
                    <w:textAlignment w:val="baseline"/>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8</w:t>
                  </w:r>
                </w:p>
              </w:tc>
              <w:tc>
                <w:tcPr>
                  <w:tcW w:w="946" w:type="pct"/>
                  <w:noWrap w:val="0"/>
                  <w:vAlign w:val="center"/>
                </w:tcPr>
                <w:p>
                  <w:pPr>
                    <w:adjustRightInd w:val="0"/>
                    <w:spacing w:line="360" w:lineRule="atLeast"/>
                    <w:ind w:firstLine="0" w:firstLineChars="0"/>
                    <w:jc w:val="center"/>
                    <w:textAlignment w:val="baseline"/>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8</w:t>
                  </w: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p>
              </w:tc>
              <w:tc>
                <w:tcPr>
                  <w:tcW w:w="1175"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办公室</w:t>
                  </w:r>
                </w:p>
              </w:tc>
              <w:tc>
                <w:tcPr>
                  <w:tcW w:w="1051" w:type="pct"/>
                  <w:noWrap w:val="0"/>
                  <w:vAlign w:val="center"/>
                </w:tcPr>
                <w:p>
                  <w:pPr>
                    <w:adjustRightInd w:val="0"/>
                    <w:spacing w:line="360" w:lineRule="atLeast"/>
                    <w:ind w:firstLine="0" w:firstLineChars="0"/>
                    <w:jc w:val="center"/>
                    <w:textAlignment w:val="baseline"/>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100</w:t>
                  </w:r>
                </w:p>
              </w:tc>
              <w:tc>
                <w:tcPr>
                  <w:tcW w:w="946" w:type="pct"/>
                  <w:noWrap w:val="0"/>
                  <w:vAlign w:val="center"/>
                </w:tcPr>
                <w:p>
                  <w:pPr>
                    <w:adjustRightInd w:val="0"/>
                    <w:spacing w:line="360" w:lineRule="atLeast"/>
                    <w:ind w:firstLine="0" w:firstLineChars="0"/>
                    <w:jc w:val="center"/>
                    <w:textAlignment w:val="baseline"/>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100</w:t>
                  </w: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p>
              </w:tc>
              <w:tc>
                <w:tcPr>
                  <w:tcW w:w="612" w:type="pct"/>
                  <w:vMerge w:val="continue"/>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6" w:type="pct"/>
                  <w:gridSpan w:val="2"/>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锅炉房</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1500</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1500</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6" w:type="pct"/>
                  <w:gridSpan w:val="2"/>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燃料堆场</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2000</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2000</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76" w:type="pct"/>
                  <w:gridSpan w:val="2"/>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生活</w:t>
                  </w:r>
                  <w:r>
                    <w:rPr>
                      <w:rFonts w:hint="eastAsia" w:ascii="Times New Roman" w:hAnsi="Times New Roman" w:cs="Times New Roman"/>
                      <w:color w:val="000000"/>
                      <w:sz w:val="21"/>
                      <w:szCs w:val="21"/>
                      <w:lang w:val="en-US" w:eastAsia="zh-CN"/>
                    </w:rPr>
                    <w:t>区</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300</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300</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76" w:type="pct"/>
                  <w:gridSpan w:val="2"/>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生活垃圾房</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40</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40</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3</w:t>
                  </w:r>
                </w:p>
              </w:tc>
            </w:tr>
          </w:tbl>
          <w:p>
            <w:pPr>
              <w:spacing w:line="240" w:lineRule="auto"/>
              <w:jc w:val="center"/>
              <w:rPr>
                <w:rFonts w:ascii="Times New Roman" w:hAnsi="Times New Roman" w:eastAsia="宋体" w:cs="Times New Roman"/>
                <w:b/>
                <w:bCs/>
                <w:color w:val="000000"/>
                <w:sz w:val="21"/>
                <w:szCs w:val="21"/>
                <w:u w:val="none"/>
              </w:rPr>
            </w:pPr>
          </w:p>
          <w:p>
            <w:pPr>
              <w:spacing w:line="240" w:lineRule="auto"/>
              <w:jc w:val="center"/>
              <w:rPr>
                <w:rFonts w:ascii="Times New Roman" w:hAnsi="Times New Roman" w:eastAsia="宋体" w:cs="Times New Roman"/>
                <w:b/>
                <w:bCs/>
                <w:color w:val="000000"/>
                <w:sz w:val="21"/>
                <w:szCs w:val="21"/>
                <w:u w:val="none"/>
              </w:rPr>
            </w:pPr>
          </w:p>
          <w:p>
            <w:pPr>
              <w:spacing w:line="240" w:lineRule="auto"/>
              <w:jc w:val="center"/>
              <w:rPr>
                <w:rFonts w:ascii="Times New Roman" w:hAnsi="Times New Roman" w:eastAsia="宋体" w:cs="Times New Roman"/>
                <w:b/>
                <w:bCs/>
                <w:color w:val="000000"/>
                <w:sz w:val="21"/>
                <w:szCs w:val="21"/>
                <w:u w:val="none"/>
              </w:rPr>
            </w:pPr>
          </w:p>
          <w:p>
            <w:pPr>
              <w:spacing w:line="240" w:lineRule="auto"/>
              <w:jc w:val="center"/>
              <w:rPr>
                <w:rFonts w:ascii="Times New Roman" w:hAnsi="Times New Roman" w:eastAsia="宋体" w:cs="Times New Roman"/>
                <w:b/>
                <w:bCs/>
                <w:color w:val="000000"/>
                <w:sz w:val="21"/>
                <w:szCs w:val="21"/>
                <w:u w:val="none"/>
              </w:rPr>
            </w:pPr>
          </w:p>
          <w:p>
            <w:pPr>
              <w:spacing w:line="240" w:lineRule="auto"/>
              <w:jc w:val="center"/>
              <w:rPr>
                <w:rFonts w:ascii="Times New Roman" w:hAnsi="Times New Roman" w:eastAsia="宋体" w:cs="Times New Roman"/>
                <w:b/>
                <w:bCs/>
                <w:color w:val="000000"/>
                <w:sz w:val="21"/>
                <w:szCs w:val="21"/>
                <w:u w:val="none"/>
              </w:rPr>
            </w:pPr>
          </w:p>
          <w:p>
            <w:pPr>
              <w:spacing w:line="240" w:lineRule="auto"/>
              <w:jc w:val="center"/>
              <w:rPr>
                <w:rFonts w:ascii="Times New Roman" w:hAnsi="Times New Roman" w:eastAsia="宋体" w:cs="Times New Roman"/>
                <w:b/>
                <w:bCs/>
                <w:color w:val="000000"/>
                <w:sz w:val="21"/>
                <w:szCs w:val="21"/>
                <w:u w:val="none"/>
              </w:rPr>
            </w:pPr>
          </w:p>
          <w:p>
            <w:pPr>
              <w:spacing w:line="240" w:lineRule="auto"/>
              <w:jc w:val="center"/>
              <w:rPr>
                <w:rFonts w:ascii="Times New Roman" w:hAnsi="Times New Roman" w:eastAsia="宋体" w:cs="Times New Roman"/>
                <w:b/>
                <w:bCs/>
                <w:color w:val="000000"/>
                <w:sz w:val="21"/>
                <w:szCs w:val="21"/>
                <w:u w:val="none"/>
              </w:rPr>
            </w:pPr>
          </w:p>
          <w:p>
            <w:pPr>
              <w:spacing w:line="240" w:lineRule="auto"/>
              <w:jc w:val="center"/>
              <w:rPr>
                <w:rFonts w:ascii="Times New Roman" w:hAnsi="Times New Roman" w:eastAsia="宋体" w:cs="Times New Roman"/>
                <w:b/>
                <w:bCs/>
                <w:color w:val="000000"/>
                <w:sz w:val="21"/>
                <w:szCs w:val="21"/>
                <w:u w:val="none"/>
              </w:rPr>
            </w:pPr>
          </w:p>
          <w:p>
            <w:pPr>
              <w:spacing w:line="240" w:lineRule="auto"/>
              <w:jc w:val="center"/>
              <w:rPr>
                <w:rFonts w:ascii="Times New Roman" w:hAnsi="Times New Roman" w:eastAsia="宋体" w:cs="Times New Roman"/>
                <w:b/>
                <w:bCs/>
                <w:color w:val="000000"/>
                <w:sz w:val="21"/>
                <w:szCs w:val="21"/>
                <w:u w:val="none"/>
              </w:rPr>
            </w:pPr>
          </w:p>
          <w:p>
            <w:pPr>
              <w:spacing w:line="240" w:lineRule="auto"/>
              <w:jc w:val="center"/>
              <w:rPr>
                <w:rFonts w:ascii="Times New Roman" w:hAnsi="Times New Roman" w:eastAsia="宋体" w:cs="Times New Roman"/>
                <w:b/>
                <w:bCs/>
                <w:color w:val="000000"/>
                <w:sz w:val="21"/>
                <w:szCs w:val="21"/>
                <w:u w:val="none"/>
              </w:rPr>
            </w:pPr>
          </w:p>
          <w:p>
            <w:pPr>
              <w:spacing w:line="240" w:lineRule="auto"/>
              <w:jc w:val="center"/>
              <w:rPr>
                <w:rFonts w:ascii="Times New Roman" w:hAnsi="Times New Roman" w:eastAsia="宋体" w:cs="Times New Roman"/>
                <w:b/>
                <w:bCs/>
                <w:color w:val="000000"/>
                <w:sz w:val="21"/>
                <w:szCs w:val="21"/>
                <w:u w:val="none"/>
              </w:rPr>
            </w:pPr>
          </w:p>
          <w:p>
            <w:pPr>
              <w:spacing w:line="240" w:lineRule="auto"/>
              <w:jc w:val="center"/>
              <w:rPr>
                <w:rFonts w:ascii="Times New Roman" w:hAnsi="Times New Roman" w:eastAsia="宋体" w:cs="Times New Roman"/>
                <w:b/>
                <w:bCs/>
                <w:color w:val="000000"/>
                <w:sz w:val="21"/>
                <w:szCs w:val="21"/>
                <w:u w:val="none"/>
              </w:rPr>
            </w:pPr>
          </w:p>
          <w:p>
            <w:pPr>
              <w:spacing w:line="240" w:lineRule="auto"/>
              <w:jc w:val="center"/>
              <w:rPr>
                <w:rFonts w:ascii="Times New Roman" w:hAnsi="Times New Roman" w:eastAsia="宋体" w:cs="Times New Roman"/>
                <w:b/>
                <w:bCs/>
                <w:color w:val="000000"/>
                <w:sz w:val="21"/>
                <w:szCs w:val="21"/>
                <w:u w:val="none"/>
              </w:rPr>
            </w:pPr>
          </w:p>
          <w:p>
            <w:pPr>
              <w:spacing w:line="240" w:lineRule="auto"/>
              <w:jc w:val="center"/>
              <w:rPr>
                <w:rFonts w:ascii="Times New Roman" w:hAnsi="Times New Roman" w:eastAsia="宋体" w:cs="Times New Roman"/>
                <w:b/>
                <w:bCs/>
                <w:color w:val="000000"/>
                <w:sz w:val="21"/>
                <w:szCs w:val="21"/>
                <w:u w:val="none"/>
              </w:rPr>
            </w:pPr>
          </w:p>
          <w:p>
            <w:pPr>
              <w:spacing w:line="240" w:lineRule="auto"/>
              <w:jc w:val="center"/>
              <w:rPr>
                <w:rFonts w:ascii="Times New Roman" w:hAnsi="Times New Roman" w:eastAsia="宋体" w:cs="Times New Roman"/>
                <w:b/>
                <w:bCs/>
                <w:color w:val="000000"/>
                <w:sz w:val="21"/>
                <w:szCs w:val="21"/>
                <w:u w:val="none"/>
              </w:rPr>
            </w:pPr>
          </w:p>
          <w:p>
            <w:pPr>
              <w:spacing w:line="240" w:lineRule="auto"/>
              <w:jc w:val="center"/>
              <w:rPr>
                <w:rFonts w:ascii="Times New Roman" w:hAnsi="Times New Roman" w:eastAsia="宋体" w:cs="Times New Roman"/>
                <w:b/>
                <w:bCs/>
                <w:color w:val="000000"/>
                <w:sz w:val="21"/>
                <w:szCs w:val="21"/>
                <w:u w:val="none"/>
              </w:rPr>
            </w:pPr>
          </w:p>
          <w:p>
            <w:pPr>
              <w:spacing w:line="240" w:lineRule="auto"/>
              <w:jc w:val="center"/>
              <w:rPr>
                <w:rFonts w:ascii="Times New Roman" w:hAnsi="Times New Roman" w:eastAsia="宋体" w:cs="Times New Roman"/>
                <w:b/>
                <w:bCs/>
                <w:color w:val="000000"/>
                <w:sz w:val="24"/>
                <w:szCs w:val="21"/>
                <w:u w:val="none"/>
              </w:rPr>
            </w:pPr>
            <w:r>
              <w:rPr>
                <w:rFonts w:ascii="Times New Roman" w:hAnsi="Times New Roman" w:eastAsia="宋体" w:cs="Times New Roman"/>
                <w:b/>
                <w:bCs/>
                <w:color w:val="000000"/>
                <w:sz w:val="21"/>
                <w:szCs w:val="21"/>
                <w:u w:val="none"/>
              </w:rPr>
              <w:t>表</w:t>
            </w:r>
            <w:r>
              <w:rPr>
                <w:rFonts w:hint="eastAsia" w:ascii="Times New Roman" w:hAnsi="Times New Roman" w:cs="Times New Roman"/>
                <w:b/>
                <w:bCs/>
                <w:color w:val="000000"/>
                <w:sz w:val="21"/>
                <w:szCs w:val="21"/>
                <w:u w:val="none"/>
                <w:lang w:val="en-US" w:eastAsia="zh-CN"/>
              </w:rPr>
              <w:t>2-2</w:t>
            </w:r>
            <w:r>
              <w:rPr>
                <w:rFonts w:ascii="Times New Roman" w:hAnsi="Times New Roman" w:eastAsia="宋体" w:cs="Times New Roman"/>
                <w:b/>
                <w:bCs/>
                <w:color w:val="000000"/>
                <w:sz w:val="21"/>
                <w:szCs w:val="21"/>
                <w:u w:val="none"/>
              </w:rPr>
              <w:t xml:space="preserve">  项目建设内容及规模</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565"/>
              <w:gridCol w:w="1188"/>
              <w:gridCol w:w="5168"/>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1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类别</w:t>
                  </w: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工程</w:t>
                  </w:r>
                  <w:r>
                    <w:rPr>
                      <w:rFonts w:hint="default" w:ascii="Times New Roman" w:hAnsi="Times New Roman" w:eastAsia="宋体" w:cs="Times New Roman"/>
                      <w:color w:val="000000"/>
                      <w:sz w:val="21"/>
                      <w:szCs w:val="21"/>
                      <w:u w:val="none"/>
                    </w:rPr>
                    <w:t>内容</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建设内容及规模</w:t>
                  </w:r>
                </w:p>
              </w:tc>
              <w:tc>
                <w:tcPr>
                  <w:tcW w:w="5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主体工程</w:t>
                  </w:r>
                </w:p>
              </w:tc>
              <w:tc>
                <w:tcPr>
                  <w:tcW w:w="33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1栋</w:t>
                  </w:r>
                  <w:r>
                    <w:rPr>
                      <w:rFonts w:hint="eastAsia" w:ascii="Times New Roman" w:hAnsi="Times New Roman" w:cs="Times New Roman"/>
                      <w:color w:val="000000"/>
                      <w:sz w:val="21"/>
                      <w:szCs w:val="21"/>
                      <w:u w:val="none"/>
                      <w:lang w:val="en-US" w:eastAsia="zh-CN"/>
                    </w:rPr>
                    <w:t>1F</w:t>
                  </w:r>
                </w:p>
              </w:tc>
              <w:tc>
                <w:tcPr>
                  <w:tcW w:w="6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lang w:val="en-US" w:eastAsia="zh-CN"/>
                    </w:rPr>
                    <w:t>腐竹车间1</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r>
                    <w:rPr>
                      <w:rFonts w:hint="eastAsia" w:ascii="Times New Roman" w:hAnsi="Times New Roman" w:cs="Times New Roman"/>
                      <w:color w:val="000000"/>
                      <w:sz w:val="21"/>
                      <w:szCs w:val="21"/>
                      <w:u w:val="none"/>
                      <w:lang w:val="en-US" w:eastAsia="zh-CN"/>
                    </w:rPr>
                    <w:t>腐竹</w:t>
                  </w:r>
                  <w:r>
                    <w:rPr>
                      <w:rFonts w:hint="default" w:ascii="Times New Roman" w:hAnsi="Times New Roman" w:eastAsia="宋体" w:cs="Times New Roman"/>
                      <w:color w:val="000000"/>
                      <w:sz w:val="21"/>
                      <w:szCs w:val="21"/>
                      <w:u w:val="none"/>
                      <w:lang w:val="en-US" w:eastAsia="zh-CN"/>
                    </w:rPr>
                    <w:t>车间，</w:t>
                  </w:r>
                  <w:r>
                    <w:rPr>
                      <w:rFonts w:hint="eastAsia" w:ascii="Times New Roman" w:hAnsi="Times New Roman" w:cs="Times New Roman"/>
                      <w:color w:val="000000"/>
                      <w:sz w:val="21"/>
                      <w:szCs w:val="21"/>
                      <w:u w:val="none"/>
                      <w:lang w:val="en-US" w:eastAsia="zh-CN"/>
                    </w:rPr>
                    <w:t>包括脱皮机、振动筛、浸泡池、磨浆机、煮浆罐、腐竹槽</w:t>
                  </w:r>
                  <w:r>
                    <w:rPr>
                      <w:rFonts w:hint="eastAsia" w:ascii="Times New Roman" w:hAnsi="Times New Roman" w:cs="Times New Roman"/>
                      <w:color w:val="000000"/>
                      <w:sz w:val="21"/>
                      <w:szCs w:val="21"/>
                      <w:u w:val="none"/>
                      <w:lang w:eastAsia="zh-CN"/>
                    </w:rPr>
                    <w:t>，</w:t>
                  </w:r>
                  <w:r>
                    <w:rPr>
                      <w:rFonts w:hint="default" w:ascii="Times New Roman" w:hAnsi="Times New Roman" w:eastAsia="宋体" w:cs="Times New Roman"/>
                      <w:color w:val="000000"/>
                      <w:sz w:val="21"/>
                      <w:szCs w:val="21"/>
                      <w:u w:val="none"/>
                    </w:rPr>
                    <w:t>建筑面积</w:t>
                  </w:r>
                  <w:r>
                    <w:rPr>
                      <w:rFonts w:hint="eastAsia" w:ascii="Times New Roman" w:hAnsi="Times New Roman" w:cs="Times New Roman"/>
                      <w:color w:val="000000"/>
                      <w:sz w:val="21"/>
                      <w:szCs w:val="21"/>
                      <w:u w:val="none"/>
                      <w:lang w:val="en-US" w:eastAsia="zh-CN"/>
                    </w:rPr>
                    <w:t>1800</w:t>
                  </w:r>
                  <w:r>
                    <w:rPr>
                      <w:rFonts w:hint="default" w:ascii="Times New Roman" w:hAnsi="Times New Roman" w:eastAsia="宋体" w:cs="Times New Roman"/>
                      <w:color w:val="000000"/>
                      <w:sz w:val="21"/>
                      <w:szCs w:val="21"/>
                      <w:u w:val="none"/>
                    </w:rPr>
                    <w:t>m</w:t>
                  </w:r>
                  <w:r>
                    <w:rPr>
                      <w:rFonts w:hint="default" w:ascii="Times New Roman" w:hAnsi="Times New Roman" w:eastAsia="宋体" w:cs="Times New Roman"/>
                      <w:color w:val="000000"/>
                      <w:sz w:val="21"/>
                      <w:szCs w:val="21"/>
                      <w:u w:val="none"/>
                      <w:vertAlign w:val="superscript"/>
                    </w:rPr>
                    <w:t>2</w:t>
                  </w:r>
                  <w:r>
                    <w:rPr>
                      <w:rFonts w:hint="default" w:ascii="Times New Roman" w:hAnsi="Times New Roman" w:eastAsia="宋体" w:cs="Times New Roman"/>
                      <w:color w:val="000000"/>
                      <w:sz w:val="21"/>
                      <w:szCs w:val="21"/>
                      <w:u w:val="none"/>
                    </w:rPr>
                    <w:t>，高</w:t>
                  </w:r>
                  <w:r>
                    <w:rPr>
                      <w:rFonts w:hint="eastAsia" w:ascii="Times New Roman" w:hAnsi="Times New Roman" w:cs="Times New Roman"/>
                      <w:color w:val="000000"/>
                      <w:sz w:val="21"/>
                      <w:szCs w:val="21"/>
                      <w:u w:val="none"/>
                      <w:lang w:val="en-US" w:eastAsia="zh-CN"/>
                    </w:rPr>
                    <w:t>6</w:t>
                  </w:r>
                  <w:r>
                    <w:rPr>
                      <w:rFonts w:hint="default" w:ascii="Times New Roman" w:hAnsi="Times New Roman" w:eastAsia="宋体" w:cs="Times New Roman"/>
                      <w:color w:val="000000"/>
                      <w:sz w:val="21"/>
                      <w:szCs w:val="21"/>
                      <w:u w:val="none"/>
                    </w:rPr>
                    <w:t>m</w:t>
                  </w:r>
                </w:p>
              </w:tc>
              <w:tc>
                <w:tcPr>
                  <w:tcW w:w="54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sz w:val="21"/>
                      <w:szCs w:val="21"/>
                      <w:u w:val="none"/>
                      <w:lang w:val="en-US" w:eastAsia="zh-CN"/>
                    </w:rPr>
                    <w:t>新建，钢结构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p>
              </w:tc>
              <w:tc>
                <w:tcPr>
                  <w:tcW w:w="33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p>
              </w:tc>
              <w:tc>
                <w:tcPr>
                  <w:tcW w:w="6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周转区</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暂时用于成品和半成品的放置，</w:t>
                  </w:r>
                  <w:r>
                    <w:rPr>
                      <w:rFonts w:hint="default" w:ascii="Times New Roman" w:hAnsi="Times New Roman" w:eastAsia="宋体" w:cs="Times New Roman"/>
                      <w:color w:val="000000"/>
                      <w:sz w:val="21"/>
                      <w:szCs w:val="21"/>
                      <w:u w:val="none"/>
                      <w:lang w:val="en-US" w:eastAsia="zh-CN"/>
                    </w:rPr>
                    <w:t>建筑面积为</w:t>
                  </w:r>
                  <w:r>
                    <w:rPr>
                      <w:rFonts w:hint="eastAsia" w:ascii="Times New Roman" w:hAnsi="Times New Roman" w:cs="Times New Roman"/>
                      <w:color w:val="000000"/>
                      <w:sz w:val="21"/>
                      <w:szCs w:val="21"/>
                      <w:u w:val="none"/>
                      <w:lang w:val="en-US" w:eastAsia="zh-CN"/>
                    </w:rPr>
                    <w:t>280</w:t>
                  </w:r>
                  <w:r>
                    <w:rPr>
                      <w:rFonts w:hint="default" w:ascii="Times New Roman" w:hAnsi="Times New Roman" w:eastAsia="宋体" w:cs="Times New Roman"/>
                      <w:color w:val="000000"/>
                      <w:sz w:val="21"/>
                      <w:szCs w:val="21"/>
                      <w:u w:val="none"/>
                    </w:rPr>
                    <w:t>m</w:t>
                  </w:r>
                  <w:r>
                    <w:rPr>
                      <w:rFonts w:hint="default" w:ascii="Times New Roman" w:hAnsi="Times New Roman" w:eastAsia="宋体" w:cs="Times New Roman"/>
                      <w:color w:val="000000"/>
                      <w:sz w:val="21"/>
                      <w:szCs w:val="21"/>
                      <w:u w:val="none"/>
                      <w:vertAlign w:val="superscript"/>
                    </w:rPr>
                    <w:t>2</w:t>
                  </w:r>
                </w:p>
              </w:tc>
              <w:tc>
                <w:tcPr>
                  <w:tcW w:w="54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p>
              </w:tc>
              <w:tc>
                <w:tcPr>
                  <w:tcW w:w="33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p>
              </w:tc>
              <w:tc>
                <w:tcPr>
                  <w:tcW w:w="6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腐竹车间2</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腐竹</w:t>
                  </w:r>
                  <w:r>
                    <w:rPr>
                      <w:rFonts w:hint="default" w:ascii="Times New Roman" w:hAnsi="Times New Roman" w:eastAsia="宋体" w:cs="Times New Roman"/>
                      <w:color w:val="000000"/>
                      <w:sz w:val="21"/>
                      <w:szCs w:val="21"/>
                      <w:u w:val="none"/>
                      <w:lang w:val="en-US" w:eastAsia="zh-CN"/>
                    </w:rPr>
                    <w:t>车间，</w:t>
                  </w:r>
                  <w:r>
                    <w:rPr>
                      <w:rFonts w:hint="eastAsia" w:ascii="Times New Roman" w:hAnsi="Times New Roman" w:cs="Times New Roman"/>
                      <w:color w:val="000000"/>
                      <w:sz w:val="21"/>
                      <w:szCs w:val="21"/>
                      <w:u w:val="none"/>
                      <w:lang w:val="en-US" w:eastAsia="zh-CN"/>
                    </w:rPr>
                    <w:t>脱皮机、浸泡池、磨浆机、煮浆罐、腐竹槽</w:t>
                  </w:r>
                  <w:r>
                    <w:rPr>
                      <w:rFonts w:hint="default" w:ascii="Times New Roman" w:hAnsi="Times New Roman" w:eastAsia="宋体" w:cs="Times New Roman"/>
                      <w:color w:val="000000"/>
                      <w:sz w:val="21"/>
                      <w:szCs w:val="21"/>
                      <w:u w:val="none"/>
                    </w:rPr>
                    <w:t>等</w:t>
                  </w:r>
                  <w:r>
                    <w:rPr>
                      <w:rFonts w:hint="default" w:ascii="Times New Roman" w:hAnsi="Times New Roman" w:eastAsia="宋体" w:cs="Times New Roman"/>
                      <w:color w:val="000000"/>
                      <w:sz w:val="21"/>
                      <w:szCs w:val="21"/>
                      <w:u w:val="none"/>
                      <w:lang w:eastAsia="zh-CN"/>
                    </w:rPr>
                    <w:t>，</w:t>
                  </w:r>
                  <w:r>
                    <w:rPr>
                      <w:rFonts w:hint="default" w:ascii="Times New Roman" w:hAnsi="Times New Roman" w:eastAsia="宋体" w:cs="Times New Roman"/>
                      <w:color w:val="000000"/>
                      <w:sz w:val="21"/>
                      <w:szCs w:val="21"/>
                      <w:u w:val="none"/>
                    </w:rPr>
                    <w:t>建筑面积</w:t>
                  </w:r>
                  <w:r>
                    <w:rPr>
                      <w:rFonts w:hint="eastAsia" w:ascii="Times New Roman" w:hAnsi="Times New Roman" w:cs="Times New Roman"/>
                      <w:color w:val="000000"/>
                      <w:sz w:val="21"/>
                      <w:szCs w:val="21"/>
                      <w:u w:val="none"/>
                      <w:lang w:val="en-US" w:eastAsia="zh-CN"/>
                    </w:rPr>
                    <w:t>1920</w:t>
                  </w:r>
                  <w:r>
                    <w:rPr>
                      <w:rFonts w:hint="default" w:ascii="Times New Roman" w:hAnsi="Times New Roman" w:eastAsia="宋体" w:cs="Times New Roman"/>
                      <w:color w:val="000000"/>
                      <w:sz w:val="21"/>
                      <w:szCs w:val="21"/>
                      <w:u w:val="none"/>
                    </w:rPr>
                    <w:t>m</w:t>
                  </w:r>
                  <w:r>
                    <w:rPr>
                      <w:rFonts w:hint="default" w:ascii="Times New Roman" w:hAnsi="Times New Roman" w:eastAsia="宋体" w:cs="Times New Roman"/>
                      <w:color w:val="000000"/>
                      <w:sz w:val="21"/>
                      <w:szCs w:val="21"/>
                      <w:u w:val="none"/>
                      <w:vertAlign w:val="superscript"/>
                    </w:rPr>
                    <w:t>2</w:t>
                  </w:r>
                  <w:r>
                    <w:rPr>
                      <w:rFonts w:hint="default" w:ascii="Times New Roman" w:hAnsi="Times New Roman" w:eastAsia="宋体" w:cs="Times New Roman"/>
                      <w:color w:val="000000"/>
                      <w:sz w:val="21"/>
                      <w:szCs w:val="21"/>
                      <w:u w:val="none"/>
                    </w:rPr>
                    <w:t>，高</w:t>
                  </w:r>
                  <w:r>
                    <w:rPr>
                      <w:rFonts w:hint="eastAsia" w:ascii="Times New Roman" w:hAnsi="Times New Roman" w:cs="Times New Roman"/>
                      <w:color w:val="000000"/>
                      <w:sz w:val="21"/>
                      <w:szCs w:val="21"/>
                      <w:u w:val="none"/>
                      <w:lang w:val="en-US" w:eastAsia="zh-CN"/>
                    </w:rPr>
                    <w:t>6</w:t>
                  </w:r>
                  <w:r>
                    <w:rPr>
                      <w:rFonts w:hint="default" w:ascii="Times New Roman" w:hAnsi="Times New Roman" w:eastAsia="宋体" w:cs="Times New Roman"/>
                      <w:color w:val="000000"/>
                      <w:sz w:val="21"/>
                      <w:szCs w:val="21"/>
                      <w:u w:val="none"/>
                    </w:rPr>
                    <w:t>m</w:t>
                  </w:r>
                </w:p>
              </w:tc>
              <w:tc>
                <w:tcPr>
                  <w:tcW w:w="54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p>
              </w:tc>
              <w:tc>
                <w:tcPr>
                  <w:tcW w:w="33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p>
              </w:tc>
              <w:tc>
                <w:tcPr>
                  <w:tcW w:w="6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豆皮车间</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sz w:val="21"/>
                      <w:szCs w:val="21"/>
                      <w:u w:val="none"/>
                      <w:lang w:val="en-US" w:eastAsia="zh-CN"/>
                    </w:rPr>
                  </w:pPr>
                  <w:r>
                    <w:rPr>
                      <w:rFonts w:hint="eastAsia" w:ascii="Times New Roman" w:hAnsi="Times New Roman" w:cs="Times New Roman"/>
                      <w:color w:val="000000"/>
                      <w:sz w:val="21"/>
                      <w:szCs w:val="21"/>
                      <w:lang w:val="en-US" w:eastAsia="zh-CN"/>
                    </w:rPr>
                    <w:t>豆皮</w:t>
                  </w:r>
                  <w:r>
                    <w:rPr>
                      <w:rFonts w:hint="default" w:ascii="Times New Roman" w:hAnsi="Times New Roman" w:eastAsia="宋体" w:cs="Times New Roman"/>
                      <w:color w:val="000000"/>
                      <w:sz w:val="21"/>
                      <w:szCs w:val="21"/>
                      <w:u w:val="none"/>
                      <w:lang w:val="en-US" w:eastAsia="zh-CN"/>
                    </w:rPr>
                    <w:t>车间，</w:t>
                  </w:r>
                  <w:r>
                    <w:rPr>
                      <w:rFonts w:hint="eastAsia" w:ascii="Times New Roman" w:hAnsi="Times New Roman" w:cs="Times New Roman"/>
                      <w:color w:val="000000"/>
                      <w:sz w:val="21"/>
                      <w:szCs w:val="21"/>
                      <w:u w:val="none"/>
                      <w:lang w:val="en-US" w:eastAsia="zh-CN"/>
                    </w:rPr>
                    <w:t>包括搅拌机</w:t>
                  </w:r>
                  <w:r>
                    <w:rPr>
                      <w:rFonts w:hint="default" w:ascii="Times New Roman" w:hAnsi="Times New Roman" w:eastAsia="宋体" w:cs="Times New Roman"/>
                      <w:color w:val="000000"/>
                      <w:sz w:val="21"/>
                      <w:szCs w:val="21"/>
                      <w:u w:val="none"/>
                      <w:lang w:val="en-US" w:eastAsia="zh-CN"/>
                    </w:rPr>
                    <w:t>组</w:t>
                  </w:r>
                  <w:r>
                    <w:rPr>
                      <w:rFonts w:hint="eastAsia" w:ascii="Times New Roman" w:hAnsi="Times New Roman" w:cs="Times New Roman"/>
                      <w:color w:val="000000"/>
                      <w:sz w:val="21"/>
                      <w:szCs w:val="21"/>
                      <w:u w:val="none"/>
                      <w:lang w:val="en-US" w:eastAsia="zh-CN"/>
                    </w:rPr>
                    <w:t>、豆皮膨化机、整切机、包装机</w:t>
                  </w:r>
                  <w:r>
                    <w:rPr>
                      <w:rFonts w:hint="default" w:ascii="Times New Roman" w:hAnsi="Times New Roman" w:eastAsia="宋体" w:cs="Times New Roman"/>
                      <w:color w:val="000000"/>
                      <w:sz w:val="21"/>
                      <w:szCs w:val="21"/>
                      <w:u w:val="none"/>
                    </w:rPr>
                    <w:t>等</w:t>
                  </w:r>
                  <w:r>
                    <w:rPr>
                      <w:rFonts w:hint="default" w:ascii="Times New Roman" w:hAnsi="Times New Roman" w:eastAsia="宋体" w:cs="Times New Roman"/>
                      <w:color w:val="000000"/>
                      <w:sz w:val="21"/>
                      <w:szCs w:val="21"/>
                      <w:u w:val="none"/>
                      <w:lang w:eastAsia="zh-CN"/>
                    </w:rPr>
                    <w:t>，</w:t>
                  </w:r>
                  <w:r>
                    <w:rPr>
                      <w:rFonts w:hint="default" w:ascii="Times New Roman" w:hAnsi="Times New Roman" w:eastAsia="宋体" w:cs="Times New Roman"/>
                      <w:color w:val="000000"/>
                      <w:sz w:val="21"/>
                      <w:szCs w:val="21"/>
                      <w:u w:val="none"/>
                    </w:rPr>
                    <w:t>建筑面积</w:t>
                  </w:r>
                  <w:r>
                    <w:rPr>
                      <w:rFonts w:hint="eastAsia" w:ascii="Times New Roman" w:hAnsi="Times New Roman" w:cs="Times New Roman"/>
                      <w:color w:val="000000"/>
                      <w:sz w:val="21"/>
                      <w:szCs w:val="21"/>
                      <w:u w:val="none"/>
                      <w:lang w:val="en-US" w:eastAsia="zh-CN"/>
                    </w:rPr>
                    <w:t>600</w:t>
                  </w:r>
                  <w:r>
                    <w:rPr>
                      <w:rFonts w:hint="default" w:ascii="Times New Roman" w:hAnsi="Times New Roman" w:eastAsia="宋体" w:cs="Times New Roman"/>
                      <w:color w:val="000000"/>
                      <w:sz w:val="21"/>
                      <w:szCs w:val="21"/>
                      <w:u w:val="none"/>
                    </w:rPr>
                    <w:t>m</w:t>
                  </w:r>
                  <w:r>
                    <w:rPr>
                      <w:rFonts w:hint="default" w:ascii="Times New Roman" w:hAnsi="Times New Roman" w:eastAsia="宋体" w:cs="Times New Roman"/>
                      <w:color w:val="000000"/>
                      <w:sz w:val="21"/>
                      <w:szCs w:val="21"/>
                      <w:u w:val="none"/>
                      <w:vertAlign w:val="superscript"/>
                    </w:rPr>
                    <w:t>2</w:t>
                  </w:r>
                  <w:r>
                    <w:rPr>
                      <w:rFonts w:hint="default" w:ascii="Times New Roman" w:hAnsi="Times New Roman" w:eastAsia="宋体" w:cs="Times New Roman"/>
                      <w:color w:val="000000"/>
                      <w:sz w:val="21"/>
                      <w:szCs w:val="21"/>
                      <w:u w:val="none"/>
                    </w:rPr>
                    <w:t>，高</w:t>
                  </w:r>
                  <w:r>
                    <w:rPr>
                      <w:rFonts w:hint="eastAsia" w:ascii="Times New Roman" w:hAnsi="Times New Roman" w:cs="Times New Roman"/>
                      <w:color w:val="000000"/>
                      <w:sz w:val="21"/>
                      <w:szCs w:val="21"/>
                      <w:u w:val="none"/>
                      <w:lang w:val="en-US" w:eastAsia="zh-CN"/>
                    </w:rPr>
                    <w:t>6</w:t>
                  </w:r>
                  <w:r>
                    <w:rPr>
                      <w:rFonts w:hint="default" w:ascii="Times New Roman" w:hAnsi="Times New Roman" w:eastAsia="宋体" w:cs="Times New Roman"/>
                      <w:color w:val="000000"/>
                      <w:sz w:val="21"/>
                      <w:szCs w:val="21"/>
                      <w:u w:val="none"/>
                    </w:rPr>
                    <w:t>m</w:t>
                  </w:r>
                </w:p>
              </w:tc>
              <w:tc>
                <w:tcPr>
                  <w:tcW w:w="54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p>
              </w:tc>
              <w:tc>
                <w:tcPr>
                  <w:tcW w:w="33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p>
              </w:tc>
              <w:tc>
                <w:tcPr>
                  <w:tcW w:w="694" w:type="pct"/>
                  <w:noWrap w:val="0"/>
                  <w:vAlign w:val="center"/>
                </w:tcPr>
                <w:p>
                  <w:pPr>
                    <w:adjustRightInd w:val="0"/>
                    <w:spacing w:line="360" w:lineRule="atLeast"/>
                    <w:ind w:firstLine="0" w:firstLineChars="0"/>
                    <w:jc w:val="center"/>
                    <w:textAlignment w:val="baseline"/>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烘干房</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6个烘干房，腐竹和豆皮产品共用，</w:t>
                  </w:r>
                  <w:r>
                    <w:rPr>
                      <w:rFonts w:hint="default" w:ascii="Times New Roman" w:hAnsi="Times New Roman" w:eastAsia="宋体" w:cs="Times New Roman"/>
                      <w:color w:val="000000"/>
                      <w:sz w:val="21"/>
                      <w:szCs w:val="21"/>
                      <w:u w:val="none"/>
                    </w:rPr>
                    <w:t>建筑面积</w:t>
                  </w:r>
                  <w:r>
                    <w:rPr>
                      <w:rFonts w:hint="eastAsia" w:ascii="Times New Roman" w:hAnsi="Times New Roman" w:cs="Times New Roman"/>
                      <w:color w:val="000000"/>
                      <w:sz w:val="21"/>
                      <w:szCs w:val="21"/>
                      <w:u w:val="none"/>
                      <w:lang w:val="en-US" w:eastAsia="zh-CN"/>
                    </w:rPr>
                    <w:t>总计480</w:t>
                  </w:r>
                  <w:r>
                    <w:rPr>
                      <w:rFonts w:hint="default" w:ascii="Times New Roman" w:hAnsi="Times New Roman" w:eastAsia="宋体" w:cs="Times New Roman"/>
                      <w:color w:val="000000"/>
                      <w:sz w:val="21"/>
                      <w:szCs w:val="21"/>
                      <w:u w:val="none"/>
                    </w:rPr>
                    <w:t>m</w:t>
                  </w:r>
                  <w:r>
                    <w:rPr>
                      <w:rFonts w:hint="default" w:ascii="Times New Roman" w:hAnsi="Times New Roman" w:eastAsia="宋体" w:cs="Times New Roman"/>
                      <w:color w:val="000000"/>
                      <w:sz w:val="21"/>
                      <w:szCs w:val="21"/>
                      <w:u w:val="none"/>
                      <w:vertAlign w:val="superscript"/>
                    </w:rPr>
                    <w:t>2</w:t>
                  </w:r>
                </w:p>
              </w:tc>
              <w:tc>
                <w:tcPr>
                  <w:tcW w:w="54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p>
              </w:tc>
              <w:tc>
                <w:tcPr>
                  <w:tcW w:w="33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p>
              </w:tc>
              <w:tc>
                <w:tcPr>
                  <w:tcW w:w="694" w:type="pct"/>
                  <w:noWrap w:val="0"/>
                  <w:vAlign w:val="center"/>
                </w:tcPr>
                <w:p>
                  <w:pPr>
                    <w:adjustRightInd w:val="0"/>
                    <w:spacing w:line="360" w:lineRule="atLeast"/>
                    <w:ind w:firstLine="0" w:firstLineChars="0"/>
                    <w:jc w:val="center"/>
                    <w:textAlignment w:val="baseline"/>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回潮房</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3个回潮房，</w:t>
                  </w:r>
                  <w:r>
                    <w:rPr>
                      <w:rFonts w:hint="default" w:ascii="Times New Roman" w:hAnsi="Times New Roman" w:eastAsia="宋体" w:cs="Times New Roman"/>
                      <w:color w:val="000000"/>
                      <w:sz w:val="21"/>
                      <w:szCs w:val="21"/>
                      <w:u w:val="none"/>
                    </w:rPr>
                    <w:t>建筑面积</w:t>
                  </w:r>
                  <w:r>
                    <w:rPr>
                      <w:rFonts w:hint="eastAsia" w:ascii="Times New Roman" w:hAnsi="Times New Roman" w:cs="Times New Roman"/>
                      <w:color w:val="000000"/>
                      <w:sz w:val="21"/>
                      <w:szCs w:val="21"/>
                      <w:u w:val="none"/>
                      <w:lang w:val="en-US" w:eastAsia="zh-CN"/>
                    </w:rPr>
                    <w:t>总计300</w:t>
                  </w:r>
                  <w:r>
                    <w:rPr>
                      <w:rFonts w:hint="default" w:ascii="Times New Roman" w:hAnsi="Times New Roman" w:eastAsia="宋体" w:cs="Times New Roman"/>
                      <w:color w:val="000000"/>
                      <w:sz w:val="21"/>
                      <w:szCs w:val="21"/>
                      <w:u w:val="none"/>
                    </w:rPr>
                    <w:t>m</w:t>
                  </w:r>
                  <w:r>
                    <w:rPr>
                      <w:rFonts w:hint="default" w:ascii="Times New Roman" w:hAnsi="Times New Roman" w:eastAsia="宋体" w:cs="Times New Roman"/>
                      <w:color w:val="000000"/>
                      <w:sz w:val="21"/>
                      <w:szCs w:val="21"/>
                      <w:u w:val="none"/>
                      <w:vertAlign w:val="superscript"/>
                    </w:rPr>
                    <w:t>2</w:t>
                  </w:r>
                </w:p>
              </w:tc>
              <w:tc>
                <w:tcPr>
                  <w:tcW w:w="54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p>
              </w:tc>
              <w:tc>
                <w:tcPr>
                  <w:tcW w:w="33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p>
              </w:tc>
              <w:tc>
                <w:tcPr>
                  <w:tcW w:w="694" w:type="pct"/>
                  <w:noWrap w:val="0"/>
                  <w:vAlign w:val="center"/>
                </w:tcPr>
                <w:p>
                  <w:pPr>
                    <w:adjustRightInd w:val="0"/>
                    <w:spacing w:line="360" w:lineRule="atLeast"/>
                    <w:ind w:firstLine="0" w:firstLineChars="0"/>
                    <w:jc w:val="center"/>
                    <w:textAlignment w:val="baseline"/>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包装房</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3个包装房，</w:t>
                  </w:r>
                  <w:r>
                    <w:rPr>
                      <w:rFonts w:hint="default" w:ascii="Times New Roman" w:hAnsi="Times New Roman" w:eastAsia="宋体" w:cs="Times New Roman"/>
                      <w:color w:val="000000"/>
                      <w:sz w:val="21"/>
                      <w:szCs w:val="21"/>
                      <w:u w:val="none"/>
                    </w:rPr>
                    <w:t>建筑面积</w:t>
                  </w:r>
                  <w:r>
                    <w:rPr>
                      <w:rFonts w:hint="eastAsia" w:ascii="Times New Roman" w:hAnsi="Times New Roman" w:cs="Times New Roman"/>
                      <w:color w:val="000000"/>
                      <w:sz w:val="21"/>
                      <w:szCs w:val="21"/>
                      <w:u w:val="none"/>
                      <w:lang w:val="en-US" w:eastAsia="zh-CN"/>
                    </w:rPr>
                    <w:t>总计300</w:t>
                  </w:r>
                  <w:r>
                    <w:rPr>
                      <w:rFonts w:hint="default" w:ascii="Times New Roman" w:hAnsi="Times New Roman" w:eastAsia="宋体" w:cs="Times New Roman"/>
                      <w:color w:val="000000"/>
                      <w:sz w:val="21"/>
                      <w:szCs w:val="21"/>
                      <w:u w:val="none"/>
                    </w:rPr>
                    <w:t>m</w:t>
                  </w:r>
                  <w:r>
                    <w:rPr>
                      <w:rFonts w:hint="default" w:ascii="Times New Roman" w:hAnsi="Times New Roman" w:eastAsia="宋体" w:cs="Times New Roman"/>
                      <w:color w:val="000000"/>
                      <w:sz w:val="21"/>
                      <w:szCs w:val="21"/>
                      <w:u w:val="none"/>
                      <w:vertAlign w:val="superscript"/>
                    </w:rPr>
                    <w:t>2</w:t>
                  </w:r>
                </w:p>
              </w:tc>
              <w:tc>
                <w:tcPr>
                  <w:tcW w:w="54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锅炉房</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锅炉房，共设置两台锅炉，型号分别为</w:t>
                  </w:r>
                  <w:r>
                    <w:rPr>
                      <w:rFonts w:hint="eastAsia" w:ascii="Times New Roman" w:hAnsi="Times New Roman" w:cs="Times New Roman"/>
                      <w:color w:val="000000"/>
                      <w:sz w:val="21"/>
                      <w:szCs w:val="21"/>
                      <w:lang w:val="en-US" w:eastAsia="zh-CN"/>
                    </w:rPr>
                    <w:t>10</w:t>
                  </w:r>
                  <w:r>
                    <w:rPr>
                      <w:rFonts w:hint="eastAsia" w:ascii="Times New Roman" w:hAnsi="Times New Roman" w:eastAsia="宋体" w:cs="Times New Roman"/>
                      <w:color w:val="000000"/>
                      <w:sz w:val="21"/>
                      <w:szCs w:val="21"/>
                    </w:rPr>
                    <w:t>t/h</w:t>
                  </w:r>
                  <w:r>
                    <w:rPr>
                      <w:rFonts w:hint="eastAsia" w:ascii="Times New Roman" w:hAnsi="Times New Roman" w:cs="Times New Roman"/>
                      <w:color w:val="000000"/>
                      <w:sz w:val="21"/>
                      <w:szCs w:val="21"/>
                      <w:lang w:val="en-US" w:eastAsia="zh-CN"/>
                    </w:rPr>
                    <w:t>和2</w:t>
                  </w:r>
                  <w:r>
                    <w:rPr>
                      <w:rFonts w:hint="eastAsia" w:ascii="Times New Roman" w:hAnsi="Times New Roman" w:eastAsia="宋体" w:cs="Times New Roman"/>
                      <w:color w:val="000000"/>
                      <w:sz w:val="21"/>
                      <w:szCs w:val="21"/>
                    </w:rPr>
                    <w:t>t/h</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其中2</w:t>
                  </w:r>
                  <w:r>
                    <w:rPr>
                      <w:rFonts w:hint="eastAsia" w:ascii="Times New Roman" w:hAnsi="Times New Roman" w:eastAsia="宋体" w:cs="Times New Roman"/>
                      <w:color w:val="000000"/>
                      <w:sz w:val="21"/>
                      <w:szCs w:val="21"/>
                    </w:rPr>
                    <w:t>t/h</w:t>
                  </w:r>
                  <w:r>
                    <w:rPr>
                      <w:rFonts w:hint="eastAsia" w:ascii="Times New Roman" w:hAnsi="Times New Roman" w:cs="Times New Roman"/>
                      <w:color w:val="000000"/>
                      <w:sz w:val="21"/>
                      <w:szCs w:val="21"/>
                      <w:lang w:val="en-US" w:eastAsia="zh-CN"/>
                    </w:rPr>
                    <w:t>的锅炉为备用，</w:t>
                  </w:r>
                  <w:r>
                    <w:rPr>
                      <w:rFonts w:hint="default" w:ascii="Times New Roman" w:hAnsi="Times New Roman" w:eastAsia="宋体" w:cs="Times New Roman"/>
                      <w:color w:val="000000"/>
                      <w:sz w:val="21"/>
                      <w:szCs w:val="21"/>
                      <w:u w:val="none"/>
                      <w:lang w:val="en-US" w:eastAsia="zh-CN"/>
                    </w:rPr>
                    <w:t>建筑面积为</w:t>
                  </w:r>
                  <w:r>
                    <w:rPr>
                      <w:rFonts w:hint="eastAsia" w:ascii="Times New Roman" w:hAnsi="Times New Roman" w:cs="Times New Roman"/>
                      <w:color w:val="000000"/>
                      <w:sz w:val="21"/>
                      <w:szCs w:val="21"/>
                      <w:u w:val="none"/>
                      <w:lang w:val="en-US" w:eastAsia="zh-CN"/>
                    </w:rPr>
                    <w:t>1500</w:t>
                  </w:r>
                  <w:r>
                    <w:rPr>
                      <w:rFonts w:hint="default" w:ascii="Times New Roman" w:hAnsi="Times New Roman" w:eastAsia="宋体" w:cs="Times New Roman"/>
                      <w:color w:val="000000"/>
                      <w:sz w:val="21"/>
                      <w:szCs w:val="21"/>
                      <w:u w:val="none"/>
                    </w:rPr>
                    <w:t>m</w:t>
                  </w:r>
                  <w:r>
                    <w:rPr>
                      <w:rFonts w:hint="default" w:ascii="Times New Roman" w:hAnsi="Times New Roman" w:eastAsia="宋体" w:cs="Times New Roman"/>
                      <w:color w:val="000000"/>
                      <w:sz w:val="21"/>
                      <w:szCs w:val="21"/>
                      <w:u w:val="none"/>
                      <w:vertAlign w:val="superscript"/>
                    </w:rPr>
                    <w:t>2</w:t>
                  </w:r>
                </w:p>
              </w:tc>
              <w:tc>
                <w:tcPr>
                  <w:tcW w:w="54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辅助工程</w:t>
                  </w: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z w:val="21"/>
                      <w:szCs w:val="21"/>
                      <w:u w:val="none"/>
                      <w:lang w:eastAsia="zh-CN"/>
                    </w:rPr>
                  </w:pPr>
                  <w:r>
                    <w:rPr>
                      <w:rFonts w:hint="default" w:ascii="Times New Roman" w:hAnsi="Times New Roman" w:eastAsia="宋体" w:cs="Times New Roman"/>
                      <w:color w:val="000000"/>
                      <w:sz w:val="21"/>
                      <w:szCs w:val="21"/>
                      <w:u w:val="none"/>
                    </w:rPr>
                    <w:t>办公</w:t>
                  </w:r>
                  <w:r>
                    <w:rPr>
                      <w:rFonts w:hint="eastAsia" w:ascii="Times New Roman" w:hAnsi="Times New Roman" w:cs="Times New Roman"/>
                      <w:color w:val="000000"/>
                      <w:sz w:val="21"/>
                      <w:szCs w:val="21"/>
                      <w:u w:val="none"/>
                      <w:lang w:val="en-US" w:eastAsia="zh-CN"/>
                    </w:rPr>
                    <w:t>区</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建筑面积</w:t>
                  </w:r>
                  <w:r>
                    <w:rPr>
                      <w:rFonts w:hint="eastAsia" w:ascii="Times New Roman" w:hAnsi="Times New Roman" w:cs="Times New Roman"/>
                      <w:color w:val="000000"/>
                      <w:sz w:val="21"/>
                      <w:szCs w:val="21"/>
                      <w:u w:val="none"/>
                      <w:lang w:val="en-US" w:eastAsia="zh-CN"/>
                    </w:rPr>
                    <w:t>100</w:t>
                  </w:r>
                  <w:r>
                    <w:rPr>
                      <w:rFonts w:hint="default" w:ascii="Times New Roman" w:hAnsi="Times New Roman" w:eastAsia="宋体" w:cs="Times New Roman"/>
                      <w:color w:val="000000"/>
                      <w:sz w:val="21"/>
                      <w:szCs w:val="21"/>
                      <w:u w:val="none"/>
                    </w:rPr>
                    <w:t>m</w:t>
                  </w:r>
                  <w:r>
                    <w:rPr>
                      <w:rFonts w:hint="default" w:ascii="Times New Roman" w:hAnsi="Times New Roman" w:eastAsia="宋体" w:cs="Times New Roman"/>
                      <w:color w:val="000000"/>
                      <w:sz w:val="21"/>
                      <w:szCs w:val="21"/>
                      <w:u w:val="none"/>
                      <w:vertAlign w:val="superscript"/>
                      <w:lang w:val="en-US" w:eastAsia="zh-CN"/>
                    </w:rPr>
                    <w:t>2</w:t>
                  </w:r>
                </w:p>
              </w:tc>
              <w:tc>
                <w:tcPr>
                  <w:tcW w:w="54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sz w:val="21"/>
                      <w:szCs w:val="21"/>
                      <w:u w:val="none"/>
                      <w:lang w:val="en-US" w:eastAsia="zh-CN"/>
                    </w:rPr>
                    <w:t>新建，钢结构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生活区</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建筑面积</w:t>
                  </w:r>
                  <w:r>
                    <w:rPr>
                      <w:rFonts w:hint="eastAsia" w:ascii="Times New Roman" w:hAnsi="Times New Roman" w:cs="Times New Roman"/>
                      <w:color w:val="000000"/>
                      <w:sz w:val="21"/>
                      <w:szCs w:val="21"/>
                      <w:u w:val="none"/>
                      <w:lang w:val="en-US" w:eastAsia="zh-CN"/>
                    </w:rPr>
                    <w:t>300</w:t>
                  </w:r>
                  <w:r>
                    <w:rPr>
                      <w:rFonts w:hint="default" w:ascii="Times New Roman" w:hAnsi="Times New Roman" w:eastAsia="宋体" w:cs="Times New Roman"/>
                      <w:color w:val="000000"/>
                      <w:sz w:val="21"/>
                      <w:szCs w:val="21"/>
                      <w:u w:val="none"/>
                    </w:rPr>
                    <w:t>m</w:t>
                  </w:r>
                  <w:r>
                    <w:rPr>
                      <w:rFonts w:hint="default" w:ascii="Times New Roman" w:hAnsi="Times New Roman" w:eastAsia="宋体" w:cs="Times New Roman"/>
                      <w:color w:val="000000"/>
                      <w:sz w:val="21"/>
                      <w:szCs w:val="21"/>
                      <w:u w:val="none"/>
                      <w:vertAlign w:val="superscript"/>
                      <w:lang w:val="en-US" w:eastAsia="zh-CN"/>
                    </w:rPr>
                    <w:t>2</w:t>
                  </w:r>
                </w:p>
              </w:tc>
              <w:tc>
                <w:tcPr>
                  <w:tcW w:w="54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公用工程</w:t>
                  </w: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themeColor="text1"/>
                      <w:sz w:val="21"/>
                      <w:szCs w:val="21"/>
                      <w:u w:val="none"/>
                      <w14:textFill>
                        <w14:solidFill>
                          <w14:schemeClr w14:val="tx1"/>
                        </w14:solidFill>
                      </w14:textFill>
                    </w:rPr>
                    <w:t>供</w:t>
                  </w:r>
                  <w:r>
                    <w:rPr>
                      <w:rFonts w:hint="default" w:ascii="Times New Roman" w:hAnsi="Times New Roman" w:eastAsia="宋体" w:cs="Times New Roman"/>
                      <w:color w:val="000000"/>
                      <w:sz w:val="21"/>
                      <w:szCs w:val="21"/>
                      <w:u w:val="none"/>
                    </w:rPr>
                    <w:t>水</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val="en-US" w:eastAsia="zh-CN"/>
                    </w:rPr>
                    <w:t>市政供水</w:t>
                  </w:r>
                </w:p>
              </w:tc>
              <w:tc>
                <w:tcPr>
                  <w:tcW w:w="5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sz w:val="21"/>
                      <w:szCs w:val="21"/>
                      <w:u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供电</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附近电网供电</w:t>
                  </w:r>
                </w:p>
              </w:tc>
              <w:tc>
                <w:tcPr>
                  <w:tcW w:w="5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环保工程</w:t>
                  </w: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废水治理</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生产废水经自建60t/d污水处理站处理后用于菜地浇灌，生活污水经化粪池处理后用作菜地施肥</w:t>
                  </w:r>
                  <w:r>
                    <w:rPr>
                      <w:rFonts w:hint="eastAsia" w:ascii="Times New Roman" w:hAnsi="Times New Roman" w:cs="Times New Roman"/>
                      <w:color w:val="000000" w:themeColor="text1"/>
                      <w:sz w:val="21"/>
                      <w:szCs w:val="21"/>
                      <w:u w:val="none"/>
                      <w:lang w:eastAsia="zh-CN"/>
                      <w14:textFill>
                        <w14:solidFill>
                          <w14:schemeClr w14:val="tx1"/>
                        </w14:solidFill>
                      </w14:textFill>
                    </w:rPr>
                    <w:t>；</w:t>
                  </w:r>
                  <w:r>
                    <w:rPr>
                      <w:rFonts w:hint="eastAsia" w:ascii="Times New Roman" w:hAnsi="Times New Roman" w:cs="Times New Roman"/>
                      <w:color w:val="000000" w:themeColor="text1"/>
                      <w:sz w:val="21"/>
                      <w:szCs w:val="21"/>
                      <w:u w:val="none"/>
                      <w:lang w:val="en-US" w:eastAsia="zh-CN"/>
                      <w14:textFill>
                        <w14:solidFill>
                          <w14:schemeClr w14:val="tx1"/>
                        </w14:solidFill>
                      </w14:textFill>
                    </w:rPr>
                    <w:t>食堂废水经隔油池处理后进入化粪池一起用于周边农田施肥</w:t>
                  </w:r>
                </w:p>
              </w:tc>
              <w:tc>
                <w:tcPr>
                  <w:tcW w:w="5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废气治理</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生物质锅炉烟气经碱液喷淋处理后40m烟囱排放；滚筒式炒锅燃料燃烧烟尘经旋风除尘+布袋除尘处理后通过15m排气筒排放；脱壳粉尘采用关闭车间门窗，降低无组织排放，同时定期打扫车间地面沉降的粉尘等措施；生产车间恶臭气体采取加强通风措施；污水处理站恶臭气体采用各水池加盖密闭、加强绿化等措施</w:t>
                  </w:r>
                </w:p>
              </w:tc>
              <w:tc>
                <w:tcPr>
                  <w:tcW w:w="5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噪声治理</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sz w:val="21"/>
                      <w:szCs w:val="21"/>
                      <w:u w:val="none"/>
                      <w:lang w:val="en-US" w:eastAsia="zh-CN"/>
                      <w14:textFill>
                        <w14:solidFill>
                          <w14:schemeClr w14:val="tx1"/>
                        </w14:solidFill>
                      </w14:textFill>
                    </w:rPr>
                    <w:t>厂房均为封闭式厂房，噪声设备减振、降噪等措施</w:t>
                  </w:r>
                </w:p>
              </w:tc>
              <w:tc>
                <w:tcPr>
                  <w:tcW w:w="5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sz w:val="21"/>
                      <w:szCs w:val="21"/>
                      <w:u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固废治理</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sz w:val="21"/>
                      <w:szCs w:val="21"/>
                      <w:u w:val="none"/>
                      <w:lang w:val="en-US" w:eastAsia="zh-CN"/>
                      <w14:textFill>
                        <w14:solidFill>
                          <w14:schemeClr w14:val="tx1"/>
                        </w14:solidFill>
                      </w14:textFill>
                    </w:rPr>
                    <w:t>一般工业固体废物暂存间（</w:t>
                  </w:r>
                  <w:r>
                    <w:rPr>
                      <w:rFonts w:hint="eastAsia" w:ascii="Times New Roman" w:hAnsi="Times New Roman" w:cs="Times New Roman"/>
                      <w:color w:val="000000" w:themeColor="text1"/>
                      <w:sz w:val="21"/>
                      <w:szCs w:val="21"/>
                      <w:u w:val="none"/>
                      <w:lang w:val="en-US" w:eastAsia="zh-CN"/>
                      <w14:textFill>
                        <w14:solidFill>
                          <w14:schemeClr w14:val="tx1"/>
                        </w14:solidFill>
                      </w14:textFill>
                    </w:rPr>
                    <w:t>8</w:t>
                  </w:r>
                  <w:r>
                    <w:rPr>
                      <w:rFonts w:hint="default" w:ascii="Times New Roman" w:hAnsi="Times New Roman" w:cs="Times New Roman"/>
                      <w:color w:val="000000" w:themeColor="text1"/>
                      <w:sz w:val="21"/>
                      <w:szCs w:val="21"/>
                      <w:u w:val="none"/>
                      <w:lang w:val="en-US" w:eastAsia="zh-CN"/>
                      <w14:textFill>
                        <w14:solidFill>
                          <w14:schemeClr w14:val="tx1"/>
                        </w14:solidFill>
                      </w14:textFill>
                    </w:rPr>
                    <w:t>m</w:t>
                  </w:r>
                  <w:r>
                    <w:rPr>
                      <w:rFonts w:hint="default" w:ascii="Times New Roman" w:hAnsi="Times New Roman" w:cs="Times New Roman"/>
                      <w:color w:val="000000" w:themeColor="text1"/>
                      <w:sz w:val="21"/>
                      <w:szCs w:val="21"/>
                      <w:u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u w:val="none"/>
                      <w:lang w:val="en-US" w:eastAsia="zh-CN"/>
                      <w14:textFill>
                        <w14:solidFill>
                          <w14:schemeClr w14:val="tx1"/>
                        </w14:solidFill>
                      </w14:textFill>
                    </w:rPr>
                    <w:t>），位于1栋</w:t>
                  </w:r>
                  <w:r>
                    <w:rPr>
                      <w:rFonts w:hint="eastAsia" w:ascii="Times New Roman" w:hAnsi="Times New Roman" w:cs="Times New Roman"/>
                      <w:color w:val="000000" w:themeColor="text1"/>
                      <w:sz w:val="21"/>
                      <w:szCs w:val="21"/>
                      <w:u w:val="none"/>
                      <w:lang w:val="en-US" w:eastAsia="zh-CN"/>
                      <w14:textFill>
                        <w14:solidFill>
                          <w14:schemeClr w14:val="tx1"/>
                        </w14:solidFill>
                      </w14:textFill>
                    </w:rPr>
                    <w:t>车间。</w:t>
                  </w:r>
                  <w:r>
                    <w:rPr>
                      <w:rFonts w:hint="default" w:ascii="Times New Roman" w:hAnsi="Times New Roman" w:cs="Times New Roman"/>
                      <w:color w:val="000000" w:themeColor="text1"/>
                      <w:sz w:val="21"/>
                      <w:szCs w:val="21"/>
                      <w:u w:val="none"/>
                      <w:lang w:val="en-US" w:eastAsia="zh-CN"/>
                      <w14:textFill>
                        <w14:solidFill>
                          <w14:schemeClr w14:val="tx1"/>
                        </w14:solidFill>
                      </w14:textFill>
                    </w:rPr>
                    <w:t>项目</w:t>
                  </w:r>
                  <w:r>
                    <w:rPr>
                      <w:rFonts w:hint="eastAsia" w:ascii="Times New Roman" w:hAnsi="Times New Roman" w:cs="Times New Roman"/>
                      <w:color w:val="000000" w:themeColor="text1"/>
                      <w:sz w:val="21"/>
                      <w:szCs w:val="21"/>
                      <w:u w:val="none"/>
                      <w:lang w:val="en-US" w:eastAsia="zh-CN"/>
                      <w14:textFill>
                        <w14:solidFill>
                          <w14:schemeClr w14:val="tx1"/>
                        </w14:solidFill>
                      </w14:textFill>
                    </w:rPr>
                    <w:t>脱壳豆皮、磨浆豆渣、提皮工序产生的剩余浆液收集后</w:t>
                  </w:r>
                  <w:r>
                    <w:rPr>
                      <w:rFonts w:hint="default" w:ascii="Times New Roman" w:hAnsi="Times New Roman" w:cs="Times New Roman"/>
                      <w:color w:val="000000" w:themeColor="text1"/>
                      <w:sz w:val="21"/>
                      <w:szCs w:val="21"/>
                      <w:u w:val="none"/>
                      <w:lang w:val="en-US" w:eastAsia="zh-CN"/>
                      <w14:textFill>
                        <w14:solidFill>
                          <w14:schemeClr w14:val="tx1"/>
                        </w14:solidFill>
                      </w14:textFill>
                    </w:rPr>
                    <w:t>卖给养殖户用作饲料</w:t>
                  </w:r>
                  <w:r>
                    <w:rPr>
                      <w:rFonts w:hint="eastAsia" w:ascii="Times New Roman" w:hAnsi="Times New Roman" w:cs="Times New Roman"/>
                      <w:color w:val="000000" w:themeColor="text1"/>
                      <w:sz w:val="21"/>
                      <w:szCs w:val="21"/>
                      <w:u w:val="none"/>
                      <w:lang w:val="en-US" w:eastAsia="zh-CN"/>
                      <w14:textFill>
                        <w14:solidFill>
                          <w14:schemeClr w14:val="tx1"/>
                        </w14:solidFill>
                      </w14:textFill>
                    </w:rPr>
                    <w:t>；废包装材料、污水处理站污泥、大豆除杂废物和生活垃圾统一收集后</w:t>
                  </w:r>
                  <w:r>
                    <w:rPr>
                      <w:rFonts w:hint="default" w:ascii="Times New Roman" w:hAnsi="Times New Roman" w:cs="Times New Roman"/>
                      <w:color w:val="000000" w:themeColor="text1"/>
                      <w:sz w:val="21"/>
                      <w:szCs w:val="21"/>
                      <w:u w:val="none"/>
                      <w:lang w:val="en-US" w:eastAsia="zh-CN"/>
                      <w14:textFill>
                        <w14:solidFill>
                          <w14:schemeClr w14:val="tx1"/>
                        </w14:solidFill>
                      </w14:textFill>
                    </w:rPr>
                    <w:t>交由当地环卫部门清运处理</w:t>
                  </w:r>
                  <w:r>
                    <w:rPr>
                      <w:rFonts w:hint="eastAsia" w:ascii="Times New Roman" w:hAnsi="Times New Roman" w:cs="Times New Roman"/>
                      <w:color w:val="000000" w:themeColor="text1"/>
                      <w:sz w:val="21"/>
                      <w:szCs w:val="21"/>
                      <w:u w:val="none"/>
                      <w:lang w:val="en-US" w:eastAsia="zh-CN"/>
                      <w14:textFill>
                        <w14:solidFill>
                          <w14:schemeClr w14:val="tx1"/>
                        </w14:solidFill>
                      </w14:textFill>
                    </w:rPr>
                    <w:t>；</w:t>
                  </w:r>
                  <w:r>
                    <w:rPr>
                      <w:rFonts w:hint="default" w:ascii="Times New Roman" w:hAnsi="Times New Roman" w:cs="Times New Roman"/>
                      <w:color w:val="000000" w:themeColor="text1"/>
                      <w:sz w:val="21"/>
                      <w:szCs w:val="21"/>
                      <w:u w:val="none"/>
                      <w:lang w:val="en-US" w:eastAsia="zh-CN"/>
                      <w14:textFill>
                        <w14:solidFill>
                          <w14:schemeClr w14:val="tx1"/>
                        </w14:solidFill>
                      </w14:textFill>
                    </w:rPr>
                    <w:t>废树脂</w:t>
                  </w:r>
                  <w:r>
                    <w:rPr>
                      <w:rFonts w:hint="eastAsia" w:ascii="Times New Roman" w:hAnsi="Times New Roman" w:cs="Times New Roman"/>
                      <w:color w:val="000000" w:themeColor="text1"/>
                      <w:sz w:val="21"/>
                      <w:szCs w:val="21"/>
                      <w:u w:val="none"/>
                      <w:lang w:val="en-US" w:eastAsia="zh-CN"/>
                      <w14:textFill>
                        <w14:solidFill>
                          <w14:schemeClr w14:val="tx1"/>
                        </w14:solidFill>
                      </w14:textFill>
                    </w:rPr>
                    <w:t>经收集后</w:t>
                  </w:r>
                  <w:r>
                    <w:rPr>
                      <w:rFonts w:hint="default" w:ascii="Times New Roman" w:hAnsi="Times New Roman" w:cs="Times New Roman"/>
                      <w:color w:val="000000" w:themeColor="text1"/>
                      <w:sz w:val="21"/>
                      <w:szCs w:val="21"/>
                      <w:u w:val="none"/>
                      <w:lang w:val="en-US" w:eastAsia="zh-CN"/>
                      <w14:textFill>
                        <w14:solidFill>
                          <w14:schemeClr w14:val="tx1"/>
                        </w14:solidFill>
                      </w14:textFill>
                    </w:rPr>
                    <w:t>交由供应</w:t>
                  </w:r>
                  <w:r>
                    <w:rPr>
                      <w:rFonts w:hint="eastAsia" w:ascii="Times New Roman" w:hAnsi="Times New Roman" w:cs="Times New Roman"/>
                      <w:color w:val="000000" w:themeColor="text1"/>
                      <w:sz w:val="21"/>
                      <w:szCs w:val="21"/>
                      <w:u w:val="none"/>
                      <w:lang w:val="en-US" w:eastAsia="zh-CN"/>
                      <w14:textFill>
                        <w14:solidFill>
                          <w14:schemeClr w14:val="tx1"/>
                        </w14:solidFill>
                      </w14:textFill>
                    </w:rPr>
                    <w:t>厂家回收处理；</w:t>
                  </w:r>
                  <w:r>
                    <w:rPr>
                      <w:rFonts w:hint="default" w:ascii="Times New Roman" w:hAnsi="Times New Roman" w:cs="Times New Roman"/>
                      <w:color w:val="000000" w:themeColor="text1"/>
                      <w:sz w:val="21"/>
                      <w:szCs w:val="21"/>
                      <w:u w:val="none"/>
                      <w:lang w:val="en-US" w:eastAsia="zh-CN"/>
                      <w14:textFill>
                        <w14:solidFill>
                          <w14:schemeClr w14:val="tx1"/>
                        </w14:solidFill>
                      </w14:textFill>
                    </w:rPr>
                    <w:t>脱硫石膏</w:t>
                  </w:r>
                  <w:r>
                    <w:rPr>
                      <w:rFonts w:hint="eastAsia" w:ascii="Times New Roman" w:hAnsi="Times New Roman" w:cs="Times New Roman"/>
                      <w:color w:val="000000" w:themeColor="text1"/>
                      <w:sz w:val="21"/>
                      <w:szCs w:val="21"/>
                      <w:u w:val="none"/>
                      <w:lang w:val="en-US" w:eastAsia="zh-CN"/>
                      <w14:textFill>
                        <w14:solidFill>
                          <w14:schemeClr w14:val="tx1"/>
                        </w14:solidFill>
                      </w14:textFill>
                    </w:rPr>
                    <w:t>经收集后外运给砖厂制砖</w:t>
                  </w:r>
                </w:p>
              </w:tc>
              <w:tc>
                <w:tcPr>
                  <w:tcW w:w="5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sz w:val="21"/>
                      <w:szCs w:val="21"/>
                      <w:u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储运工程</w:t>
                  </w: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rPr>
                    <w:t>原料仓库</w:t>
                  </w:r>
                  <w:r>
                    <w:rPr>
                      <w:rFonts w:hint="eastAsia" w:ascii="Times New Roman" w:hAnsi="Times New Roman" w:cs="Times New Roman"/>
                      <w:color w:val="000000"/>
                      <w:sz w:val="21"/>
                      <w:szCs w:val="21"/>
                      <w:u w:val="none"/>
                      <w:lang w:val="en-US" w:eastAsia="zh-CN"/>
                    </w:rPr>
                    <w:t>和成品仓库</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vertAlign w:val="baseline"/>
                      <w:lang w:val="en-US" w:eastAsia="zh-CN"/>
                    </w:rPr>
                  </w:pPr>
                  <w:r>
                    <w:rPr>
                      <w:rFonts w:hint="eastAsia" w:ascii="Times New Roman" w:hAnsi="Times New Roman" w:cs="Times New Roman"/>
                      <w:color w:val="000000"/>
                      <w:sz w:val="21"/>
                      <w:szCs w:val="21"/>
                      <w:u w:val="none"/>
                      <w:lang w:val="en-US" w:eastAsia="zh-CN"/>
                    </w:rPr>
                    <w:t>设置2个原料仓库、3个成品仓库，具体位置见附图，</w:t>
                  </w:r>
                  <w:r>
                    <w:rPr>
                      <w:rFonts w:hint="default" w:ascii="Times New Roman" w:hAnsi="Times New Roman" w:eastAsia="宋体" w:cs="Times New Roman"/>
                      <w:color w:val="000000"/>
                      <w:sz w:val="21"/>
                      <w:szCs w:val="21"/>
                      <w:u w:val="none"/>
                      <w:lang w:val="en-US" w:eastAsia="zh-CN"/>
                    </w:rPr>
                    <w:t>建筑面积</w:t>
                  </w:r>
                  <w:r>
                    <w:rPr>
                      <w:rFonts w:hint="eastAsia" w:ascii="Times New Roman" w:hAnsi="Times New Roman" w:cs="Times New Roman"/>
                      <w:color w:val="000000"/>
                      <w:sz w:val="21"/>
                      <w:szCs w:val="21"/>
                      <w:u w:val="none"/>
                      <w:lang w:val="en-US" w:eastAsia="zh-CN"/>
                    </w:rPr>
                    <w:t>总计1150</w:t>
                  </w:r>
                  <w:r>
                    <w:rPr>
                      <w:rFonts w:hint="default" w:ascii="Times New Roman" w:hAnsi="Times New Roman" w:eastAsia="宋体" w:cs="Times New Roman"/>
                      <w:color w:val="000000"/>
                      <w:sz w:val="21"/>
                      <w:szCs w:val="21"/>
                      <w:u w:val="none"/>
                    </w:rPr>
                    <w:t>m</w:t>
                  </w:r>
                  <w:r>
                    <w:rPr>
                      <w:rFonts w:hint="default" w:ascii="Times New Roman" w:hAnsi="Times New Roman" w:eastAsia="宋体" w:cs="Times New Roman"/>
                      <w:color w:val="000000"/>
                      <w:sz w:val="21"/>
                      <w:szCs w:val="21"/>
                      <w:u w:val="none"/>
                      <w:vertAlign w:val="superscript"/>
                    </w:rPr>
                    <w:t>2</w:t>
                  </w:r>
                </w:p>
              </w:tc>
              <w:tc>
                <w:tcPr>
                  <w:tcW w:w="5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包材库</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设置2个包材库，1个</w:t>
                  </w:r>
                  <w:r>
                    <w:rPr>
                      <w:rFonts w:hint="default" w:ascii="Times New Roman" w:hAnsi="Times New Roman" w:eastAsia="宋体" w:cs="Times New Roman"/>
                      <w:color w:val="000000"/>
                      <w:sz w:val="21"/>
                      <w:szCs w:val="21"/>
                      <w:u w:val="none"/>
                      <w:lang w:val="en-US" w:eastAsia="zh-CN"/>
                    </w:rPr>
                    <w:t>位于</w:t>
                  </w:r>
                  <w:r>
                    <w:rPr>
                      <w:rFonts w:hint="eastAsia" w:ascii="Times New Roman" w:hAnsi="Times New Roman" w:cs="Times New Roman"/>
                      <w:color w:val="000000"/>
                      <w:sz w:val="21"/>
                      <w:szCs w:val="21"/>
                      <w:u w:val="none"/>
                      <w:lang w:val="en-US" w:eastAsia="zh-CN"/>
                    </w:rPr>
                    <w:t>包装房旁</w:t>
                  </w:r>
                  <w:r>
                    <w:rPr>
                      <w:rFonts w:hint="default" w:ascii="Times New Roman" w:hAnsi="Times New Roman" w:eastAsia="宋体" w:cs="Times New Roman"/>
                      <w:color w:val="000000"/>
                      <w:sz w:val="21"/>
                      <w:szCs w:val="21"/>
                      <w:u w:val="none"/>
                    </w:rPr>
                    <w:t>，</w:t>
                  </w:r>
                  <w:r>
                    <w:rPr>
                      <w:rFonts w:hint="eastAsia" w:ascii="Times New Roman" w:hAnsi="Times New Roman" w:cs="Times New Roman"/>
                      <w:color w:val="000000"/>
                      <w:sz w:val="21"/>
                      <w:szCs w:val="21"/>
                      <w:u w:val="none"/>
                      <w:lang w:val="en-US" w:eastAsia="zh-CN"/>
                    </w:rPr>
                    <w:t>1个位于豆皮车间，</w:t>
                  </w:r>
                  <w:r>
                    <w:rPr>
                      <w:rFonts w:hint="default" w:ascii="Times New Roman" w:hAnsi="Times New Roman" w:eastAsia="宋体" w:cs="Times New Roman"/>
                      <w:color w:val="000000"/>
                      <w:sz w:val="21"/>
                      <w:szCs w:val="21"/>
                      <w:u w:val="none"/>
                      <w:lang w:val="en-US" w:eastAsia="zh-CN"/>
                    </w:rPr>
                    <w:t>建筑面积</w:t>
                  </w:r>
                  <w:r>
                    <w:rPr>
                      <w:rFonts w:hint="eastAsia" w:ascii="Times New Roman" w:hAnsi="Times New Roman" w:cs="Times New Roman"/>
                      <w:color w:val="000000"/>
                      <w:sz w:val="21"/>
                      <w:szCs w:val="21"/>
                      <w:u w:val="none"/>
                      <w:lang w:val="en-US" w:eastAsia="zh-CN"/>
                    </w:rPr>
                    <w:t>总计122</w:t>
                  </w:r>
                  <w:r>
                    <w:rPr>
                      <w:rFonts w:hint="default" w:ascii="Times New Roman" w:hAnsi="Times New Roman" w:eastAsia="宋体" w:cs="Times New Roman"/>
                      <w:color w:val="000000"/>
                      <w:sz w:val="21"/>
                      <w:szCs w:val="21"/>
                      <w:u w:val="none"/>
                    </w:rPr>
                    <w:t>m</w:t>
                  </w:r>
                  <w:r>
                    <w:rPr>
                      <w:rFonts w:hint="default" w:ascii="Times New Roman" w:hAnsi="Times New Roman" w:eastAsia="宋体" w:cs="Times New Roman"/>
                      <w:color w:val="000000"/>
                      <w:sz w:val="21"/>
                      <w:szCs w:val="21"/>
                      <w:u w:val="none"/>
                      <w:vertAlign w:val="superscript"/>
                    </w:rPr>
                    <w:t>2</w:t>
                  </w:r>
                </w:p>
              </w:tc>
              <w:tc>
                <w:tcPr>
                  <w:tcW w:w="5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rPr>
                  </w:pP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燃料堆场</w:t>
                  </w:r>
                </w:p>
              </w:tc>
              <w:tc>
                <w:tcPr>
                  <w:tcW w:w="30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sz w:val="21"/>
                      <w:szCs w:val="21"/>
                      <w:u w:val="none"/>
                      <w:lang w:val="en-US" w:eastAsia="zh-CN"/>
                    </w:rPr>
                    <w:t>位于</w:t>
                  </w:r>
                  <w:r>
                    <w:rPr>
                      <w:rFonts w:hint="eastAsia" w:ascii="Times New Roman" w:hAnsi="Times New Roman" w:cs="Times New Roman"/>
                      <w:color w:val="000000"/>
                      <w:sz w:val="21"/>
                      <w:szCs w:val="21"/>
                      <w:u w:val="none"/>
                      <w:lang w:val="en-US" w:eastAsia="zh-CN"/>
                    </w:rPr>
                    <w:t>厂区北</w:t>
                  </w:r>
                  <w:r>
                    <w:rPr>
                      <w:rFonts w:hint="default" w:ascii="Times New Roman" w:hAnsi="Times New Roman" w:eastAsia="宋体" w:cs="Times New Roman"/>
                      <w:color w:val="000000"/>
                      <w:sz w:val="21"/>
                      <w:szCs w:val="21"/>
                      <w:u w:val="none"/>
                      <w:lang w:val="en-US" w:eastAsia="zh-CN"/>
                    </w:rPr>
                    <w:t>侧</w:t>
                  </w:r>
                  <w:r>
                    <w:rPr>
                      <w:rFonts w:hint="default" w:ascii="Times New Roman" w:hAnsi="Times New Roman" w:eastAsia="宋体" w:cs="Times New Roman"/>
                      <w:color w:val="000000"/>
                      <w:sz w:val="21"/>
                      <w:szCs w:val="21"/>
                      <w:u w:val="none"/>
                    </w:rPr>
                    <w:t>，</w:t>
                  </w:r>
                  <w:r>
                    <w:rPr>
                      <w:rFonts w:hint="default" w:ascii="Times New Roman" w:hAnsi="Times New Roman" w:eastAsia="宋体" w:cs="Times New Roman"/>
                      <w:color w:val="000000"/>
                      <w:sz w:val="21"/>
                      <w:szCs w:val="21"/>
                      <w:u w:val="none"/>
                      <w:lang w:val="en-US" w:eastAsia="zh-CN"/>
                    </w:rPr>
                    <w:t>建筑面积为</w:t>
                  </w:r>
                  <w:r>
                    <w:rPr>
                      <w:rFonts w:hint="eastAsia" w:ascii="Times New Roman" w:hAnsi="Times New Roman" w:cs="Times New Roman"/>
                      <w:color w:val="000000"/>
                      <w:sz w:val="21"/>
                      <w:szCs w:val="21"/>
                      <w:u w:val="none"/>
                      <w:lang w:val="en-US" w:eastAsia="zh-CN"/>
                    </w:rPr>
                    <w:t>2000</w:t>
                  </w:r>
                  <w:r>
                    <w:rPr>
                      <w:rFonts w:hint="default" w:ascii="Times New Roman" w:hAnsi="Times New Roman" w:eastAsia="宋体" w:cs="Times New Roman"/>
                      <w:color w:val="000000"/>
                      <w:sz w:val="21"/>
                      <w:szCs w:val="21"/>
                      <w:u w:val="none"/>
                    </w:rPr>
                    <w:t>m</w:t>
                  </w:r>
                  <w:r>
                    <w:rPr>
                      <w:rFonts w:hint="default" w:ascii="Times New Roman" w:hAnsi="Times New Roman" w:eastAsia="宋体" w:cs="Times New Roman"/>
                      <w:color w:val="000000"/>
                      <w:sz w:val="21"/>
                      <w:szCs w:val="21"/>
                      <w:u w:val="none"/>
                      <w:vertAlign w:val="superscript"/>
                    </w:rPr>
                    <w:t>2</w:t>
                  </w:r>
                </w:p>
              </w:tc>
              <w:tc>
                <w:tcPr>
                  <w:tcW w:w="5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新建</w:t>
                  </w:r>
                </w:p>
              </w:tc>
            </w:tr>
          </w:tbl>
          <w:p>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482" w:firstLineChars="200"/>
              <w:jc w:val="both"/>
              <w:textAlignment w:val="auto"/>
              <w:rPr>
                <w:rFonts w:hint="eastAsia" w:ascii="Times New Roman" w:hAnsi="Times New Roman" w:eastAsia="宋体" w:cs="Times New Roman"/>
                <w:b/>
                <w:bCs/>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482" w:firstLineChars="200"/>
              <w:jc w:val="both"/>
              <w:textAlignment w:val="auto"/>
              <w:rPr>
                <w:rFonts w:hint="eastAsia" w:ascii="Times New Roman" w:hAnsi="Times New Roman" w:eastAsia="宋体" w:cs="Times New Roman"/>
                <w:b/>
                <w:bCs/>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482" w:firstLineChars="200"/>
              <w:jc w:val="both"/>
              <w:textAlignment w:val="auto"/>
              <w:rPr>
                <w:rFonts w:hint="eastAsia" w:ascii="Times New Roman" w:hAnsi="Times New Roman" w:eastAsia="宋体" w:cs="Times New Roman"/>
                <w:b/>
                <w:bCs/>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482" w:firstLineChars="200"/>
              <w:jc w:val="both"/>
              <w:textAlignment w:val="auto"/>
              <w:rPr>
                <w:rFonts w:hint="default" w:ascii="Times New Roman" w:hAnsi="Times New Roman" w:eastAsia="宋体" w:cs="Times New Roman"/>
                <w:b/>
                <w:kern w:val="0"/>
                <w:sz w:val="21"/>
                <w:szCs w:val="21"/>
              </w:rPr>
            </w:pPr>
            <w:r>
              <w:rPr>
                <w:rFonts w:hint="eastAsia" w:ascii="Times New Roman" w:hAnsi="Times New Roman" w:eastAsia="宋体" w:cs="Times New Roman"/>
                <w:b/>
                <w:bCs/>
                <w:kern w:val="2"/>
                <w:sz w:val="24"/>
                <w:szCs w:val="24"/>
                <w:lang w:val="en-US" w:eastAsia="zh-CN" w:bidi="ar-SA"/>
              </w:rPr>
              <w:t>2.4</w:t>
            </w:r>
            <w:r>
              <w:rPr>
                <w:rFonts w:hint="default" w:ascii="Times New Roman" w:hAnsi="Times New Roman" w:eastAsia="宋体" w:cs="Times New Roman"/>
                <w:b/>
                <w:bCs/>
                <w:kern w:val="2"/>
                <w:sz w:val="24"/>
                <w:szCs w:val="24"/>
                <w:lang w:val="en-US" w:eastAsia="zh-CN" w:bidi="ar-SA"/>
              </w:rPr>
              <w:t>主要产品方案</w:t>
            </w:r>
          </w:p>
          <w:p>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表</w:t>
            </w:r>
            <w:r>
              <w:rPr>
                <w:rFonts w:hint="eastAsia" w:ascii="Times New Roman" w:hAnsi="Times New Roman" w:eastAsia="宋体" w:cs="Times New Roman"/>
                <w:b/>
                <w:kern w:val="0"/>
                <w:sz w:val="21"/>
                <w:szCs w:val="21"/>
                <w:lang w:val="en-US" w:eastAsia="zh-CN"/>
              </w:rPr>
              <w:t>2</w:t>
            </w:r>
            <w:r>
              <w:rPr>
                <w:rFonts w:hint="default" w:ascii="Times New Roman" w:hAnsi="Times New Roman" w:eastAsia="宋体" w:cs="Times New Roman"/>
                <w:b/>
                <w:kern w:val="0"/>
                <w:sz w:val="21"/>
                <w:szCs w:val="21"/>
              </w:rPr>
              <w:t>-</w:t>
            </w:r>
            <w:r>
              <w:rPr>
                <w:rFonts w:hint="eastAsia" w:ascii="Times New Roman" w:hAnsi="Times New Roman" w:cs="Times New Roman"/>
                <w:b/>
                <w:kern w:val="0"/>
                <w:sz w:val="21"/>
                <w:szCs w:val="21"/>
                <w:lang w:val="en-US" w:eastAsia="zh-CN"/>
              </w:rPr>
              <w:t>3</w:t>
            </w:r>
            <w:r>
              <w:rPr>
                <w:rFonts w:hint="default" w:ascii="Times New Roman" w:hAnsi="Times New Roman" w:eastAsia="宋体" w:cs="Times New Roman"/>
                <w:b/>
                <w:kern w:val="0"/>
                <w:sz w:val="21"/>
                <w:szCs w:val="21"/>
                <w:lang w:val="en-US" w:eastAsia="zh-CN"/>
              </w:rPr>
              <w:t xml:space="preserve"> </w:t>
            </w:r>
            <w:r>
              <w:rPr>
                <w:rFonts w:hint="default" w:ascii="Times New Roman" w:hAnsi="Times New Roman" w:eastAsia="宋体" w:cs="Times New Roman"/>
                <w:b/>
                <w:kern w:val="0"/>
                <w:sz w:val="21"/>
                <w:szCs w:val="21"/>
              </w:rPr>
              <w:t>项目主要产品及产量</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1504"/>
              <w:gridCol w:w="1303"/>
              <w:gridCol w:w="1505"/>
              <w:gridCol w:w="1505"/>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blHeader/>
                <w:jc w:val="center"/>
              </w:trPr>
              <w:tc>
                <w:tcPr>
                  <w:tcW w:w="563" w:type="pct"/>
                  <w:noWrap w:val="0"/>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879" w:type="pct"/>
                  <w:noWrap w:val="0"/>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产品名称</w:t>
                  </w:r>
                </w:p>
              </w:tc>
              <w:tc>
                <w:tcPr>
                  <w:tcW w:w="761" w:type="pct"/>
                  <w:noWrap w:val="0"/>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年产量</w:t>
                  </w:r>
                </w:p>
              </w:tc>
              <w:tc>
                <w:tcPr>
                  <w:tcW w:w="879" w:type="pct"/>
                  <w:noWrap w:val="0"/>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包装规格</w:t>
                  </w:r>
                </w:p>
              </w:tc>
              <w:tc>
                <w:tcPr>
                  <w:tcW w:w="879" w:type="pct"/>
                  <w:tcBorders>
                    <w:bottom w:val="single" w:color="000000" w:sz="4" w:space="0"/>
                  </w:tcBorders>
                  <w:noWrap w:val="0"/>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包装方式</w:t>
                  </w:r>
                </w:p>
              </w:tc>
              <w:tc>
                <w:tcPr>
                  <w:tcW w:w="1038" w:type="pct"/>
                  <w:noWrap w:val="0"/>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最大贮存量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63" w:type="pct"/>
                  <w:noWrap w:val="0"/>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879" w:type="pct"/>
                  <w:noWrap w:val="0"/>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腐竹</w:t>
                  </w:r>
                </w:p>
              </w:tc>
              <w:tc>
                <w:tcPr>
                  <w:tcW w:w="761" w:type="pct"/>
                  <w:noWrap w:val="0"/>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1000</w:t>
                  </w:r>
                  <w:r>
                    <w:rPr>
                      <w:rFonts w:hint="default" w:ascii="Times New Roman" w:hAnsi="Times New Roman" w:cs="Times New Roman" w:eastAsiaTheme="minorEastAsia"/>
                      <w:sz w:val="21"/>
                      <w:szCs w:val="21"/>
                    </w:rPr>
                    <w:t>吨</w:t>
                  </w:r>
                </w:p>
              </w:tc>
              <w:tc>
                <w:tcPr>
                  <w:tcW w:w="879" w:type="pct"/>
                  <w:noWrap w:val="0"/>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0.5kg/袋</w:t>
                  </w:r>
                </w:p>
              </w:tc>
              <w:tc>
                <w:tcPr>
                  <w:tcW w:w="879" w:type="pct"/>
                  <w:tcBorders>
                    <w:bottom w:val="single" w:color="000000" w:sz="4" w:space="0"/>
                  </w:tcBorders>
                  <w:noWrap w:val="0"/>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食品袋</w:t>
                  </w:r>
                </w:p>
              </w:tc>
              <w:tc>
                <w:tcPr>
                  <w:tcW w:w="1038" w:type="pct"/>
                  <w:noWrap w:val="0"/>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13</w:t>
                  </w:r>
                  <w:r>
                    <w:rPr>
                      <w:rFonts w:hint="default" w:ascii="Times New Roman" w:hAnsi="Times New Roman" w:cs="Times New Roman" w:eastAsiaTheme="minorEastAsia"/>
                      <w:sz w:val="21"/>
                      <w:szCs w:val="21"/>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noWrap w:val="0"/>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879" w:type="pct"/>
                  <w:noWrap w:val="0"/>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豆皮</w:t>
                  </w:r>
                </w:p>
              </w:tc>
              <w:tc>
                <w:tcPr>
                  <w:tcW w:w="761" w:type="pct"/>
                  <w:noWrap w:val="0"/>
                  <w:vAlign w:val="center"/>
                </w:tcPr>
                <w:p>
                  <w:pPr>
                    <w:bidi w:val="0"/>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900</w:t>
                  </w:r>
                  <w:r>
                    <w:rPr>
                      <w:rFonts w:hint="default" w:ascii="Times New Roman" w:hAnsi="Times New Roman" w:cs="Times New Roman" w:eastAsiaTheme="minorEastAsia"/>
                      <w:sz w:val="21"/>
                      <w:szCs w:val="21"/>
                    </w:rPr>
                    <w:t>吨</w:t>
                  </w:r>
                </w:p>
              </w:tc>
              <w:tc>
                <w:tcPr>
                  <w:tcW w:w="879" w:type="pct"/>
                  <w:noWrap w:val="0"/>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0.5kg/袋</w:t>
                  </w:r>
                </w:p>
              </w:tc>
              <w:tc>
                <w:tcPr>
                  <w:tcW w:w="879" w:type="pct"/>
                  <w:noWrap w:val="0"/>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食品袋</w:t>
                  </w:r>
                </w:p>
              </w:tc>
              <w:tc>
                <w:tcPr>
                  <w:tcW w:w="1038" w:type="pct"/>
                  <w:noWrap w:val="0"/>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10</w:t>
                  </w:r>
                  <w:r>
                    <w:rPr>
                      <w:rFonts w:hint="default" w:ascii="Times New Roman" w:hAnsi="Times New Roman" w:cs="Times New Roman" w:eastAsiaTheme="minorEastAsia"/>
                      <w:sz w:val="21"/>
                      <w:szCs w:val="21"/>
                    </w:rPr>
                    <w:t>吨</w:t>
                  </w:r>
                </w:p>
              </w:tc>
            </w:tr>
          </w:tbl>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eastAsia="宋体" w:cs="Times New Roman"/>
                <w:b/>
                <w:bCs/>
                <w:color w:val="000000"/>
                <w:kern w:val="2"/>
                <w:sz w:val="24"/>
                <w:szCs w:val="22"/>
                <w:u w:val="none"/>
                <w:lang w:val="en-US" w:eastAsia="zh-CN" w:bidi="ar-SA"/>
              </w:rPr>
            </w:pPr>
            <w:r>
              <w:rPr>
                <w:rFonts w:hint="eastAsia" w:ascii="Times New Roman" w:hAnsi="Times New Roman" w:eastAsia="宋体" w:cs="Times New Roman"/>
                <w:b/>
                <w:bCs/>
                <w:color w:val="000000"/>
                <w:kern w:val="2"/>
                <w:sz w:val="24"/>
                <w:szCs w:val="22"/>
                <w:u w:val="none"/>
                <w:lang w:val="en-US" w:eastAsia="zh-CN" w:bidi="ar-SA"/>
              </w:rPr>
              <w:t>2.5</w:t>
            </w:r>
            <w:r>
              <w:rPr>
                <w:rFonts w:hint="default" w:ascii="Times New Roman" w:hAnsi="Times New Roman" w:eastAsia="宋体" w:cs="Times New Roman"/>
                <w:b/>
                <w:bCs/>
                <w:color w:val="000000"/>
                <w:kern w:val="2"/>
                <w:sz w:val="24"/>
                <w:szCs w:val="22"/>
                <w:u w:val="none"/>
                <w:lang w:val="en-US" w:eastAsia="zh-CN" w:bidi="ar-SA"/>
              </w:rPr>
              <w:t>主要原辅材料及能源动力</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000000"/>
                <w:sz w:val="21"/>
                <w:szCs w:val="21"/>
                <w:u w:val="none"/>
              </w:rPr>
            </w:pPr>
            <w:r>
              <w:rPr>
                <w:rFonts w:hint="default" w:ascii="Times New Roman" w:hAnsi="Times New Roman" w:eastAsia="宋体" w:cs="Times New Roman"/>
                <w:color w:val="000000"/>
                <w:sz w:val="24"/>
                <w:szCs w:val="22"/>
                <w:u w:val="none"/>
              </w:rPr>
              <w:t>项目生产所用原辅材料具体详见下表，本项目所需原材料全部为外购，项目生产过程需要用到机械动能及热能，本评价要求项目</w:t>
            </w:r>
            <w:r>
              <w:rPr>
                <w:rFonts w:hint="default" w:ascii="Times New Roman" w:hAnsi="Times New Roman" w:eastAsia="宋体" w:cs="Times New Roman"/>
                <w:bCs/>
                <w:color w:val="000000"/>
                <w:sz w:val="24"/>
                <w:szCs w:val="22"/>
                <w:u w:val="none"/>
              </w:rPr>
              <w:t>采用清洁</w:t>
            </w:r>
            <w:r>
              <w:rPr>
                <w:rFonts w:hint="eastAsia" w:ascii="Times New Roman" w:hAnsi="Times New Roman" w:eastAsia="宋体" w:cs="Times New Roman"/>
                <w:bCs/>
                <w:color w:val="000000"/>
                <w:sz w:val="24"/>
                <w:szCs w:val="22"/>
                <w:u w:val="none"/>
                <w:lang w:val="en-US" w:eastAsia="zh-CN"/>
              </w:rPr>
              <w:t>能源</w:t>
            </w:r>
            <w:r>
              <w:rPr>
                <w:rFonts w:hint="default" w:ascii="Times New Roman" w:hAnsi="Times New Roman" w:eastAsia="宋体" w:cs="Times New Roman"/>
                <w:bCs/>
                <w:color w:val="000000"/>
                <w:sz w:val="24"/>
                <w:szCs w:val="22"/>
                <w:u w:val="none"/>
              </w:rPr>
              <w:t>，</w:t>
            </w:r>
            <w:r>
              <w:rPr>
                <w:rFonts w:hint="default" w:ascii="Times New Roman" w:hAnsi="Times New Roman" w:eastAsia="宋体" w:cs="Times New Roman"/>
                <w:color w:val="000000"/>
                <w:sz w:val="24"/>
                <w:szCs w:val="22"/>
                <w:u w:val="none"/>
              </w:rPr>
              <w:t>所用能源为电</w:t>
            </w:r>
            <w:r>
              <w:rPr>
                <w:rFonts w:hint="eastAsia" w:ascii="Times New Roman" w:hAnsi="Times New Roman" w:cs="Times New Roman"/>
                <w:color w:val="000000"/>
                <w:sz w:val="24"/>
                <w:szCs w:val="22"/>
                <w:u w:val="none"/>
                <w:lang w:val="en-US" w:eastAsia="zh-CN"/>
              </w:rPr>
              <w:t>和蒸汽。</w:t>
            </w:r>
          </w:p>
          <w:p>
            <w:pPr>
              <w:spacing w:line="240" w:lineRule="auto"/>
              <w:jc w:val="center"/>
              <w:rPr>
                <w:rFonts w:ascii="Times New Roman" w:hAnsi="Times New Roman" w:eastAsia="宋体" w:cs="Times New Roman"/>
                <w:b/>
                <w:bCs/>
                <w:color w:val="000000"/>
                <w:sz w:val="21"/>
                <w:szCs w:val="21"/>
                <w:u w:val="none"/>
              </w:rPr>
            </w:pPr>
            <w:r>
              <w:rPr>
                <w:rFonts w:hint="eastAsia" w:ascii="Times New Roman" w:hAnsi="Times New Roman" w:eastAsia="宋体" w:cs="Times New Roman"/>
                <w:b/>
                <w:bCs/>
                <w:color w:val="000000"/>
                <w:sz w:val="21"/>
                <w:szCs w:val="21"/>
                <w:u w:val="none"/>
              </w:rPr>
              <w:t>表</w:t>
            </w:r>
            <w:r>
              <w:rPr>
                <w:rFonts w:hint="eastAsia" w:ascii="Times New Roman" w:hAnsi="Times New Roman" w:cs="Times New Roman"/>
                <w:b/>
                <w:bCs/>
                <w:color w:val="000000"/>
                <w:sz w:val="21"/>
                <w:szCs w:val="21"/>
                <w:u w:val="none"/>
                <w:lang w:val="en-US" w:eastAsia="zh-CN"/>
              </w:rPr>
              <w:t>2</w:t>
            </w:r>
            <w:r>
              <w:rPr>
                <w:rFonts w:hint="eastAsia" w:ascii="Times New Roman" w:hAnsi="Times New Roman" w:eastAsia="宋体" w:cs="Times New Roman"/>
                <w:b/>
                <w:bCs/>
                <w:color w:val="000000"/>
                <w:sz w:val="21"/>
                <w:szCs w:val="21"/>
                <w:u w:val="none"/>
              </w:rPr>
              <w:t>-4  现有项目主要原辅材料及能耗一览表</w:t>
            </w:r>
          </w:p>
          <w:tbl>
            <w:tblPr>
              <w:tblStyle w:val="20"/>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2250"/>
              <w:gridCol w:w="1020"/>
              <w:gridCol w:w="1200"/>
              <w:gridCol w:w="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72" w:type="pct"/>
                  <w:noWrap w:val="0"/>
                  <w:vAlign w:val="center"/>
                </w:tcPr>
                <w:p>
                  <w:pPr>
                    <w:spacing w:line="240" w:lineRule="auto"/>
                    <w:jc w:val="center"/>
                    <w:rPr>
                      <w:rFonts w:ascii="Times New Roman" w:hAnsi="Times New Roman" w:eastAsia="宋体" w:cs="Times New Roman"/>
                      <w:color w:val="000000"/>
                      <w:sz w:val="21"/>
                      <w:szCs w:val="21"/>
                      <w:u w:val="none"/>
                    </w:rPr>
                  </w:pPr>
                  <w:r>
                    <w:rPr>
                      <w:rFonts w:ascii="Times New Roman" w:hAnsi="Times New Roman" w:eastAsia="宋体" w:cs="Times New Roman"/>
                      <w:color w:val="000000"/>
                      <w:sz w:val="21"/>
                      <w:szCs w:val="21"/>
                      <w:u w:val="none"/>
                    </w:rPr>
                    <w:t>序号</w:t>
                  </w:r>
                </w:p>
              </w:tc>
              <w:tc>
                <w:tcPr>
                  <w:tcW w:w="1314" w:type="pct"/>
                  <w:noWrap w:val="0"/>
                  <w:vAlign w:val="center"/>
                </w:tcPr>
                <w:p>
                  <w:pPr>
                    <w:spacing w:line="240" w:lineRule="auto"/>
                    <w:jc w:val="center"/>
                    <w:rPr>
                      <w:rFonts w:ascii="Times New Roman" w:hAnsi="Times New Roman" w:eastAsia="宋体" w:cs="Times New Roman"/>
                      <w:color w:val="000000"/>
                      <w:sz w:val="21"/>
                      <w:szCs w:val="21"/>
                      <w:u w:val="none"/>
                    </w:rPr>
                  </w:pPr>
                  <w:r>
                    <w:rPr>
                      <w:rFonts w:hint="eastAsia" w:ascii="Times New Roman" w:hAnsi="Times New Roman" w:eastAsia="宋体" w:cs="Times New Roman"/>
                      <w:color w:val="000000"/>
                      <w:sz w:val="21"/>
                      <w:szCs w:val="21"/>
                      <w:u w:val="none"/>
                    </w:rPr>
                    <w:t>原料</w:t>
                  </w:r>
                  <w:r>
                    <w:rPr>
                      <w:rFonts w:ascii="Times New Roman" w:hAnsi="Times New Roman" w:eastAsia="宋体" w:cs="Times New Roman"/>
                      <w:color w:val="000000"/>
                      <w:sz w:val="21"/>
                      <w:szCs w:val="21"/>
                      <w:u w:val="none"/>
                    </w:rPr>
                    <w:t>名称</w:t>
                  </w:r>
                </w:p>
              </w:tc>
              <w:tc>
                <w:tcPr>
                  <w:tcW w:w="596" w:type="pct"/>
                  <w:noWrap w:val="0"/>
                  <w:vAlign w:val="center"/>
                </w:tcPr>
                <w:p>
                  <w:pPr>
                    <w:spacing w:line="240" w:lineRule="auto"/>
                    <w:jc w:val="center"/>
                    <w:rPr>
                      <w:rFonts w:ascii="Times New Roman" w:hAnsi="Times New Roman" w:eastAsia="宋体" w:cs="Times New Roman"/>
                      <w:color w:val="000000"/>
                      <w:sz w:val="21"/>
                      <w:szCs w:val="21"/>
                      <w:u w:val="none"/>
                    </w:rPr>
                  </w:pPr>
                  <w:r>
                    <w:rPr>
                      <w:rFonts w:hint="eastAsia" w:ascii="Times New Roman" w:hAnsi="Times New Roman" w:eastAsia="宋体" w:cs="Times New Roman"/>
                      <w:color w:val="000000"/>
                      <w:sz w:val="21"/>
                      <w:szCs w:val="21"/>
                      <w:u w:val="none"/>
                    </w:rPr>
                    <w:t>消耗量</w:t>
                  </w:r>
                </w:p>
              </w:tc>
              <w:tc>
                <w:tcPr>
                  <w:tcW w:w="701" w:type="pct"/>
                  <w:noWrap w:val="0"/>
                  <w:vAlign w:val="center"/>
                </w:tcPr>
                <w:p>
                  <w:pPr>
                    <w:spacing w:line="240" w:lineRule="auto"/>
                    <w:jc w:val="center"/>
                    <w:rPr>
                      <w:rFonts w:ascii="Times New Roman" w:hAnsi="Times New Roman" w:eastAsia="宋体" w:cs="Times New Roman"/>
                      <w:color w:val="000000"/>
                      <w:sz w:val="21"/>
                      <w:szCs w:val="21"/>
                      <w:u w:val="none"/>
                    </w:rPr>
                  </w:pPr>
                  <w:r>
                    <w:rPr>
                      <w:rFonts w:hint="eastAsia" w:ascii="Times New Roman" w:hAnsi="Times New Roman" w:eastAsia="宋体" w:cs="Times New Roman"/>
                      <w:color w:val="000000"/>
                      <w:sz w:val="21"/>
                      <w:szCs w:val="21"/>
                      <w:u w:val="none"/>
                    </w:rPr>
                    <w:t>单位</w:t>
                  </w:r>
                </w:p>
              </w:tc>
              <w:tc>
                <w:tcPr>
                  <w:tcW w:w="2015" w:type="pct"/>
                  <w:noWrap w:val="0"/>
                  <w:vAlign w:val="center"/>
                </w:tcPr>
                <w:p>
                  <w:pPr>
                    <w:spacing w:line="240" w:lineRule="auto"/>
                    <w:jc w:val="center"/>
                    <w:rPr>
                      <w:rFonts w:ascii="Times New Roman" w:hAnsi="Times New Roman" w:eastAsia="宋体" w:cs="Times New Roman"/>
                      <w:color w:val="000000"/>
                      <w:sz w:val="21"/>
                      <w:szCs w:val="21"/>
                      <w:u w:val="none"/>
                    </w:rPr>
                  </w:pPr>
                  <w:r>
                    <w:rPr>
                      <w:rFonts w:hint="eastAsia" w:ascii="Times New Roman" w:hAnsi="Times New Roman" w:eastAsia="宋体" w:cs="Times New Roman"/>
                      <w:color w:val="000000"/>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noWrap w:val="0"/>
                  <w:vAlign w:val="center"/>
                </w:tcPr>
                <w:p>
                  <w:pPr>
                    <w:spacing w:line="240" w:lineRule="auto"/>
                    <w:jc w:val="center"/>
                    <w:rPr>
                      <w:rFonts w:ascii="Times New Roman" w:hAnsi="Times New Roman" w:eastAsia="宋体" w:cs="Times New Roman"/>
                      <w:color w:val="000000"/>
                      <w:sz w:val="21"/>
                      <w:szCs w:val="21"/>
                      <w:u w:val="none"/>
                    </w:rPr>
                  </w:pPr>
                  <w:r>
                    <w:rPr>
                      <w:rFonts w:ascii="Times New Roman" w:hAnsi="Times New Roman" w:eastAsia="宋体" w:cs="Times New Roman"/>
                      <w:color w:val="000000"/>
                      <w:sz w:val="21"/>
                      <w:szCs w:val="21"/>
                      <w:u w:val="none"/>
                    </w:rPr>
                    <w:t>1</w:t>
                  </w:r>
                </w:p>
              </w:tc>
              <w:tc>
                <w:tcPr>
                  <w:tcW w:w="1314" w:type="pct"/>
                  <w:noWrap w:val="0"/>
                  <w:vAlign w:val="center"/>
                </w:tcPr>
                <w:p>
                  <w:pPr>
                    <w:spacing w:line="240" w:lineRule="auto"/>
                    <w:jc w:val="center"/>
                    <w:rPr>
                      <w:rFonts w:ascii="Times New Roman" w:hAnsi="Times New Roman" w:eastAsia="宋体" w:cs="Times New Roman"/>
                      <w:color w:val="000000"/>
                      <w:sz w:val="21"/>
                      <w:szCs w:val="21"/>
                      <w:u w:val="none"/>
                    </w:rPr>
                  </w:pPr>
                  <w:r>
                    <w:rPr>
                      <w:rFonts w:ascii="Times New Roman" w:hAnsi="Times New Roman" w:eastAsia="宋体" w:cs="Times New Roman"/>
                      <w:b w:val="0"/>
                      <w:i w:val="0"/>
                      <w:caps w:val="0"/>
                      <w:color w:val="000000"/>
                      <w:spacing w:val="0"/>
                      <w:w w:val="100"/>
                      <w:kern w:val="2"/>
                      <w:sz w:val="21"/>
                      <w:szCs w:val="21"/>
                      <w:lang w:val="en-US" w:eastAsia="zh-CN" w:bidi="ar-SA"/>
                    </w:rPr>
                    <w:t>大豆</w:t>
                  </w:r>
                </w:p>
              </w:tc>
              <w:tc>
                <w:tcPr>
                  <w:tcW w:w="596" w:type="pct"/>
                  <w:noWrap w:val="0"/>
                  <w:vAlign w:val="center"/>
                </w:tcPr>
                <w:p>
                  <w:pPr>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2102</w:t>
                  </w:r>
                </w:p>
              </w:tc>
              <w:tc>
                <w:tcPr>
                  <w:tcW w:w="701" w:type="pct"/>
                  <w:noWrap w:val="0"/>
                  <w:vAlign w:val="center"/>
                </w:tcPr>
                <w:p>
                  <w:pPr>
                    <w:spacing w:line="240" w:lineRule="auto"/>
                    <w:jc w:val="center"/>
                    <w:rPr>
                      <w:rFonts w:ascii="Times New Roman" w:hAnsi="Times New Roman" w:eastAsia="宋体" w:cs="Times New Roman"/>
                      <w:color w:val="000000"/>
                      <w:sz w:val="21"/>
                      <w:szCs w:val="21"/>
                      <w:u w:val="none"/>
                    </w:rPr>
                  </w:pPr>
                  <w:r>
                    <w:rPr>
                      <w:rFonts w:hint="eastAsia" w:ascii="Times New Roman" w:hAnsi="Times New Roman" w:eastAsia="宋体" w:cs="Times New Roman"/>
                      <w:color w:val="000000"/>
                      <w:sz w:val="21"/>
                      <w:szCs w:val="21"/>
                      <w:u w:val="none"/>
                    </w:rPr>
                    <w:t>吨/年</w:t>
                  </w:r>
                </w:p>
              </w:tc>
              <w:tc>
                <w:tcPr>
                  <w:tcW w:w="2015" w:type="pct"/>
                  <w:noWrap w:val="0"/>
                  <w:vAlign w:val="center"/>
                </w:tcPr>
                <w:p>
                  <w:pPr>
                    <w:spacing w:line="240" w:lineRule="auto"/>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eastAsia="宋体" w:cs="Times New Roman"/>
                      <w:color w:val="000000"/>
                      <w:sz w:val="21"/>
                      <w:szCs w:val="21"/>
                      <w:u w:val="none"/>
                    </w:rPr>
                    <w:t>外购</w:t>
                  </w:r>
                  <w:r>
                    <w:rPr>
                      <w:rFonts w:hint="eastAsia" w:ascii="Times New Roman" w:hAnsi="Times New Roman" w:cs="Times New Roman"/>
                      <w:color w:val="000000"/>
                      <w:sz w:val="21"/>
                      <w:szCs w:val="21"/>
                      <w:u w:val="none"/>
                      <w:lang w:eastAsia="zh-CN"/>
                    </w:rPr>
                    <w:t>，</w:t>
                  </w:r>
                  <w:r>
                    <w:rPr>
                      <w:rFonts w:hint="eastAsia" w:ascii="Times New Roman" w:hAnsi="Times New Roman" w:cs="Times New Roman"/>
                      <w:color w:val="000000"/>
                      <w:sz w:val="21"/>
                      <w:szCs w:val="21"/>
                      <w:u w:val="none"/>
                      <w:lang w:val="en-US" w:eastAsia="zh-CN"/>
                    </w:rPr>
                    <w:t>腐竹生产原料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noWrap w:val="0"/>
                  <w:vAlign w:val="center"/>
                </w:tcPr>
                <w:p>
                  <w:pPr>
                    <w:spacing w:line="240" w:lineRule="auto"/>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cs="Times New Roman"/>
                      <w:color w:val="000000"/>
                      <w:sz w:val="21"/>
                      <w:szCs w:val="21"/>
                      <w:u w:val="none"/>
                      <w:lang w:val="en-US" w:eastAsia="zh-CN"/>
                    </w:rPr>
                    <w:t>2</w:t>
                  </w:r>
                </w:p>
              </w:tc>
              <w:tc>
                <w:tcPr>
                  <w:tcW w:w="1314" w:type="pct"/>
                  <w:noWrap w:val="0"/>
                  <w:vAlign w:val="center"/>
                </w:tcPr>
                <w:p>
                  <w:pPr>
                    <w:snapToGrid/>
                    <w:spacing w:before="0" w:beforeAutospacing="0" w:after="0" w:afterAutospacing="0" w:line="240" w:lineRule="auto"/>
                    <w:jc w:val="center"/>
                    <w:textAlignment w:val="baseline"/>
                    <w:rPr>
                      <w:rFonts w:hint="eastAsia" w:ascii="Times New Roman" w:hAnsi="Times New Roman" w:eastAsia="宋体" w:cs="Times New Roman"/>
                      <w:color w:val="000000"/>
                      <w:kern w:val="2"/>
                      <w:sz w:val="21"/>
                      <w:szCs w:val="21"/>
                      <w:u w:val="none"/>
                      <w:lang w:val="en-US" w:eastAsia="zh-CN" w:bidi="ar-SA"/>
                    </w:rPr>
                  </w:pPr>
                  <w:r>
                    <w:rPr>
                      <w:rStyle w:val="45"/>
                      <w:rFonts w:hint="eastAsia" w:cs="Times New Roman"/>
                      <w:b w:val="0"/>
                      <w:bCs/>
                      <w:i w:val="0"/>
                      <w:caps w:val="0"/>
                      <w:spacing w:val="0"/>
                      <w:w w:val="100"/>
                      <w:kern w:val="2"/>
                      <w:sz w:val="21"/>
                      <w:szCs w:val="21"/>
                      <w:lang w:val="en-US" w:eastAsia="zh-CN" w:bidi="ar-SA"/>
                    </w:rPr>
                    <w:t>豆粕粉（大豆蛋白粉）</w:t>
                  </w:r>
                </w:p>
              </w:tc>
              <w:tc>
                <w:tcPr>
                  <w:tcW w:w="596" w:type="pct"/>
                  <w:noWrap w:val="0"/>
                  <w:vAlign w:val="center"/>
                </w:tcPr>
                <w:p>
                  <w:pPr>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cs="Times New Roman"/>
                      <w:color w:val="000000"/>
                      <w:sz w:val="21"/>
                      <w:szCs w:val="21"/>
                      <w:u w:val="none"/>
                      <w:lang w:val="en-US" w:eastAsia="zh-CN"/>
                    </w:rPr>
                    <w:t>900</w:t>
                  </w:r>
                </w:p>
              </w:tc>
              <w:tc>
                <w:tcPr>
                  <w:tcW w:w="701" w:type="pct"/>
                  <w:noWrap w:val="0"/>
                  <w:vAlign w:val="center"/>
                </w:tcPr>
                <w:p>
                  <w:pPr>
                    <w:spacing w:line="240" w:lineRule="auto"/>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rPr>
                    <w:t>吨/年</w:t>
                  </w:r>
                </w:p>
              </w:tc>
              <w:tc>
                <w:tcPr>
                  <w:tcW w:w="2015" w:type="pct"/>
                  <w:noWrap w:val="0"/>
                  <w:vAlign w:val="center"/>
                </w:tcPr>
                <w:p>
                  <w:pPr>
                    <w:spacing w:line="240" w:lineRule="auto"/>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rPr>
                    <w:t>外购</w:t>
                  </w:r>
                  <w:r>
                    <w:rPr>
                      <w:rFonts w:hint="eastAsia" w:ascii="Times New Roman" w:hAnsi="Times New Roman" w:cs="Times New Roman"/>
                      <w:color w:val="000000"/>
                      <w:sz w:val="21"/>
                      <w:szCs w:val="21"/>
                      <w:u w:val="none"/>
                      <w:lang w:eastAsia="zh-CN"/>
                    </w:rPr>
                    <w:t>，</w:t>
                  </w:r>
                  <w:r>
                    <w:rPr>
                      <w:rFonts w:hint="eastAsia" w:ascii="Times New Roman" w:hAnsi="Times New Roman" w:cs="Times New Roman"/>
                      <w:color w:val="000000"/>
                      <w:sz w:val="21"/>
                      <w:szCs w:val="21"/>
                      <w:u w:val="none"/>
                      <w:lang w:val="en-US" w:eastAsia="zh-CN"/>
                    </w:rPr>
                    <w:t>豆皮生产原料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noWrap w:val="0"/>
                  <w:vAlign w:val="center"/>
                </w:tcPr>
                <w:p>
                  <w:pPr>
                    <w:spacing w:line="240" w:lineRule="auto"/>
                    <w:jc w:val="center"/>
                    <w:rPr>
                      <w:rFonts w:hint="eastAsia"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3</w:t>
                  </w:r>
                </w:p>
              </w:tc>
              <w:tc>
                <w:tcPr>
                  <w:tcW w:w="1314" w:type="pct"/>
                  <w:noWrap w:val="0"/>
                  <w:vAlign w:val="center"/>
                </w:tcPr>
                <w:p>
                  <w:pPr>
                    <w:spacing w:line="240" w:lineRule="auto"/>
                    <w:jc w:val="center"/>
                    <w:rPr>
                      <w:rFonts w:hint="eastAsia"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食盐</w:t>
                  </w:r>
                </w:p>
              </w:tc>
              <w:tc>
                <w:tcPr>
                  <w:tcW w:w="596" w:type="pct"/>
                  <w:noWrap w:val="0"/>
                  <w:vAlign w:val="center"/>
                </w:tcPr>
                <w:p>
                  <w:pPr>
                    <w:spacing w:line="240" w:lineRule="auto"/>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18</w:t>
                  </w:r>
                </w:p>
              </w:tc>
              <w:tc>
                <w:tcPr>
                  <w:tcW w:w="701" w:type="pct"/>
                  <w:noWrap w:val="0"/>
                  <w:vAlign w:val="center"/>
                </w:tcPr>
                <w:p>
                  <w:pPr>
                    <w:spacing w:line="240" w:lineRule="auto"/>
                    <w:jc w:val="center"/>
                    <w:rPr>
                      <w:rFonts w:hint="eastAsia"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吨/年</w:t>
                  </w:r>
                </w:p>
              </w:tc>
              <w:tc>
                <w:tcPr>
                  <w:tcW w:w="2015" w:type="pct"/>
                  <w:noWrap w:val="0"/>
                  <w:vAlign w:val="center"/>
                </w:tcPr>
                <w:p>
                  <w:pPr>
                    <w:spacing w:line="240" w:lineRule="auto"/>
                    <w:jc w:val="center"/>
                    <w:rPr>
                      <w:rFonts w:hint="eastAsia"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外购</w:t>
                  </w:r>
                  <w:r>
                    <w:rPr>
                      <w:rFonts w:hint="eastAsia" w:ascii="Times New Roman" w:hAnsi="Times New Roman" w:cs="Times New Roman"/>
                      <w:color w:val="000000" w:themeColor="text1"/>
                      <w:sz w:val="21"/>
                      <w:szCs w:val="21"/>
                      <w:u w:val="none"/>
                      <w:lang w:eastAsia="zh-CN"/>
                      <w14:textFill>
                        <w14:solidFill>
                          <w14:schemeClr w14:val="tx1"/>
                        </w14:solidFill>
                      </w14:textFill>
                    </w:rPr>
                    <w:t>，</w:t>
                  </w:r>
                  <w:r>
                    <w:rPr>
                      <w:rFonts w:hint="eastAsia" w:ascii="Times New Roman" w:hAnsi="Times New Roman" w:cs="Times New Roman"/>
                      <w:color w:val="000000" w:themeColor="text1"/>
                      <w:sz w:val="21"/>
                      <w:szCs w:val="21"/>
                      <w:u w:val="none"/>
                      <w:lang w:val="en-US" w:eastAsia="zh-CN"/>
                      <w14:textFill>
                        <w14:solidFill>
                          <w14:schemeClr w14:val="tx1"/>
                        </w14:solidFill>
                      </w14:textFill>
                    </w:rPr>
                    <w:t>豆皮生产辅料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noWrap w:val="0"/>
                  <w:vAlign w:val="center"/>
                </w:tcPr>
                <w:p>
                  <w:pPr>
                    <w:spacing w:line="240" w:lineRule="auto"/>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val="en-US" w:eastAsia="zh-CN"/>
                    </w:rPr>
                    <w:t>4</w:t>
                  </w:r>
                </w:p>
              </w:tc>
              <w:tc>
                <w:tcPr>
                  <w:tcW w:w="1314" w:type="pct"/>
                  <w:noWrap w:val="0"/>
                  <w:vAlign w:val="center"/>
                </w:tcPr>
                <w:p>
                  <w:pPr>
                    <w:spacing w:line="240" w:lineRule="auto"/>
                    <w:jc w:val="center"/>
                    <w:rPr>
                      <w:rFonts w:hint="eastAsia" w:ascii="Times New Roman" w:hAnsi="Times New Roman" w:eastAsia="宋体" w:cs="Times New Roman"/>
                      <w:color w:val="000000"/>
                      <w:sz w:val="21"/>
                      <w:szCs w:val="21"/>
                      <w:u w:val="none"/>
                    </w:rPr>
                  </w:pPr>
                  <w:r>
                    <w:rPr>
                      <w:rFonts w:hint="eastAsia" w:ascii="Times New Roman" w:hAnsi="Times New Roman" w:eastAsia="宋体" w:cs="Times New Roman"/>
                      <w:color w:val="000000"/>
                      <w:sz w:val="21"/>
                      <w:szCs w:val="21"/>
                      <w:u w:val="none"/>
                    </w:rPr>
                    <w:t>大豆蛋白专用消泡剂 XPM-120</w:t>
                  </w:r>
                </w:p>
              </w:tc>
              <w:tc>
                <w:tcPr>
                  <w:tcW w:w="596" w:type="pct"/>
                  <w:noWrap w:val="0"/>
                  <w:vAlign w:val="center"/>
                </w:tcPr>
                <w:p>
                  <w:pPr>
                    <w:spacing w:line="240" w:lineRule="auto"/>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val="en-US" w:eastAsia="zh-CN"/>
                    </w:rPr>
                    <w:t>1</w:t>
                  </w:r>
                </w:p>
              </w:tc>
              <w:tc>
                <w:tcPr>
                  <w:tcW w:w="701" w:type="pct"/>
                  <w:noWrap w:val="0"/>
                  <w:vAlign w:val="center"/>
                </w:tcPr>
                <w:p>
                  <w:pPr>
                    <w:spacing w:line="240" w:lineRule="auto"/>
                    <w:jc w:val="center"/>
                    <w:rPr>
                      <w:rFonts w:hint="eastAsia" w:ascii="Times New Roman" w:hAnsi="Times New Roman" w:eastAsia="宋体" w:cs="Times New Roman"/>
                      <w:color w:val="000000"/>
                      <w:sz w:val="21"/>
                      <w:szCs w:val="21"/>
                      <w:u w:val="none"/>
                    </w:rPr>
                  </w:pPr>
                  <w:r>
                    <w:rPr>
                      <w:rFonts w:hint="eastAsia" w:ascii="Times New Roman" w:hAnsi="Times New Roman" w:eastAsia="宋体" w:cs="Times New Roman"/>
                      <w:color w:val="000000"/>
                      <w:sz w:val="21"/>
                      <w:szCs w:val="21"/>
                      <w:u w:val="none"/>
                    </w:rPr>
                    <w:t>吨/年</w:t>
                  </w:r>
                </w:p>
              </w:tc>
              <w:tc>
                <w:tcPr>
                  <w:tcW w:w="2015" w:type="pct"/>
                  <w:noWrap w:val="0"/>
                  <w:vAlign w:val="center"/>
                </w:tcPr>
                <w:p>
                  <w:pPr>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rPr>
                    <w:t>外购</w:t>
                  </w:r>
                  <w:r>
                    <w:rPr>
                      <w:rFonts w:hint="eastAsia" w:ascii="Times New Roman" w:hAnsi="Times New Roman" w:cs="Times New Roman"/>
                      <w:color w:val="000000"/>
                      <w:sz w:val="21"/>
                      <w:szCs w:val="21"/>
                      <w:u w:val="none"/>
                      <w:lang w:eastAsia="zh-CN"/>
                    </w:rPr>
                    <w:t>，</w:t>
                  </w:r>
                  <w:r>
                    <w:rPr>
                      <w:rFonts w:hint="eastAsia" w:ascii="Times New Roman" w:hAnsi="Times New Roman" w:cs="Times New Roman"/>
                      <w:color w:val="000000"/>
                      <w:sz w:val="21"/>
                      <w:szCs w:val="21"/>
                      <w:u w:val="none"/>
                      <w:lang w:val="en-US" w:eastAsia="zh-CN"/>
                    </w:rPr>
                    <w:t>腐竹生产辅料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noWrap w:val="0"/>
                  <w:vAlign w:val="center"/>
                </w:tcPr>
                <w:p>
                  <w:pPr>
                    <w:spacing w:line="240" w:lineRule="auto"/>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cs="Times New Roman"/>
                      <w:color w:val="000000"/>
                      <w:sz w:val="21"/>
                      <w:szCs w:val="21"/>
                      <w:u w:val="none"/>
                      <w:lang w:val="en-US" w:eastAsia="zh-CN"/>
                    </w:rPr>
                    <w:t>5</w:t>
                  </w:r>
                </w:p>
              </w:tc>
              <w:tc>
                <w:tcPr>
                  <w:tcW w:w="1314" w:type="pct"/>
                  <w:noWrap w:val="0"/>
                  <w:vAlign w:val="center"/>
                </w:tcPr>
                <w:p>
                  <w:pPr>
                    <w:spacing w:line="240" w:lineRule="auto"/>
                    <w:jc w:val="center"/>
                    <w:rPr>
                      <w:rFonts w:hint="eastAsia" w:ascii="Times New Roman" w:hAnsi="Times New Roman" w:eastAsia="宋体" w:cs="Times New Roman"/>
                      <w:color w:val="000000"/>
                      <w:sz w:val="21"/>
                      <w:szCs w:val="21"/>
                      <w:u w:val="none"/>
                    </w:rPr>
                  </w:pPr>
                  <w:r>
                    <w:rPr>
                      <w:rFonts w:hint="eastAsia" w:ascii="Times New Roman" w:hAnsi="Times New Roman" w:eastAsia="宋体" w:cs="Times New Roman"/>
                      <w:color w:val="000000"/>
                      <w:sz w:val="21"/>
                      <w:szCs w:val="21"/>
                      <w:u w:val="none"/>
                    </w:rPr>
                    <w:t>84消毒剂</w:t>
                  </w:r>
                </w:p>
              </w:tc>
              <w:tc>
                <w:tcPr>
                  <w:tcW w:w="596" w:type="pct"/>
                  <w:noWrap w:val="0"/>
                  <w:vAlign w:val="center"/>
                </w:tcPr>
                <w:p>
                  <w:pPr>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1</w:t>
                  </w:r>
                </w:p>
              </w:tc>
              <w:tc>
                <w:tcPr>
                  <w:tcW w:w="701" w:type="pct"/>
                  <w:noWrap w:val="0"/>
                  <w:vAlign w:val="center"/>
                </w:tcPr>
                <w:p>
                  <w:pPr>
                    <w:spacing w:line="240" w:lineRule="auto"/>
                    <w:jc w:val="center"/>
                    <w:rPr>
                      <w:rFonts w:hint="eastAsia" w:ascii="Times New Roman" w:hAnsi="Times New Roman" w:eastAsia="宋体" w:cs="Times New Roman"/>
                      <w:color w:val="000000"/>
                      <w:sz w:val="21"/>
                      <w:szCs w:val="21"/>
                      <w:u w:val="none"/>
                    </w:rPr>
                  </w:pPr>
                  <w:r>
                    <w:rPr>
                      <w:rFonts w:hint="eastAsia" w:ascii="Times New Roman" w:hAnsi="Times New Roman" w:eastAsia="宋体" w:cs="Times New Roman"/>
                      <w:color w:val="000000"/>
                      <w:sz w:val="21"/>
                      <w:szCs w:val="21"/>
                      <w:u w:val="none"/>
                    </w:rPr>
                    <w:t>吨/年</w:t>
                  </w:r>
                </w:p>
              </w:tc>
              <w:tc>
                <w:tcPr>
                  <w:tcW w:w="2015" w:type="pct"/>
                  <w:noWrap w:val="0"/>
                  <w:vAlign w:val="center"/>
                </w:tcPr>
                <w:p>
                  <w:pPr>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rPr>
                    <w:t>外购</w:t>
                  </w:r>
                  <w:r>
                    <w:rPr>
                      <w:rFonts w:hint="eastAsia" w:ascii="Times New Roman" w:hAnsi="Times New Roman" w:cs="Times New Roman"/>
                      <w:color w:val="000000"/>
                      <w:sz w:val="21"/>
                      <w:szCs w:val="21"/>
                      <w:u w:val="none"/>
                      <w:lang w:eastAsia="zh-CN"/>
                    </w:rPr>
                    <w:t>，</w:t>
                  </w:r>
                  <w:r>
                    <w:rPr>
                      <w:rFonts w:hint="eastAsia" w:ascii="Times New Roman" w:hAnsi="Times New Roman" w:cs="Times New Roman"/>
                      <w:color w:val="000000"/>
                      <w:sz w:val="21"/>
                      <w:szCs w:val="21"/>
                      <w:u w:val="none"/>
                      <w:lang w:val="en-US" w:eastAsia="zh-CN"/>
                    </w:rPr>
                    <w:t>用于车间消毒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72" w:type="pct"/>
                  <w:noWrap w:val="0"/>
                  <w:vAlign w:val="center"/>
                </w:tcPr>
                <w:p>
                  <w:pPr>
                    <w:spacing w:line="240" w:lineRule="auto"/>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cs="Times New Roman"/>
                      <w:color w:val="000000"/>
                      <w:sz w:val="21"/>
                      <w:szCs w:val="21"/>
                      <w:u w:val="none"/>
                      <w:lang w:val="en-US" w:eastAsia="zh-CN"/>
                    </w:rPr>
                    <w:t>6</w:t>
                  </w:r>
                </w:p>
              </w:tc>
              <w:tc>
                <w:tcPr>
                  <w:tcW w:w="1314" w:type="pct"/>
                  <w:noWrap w:val="0"/>
                  <w:vAlign w:val="center"/>
                </w:tcPr>
                <w:p>
                  <w:pPr>
                    <w:spacing w:line="240" w:lineRule="auto"/>
                    <w:jc w:val="center"/>
                    <w:rPr>
                      <w:rFonts w:hint="eastAsia" w:ascii="Times New Roman" w:hAnsi="Times New Roman" w:eastAsia="宋体" w:cs="Times New Roman"/>
                      <w:color w:val="000000"/>
                      <w:sz w:val="21"/>
                      <w:szCs w:val="21"/>
                      <w:u w:val="none"/>
                    </w:rPr>
                  </w:pPr>
                  <w:r>
                    <w:rPr>
                      <w:rFonts w:hint="eastAsia" w:ascii="Times New Roman" w:hAnsi="Times New Roman" w:eastAsia="宋体" w:cs="Times New Roman"/>
                      <w:color w:val="000000"/>
                      <w:sz w:val="21"/>
                      <w:szCs w:val="21"/>
                      <w:u w:val="none"/>
                    </w:rPr>
                    <w:t>包装袋</w:t>
                  </w:r>
                </w:p>
              </w:tc>
              <w:tc>
                <w:tcPr>
                  <w:tcW w:w="596" w:type="pct"/>
                  <w:noWrap w:val="0"/>
                  <w:vAlign w:val="center"/>
                </w:tcPr>
                <w:p>
                  <w:pPr>
                    <w:spacing w:line="240" w:lineRule="auto"/>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eastAsia="宋体" w:cs="Times New Roman"/>
                      <w:color w:val="000000"/>
                      <w:sz w:val="21"/>
                      <w:szCs w:val="21"/>
                      <w:u w:val="none"/>
                      <w:lang w:val="en-US" w:eastAsia="zh-CN"/>
                    </w:rPr>
                    <w:t>10</w:t>
                  </w:r>
                </w:p>
              </w:tc>
              <w:tc>
                <w:tcPr>
                  <w:tcW w:w="701" w:type="pct"/>
                  <w:noWrap w:val="0"/>
                  <w:vAlign w:val="center"/>
                </w:tcPr>
                <w:p>
                  <w:pPr>
                    <w:spacing w:line="240" w:lineRule="auto"/>
                    <w:jc w:val="center"/>
                    <w:rPr>
                      <w:rFonts w:hint="eastAsia" w:ascii="Times New Roman" w:hAnsi="Times New Roman" w:eastAsia="宋体" w:cs="Times New Roman"/>
                      <w:color w:val="000000"/>
                      <w:sz w:val="21"/>
                      <w:szCs w:val="21"/>
                      <w:u w:val="none"/>
                    </w:rPr>
                  </w:pPr>
                  <w:r>
                    <w:rPr>
                      <w:rFonts w:hint="eastAsia" w:ascii="Times New Roman" w:hAnsi="Times New Roman" w:eastAsia="宋体" w:cs="Times New Roman"/>
                      <w:color w:val="000000"/>
                      <w:sz w:val="21"/>
                      <w:szCs w:val="21"/>
                      <w:u w:val="none"/>
                    </w:rPr>
                    <w:t>吨/年</w:t>
                  </w:r>
                </w:p>
              </w:tc>
              <w:tc>
                <w:tcPr>
                  <w:tcW w:w="2015" w:type="pct"/>
                  <w:noWrap w:val="0"/>
                  <w:vAlign w:val="center"/>
                </w:tcPr>
                <w:p>
                  <w:pPr>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rPr>
                    <w:t>外购</w:t>
                  </w:r>
                  <w:r>
                    <w:rPr>
                      <w:rFonts w:hint="eastAsia" w:ascii="Times New Roman" w:hAnsi="Times New Roman" w:eastAsia="宋体" w:cs="Times New Roman"/>
                      <w:color w:val="000000"/>
                      <w:sz w:val="21"/>
                      <w:szCs w:val="21"/>
                      <w:u w:val="none"/>
                      <w:lang w:eastAsia="zh-CN"/>
                    </w:rPr>
                    <w:t>，</w:t>
                  </w:r>
                  <w:r>
                    <w:rPr>
                      <w:rFonts w:hint="eastAsia" w:ascii="Times New Roman" w:hAnsi="Times New Roman" w:eastAsia="宋体" w:cs="Times New Roman"/>
                      <w:color w:val="000000"/>
                      <w:sz w:val="21"/>
                      <w:szCs w:val="21"/>
                      <w:u w:val="none"/>
                      <w:lang w:val="en-US" w:eastAsia="zh-CN"/>
                    </w:rPr>
                    <w:t>用于包装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noWrap w:val="0"/>
                  <w:vAlign w:val="center"/>
                </w:tcPr>
                <w:p>
                  <w:pPr>
                    <w:spacing w:line="240" w:lineRule="auto"/>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cs="Times New Roman"/>
                      <w:color w:val="000000"/>
                      <w:sz w:val="21"/>
                      <w:szCs w:val="21"/>
                      <w:u w:val="none"/>
                      <w:lang w:val="en-US" w:eastAsia="zh-CN"/>
                    </w:rPr>
                    <w:t>7</w:t>
                  </w:r>
                </w:p>
              </w:tc>
              <w:tc>
                <w:tcPr>
                  <w:tcW w:w="1314" w:type="pct"/>
                  <w:noWrap w:val="0"/>
                  <w:vAlign w:val="center"/>
                </w:tcPr>
                <w:p>
                  <w:pPr>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生物质成型颗粒燃料</w:t>
                  </w:r>
                </w:p>
              </w:tc>
              <w:tc>
                <w:tcPr>
                  <w:tcW w:w="596" w:type="pct"/>
                  <w:noWrap w:val="0"/>
                  <w:vAlign w:val="center"/>
                </w:tcPr>
                <w:p>
                  <w:pPr>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10000</w:t>
                  </w:r>
                </w:p>
              </w:tc>
              <w:tc>
                <w:tcPr>
                  <w:tcW w:w="701" w:type="pct"/>
                  <w:noWrap w:val="0"/>
                  <w:vAlign w:val="center"/>
                </w:tcPr>
                <w:p>
                  <w:pPr>
                    <w:spacing w:line="240" w:lineRule="auto"/>
                    <w:jc w:val="center"/>
                    <w:rPr>
                      <w:rFonts w:hint="eastAsia" w:ascii="Times New Roman" w:hAnsi="Times New Roman" w:eastAsia="宋体" w:cs="Times New Roman"/>
                      <w:color w:val="000000"/>
                      <w:sz w:val="21"/>
                      <w:szCs w:val="21"/>
                      <w:u w:val="none"/>
                    </w:rPr>
                  </w:pPr>
                  <w:r>
                    <w:rPr>
                      <w:rFonts w:hint="eastAsia" w:ascii="Times New Roman" w:hAnsi="Times New Roman" w:eastAsia="宋体" w:cs="Times New Roman"/>
                      <w:color w:val="000000"/>
                      <w:sz w:val="21"/>
                      <w:szCs w:val="21"/>
                      <w:u w:val="none"/>
                    </w:rPr>
                    <w:t>吨/年</w:t>
                  </w:r>
                </w:p>
              </w:tc>
              <w:tc>
                <w:tcPr>
                  <w:tcW w:w="2015" w:type="pct"/>
                  <w:noWrap w:val="0"/>
                  <w:vAlign w:val="center"/>
                </w:tcPr>
                <w:p>
                  <w:pPr>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noWrap w:val="0"/>
                  <w:vAlign w:val="center"/>
                </w:tcPr>
                <w:p>
                  <w:pPr>
                    <w:spacing w:line="240" w:lineRule="auto"/>
                    <w:jc w:val="center"/>
                    <w:rPr>
                      <w:rFonts w:hint="default" w:ascii="Times New Roman" w:hAnsi="Times New Roman"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8</w:t>
                  </w:r>
                </w:p>
              </w:tc>
              <w:tc>
                <w:tcPr>
                  <w:tcW w:w="1314" w:type="pct"/>
                  <w:noWrap w:val="0"/>
                  <w:vAlign w:val="center"/>
                </w:tcPr>
                <w:p>
                  <w:pPr>
                    <w:spacing w:line="240" w:lineRule="auto"/>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木材</w:t>
                  </w:r>
                </w:p>
              </w:tc>
              <w:tc>
                <w:tcPr>
                  <w:tcW w:w="596" w:type="pct"/>
                  <w:noWrap w:val="0"/>
                  <w:vAlign w:val="center"/>
                </w:tcPr>
                <w:p>
                  <w:pPr>
                    <w:spacing w:line="240" w:lineRule="auto"/>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90</w:t>
                  </w:r>
                </w:p>
              </w:tc>
              <w:tc>
                <w:tcPr>
                  <w:tcW w:w="701" w:type="pct"/>
                  <w:noWrap w:val="0"/>
                  <w:vAlign w:val="center"/>
                </w:tcPr>
                <w:p>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吨/年</w:t>
                  </w:r>
                </w:p>
              </w:tc>
              <w:tc>
                <w:tcPr>
                  <w:tcW w:w="2015" w:type="pct"/>
                  <w:noWrap w:val="0"/>
                  <w:vAlign w:val="center"/>
                </w:tcPr>
                <w:p>
                  <w:pPr>
                    <w:spacing w:line="240" w:lineRule="auto"/>
                    <w:jc w:val="center"/>
                    <w:rPr>
                      <w:rFonts w:hint="eastAsia"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5"/>
                  <w:noWrap w:val="0"/>
                  <w:vAlign w:val="center"/>
                </w:tcPr>
                <w:p>
                  <w:pPr>
                    <w:spacing w:line="240" w:lineRule="auto"/>
                    <w:jc w:val="center"/>
                    <w:rPr>
                      <w:rFonts w:hint="eastAsia" w:ascii="Times New Roman" w:hAnsi="Times New Roman" w:eastAsia="宋体" w:cs="Times New Roman"/>
                      <w:color w:val="000000"/>
                      <w:sz w:val="21"/>
                      <w:szCs w:val="21"/>
                      <w:u w:val="none"/>
                    </w:rPr>
                  </w:pPr>
                  <w:r>
                    <w:rPr>
                      <w:rFonts w:hint="default" w:ascii="Times New Roman" w:hAnsi="Times New Roman" w:cs="Times New Roman" w:eastAsiaTheme="minorEastAsia"/>
                      <w:color w:val="000000" w:themeColor="text1"/>
                      <w:sz w:val="21"/>
                      <w:szCs w:val="21"/>
                      <w:u w:val="none" w:color="auto"/>
                      <w14:textFill>
                        <w14:solidFill>
                          <w14:schemeClr w14:val="tx1"/>
                        </w14:solidFill>
                      </w14:textFill>
                    </w:rPr>
                    <w:t>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72" w:type="pct"/>
                  <w:noWrap w:val="0"/>
                  <w:vAlign w:val="center"/>
                </w:tcPr>
                <w:p>
                  <w:pPr>
                    <w:spacing w:line="240" w:lineRule="auto"/>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9</w:t>
                  </w:r>
                </w:p>
              </w:tc>
              <w:tc>
                <w:tcPr>
                  <w:tcW w:w="1314" w:type="pct"/>
                  <w:vMerge w:val="restart"/>
                  <w:noWrap w:val="0"/>
                  <w:vAlign w:val="center"/>
                </w:tcPr>
                <w:p>
                  <w:pPr>
                    <w:spacing w:line="240" w:lineRule="auto"/>
                    <w:jc w:val="center"/>
                    <w:rPr>
                      <w:rFonts w:ascii="Times New Roman" w:hAnsi="Times New Roman" w:eastAsia="宋体" w:cs="Times New Roman"/>
                      <w:color w:val="000000" w:themeColor="text1"/>
                      <w:sz w:val="21"/>
                      <w:szCs w:val="21"/>
                      <w:u w:val="none"/>
                      <w14:textFill>
                        <w14:solidFill>
                          <w14:schemeClr w14:val="tx1"/>
                        </w14:solidFill>
                      </w14:textFill>
                    </w:rPr>
                  </w:pPr>
                  <w:r>
                    <w:rPr>
                      <w:rFonts w:ascii="Times New Roman" w:hAnsi="Times New Roman" w:eastAsia="宋体" w:cs="Times New Roman"/>
                      <w:color w:val="000000" w:themeColor="text1"/>
                      <w:sz w:val="21"/>
                      <w:szCs w:val="21"/>
                      <w:u w:val="none"/>
                      <w14:textFill>
                        <w14:solidFill>
                          <w14:schemeClr w14:val="tx1"/>
                        </w14:solidFill>
                      </w14:textFill>
                    </w:rPr>
                    <w:t>水</w:t>
                  </w:r>
                </w:p>
              </w:tc>
              <w:tc>
                <w:tcPr>
                  <w:tcW w:w="596" w:type="pct"/>
                  <w:noWrap w:val="0"/>
                  <w:vAlign w:val="center"/>
                </w:tcPr>
                <w:p>
                  <w:pPr>
                    <w:spacing w:line="240" w:lineRule="auto"/>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20862.46</w:t>
                  </w:r>
                </w:p>
              </w:tc>
              <w:tc>
                <w:tcPr>
                  <w:tcW w:w="701" w:type="pct"/>
                  <w:noWrap w:val="0"/>
                  <w:vAlign w:val="center"/>
                </w:tcPr>
                <w:p>
                  <w:pPr>
                    <w:spacing w:line="240" w:lineRule="auto"/>
                    <w:jc w:val="center"/>
                    <w:rPr>
                      <w:rFonts w:ascii="Times New Roman" w:hAnsi="Times New Roman" w:eastAsia="宋体" w:cs="Times New Roman"/>
                      <w:color w:val="000000" w:themeColor="text1"/>
                      <w:sz w:val="21"/>
                      <w:szCs w:val="21"/>
                      <w:u w:val="none"/>
                      <w14:textFill>
                        <w14:solidFill>
                          <w14:schemeClr w14:val="tx1"/>
                        </w14:solidFill>
                      </w14:textFill>
                    </w:rPr>
                  </w:pPr>
                  <w:r>
                    <w:rPr>
                      <w:rFonts w:ascii="Times New Roman" w:hAnsi="Times New Roman" w:eastAsia="宋体" w:cs="Times New Roman"/>
                      <w:color w:val="000000" w:themeColor="text1"/>
                      <w:sz w:val="21"/>
                      <w:szCs w:val="21"/>
                      <w:u w:val="none"/>
                      <w14:textFill>
                        <w14:solidFill>
                          <w14:schemeClr w14:val="tx1"/>
                        </w14:solidFill>
                      </w14:textFill>
                    </w:rPr>
                    <w:t>吨</w:t>
                  </w:r>
                  <w:r>
                    <w:rPr>
                      <w:rFonts w:hint="eastAsia" w:ascii="Times New Roman" w:hAnsi="Times New Roman" w:eastAsia="宋体" w:cs="Times New Roman"/>
                      <w:color w:val="000000" w:themeColor="text1"/>
                      <w:sz w:val="21"/>
                      <w:szCs w:val="21"/>
                      <w:u w:val="none"/>
                      <w14:textFill>
                        <w14:solidFill>
                          <w14:schemeClr w14:val="tx1"/>
                        </w14:solidFill>
                      </w14:textFill>
                    </w:rPr>
                    <w:t>/年</w:t>
                  </w:r>
                </w:p>
              </w:tc>
              <w:tc>
                <w:tcPr>
                  <w:tcW w:w="2015" w:type="pct"/>
                  <w:noWrap w:val="0"/>
                  <w:vAlign w:val="center"/>
                </w:tcPr>
                <w:p>
                  <w:pPr>
                    <w:spacing w:line="240" w:lineRule="auto"/>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市政供水，水的年用量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noWrap w:val="0"/>
                  <w:vAlign w:val="center"/>
                </w:tcPr>
                <w:p>
                  <w:pPr>
                    <w:spacing w:line="240" w:lineRule="auto"/>
                    <w:jc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10</w:t>
                  </w:r>
                </w:p>
              </w:tc>
              <w:tc>
                <w:tcPr>
                  <w:tcW w:w="1314" w:type="pct"/>
                  <w:vMerge w:val="continue"/>
                  <w:noWrap w:val="0"/>
                  <w:vAlign w:val="center"/>
                </w:tcPr>
                <w:p>
                  <w:pPr>
                    <w:spacing w:line="240" w:lineRule="auto"/>
                    <w:jc w:val="center"/>
                    <w:rPr>
                      <w:rFonts w:ascii="Times New Roman" w:hAnsi="Times New Roman" w:eastAsia="宋体" w:cs="Times New Roman"/>
                      <w:color w:val="000000" w:themeColor="text1"/>
                      <w:sz w:val="21"/>
                      <w:szCs w:val="21"/>
                      <w:u w:val="none"/>
                      <w14:textFill>
                        <w14:solidFill>
                          <w14:schemeClr w14:val="tx1"/>
                        </w14:solidFill>
                      </w14:textFill>
                    </w:rPr>
                  </w:pPr>
                </w:p>
              </w:tc>
              <w:tc>
                <w:tcPr>
                  <w:tcW w:w="596" w:type="pct"/>
                  <w:noWrap w:val="0"/>
                  <w:vAlign w:val="center"/>
                </w:tcPr>
                <w:p>
                  <w:pPr>
                    <w:spacing w:line="240" w:lineRule="auto"/>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52500</w:t>
                  </w:r>
                </w:p>
              </w:tc>
              <w:tc>
                <w:tcPr>
                  <w:tcW w:w="701" w:type="pct"/>
                  <w:noWrap w:val="0"/>
                  <w:vAlign w:val="center"/>
                </w:tcPr>
                <w:p>
                  <w:pPr>
                    <w:spacing w:line="240" w:lineRule="auto"/>
                    <w:jc w:val="center"/>
                    <w:rPr>
                      <w:rFonts w:ascii="Times New Roman" w:hAnsi="Times New Roman" w:eastAsia="宋体" w:cs="Times New Roman"/>
                      <w:color w:val="000000" w:themeColor="text1"/>
                      <w:sz w:val="21"/>
                      <w:szCs w:val="21"/>
                      <w:u w:val="none"/>
                      <w14:textFill>
                        <w14:solidFill>
                          <w14:schemeClr w14:val="tx1"/>
                        </w14:solidFill>
                      </w14:textFill>
                    </w:rPr>
                  </w:pPr>
                  <w:r>
                    <w:rPr>
                      <w:rFonts w:ascii="Times New Roman" w:hAnsi="Times New Roman" w:eastAsia="宋体" w:cs="Times New Roman"/>
                      <w:color w:val="000000" w:themeColor="text1"/>
                      <w:sz w:val="21"/>
                      <w:szCs w:val="21"/>
                      <w:u w:val="none"/>
                      <w14:textFill>
                        <w14:solidFill>
                          <w14:schemeClr w14:val="tx1"/>
                        </w14:solidFill>
                      </w14:textFill>
                    </w:rPr>
                    <w:t>吨</w:t>
                  </w:r>
                </w:p>
              </w:tc>
              <w:tc>
                <w:tcPr>
                  <w:tcW w:w="2015" w:type="pct"/>
                  <w:noWrap w:val="0"/>
                  <w:vAlign w:val="center"/>
                </w:tcPr>
                <w:p>
                  <w:pPr>
                    <w:spacing w:line="240" w:lineRule="auto"/>
                    <w:jc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市政供水，锅炉启动水需42000，软水机制取软水的效率为80%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noWrap w:val="0"/>
                  <w:vAlign w:val="center"/>
                </w:tcPr>
                <w:p>
                  <w:pPr>
                    <w:spacing w:line="240" w:lineRule="auto"/>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11</w:t>
                  </w:r>
                </w:p>
              </w:tc>
              <w:tc>
                <w:tcPr>
                  <w:tcW w:w="1314" w:type="pct"/>
                  <w:noWrap w:val="0"/>
                  <w:vAlign w:val="center"/>
                </w:tcPr>
                <w:p>
                  <w:pPr>
                    <w:spacing w:line="240" w:lineRule="auto"/>
                    <w:jc w:val="center"/>
                    <w:rPr>
                      <w:rFonts w:ascii="Times New Roman" w:hAnsi="Times New Roman" w:eastAsia="宋体" w:cs="Times New Roman"/>
                      <w:color w:val="000000" w:themeColor="text1"/>
                      <w:sz w:val="21"/>
                      <w:szCs w:val="21"/>
                      <w:u w:val="none"/>
                      <w14:textFill>
                        <w14:solidFill>
                          <w14:schemeClr w14:val="tx1"/>
                        </w14:solidFill>
                      </w14:textFill>
                    </w:rPr>
                  </w:pPr>
                  <w:r>
                    <w:rPr>
                      <w:rFonts w:ascii="Times New Roman" w:hAnsi="Times New Roman" w:eastAsia="宋体" w:cs="Times New Roman"/>
                      <w:color w:val="000000" w:themeColor="text1"/>
                      <w:sz w:val="21"/>
                      <w:szCs w:val="21"/>
                      <w:u w:val="none"/>
                      <w14:textFill>
                        <w14:solidFill>
                          <w14:schemeClr w14:val="tx1"/>
                        </w14:solidFill>
                      </w14:textFill>
                    </w:rPr>
                    <w:t>电</w:t>
                  </w:r>
                </w:p>
              </w:tc>
              <w:tc>
                <w:tcPr>
                  <w:tcW w:w="596" w:type="pct"/>
                  <w:noWrap w:val="0"/>
                  <w:vAlign w:val="center"/>
                </w:tcPr>
                <w:p>
                  <w:pPr>
                    <w:spacing w:line="240" w:lineRule="auto"/>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30</w:t>
                  </w:r>
                </w:p>
              </w:tc>
              <w:tc>
                <w:tcPr>
                  <w:tcW w:w="701" w:type="pct"/>
                  <w:noWrap w:val="0"/>
                  <w:vAlign w:val="center"/>
                </w:tcPr>
                <w:p>
                  <w:pPr>
                    <w:spacing w:line="240" w:lineRule="auto"/>
                    <w:jc w:val="center"/>
                    <w:rPr>
                      <w:rFonts w:ascii="Times New Roman" w:hAnsi="Times New Roman" w:eastAsia="宋体" w:cs="Times New Roman"/>
                      <w:color w:val="000000" w:themeColor="text1"/>
                      <w:sz w:val="21"/>
                      <w:szCs w:val="21"/>
                      <w:u w:val="none"/>
                      <w14:textFill>
                        <w14:solidFill>
                          <w14:schemeClr w14:val="tx1"/>
                        </w14:solidFill>
                      </w14:textFill>
                    </w:rPr>
                  </w:pPr>
                  <w:r>
                    <w:rPr>
                      <w:rFonts w:ascii="Times New Roman" w:hAnsi="Times New Roman" w:eastAsia="宋体" w:cs="Times New Roman"/>
                      <w:color w:val="000000" w:themeColor="text1"/>
                      <w:sz w:val="21"/>
                      <w:szCs w:val="21"/>
                      <w:u w:val="none"/>
                      <w14:textFill>
                        <w14:solidFill>
                          <w14:schemeClr w14:val="tx1"/>
                        </w14:solidFill>
                      </w14:textFill>
                    </w:rPr>
                    <w:t>万kwh</w:t>
                  </w:r>
                  <w:r>
                    <w:rPr>
                      <w:rFonts w:hint="eastAsia" w:ascii="Times New Roman" w:hAnsi="Times New Roman" w:eastAsia="宋体" w:cs="Times New Roman"/>
                      <w:color w:val="000000" w:themeColor="text1"/>
                      <w:sz w:val="21"/>
                      <w:szCs w:val="21"/>
                      <w:u w:val="none"/>
                      <w14:textFill>
                        <w14:solidFill>
                          <w14:schemeClr w14:val="tx1"/>
                        </w14:solidFill>
                      </w14:textFill>
                    </w:rPr>
                    <w:t>/年</w:t>
                  </w:r>
                </w:p>
              </w:tc>
              <w:tc>
                <w:tcPr>
                  <w:tcW w:w="2015" w:type="pct"/>
                  <w:noWrap w:val="0"/>
                  <w:vAlign w:val="center"/>
                </w:tcPr>
                <w:p>
                  <w:pPr>
                    <w:spacing w:line="240" w:lineRule="auto"/>
                    <w:jc w:val="center"/>
                    <w:rPr>
                      <w:rFonts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14:textFill>
                        <w14:solidFill>
                          <w14:schemeClr w14:val="tx1"/>
                        </w14:solidFill>
                      </w14:textFill>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2" w:type="pct"/>
                  <w:noWrap w:val="0"/>
                  <w:vAlign w:val="center"/>
                </w:tcPr>
                <w:p>
                  <w:pPr>
                    <w:spacing w:line="240" w:lineRule="auto"/>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12</w:t>
                  </w:r>
                </w:p>
              </w:tc>
              <w:tc>
                <w:tcPr>
                  <w:tcW w:w="1314" w:type="pct"/>
                  <w:noWrap w:val="0"/>
                  <w:vAlign w:val="center"/>
                </w:tcPr>
                <w:p>
                  <w:pPr>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蒸汽</w:t>
                  </w:r>
                </w:p>
              </w:tc>
              <w:tc>
                <w:tcPr>
                  <w:tcW w:w="596" w:type="pct"/>
                  <w:noWrap w:val="0"/>
                  <w:vAlign w:val="center"/>
                </w:tcPr>
                <w:p>
                  <w:pPr>
                    <w:spacing w:line="240" w:lineRule="auto"/>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40000</w:t>
                  </w:r>
                </w:p>
              </w:tc>
              <w:tc>
                <w:tcPr>
                  <w:tcW w:w="701" w:type="pct"/>
                  <w:noWrap w:val="0"/>
                  <w:vAlign w:val="center"/>
                </w:tcPr>
                <w:p>
                  <w:pPr>
                    <w:spacing w:line="240" w:lineRule="auto"/>
                    <w:jc w:val="center"/>
                    <w:rPr>
                      <w:rFonts w:ascii="Times New Roman" w:hAnsi="Times New Roman" w:eastAsia="宋体" w:cs="Times New Roman"/>
                      <w:color w:val="000000"/>
                      <w:sz w:val="21"/>
                      <w:szCs w:val="21"/>
                      <w:u w:val="none"/>
                    </w:rPr>
                  </w:pPr>
                  <w:r>
                    <w:rPr>
                      <w:rFonts w:ascii="Times New Roman" w:hAnsi="Times New Roman" w:eastAsia="宋体" w:cs="Times New Roman"/>
                      <w:color w:val="000000"/>
                      <w:sz w:val="21"/>
                      <w:szCs w:val="21"/>
                      <w:u w:val="none"/>
                    </w:rPr>
                    <w:t>吨</w:t>
                  </w:r>
                  <w:r>
                    <w:rPr>
                      <w:rFonts w:hint="eastAsia" w:ascii="Times New Roman" w:hAnsi="Times New Roman" w:eastAsia="宋体" w:cs="Times New Roman"/>
                      <w:color w:val="000000"/>
                      <w:sz w:val="21"/>
                      <w:szCs w:val="21"/>
                      <w:u w:val="none"/>
                    </w:rPr>
                    <w:t>/年</w:t>
                  </w:r>
                </w:p>
              </w:tc>
              <w:tc>
                <w:tcPr>
                  <w:tcW w:w="2015" w:type="pct"/>
                  <w:noWrap w:val="0"/>
                  <w:vAlign w:val="center"/>
                </w:tcPr>
                <w:p>
                  <w:pPr>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由项目锅炉供热</w:t>
                  </w:r>
                </w:p>
              </w:tc>
            </w:tr>
          </w:tbl>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lang w:val="en-US" w:eastAsia="zh-CN"/>
              </w:rPr>
            </w:pPr>
            <w:r>
              <w:rPr>
                <w:rFonts w:hint="default" w:ascii="Times New Roman" w:hAnsi="Times New Roman" w:eastAsia="宋体" w:cs="Times New Roman"/>
                <w:color w:val="000000"/>
                <w:sz w:val="24"/>
                <w:szCs w:val="22"/>
                <w:u w:val="none"/>
              </w:rPr>
              <w:t>原辅材料化学性质：</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2"/>
                <w:u w:val="none"/>
              </w:rPr>
            </w:pPr>
            <w:r>
              <w:rPr>
                <w:rFonts w:hint="eastAsia" w:ascii="Times New Roman" w:hAnsi="Times New Roman" w:eastAsia="宋体" w:cs="Times New Roman"/>
                <w:color w:val="000000"/>
                <w:sz w:val="24"/>
                <w:szCs w:val="22"/>
                <w:u w:val="none"/>
              </w:rPr>
              <w:t>大豆蛋白专用消泡剂XPM-120外观为乳白色粘稠液体，活性成分为改性聚硅氧烷、特种乳化剂、稳定剂。大豆蛋白加工过程中，由于特殊的生产工艺，使得浆液起泡速度快、起泡量大而泡极细小，本品具有消泡速度快、抑泡能力强、效率高用量少，无毒、无害、无腐蚀及副作用等特点；是对大豆蛋白加工、豆制品加工的最佳消泡剂。</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2"/>
                <w:u w:val="none"/>
              </w:rPr>
            </w:pPr>
            <w:r>
              <w:rPr>
                <w:rFonts w:hint="eastAsia" w:ascii="Times New Roman" w:hAnsi="Times New Roman" w:eastAsia="宋体" w:cs="Times New Roman"/>
                <w:color w:val="000000"/>
                <w:sz w:val="24"/>
                <w:szCs w:val="22"/>
                <w:u w:val="none"/>
              </w:rPr>
              <w:t>84消毒液（Ⅱ型）是主要用于环境和物体表面消毒剂，含有强力去污成份，可杀灭大肠杆菌，适用于家庭，宾馆，医院，饭店及其它公共场所的物体表面消毒。</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eastAsia="宋体" w:cs="Times New Roman"/>
                <w:b/>
                <w:bCs/>
                <w:color w:val="000000"/>
                <w:kern w:val="2"/>
                <w:sz w:val="24"/>
                <w:szCs w:val="22"/>
                <w:u w:val="none"/>
                <w:lang w:val="en-US" w:eastAsia="zh-CN" w:bidi="ar-SA"/>
              </w:rPr>
            </w:pPr>
            <w:r>
              <w:rPr>
                <w:rFonts w:hint="eastAsia" w:ascii="Times New Roman" w:hAnsi="Times New Roman" w:eastAsia="宋体" w:cs="Times New Roman"/>
                <w:b/>
                <w:bCs/>
                <w:color w:val="000000"/>
                <w:kern w:val="2"/>
                <w:sz w:val="24"/>
                <w:szCs w:val="22"/>
                <w:u w:val="none"/>
                <w:lang w:val="en-US" w:eastAsia="zh-CN" w:bidi="ar-SA"/>
              </w:rPr>
              <w:t>2.6</w:t>
            </w:r>
            <w:r>
              <w:rPr>
                <w:rFonts w:hint="default" w:ascii="Times New Roman" w:hAnsi="Times New Roman" w:eastAsia="宋体" w:cs="Times New Roman"/>
                <w:b/>
                <w:bCs/>
                <w:color w:val="000000"/>
                <w:kern w:val="2"/>
                <w:sz w:val="24"/>
                <w:szCs w:val="22"/>
                <w:u w:val="none"/>
                <w:lang w:val="en-US" w:eastAsia="zh-CN" w:bidi="ar-SA"/>
              </w:rPr>
              <w:t>生产设备</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
                <w:bCs/>
                <w:color w:val="000000"/>
                <w:sz w:val="21"/>
                <w:szCs w:val="21"/>
              </w:rPr>
            </w:pPr>
            <w:r>
              <w:rPr>
                <w:rFonts w:hint="default" w:ascii="Times New Roman" w:hAnsi="Times New Roman" w:eastAsia="宋体" w:cs="Times New Roman"/>
                <w:color w:val="000000"/>
                <w:sz w:val="24"/>
                <w:szCs w:val="22"/>
                <w:u w:val="none"/>
              </w:rPr>
              <w:t>项目主要生产设备详见下表。</w:t>
            </w:r>
          </w:p>
          <w:p>
            <w:pPr>
              <w:spacing w:line="240" w:lineRule="auto"/>
              <w:jc w:val="center"/>
              <w:rPr>
                <w:rFonts w:hint="eastAsia"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表</w:t>
            </w:r>
            <w:r>
              <w:rPr>
                <w:rFonts w:hint="eastAsia" w:ascii="Times New Roman" w:hAnsi="Times New Roman" w:cs="Times New Roman"/>
                <w:b/>
                <w:bCs/>
                <w:color w:val="000000"/>
                <w:sz w:val="21"/>
                <w:szCs w:val="21"/>
                <w:lang w:val="en-US" w:eastAsia="zh-CN"/>
              </w:rPr>
              <w:t>2</w:t>
            </w:r>
            <w:r>
              <w:rPr>
                <w:rFonts w:ascii="Times New Roman" w:hAnsi="Times New Roman" w:eastAsia="宋体" w:cs="Times New Roman"/>
                <w:b/>
                <w:bCs/>
                <w:color w:val="000000"/>
                <w:sz w:val="21"/>
                <w:szCs w:val="21"/>
              </w:rPr>
              <w:t>-</w:t>
            </w:r>
            <w:r>
              <w:rPr>
                <w:rFonts w:hint="eastAsia" w:ascii="Times New Roman" w:hAnsi="Times New Roman" w:cs="Times New Roman"/>
                <w:b/>
                <w:bCs/>
                <w:color w:val="000000"/>
                <w:sz w:val="21"/>
                <w:szCs w:val="21"/>
                <w:lang w:val="en-US" w:eastAsia="zh-CN"/>
              </w:rPr>
              <w:t>5</w:t>
            </w:r>
            <w:r>
              <w:rPr>
                <w:rFonts w:ascii="Times New Roman" w:hAnsi="Times New Roman" w:eastAsia="宋体" w:cs="Times New Roman"/>
                <w:b/>
                <w:bCs/>
                <w:color w:val="000000"/>
                <w:sz w:val="21"/>
                <w:szCs w:val="21"/>
              </w:rPr>
              <w:t xml:space="preserve">  项目主要生产设备一览表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460"/>
              <w:gridCol w:w="1584"/>
              <w:gridCol w:w="1325"/>
              <w:gridCol w:w="1335"/>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pPr>
                    <w:snapToGrid w:val="0"/>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序号</w:t>
                  </w:r>
                </w:p>
              </w:tc>
              <w:tc>
                <w:tcPr>
                  <w:tcW w:w="1778" w:type="pct"/>
                  <w:gridSpan w:val="2"/>
                  <w:noWrap w:val="0"/>
                  <w:vAlign w:val="top"/>
                </w:tcPr>
                <w:p>
                  <w:pPr>
                    <w:snapToGrid/>
                    <w:spacing w:before="0" w:beforeAutospacing="0" w:after="0" w:afterAutospacing="0" w:line="240" w:lineRule="auto"/>
                    <w:jc w:val="center"/>
                    <w:textAlignment w:val="baseline"/>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设备</w:t>
                  </w:r>
                </w:p>
              </w:tc>
              <w:tc>
                <w:tcPr>
                  <w:tcW w:w="774" w:type="pct"/>
                  <w:noWrap w:val="0"/>
                  <w:vAlign w:val="center"/>
                </w:tcPr>
                <w:p>
                  <w:pPr>
                    <w:snapToGrid w:val="0"/>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规格型号</w:t>
                  </w:r>
                </w:p>
              </w:tc>
              <w:tc>
                <w:tcPr>
                  <w:tcW w:w="780" w:type="pct"/>
                  <w:noWrap w:val="0"/>
                  <w:vAlign w:val="center"/>
                </w:tcPr>
                <w:p>
                  <w:pPr>
                    <w:snapToGrid w:val="0"/>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数量（台/套）</w:t>
                  </w:r>
                </w:p>
              </w:tc>
              <w:tc>
                <w:tcPr>
                  <w:tcW w:w="1270" w:type="pct"/>
                  <w:noWrap w:val="0"/>
                  <w:vAlign w:val="center"/>
                </w:tcPr>
                <w:p>
                  <w:pPr>
                    <w:snapToGrid w:val="0"/>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 w:hRule="atLeast"/>
              </w:trPr>
              <w:tc>
                <w:tcPr>
                  <w:tcW w:w="396" w:type="pct"/>
                  <w:noWrap w:val="0"/>
                  <w:vAlign w:val="center"/>
                </w:tcPr>
                <w:p>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w:t>
                  </w:r>
                </w:p>
              </w:tc>
              <w:tc>
                <w:tcPr>
                  <w:tcW w:w="853" w:type="pct"/>
                  <w:vMerge w:val="restart"/>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腐竹车间生产线</w:t>
                  </w:r>
                </w:p>
              </w:tc>
              <w:tc>
                <w:tcPr>
                  <w:tcW w:w="925" w:type="pct"/>
                  <w:noWrap w:val="0"/>
                  <w:vAlign w:val="top"/>
                </w:tcPr>
                <w:p>
                  <w:pPr>
                    <w:snapToGrid/>
                    <w:spacing w:before="0" w:beforeAutospacing="0" w:after="0" w:afterAutospacing="0" w:line="240" w:lineRule="auto"/>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滚筒式炒锅</w:t>
                  </w:r>
                </w:p>
              </w:tc>
              <w:tc>
                <w:tcPr>
                  <w:tcW w:w="774" w:type="pct"/>
                  <w:noWrap w:val="0"/>
                  <w:vAlign w:val="center"/>
                </w:tcPr>
                <w:p>
                  <w:pPr>
                    <w:snapToGrid w:val="0"/>
                    <w:spacing w:line="240" w:lineRule="auto"/>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c>
                <w:tcPr>
                  <w:tcW w:w="780" w:type="pc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1台</w:t>
                  </w:r>
                </w:p>
              </w:tc>
              <w:tc>
                <w:tcPr>
                  <w:tcW w:w="1270" w:type="pc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黄豆烘干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 w:hRule="atLeast"/>
              </w:trPr>
              <w:tc>
                <w:tcPr>
                  <w:tcW w:w="396" w:type="pct"/>
                  <w:noWrap w:val="0"/>
                  <w:vAlign w:val="center"/>
                </w:tcPr>
                <w:p>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2</w:t>
                  </w:r>
                </w:p>
              </w:tc>
              <w:tc>
                <w:tcPr>
                  <w:tcW w:w="853" w:type="pct"/>
                  <w:vMerge w:val="continue"/>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p>
              </w:tc>
              <w:tc>
                <w:tcPr>
                  <w:tcW w:w="925" w:type="pct"/>
                  <w:noWrap w:val="0"/>
                  <w:vAlign w:val="top"/>
                </w:tcPr>
                <w:p>
                  <w:pPr>
                    <w:snapToGrid/>
                    <w:spacing w:before="0" w:beforeAutospacing="0" w:after="0" w:afterAutospacing="0" w:line="240" w:lineRule="auto"/>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旋风除尘</w:t>
                  </w:r>
                </w:p>
              </w:tc>
              <w:tc>
                <w:tcPr>
                  <w:tcW w:w="774" w:type="pct"/>
                  <w:noWrap w:val="0"/>
                  <w:vAlign w:val="center"/>
                </w:tcPr>
                <w:p>
                  <w:pPr>
                    <w:snapToGrid w:val="0"/>
                    <w:spacing w:line="240" w:lineRule="auto"/>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c>
                <w:tcPr>
                  <w:tcW w:w="780" w:type="pc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1套</w:t>
                  </w:r>
                </w:p>
              </w:tc>
              <w:tc>
                <w:tcPr>
                  <w:tcW w:w="1270" w:type="pc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烟尘处理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96" w:type="pct"/>
                  <w:noWrap w:val="0"/>
                  <w:vAlign w:val="center"/>
                </w:tcPr>
                <w:p>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3</w:t>
                  </w:r>
                </w:p>
              </w:tc>
              <w:tc>
                <w:tcPr>
                  <w:tcW w:w="853" w:type="pct"/>
                  <w:vMerge w:val="continue"/>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p>
              </w:tc>
              <w:tc>
                <w:tcPr>
                  <w:tcW w:w="925" w:type="pct"/>
                  <w:noWrap w:val="0"/>
                  <w:vAlign w:val="top"/>
                </w:tcPr>
                <w:p>
                  <w:pPr>
                    <w:snapToGrid/>
                    <w:spacing w:before="0" w:beforeAutospacing="0" w:after="0" w:afterAutospacing="0" w:line="240" w:lineRule="auto"/>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布袋除尘</w:t>
                  </w:r>
                </w:p>
              </w:tc>
              <w:tc>
                <w:tcPr>
                  <w:tcW w:w="774" w:type="pct"/>
                  <w:noWrap w:val="0"/>
                  <w:vAlign w:val="center"/>
                </w:tcPr>
                <w:p>
                  <w:pPr>
                    <w:snapToGrid w:val="0"/>
                    <w:spacing w:line="240" w:lineRule="auto"/>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c>
                <w:tcPr>
                  <w:tcW w:w="780" w:type="pct"/>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1套</w:t>
                  </w:r>
                </w:p>
              </w:tc>
              <w:tc>
                <w:tcPr>
                  <w:tcW w:w="1270" w:type="pct"/>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烟尘处理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4</w:t>
                  </w:r>
                </w:p>
              </w:tc>
              <w:tc>
                <w:tcPr>
                  <w:tcW w:w="853" w:type="pct"/>
                  <w:vMerge w:val="continue"/>
                  <w:noWrap w:val="0"/>
                  <w:vAlign w:val="center"/>
                </w:tcPr>
                <w:p>
                  <w:pPr>
                    <w:snapToGrid w:val="0"/>
                    <w:spacing w:line="240" w:lineRule="auto"/>
                    <w:jc w:val="center"/>
                    <w:rPr>
                      <w:rFonts w:hint="default" w:ascii="Times New Roman" w:hAnsi="Times New Roman" w:eastAsia="宋体" w:cs="Times New Roman"/>
                      <w:color w:val="000000"/>
                      <w:sz w:val="21"/>
                      <w:szCs w:val="21"/>
                      <w:lang w:val="en-US" w:eastAsia="zh-CN"/>
                    </w:rPr>
                  </w:pPr>
                </w:p>
              </w:tc>
              <w:tc>
                <w:tcPr>
                  <w:tcW w:w="925" w:type="pct"/>
                  <w:noWrap w:val="0"/>
                  <w:vAlign w:val="center"/>
                </w:tcPr>
                <w:p>
                  <w:pPr>
                    <w:snapToGrid w:val="0"/>
                    <w:spacing w:before="0" w:beforeAutospacing="0" w:after="0" w:afterAutospacing="0" w:line="240" w:lineRule="auto"/>
                    <w:jc w:val="center"/>
                    <w:textAlignment w:val="baseline"/>
                    <w:rPr>
                      <w:rStyle w:val="45"/>
                      <w:rFonts w:ascii="Times New Roman" w:hAnsi="Times New Roman" w:eastAsia="宋体"/>
                      <w:b w:val="0"/>
                      <w:i w:val="0"/>
                      <w:caps w:val="0"/>
                      <w:spacing w:val="0"/>
                      <w:w w:val="100"/>
                      <w:kern w:val="2"/>
                      <w:sz w:val="21"/>
                      <w:szCs w:val="21"/>
                      <w:lang w:val="en-US" w:eastAsia="zh-CN" w:bidi="ar-SA"/>
                    </w:rPr>
                  </w:pPr>
                  <w:r>
                    <w:rPr>
                      <w:rStyle w:val="45"/>
                      <w:rFonts w:ascii="Times New Roman" w:hAnsi="Times New Roman" w:eastAsia="宋体"/>
                      <w:b w:val="0"/>
                      <w:i w:val="0"/>
                      <w:caps w:val="0"/>
                      <w:spacing w:val="0"/>
                      <w:w w:val="100"/>
                      <w:kern w:val="2"/>
                      <w:sz w:val="21"/>
                      <w:szCs w:val="21"/>
                      <w:lang w:val="en-US" w:eastAsia="zh-CN" w:bidi="ar-SA"/>
                    </w:rPr>
                    <w:t>黄豆脱机</w:t>
                  </w:r>
                </w:p>
              </w:tc>
              <w:tc>
                <w:tcPr>
                  <w:tcW w:w="774" w:type="pct"/>
                  <w:noWrap w:val="0"/>
                  <w:vAlign w:val="center"/>
                </w:tcPr>
                <w:p>
                  <w:pPr>
                    <w:snapToGrid w:val="0"/>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6FT-PB8</w:t>
                  </w:r>
                </w:p>
              </w:tc>
              <w:tc>
                <w:tcPr>
                  <w:tcW w:w="780" w:type="pct"/>
                  <w:noWrap w:val="0"/>
                  <w:vAlign w:val="center"/>
                </w:tcPr>
                <w:p>
                  <w:pPr>
                    <w:snapToGrid w:val="0"/>
                    <w:spacing w:line="240" w:lineRule="auto"/>
                    <w:jc w:val="center"/>
                    <w:rPr>
                      <w:rFonts w:hint="eastAsia" w:ascii="Times New Roman" w:hAnsi="Times New Roman" w:eastAsia="宋体" w:cs="Times New Roman"/>
                      <w:color w:val="000000"/>
                      <w:sz w:val="21"/>
                      <w:szCs w:val="21"/>
                    </w:rPr>
                  </w:pPr>
                  <w:r>
                    <w:rPr>
                      <w:rFonts w:hint="eastAsia" w:ascii="Times New Roman" w:hAnsi="Times New Roman" w:cs="Times New Roman"/>
                      <w:color w:val="000000"/>
                      <w:sz w:val="21"/>
                      <w:szCs w:val="21"/>
                      <w:lang w:val="en-US" w:eastAsia="zh-CN"/>
                    </w:rPr>
                    <w:t>2台</w:t>
                  </w:r>
                </w:p>
              </w:tc>
              <w:tc>
                <w:tcPr>
                  <w:tcW w:w="1270" w:type="pc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黄豆脱皮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5</w:t>
                  </w:r>
                </w:p>
              </w:tc>
              <w:tc>
                <w:tcPr>
                  <w:tcW w:w="853" w:type="pct"/>
                  <w:vMerge w:val="continue"/>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p>
              </w:tc>
              <w:tc>
                <w:tcPr>
                  <w:tcW w:w="925" w:type="pct"/>
                  <w:noWrap w:val="0"/>
                  <w:vAlign w:val="center"/>
                </w:tcPr>
                <w:p>
                  <w:pPr>
                    <w:snapToGrid w:val="0"/>
                    <w:spacing w:before="0" w:beforeAutospacing="0" w:after="0" w:afterAutospacing="0" w:line="240" w:lineRule="auto"/>
                    <w:jc w:val="center"/>
                    <w:textAlignment w:val="baseline"/>
                    <w:rPr>
                      <w:rStyle w:val="45"/>
                      <w:rFonts w:hint="default" w:ascii="Times New Roman" w:hAnsi="Times New Roman" w:eastAsia="宋体"/>
                      <w:b w:val="0"/>
                      <w:i w:val="0"/>
                      <w:caps w:val="0"/>
                      <w:spacing w:val="0"/>
                      <w:w w:val="100"/>
                      <w:kern w:val="2"/>
                      <w:sz w:val="21"/>
                      <w:szCs w:val="21"/>
                      <w:lang w:val="en-US" w:eastAsia="zh-CN" w:bidi="ar-SA"/>
                    </w:rPr>
                  </w:pPr>
                  <w:r>
                    <w:rPr>
                      <w:rStyle w:val="45"/>
                      <w:rFonts w:hint="eastAsia" w:ascii="Times New Roman" w:hAnsi="Times New Roman"/>
                      <w:b w:val="0"/>
                      <w:i w:val="0"/>
                      <w:caps w:val="0"/>
                      <w:spacing w:val="0"/>
                      <w:w w:val="100"/>
                      <w:kern w:val="2"/>
                      <w:sz w:val="21"/>
                      <w:szCs w:val="21"/>
                      <w:lang w:val="en-US" w:eastAsia="zh-CN" w:bidi="ar-SA"/>
                    </w:rPr>
                    <w:t>振动筛</w:t>
                  </w:r>
                </w:p>
              </w:tc>
              <w:tc>
                <w:tcPr>
                  <w:tcW w:w="774" w:type="pct"/>
                  <w:noWrap w:val="0"/>
                  <w:vAlign w:val="center"/>
                </w:tcPr>
                <w:p>
                  <w:pPr>
                    <w:snapToGrid w:val="0"/>
                    <w:spacing w:line="240" w:lineRule="auto"/>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c>
                <w:tcPr>
                  <w:tcW w:w="780" w:type="pc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1台</w:t>
                  </w:r>
                </w:p>
              </w:tc>
              <w:tc>
                <w:tcPr>
                  <w:tcW w:w="1270" w:type="pc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将脱皮后的黄豆和豆皮分开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6</w:t>
                  </w:r>
                </w:p>
              </w:tc>
              <w:tc>
                <w:tcPr>
                  <w:tcW w:w="853" w:type="pct"/>
                  <w:vMerge w:val="continue"/>
                  <w:noWrap w:val="0"/>
                  <w:vAlign w:val="top"/>
                </w:tcPr>
                <w:p>
                  <w:pPr>
                    <w:snapToGrid w:val="0"/>
                    <w:spacing w:line="240" w:lineRule="auto"/>
                    <w:jc w:val="center"/>
                    <w:rPr>
                      <w:rFonts w:hint="eastAsia" w:ascii="Times New Roman" w:hAnsi="Times New Roman" w:eastAsia="宋体" w:cs="Times New Roman"/>
                      <w:color w:val="000000"/>
                      <w:sz w:val="21"/>
                      <w:szCs w:val="21"/>
                    </w:rPr>
                  </w:pPr>
                </w:p>
              </w:tc>
              <w:tc>
                <w:tcPr>
                  <w:tcW w:w="925" w:type="pct"/>
                  <w:noWrap w:val="0"/>
                  <w:vAlign w:val="center"/>
                </w:tcPr>
                <w:p>
                  <w:pPr>
                    <w:widowControl/>
                    <w:snapToGrid/>
                    <w:spacing w:before="0" w:beforeAutospacing="0" w:after="0" w:afterAutospacing="0" w:line="240" w:lineRule="auto"/>
                    <w:ind w:firstLine="0" w:firstLineChars="0"/>
                    <w:jc w:val="center"/>
                    <w:textAlignment w:val="baseline"/>
                    <w:rPr>
                      <w:rStyle w:val="45"/>
                      <w:rFonts w:ascii="Times New Roman" w:hAnsi="Times New Roman" w:eastAsia="宋体"/>
                      <w:b w:val="0"/>
                      <w:i w:val="0"/>
                      <w:caps w:val="0"/>
                      <w:color w:val="000000"/>
                      <w:spacing w:val="0"/>
                      <w:w w:val="100"/>
                      <w:kern w:val="2"/>
                      <w:sz w:val="21"/>
                      <w:szCs w:val="21"/>
                      <w:lang w:val="en-US" w:eastAsia="zh-CN" w:bidi="ar-SA"/>
                    </w:rPr>
                  </w:pPr>
                  <w:r>
                    <w:rPr>
                      <w:rStyle w:val="45"/>
                      <w:rFonts w:eastAsia="宋体"/>
                      <w:b w:val="0"/>
                      <w:i w:val="0"/>
                      <w:caps w:val="0"/>
                      <w:color w:val="000000"/>
                      <w:spacing w:val="0"/>
                      <w:w w:val="100"/>
                      <w:kern w:val="2"/>
                      <w:sz w:val="21"/>
                      <w:szCs w:val="21"/>
                      <w:lang w:val="en-US" w:eastAsia="zh-CN" w:bidi="ar-SA"/>
                    </w:rPr>
                    <w:t>磨浆机组</w:t>
                  </w:r>
                </w:p>
              </w:tc>
              <w:tc>
                <w:tcPr>
                  <w:tcW w:w="774" w:type="pct"/>
                  <w:noWrap w:val="0"/>
                  <w:vAlign w:val="center"/>
                </w:tcPr>
                <w:p>
                  <w:pPr>
                    <w:snapToGrid w:val="0"/>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SZ-I2</w:t>
                  </w:r>
                </w:p>
              </w:tc>
              <w:tc>
                <w:tcPr>
                  <w:tcW w:w="780" w:type="pct"/>
                  <w:noWrap w:val="0"/>
                  <w:vAlign w:val="center"/>
                </w:tcPr>
                <w:p>
                  <w:pPr>
                    <w:snapToGrid w:val="0"/>
                    <w:spacing w:line="240" w:lineRule="auto"/>
                    <w:jc w:val="center"/>
                    <w:rPr>
                      <w:rFonts w:ascii="Times New Roman" w:hAnsi="Times New Roman" w:eastAsia="宋体"/>
                      <w:b w:val="0"/>
                      <w:i w:val="0"/>
                      <w:caps w:val="0"/>
                      <w:spacing w:val="0"/>
                      <w:w w:val="100"/>
                      <w:sz w:val="21"/>
                      <w:szCs w:val="21"/>
                    </w:rPr>
                  </w:pPr>
                  <w:r>
                    <w:rPr>
                      <w:rFonts w:hint="eastAsia" w:ascii="Times New Roman" w:hAnsi="Times New Roman" w:cs="Times New Roman"/>
                      <w:color w:val="000000"/>
                      <w:sz w:val="21"/>
                      <w:szCs w:val="21"/>
                      <w:lang w:val="en-US" w:eastAsia="zh-CN"/>
                    </w:rPr>
                    <w:t>2套</w:t>
                  </w:r>
                </w:p>
              </w:tc>
              <w:tc>
                <w:tcPr>
                  <w:tcW w:w="1270" w:type="pct"/>
                  <w:noWrap w:val="0"/>
                  <w:vAlign w:val="center"/>
                </w:tcPr>
                <w:p>
                  <w:pPr>
                    <w:spacing w:line="240" w:lineRule="auto"/>
                    <w:jc w:val="center"/>
                    <w:rPr>
                      <w:rFonts w:hint="default" w:ascii="Times New Roman" w:hAnsi="Times New Roman" w:eastAsia="宋体"/>
                      <w:b w:val="0"/>
                      <w:i w:val="0"/>
                      <w:caps w:val="0"/>
                      <w:spacing w:val="0"/>
                      <w:w w:val="100"/>
                      <w:sz w:val="21"/>
                      <w:szCs w:val="21"/>
                      <w:lang w:val="en-US" w:eastAsia="zh-CN"/>
                    </w:rPr>
                  </w:pPr>
                  <w:r>
                    <w:rPr>
                      <w:rFonts w:hint="eastAsia" w:ascii="Times New Roman" w:hAnsi="Times New Roman" w:cs="Times New Roman"/>
                      <w:color w:val="000000"/>
                      <w:sz w:val="21"/>
                      <w:szCs w:val="21"/>
                      <w:lang w:val="en-US" w:eastAsia="zh-CN"/>
                    </w:rPr>
                    <w:t>黄豆</w:t>
                  </w:r>
                  <w:r>
                    <w:rPr>
                      <w:rFonts w:hint="eastAsia" w:ascii="Times New Roman" w:hAnsi="Times New Roman"/>
                      <w:b w:val="0"/>
                      <w:i w:val="0"/>
                      <w:caps w:val="0"/>
                      <w:spacing w:val="0"/>
                      <w:w w:val="100"/>
                      <w:sz w:val="21"/>
                      <w:szCs w:val="21"/>
                      <w:lang w:val="en-US" w:eastAsia="zh-CN"/>
                    </w:rPr>
                    <w:t>研磨成浆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noWrap w:val="0"/>
                  <w:vAlign w:val="center"/>
                </w:tcPr>
                <w:p>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7</w:t>
                  </w:r>
                </w:p>
              </w:tc>
              <w:tc>
                <w:tcPr>
                  <w:tcW w:w="853" w:type="pct"/>
                  <w:vMerge w:val="continue"/>
                  <w:noWrap w:val="0"/>
                  <w:vAlign w:val="center"/>
                </w:tcPr>
                <w:p>
                  <w:pPr>
                    <w:snapToGrid w:val="0"/>
                    <w:spacing w:line="240" w:lineRule="auto"/>
                    <w:jc w:val="center"/>
                    <w:rPr>
                      <w:rFonts w:hint="eastAsia" w:ascii="Times New Roman" w:hAnsi="Times New Roman" w:eastAsia="宋体" w:cs="Times New Roman"/>
                      <w:color w:val="000000"/>
                      <w:sz w:val="21"/>
                      <w:szCs w:val="21"/>
                    </w:rPr>
                  </w:pPr>
                </w:p>
              </w:tc>
              <w:tc>
                <w:tcPr>
                  <w:tcW w:w="925" w:type="pct"/>
                  <w:noWrap w:val="0"/>
                  <w:vAlign w:val="center"/>
                </w:tcPr>
                <w:p>
                  <w:pPr>
                    <w:snapToGrid w:val="0"/>
                    <w:spacing w:before="0" w:beforeAutospacing="0" w:after="0" w:afterAutospacing="0" w:line="240" w:lineRule="auto"/>
                    <w:jc w:val="center"/>
                    <w:textAlignment w:val="baseline"/>
                    <w:rPr>
                      <w:rFonts w:hint="default" w:ascii="Times New Roman" w:hAnsi="Times New Roman" w:eastAsia="宋体" w:cs="Times New Roman"/>
                      <w:color w:val="000000"/>
                      <w:sz w:val="21"/>
                      <w:szCs w:val="21"/>
                      <w:lang w:val="en-US"/>
                    </w:rPr>
                  </w:pPr>
                  <w:r>
                    <w:rPr>
                      <w:rStyle w:val="45"/>
                      <w:rFonts w:ascii="Times New Roman" w:hAnsi="Times New Roman" w:eastAsia="宋体"/>
                      <w:b w:val="0"/>
                      <w:i w:val="0"/>
                      <w:caps w:val="0"/>
                      <w:color w:val="000000"/>
                      <w:spacing w:val="0"/>
                      <w:w w:val="100"/>
                      <w:kern w:val="2"/>
                      <w:sz w:val="21"/>
                      <w:szCs w:val="21"/>
                      <w:lang w:val="en-US" w:eastAsia="zh-CN" w:bidi="ar-SA"/>
                    </w:rPr>
                    <w:t>煮浆</w:t>
                  </w:r>
                  <w:r>
                    <w:rPr>
                      <w:rStyle w:val="45"/>
                      <w:rFonts w:hint="eastAsia" w:ascii="Times New Roman" w:hAnsi="Times New Roman"/>
                      <w:b w:val="0"/>
                      <w:i w:val="0"/>
                      <w:caps w:val="0"/>
                      <w:color w:val="000000"/>
                      <w:spacing w:val="0"/>
                      <w:w w:val="100"/>
                      <w:kern w:val="2"/>
                      <w:sz w:val="21"/>
                      <w:szCs w:val="21"/>
                      <w:lang w:val="en-US" w:eastAsia="zh-CN" w:bidi="ar-SA"/>
                    </w:rPr>
                    <w:t>罐</w:t>
                  </w:r>
                </w:p>
              </w:tc>
              <w:tc>
                <w:tcPr>
                  <w:tcW w:w="774" w:type="pct"/>
                  <w:noWrap w:val="0"/>
                  <w:vAlign w:val="center"/>
                </w:tcPr>
                <w:p>
                  <w:pPr>
                    <w:adjustRightInd w:val="0"/>
                    <w:snapToGrid w:val="0"/>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c>
                <w:tcPr>
                  <w:tcW w:w="780" w:type="pct"/>
                  <w:noWrap w:val="0"/>
                  <w:vAlign w:val="center"/>
                </w:tcPr>
                <w:p>
                  <w:pPr>
                    <w:snapToGrid w:val="0"/>
                    <w:spacing w:line="240" w:lineRule="auto"/>
                    <w:jc w:val="center"/>
                    <w:rPr>
                      <w:rFonts w:ascii="Times New Roman" w:hAnsi="Times New Roman" w:eastAsia="宋体" w:cs="Times New Roman"/>
                      <w:color w:val="000000"/>
                      <w:sz w:val="21"/>
                      <w:szCs w:val="21"/>
                    </w:rPr>
                  </w:pPr>
                  <w:r>
                    <w:rPr>
                      <w:rFonts w:hint="eastAsia" w:ascii="Times New Roman" w:hAnsi="Times New Roman"/>
                      <w:b w:val="0"/>
                      <w:i w:val="0"/>
                      <w:caps w:val="0"/>
                      <w:spacing w:val="0"/>
                      <w:w w:val="100"/>
                      <w:sz w:val="21"/>
                      <w:szCs w:val="21"/>
                      <w:lang w:val="en-US" w:eastAsia="zh-CN"/>
                    </w:rPr>
                    <w:t>10</w:t>
                  </w:r>
                  <w:r>
                    <w:rPr>
                      <w:rFonts w:hint="eastAsia" w:ascii="Times New Roman" w:hAnsi="Times New Roman" w:cs="Times New Roman"/>
                      <w:color w:val="000000"/>
                      <w:sz w:val="21"/>
                      <w:szCs w:val="21"/>
                      <w:lang w:val="en-US" w:eastAsia="zh-CN"/>
                    </w:rPr>
                    <w:t>个</w:t>
                  </w:r>
                </w:p>
              </w:tc>
              <w:tc>
                <w:tcPr>
                  <w:tcW w:w="1270" w:type="pct"/>
                  <w:noWrap w:val="0"/>
                  <w:vAlign w:val="center"/>
                </w:tcPr>
                <w:p>
                  <w:pPr>
                    <w:snapToGrid w:val="0"/>
                    <w:spacing w:line="240" w:lineRule="auto"/>
                    <w:jc w:val="center"/>
                    <w:rPr>
                      <w:rFonts w:hint="eastAsia" w:ascii="Times New Roman" w:hAnsi="Times New Roman" w:eastAsia="宋体"/>
                      <w:b w:val="0"/>
                      <w:i w:val="0"/>
                      <w:caps w:val="0"/>
                      <w:spacing w:val="0"/>
                      <w:w w:val="100"/>
                      <w:sz w:val="21"/>
                      <w:szCs w:val="21"/>
                      <w:lang w:val="en-US" w:eastAsia="zh-CN"/>
                    </w:rPr>
                  </w:pPr>
                  <w:r>
                    <w:rPr>
                      <w:rFonts w:hint="eastAsia" w:ascii="Times New Roman" w:hAnsi="Times New Roman"/>
                      <w:b w:val="0"/>
                      <w:i w:val="0"/>
                      <w:caps w:val="0"/>
                      <w:spacing w:val="0"/>
                      <w:w w:val="100"/>
                      <w:sz w:val="21"/>
                      <w:szCs w:val="21"/>
                      <w:lang w:val="en-US" w:eastAsia="zh-CN"/>
                    </w:rPr>
                    <w:t>煮浆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6" w:type="pct"/>
                  <w:noWrap w:val="0"/>
                  <w:vAlign w:val="center"/>
                </w:tcPr>
                <w:p>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8</w:t>
                  </w:r>
                </w:p>
              </w:tc>
              <w:tc>
                <w:tcPr>
                  <w:tcW w:w="853" w:type="pct"/>
                  <w:vMerge w:val="continue"/>
                  <w:noWrap w:val="0"/>
                  <w:vAlign w:val="center"/>
                </w:tcPr>
                <w:p>
                  <w:pPr>
                    <w:snapToGrid w:val="0"/>
                    <w:spacing w:line="240" w:lineRule="auto"/>
                    <w:jc w:val="center"/>
                    <w:rPr>
                      <w:rFonts w:hint="eastAsia" w:ascii="Times New Roman" w:hAnsi="Times New Roman" w:eastAsia="宋体" w:cs="Times New Roman"/>
                      <w:color w:val="000000"/>
                      <w:sz w:val="21"/>
                      <w:szCs w:val="21"/>
                    </w:rPr>
                  </w:pPr>
                </w:p>
              </w:tc>
              <w:tc>
                <w:tcPr>
                  <w:tcW w:w="925" w:type="pct"/>
                  <w:noWrap w:val="0"/>
                  <w:vAlign w:val="center"/>
                </w:tcPr>
                <w:p>
                  <w:pPr>
                    <w:snapToGrid w:val="0"/>
                    <w:spacing w:before="0" w:beforeAutospacing="0" w:after="0" w:afterAutospacing="0" w:line="240" w:lineRule="auto"/>
                    <w:jc w:val="center"/>
                    <w:textAlignment w:val="baseline"/>
                    <w:rPr>
                      <w:rStyle w:val="45"/>
                      <w:rFonts w:ascii="Times New Roman" w:hAnsi="Times New Roman" w:eastAsia="宋体"/>
                      <w:b w:val="0"/>
                      <w:i w:val="0"/>
                      <w:caps w:val="0"/>
                      <w:color w:val="000000"/>
                      <w:spacing w:val="0"/>
                      <w:w w:val="100"/>
                      <w:kern w:val="2"/>
                      <w:sz w:val="21"/>
                      <w:szCs w:val="21"/>
                      <w:lang w:val="en-US" w:eastAsia="zh-CN" w:bidi="ar-SA"/>
                    </w:rPr>
                  </w:pPr>
                  <w:r>
                    <w:rPr>
                      <w:rStyle w:val="45"/>
                      <w:rFonts w:ascii="Times New Roman" w:hAnsi="Times New Roman" w:eastAsia="宋体"/>
                      <w:b w:val="0"/>
                      <w:i w:val="0"/>
                      <w:caps w:val="0"/>
                      <w:spacing w:val="0"/>
                      <w:w w:val="100"/>
                      <w:kern w:val="2"/>
                      <w:sz w:val="21"/>
                      <w:szCs w:val="21"/>
                      <w:lang w:val="en-US" w:eastAsia="zh-CN" w:bidi="ar-SA"/>
                    </w:rPr>
                    <w:t>腐竹</w:t>
                  </w:r>
                  <w:r>
                    <w:rPr>
                      <w:rStyle w:val="45"/>
                      <w:rFonts w:hint="eastAsia" w:ascii="Times New Roman" w:hAnsi="Times New Roman"/>
                      <w:b w:val="0"/>
                      <w:i w:val="0"/>
                      <w:caps w:val="0"/>
                      <w:spacing w:val="0"/>
                      <w:w w:val="100"/>
                      <w:kern w:val="2"/>
                      <w:sz w:val="21"/>
                      <w:szCs w:val="21"/>
                      <w:lang w:val="en-US" w:eastAsia="zh-CN" w:bidi="ar-SA"/>
                    </w:rPr>
                    <w:t>成型</w:t>
                  </w:r>
                  <w:r>
                    <w:rPr>
                      <w:rStyle w:val="45"/>
                      <w:rFonts w:ascii="Times New Roman" w:hAnsi="Times New Roman" w:eastAsia="宋体"/>
                      <w:b w:val="0"/>
                      <w:i w:val="0"/>
                      <w:caps w:val="0"/>
                      <w:spacing w:val="0"/>
                      <w:w w:val="100"/>
                      <w:kern w:val="2"/>
                      <w:sz w:val="21"/>
                      <w:szCs w:val="21"/>
                      <w:lang w:val="en-US" w:eastAsia="zh-CN" w:bidi="ar-SA"/>
                    </w:rPr>
                    <w:t>槽</w:t>
                  </w:r>
                </w:p>
              </w:tc>
              <w:tc>
                <w:tcPr>
                  <w:tcW w:w="774" w:type="pct"/>
                  <w:noWrap w:val="0"/>
                  <w:vAlign w:val="center"/>
                </w:tcPr>
                <w:p>
                  <w:pPr>
                    <w:snapToGrid w:val="0"/>
                    <w:spacing w:line="240" w:lineRule="auto"/>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c>
                <w:tcPr>
                  <w:tcW w:w="780" w:type="pct"/>
                  <w:noWrap w:val="0"/>
                  <w:vAlign w:val="center"/>
                </w:tcPr>
                <w:p>
                  <w:pPr>
                    <w:snapToGrid w:val="0"/>
                    <w:spacing w:line="240" w:lineRule="auto"/>
                    <w:jc w:val="center"/>
                    <w:rPr>
                      <w:rFonts w:ascii="Times New Roman" w:hAnsi="Times New Roman" w:eastAsia="宋体"/>
                      <w:b w:val="0"/>
                      <w:i w:val="0"/>
                      <w:caps w:val="0"/>
                      <w:spacing w:val="0"/>
                      <w:w w:val="100"/>
                      <w:sz w:val="21"/>
                      <w:szCs w:val="21"/>
                    </w:rPr>
                  </w:pPr>
                  <w:r>
                    <w:rPr>
                      <w:rFonts w:hint="eastAsia" w:ascii="Times New Roman" w:hAnsi="Times New Roman" w:cs="Times New Roman"/>
                      <w:color w:val="000000"/>
                      <w:sz w:val="21"/>
                      <w:szCs w:val="21"/>
                      <w:lang w:val="en-US" w:eastAsia="zh-CN"/>
                    </w:rPr>
                    <w:t>10条</w:t>
                  </w:r>
                </w:p>
              </w:tc>
              <w:tc>
                <w:tcPr>
                  <w:tcW w:w="1270" w:type="pct"/>
                  <w:noWrap w:val="0"/>
                  <w:vAlign w:val="center"/>
                </w:tcPr>
                <w:p>
                  <w:pPr>
                    <w:snapToGrid w:val="0"/>
                    <w:spacing w:line="240" w:lineRule="auto"/>
                    <w:jc w:val="center"/>
                    <w:rPr>
                      <w:rFonts w:hint="eastAsia" w:ascii="Times New Roman" w:hAnsi="Times New Roman" w:eastAsia="宋体"/>
                      <w:b w:val="0"/>
                      <w:i w:val="0"/>
                      <w:caps w:val="0"/>
                      <w:spacing w:val="0"/>
                      <w:w w:val="100"/>
                      <w:sz w:val="21"/>
                      <w:szCs w:val="21"/>
                      <w:lang w:val="en-US" w:eastAsia="zh-CN"/>
                    </w:rPr>
                  </w:pPr>
                  <w:r>
                    <w:rPr>
                      <w:rFonts w:hint="eastAsia" w:ascii="Times New Roman" w:hAnsi="Times New Roman"/>
                      <w:b w:val="0"/>
                      <w:i w:val="0"/>
                      <w:caps w:val="0"/>
                      <w:spacing w:val="0"/>
                      <w:w w:val="100"/>
                      <w:sz w:val="21"/>
                      <w:szCs w:val="21"/>
                      <w:lang w:val="en-US" w:eastAsia="zh-CN"/>
                    </w:rPr>
                    <w:t>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noWrap w:val="0"/>
                  <w:vAlign w:val="center"/>
                </w:tcPr>
                <w:p>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9</w:t>
                  </w:r>
                </w:p>
              </w:tc>
              <w:tc>
                <w:tcPr>
                  <w:tcW w:w="853" w:type="pct"/>
                  <w:vMerge w:val="continue"/>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p>
              </w:tc>
              <w:tc>
                <w:tcPr>
                  <w:tcW w:w="925" w:type="pct"/>
                  <w:noWrap w:val="0"/>
                  <w:vAlign w:val="center"/>
                </w:tcPr>
                <w:p>
                  <w:pPr>
                    <w:snapToGrid w:val="0"/>
                    <w:spacing w:before="0" w:beforeAutospacing="0" w:after="0" w:afterAutospacing="0" w:line="240" w:lineRule="auto"/>
                    <w:jc w:val="center"/>
                    <w:textAlignment w:val="baseline"/>
                    <w:rPr>
                      <w:rFonts w:hint="eastAsia" w:ascii="Times New Roman" w:hAnsi="Times New Roman" w:eastAsia="宋体" w:cs="Times New Roman"/>
                      <w:color w:val="000000"/>
                      <w:sz w:val="21"/>
                      <w:szCs w:val="21"/>
                    </w:rPr>
                  </w:pPr>
                  <w:r>
                    <w:rPr>
                      <w:rStyle w:val="45"/>
                      <w:rFonts w:ascii="Times New Roman" w:hAnsi="Times New Roman" w:eastAsia="宋体"/>
                      <w:b w:val="0"/>
                      <w:i w:val="0"/>
                      <w:caps w:val="0"/>
                      <w:color w:val="000000"/>
                      <w:spacing w:val="0"/>
                      <w:w w:val="100"/>
                      <w:kern w:val="2"/>
                      <w:sz w:val="21"/>
                      <w:szCs w:val="21"/>
                      <w:lang w:val="en-US" w:eastAsia="zh-CN" w:bidi="ar-SA"/>
                    </w:rPr>
                    <w:t>包装机</w:t>
                  </w:r>
                </w:p>
              </w:tc>
              <w:tc>
                <w:tcPr>
                  <w:tcW w:w="774" w:type="pct"/>
                  <w:noWrap w:val="0"/>
                  <w:vAlign w:val="center"/>
                </w:tcPr>
                <w:p>
                  <w:pPr>
                    <w:snapToGrid w:val="0"/>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c>
                <w:tcPr>
                  <w:tcW w:w="780" w:type="pct"/>
                  <w:noWrap w:val="0"/>
                  <w:vAlign w:val="center"/>
                </w:tcPr>
                <w:p>
                  <w:pPr>
                    <w:snapToGrid w:val="0"/>
                    <w:spacing w:line="240" w:lineRule="auto"/>
                    <w:jc w:val="center"/>
                    <w:rPr>
                      <w:rFonts w:ascii="Times New Roman" w:hAnsi="Times New Roman" w:eastAsia="宋体" w:cs="Times New Roman"/>
                      <w:color w:val="000000"/>
                      <w:sz w:val="21"/>
                      <w:szCs w:val="21"/>
                    </w:rPr>
                  </w:pPr>
                  <w:r>
                    <w:rPr>
                      <w:rFonts w:hint="eastAsia" w:ascii="Times New Roman" w:hAnsi="Times New Roman" w:cs="Times New Roman"/>
                      <w:color w:val="000000"/>
                      <w:sz w:val="21"/>
                      <w:szCs w:val="21"/>
                      <w:lang w:val="en-US" w:eastAsia="zh-CN"/>
                    </w:rPr>
                    <w:t>3台</w:t>
                  </w:r>
                </w:p>
              </w:tc>
              <w:tc>
                <w:tcPr>
                  <w:tcW w:w="1270" w:type="pct"/>
                  <w:noWrap w:val="0"/>
                  <w:vAlign w:val="center"/>
                </w:tcPr>
                <w:p>
                  <w:pPr>
                    <w:snapToGrid w:val="0"/>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w:t>
                  </w:r>
                </w:p>
              </w:tc>
              <w:tc>
                <w:tcPr>
                  <w:tcW w:w="853" w:type="pct"/>
                  <w:vMerge w:val="continue"/>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p>
              </w:tc>
              <w:tc>
                <w:tcPr>
                  <w:tcW w:w="925" w:type="pct"/>
                  <w:noWrap w:val="0"/>
                  <w:vAlign w:val="center"/>
                </w:tcPr>
                <w:p>
                  <w:pPr>
                    <w:snapToGrid w:val="0"/>
                    <w:spacing w:before="0" w:beforeAutospacing="0" w:after="0" w:afterAutospacing="0" w:line="240" w:lineRule="auto"/>
                    <w:jc w:val="center"/>
                    <w:textAlignment w:val="baseline"/>
                    <w:rPr>
                      <w:rStyle w:val="45"/>
                      <w:rFonts w:ascii="Times New Roman" w:hAnsi="Times New Roman" w:eastAsia="宋体"/>
                      <w:b w:val="0"/>
                      <w:i w:val="0"/>
                      <w:caps w:val="0"/>
                      <w:color w:val="000000"/>
                      <w:spacing w:val="0"/>
                      <w:w w:val="100"/>
                      <w:kern w:val="2"/>
                      <w:sz w:val="21"/>
                      <w:szCs w:val="21"/>
                      <w:lang w:val="en-US" w:eastAsia="zh-CN" w:bidi="ar-SA"/>
                    </w:rPr>
                  </w:pPr>
                  <w:r>
                    <w:rPr>
                      <w:rFonts w:ascii="Times New Roman" w:hAnsi="Times New Roman" w:eastAsia="宋体" w:cs="Times New Roman"/>
                      <w:b w:val="0"/>
                      <w:i w:val="0"/>
                      <w:caps w:val="0"/>
                      <w:color w:val="000000"/>
                      <w:spacing w:val="0"/>
                      <w:w w:val="100"/>
                      <w:kern w:val="2"/>
                      <w:sz w:val="21"/>
                      <w:szCs w:val="21"/>
                      <w:lang w:val="en-US" w:eastAsia="zh-CN" w:bidi="ar-SA"/>
                    </w:rPr>
                    <w:t>提升机</w:t>
                  </w:r>
                </w:p>
              </w:tc>
              <w:tc>
                <w:tcPr>
                  <w:tcW w:w="774" w:type="pct"/>
                  <w:noWrap w:val="0"/>
                  <w:vAlign w:val="center"/>
                </w:tcPr>
                <w:p>
                  <w:pPr>
                    <w:snapToGrid w:val="0"/>
                    <w:spacing w:line="240" w:lineRule="auto"/>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c>
                <w:tcPr>
                  <w:tcW w:w="780" w:type="pct"/>
                  <w:noWrap w:val="0"/>
                  <w:vAlign w:val="center"/>
                </w:tcPr>
                <w:p>
                  <w:pPr>
                    <w:snapToGrid w:val="0"/>
                    <w:spacing w:line="240" w:lineRule="auto"/>
                    <w:jc w:val="center"/>
                    <w:rPr>
                      <w:rFonts w:hint="eastAsia" w:ascii="Times New Roman" w:hAnsi="Times New Roman" w:eastAsia="宋体" w:cs="Times New Roman"/>
                      <w:color w:val="000000"/>
                      <w:sz w:val="21"/>
                      <w:szCs w:val="21"/>
                    </w:rPr>
                  </w:pPr>
                  <w:r>
                    <w:rPr>
                      <w:rFonts w:hint="eastAsia" w:ascii="Times New Roman" w:hAnsi="Times New Roman" w:cs="Times New Roman"/>
                      <w:color w:val="000000"/>
                      <w:sz w:val="21"/>
                      <w:szCs w:val="21"/>
                      <w:lang w:val="en-US" w:eastAsia="zh-CN"/>
                    </w:rPr>
                    <w:t>4台</w:t>
                  </w:r>
                </w:p>
              </w:tc>
              <w:tc>
                <w:tcPr>
                  <w:tcW w:w="1270" w:type="pct"/>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r>
                    <w:rPr>
                      <w:rFonts w:ascii="Times New Roman" w:hAnsi="Times New Roman" w:eastAsia="宋体" w:cs="Times New Roman"/>
                      <w:b w:val="0"/>
                      <w:i w:val="0"/>
                      <w:caps w:val="0"/>
                      <w:color w:val="000000"/>
                      <w:spacing w:val="0"/>
                      <w:w w:val="100"/>
                      <w:kern w:val="2"/>
                      <w:sz w:val="21"/>
                      <w:szCs w:val="21"/>
                      <w:lang w:val="en-US" w:eastAsia="zh-CN" w:bidi="ar-SA"/>
                    </w:rPr>
                    <w:t>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noWrap w:val="0"/>
                  <w:vAlign w:val="center"/>
                </w:tcPr>
                <w:p>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11</w:t>
                  </w:r>
                </w:p>
              </w:tc>
              <w:tc>
                <w:tcPr>
                  <w:tcW w:w="853" w:type="pct"/>
                  <w:vMerge w:val="restar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豆皮车间生产线</w:t>
                  </w:r>
                </w:p>
              </w:tc>
              <w:tc>
                <w:tcPr>
                  <w:tcW w:w="925" w:type="pct"/>
                  <w:noWrap w:val="0"/>
                  <w:vAlign w:val="center"/>
                </w:tcPr>
                <w:p>
                  <w:pPr>
                    <w:snapToGrid w:val="0"/>
                    <w:spacing w:before="0" w:beforeAutospacing="0" w:after="0" w:afterAutospacing="0" w:line="240" w:lineRule="auto"/>
                    <w:jc w:val="center"/>
                    <w:textAlignment w:val="baseline"/>
                    <w:rPr>
                      <w:rStyle w:val="45"/>
                      <w:rFonts w:hint="default" w:ascii="Times New Roman" w:hAnsi="Times New Roman" w:eastAsia="宋体"/>
                      <w:b w:val="0"/>
                      <w:i w:val="0"/>
                      <w:caps w:val="0"/>
                      <w:color w:val="000000"/>
                      <w:spacing w:val="0"/>
                      <w:w w:val="100"/>
                      <w:kern w:val="2"/>
                      <w:sz w:val="21"/>
                      <w:szCs w:val="21"/>
                      <w:lang w:val="en-US" w:eastAsia="zh-CN" w:bidi="ar-SA"/>
                    </w:rPr>
                  </w:pPr>
                  <w:r>
                    <w:rPr>
                      <w:rStyle w:val="45"/>
                      <w:rFonts w:hint="eastAsia" w:ascii="Times New Roman" w:hAnsi="Times New Roman"/>
                      <w:b w:val="0"/>
                      <w:i w:val="0"/>
                      <w:caps w:val="0"/>
                      <w:color w:val="000000"/>
                      <w:spacing w:val="0"/>
                      <w:w w:val="100"/>
                      <w:kern w:val="2"/>
                      <w:sz w:val="21"/>
                      <w:szCs w:val="21"/>
                      <w:lang w:val="en-US" w:eastAsia="zh-CN" w:bidi="ar-SA"/>
                    </w:rPr>
                    <w:t>搅拌机</w:t>
                  </w:r>
                </w:p>
              </w:tc>
              <w:tc>
                <w:tcPr>
                  <w:tcW w:w="774" w:type="pct"/>
                  <w:noWrap w:val="0"/>
                  <w:vAlign w:val="center"/>
                </w:tcPr>
                <w:p>
                  <w:pPr>
                    <w:snapToGrid w:val="0"/>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HHCL200-D</w:t>
                  </w:r>
                </w:p>
              </w:tc>
              <w:tc>
                <w:tcPr>
                  <w:tcW w:w="780" w:type="pc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1台</w:t>
                  </w:r>
                </w:p>
              </w:tc>
              <w:tc>
                <w:tcPr>
                  <w:tcW w:w="1270" w:type="pct"/>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b w:val="0"/>
                      <w:i w:val="0"/>
                      <w:caps w:val="0"/>
                      <w:color w:val="000000"/>
                      <w:spacing w:val="0"/>
                      <w:w w:val="100"/>
                      <w:kern w:val="2"/>
                      <w:sz w:val="21"/>
                      <w:szCs w:val="21"/>
                      <w:lang w:val="en-US" w:eastAsia="zh-CN" w:bidi="ar-SA"/>
                    </w:rPr>
                    <w:t>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12</w:t>
                  </w:r>
                </w:p>
              </w:tc>
              <w:tc>
                <w:tcPr>
                  <w:tcW w:w="853" w:type="pct"/>
                  <w:vMerge w:val="continue"/>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p>
              </w:tc>
              <w:tc>
                <w:tcPr>
                  <w:tcW w:w="925" w:type="pct"/>
                  <w:noWrap w:val="0"/>
                  <w:vAlign w:val="center"/>
                </w:tcPr>
                <w:p>
                  <w:pPr>
                    <w:snapToGrid w:val="0"/>
                    <w:spacing w:before="0" w:beforeAutospacing="0" w:after="0" w:afterAutospacing="0" w:line="240" w:lineRule="auto"/>
                    <w:jc w:val="center"/>
                    <w:textAlignment w:val="baseline"/>
                    <w:rPr>
                      <w:rFonts w:hint="eastAsia" w:ascii="Times New Roman" w:hAnsi="Times New Roman" w:eastAsia="宋体" w:cs="Times New Roman"/>
                      <w:color w:val="000000"/>
                      <w:sz w:val="21"/>
                      <w:szCs w:val="21"/>
                    </w:rPr>
                  </w:pPr>
                  <w:r>
                    <w:rPr>
                      <w:rFonts w:ascii="Times New Roman" w:hAnsi="Times New Roman" w:eastAsia="宋体"/>
                      <w:b w:val="0"/>
                      <w:i w:val="0"/>
                      <w:caps w:val="0"/>
                      <w:spacing w:val="0"/>
                      <w:w w:val="100"/>
                      <w:kern w:val="2"/>
                      <w:sz w:val="21"/>
                      <w:szCs w:val="21"/>
                      <w:lang w:val="en-US" w:eastAsia="zh-CN" w:bidi="ar-SA"/>
                    </w:rPr>
                    <w:t>豆皮膨化</w:t>
                  </w:r>
                  <w:r>
                    <w:rPr>
                      <w:rFonts w:hint="eastAsia" w:ascii="Times New Roman" w:hAnsi="Times New Roman" w:eastAsia="宋体"/>
                      <w:b w:val="0"/>
                      <w:i w:val="0"/>
                      <w:caps w:val="0"/>
                      <w:spacing w:val="0"/>
                      <w:w w:val="100"/>
                      <w:kern w:val="2"/>
                      <w:sz w:val="21"/>
                      <w:szCs w:val="21"/>
                      <w:lang w:val="en-US" w:eastAsia="zh-CN" w:bidi="ar-SA"/>
                    </w:rPr>
                    <w:t>机</w:t>
                  </w:r>
                </w:p>
              </w:tc>
              <w:tc>
                <w:tcPr>
                  <w:tcW w:w="774" w:type="pct"/>
                  <w:noWrap w:val="0"/>
                  <w:vAlign w:val="center"/>
                </w:tcPr>
                <w:p>
                  <w:pPr>
                    <w:snapToGrid w:val="0"/>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DP-100型</w:t>
                  </w:r>
                </w:p>
              </w:tc>
              <w:tc>
                <w:tcPr>
                  <w:tcW w:w="780" w:type="pct"/>
                  <w:noWrap w:val="0"/>
                  <w:vAlign w:val="center"/>
                </w:tcPr>
                <w:p>
                  <w:pPr>
                    <w:snapToGrid w:val="0"/>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10台</w:t>
                  </w:r>
                </w:p>
              </w:tc>
              <w:tc>
                <w:tcPr>
                  <w:tcW w:w="1270" w:type="pct"/>
                  <w:noWrap w:val="0"/>
                  <w:vAlign w:val="center"/>
                </w:tcPr>
                <w:p>
                  <w:pPr>
                    <w:snapToGrid w:val="0"/>
                    <w:spacing w:line="240" w:lineRule="auto"/>
                    <w:jc w:val="center"/>
                    <w:rPr>
                      <w:rFonts w:hint="eastAsia" w:ascii="Times New Roman" w:hAnsi="Times New Roman" w:eastAsia="宋体" w:cs="Times New Roman"/>
                      <w:color w:val="000000"/>
                      <w:sz w:val="21"/>
                      <w:szCs w:val="21"/>
                    </w:rPr>
                  </w:pPr>
                  <w:r>
                    <w:rPr>
                      <w:rFonts w:ascii="Times New Roman" w:hAnsi="Times New Roman" w:eastAsia="宋体"/>
                      <w:b w:val="0"/>
                      <w:i w:val="0"/>
                      <w:caps w:val="0"/>
                      <w:spacing w:val="0"/>
                      <w:w w:val="100"/>
                      <w:kern w:val="2"/>
                      <w:sz w:val="21"/>
                      <w:szCs w:val="21"/>
                      <w:lang w:val="en-US" w:eastAsia="zh-CN" w:bidi="ar-SA"/>
                    </w:rPr>
                    <w:t>豆皮膨化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noWrap w:val="0"/>
                  <w:vAlign w:val="center"/>
                </w:tcPr>
                <w:p>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13</w:t>
                  </w:r>
                </w:p>
              </w:tc>
              <w:tc>
                <w:tcPr>
                  <w:tcW w:w="853" w:type="pct"/>
                  <w:vMerge w:val="continue"/>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p>
              </w:tc>
              <w:tc>
                <w:tcPr>
                  <w:tcW w:w="925" w:type="pct"/>
                  <w:noWrap w:val="0"/>
                  <w:vAlign w:val="center"/>
                </w:tcPr>
                <w:p>
                  <w:pPr>
                    <w:snapToGrid w:val="0"/>
                    <w:spacing w:before="0" w:beforeAutospacing="0" w:after="0" w:afterAutospacing="0" w:line="240" w:lineRule="auto"/>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整切机</w:t>
                  </w:r>
                </w:p>
              </w:tc>
              <w:tc>
                <w:tcPr>
                  <w:tcW w:w="774" w:type="pct"/>
                  <w:noWrap w:val="0"/>
                  <w:vAlign w:val="center"/>
                </w:tcPr>
                <w:p>
                  <w:pPr>
                    <w:snapToGrid w:val="0"/>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FC-304</w:t>
                  </w:r>
                </w:p>
              </w:tc>
              <w:tc>
                <w:tcPr>
                  <w:tcW w:w="780" w:type="pct"/>
                  <w:noWrap w:val="0"/>
                  <w:vAlign w:val="center"/>
                </w:tcPr>
                <w:p>
                  <w:pPr>
                    <w:snapToGrid w:val="0"/>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b w:val="0"/>
                      <w:i w:val="0"/>
                      <w:caps w:val="0"/>
                      <w:spacing w:val="0"/>
                      <w:w w:val="100"/>
                      <w:kern w:val="2"/>
                      <w:sz w:val="21"/>
                      <w:szCs w:val="21"/>
                      <w:lang w:val="en-US" w:eastAsia="zh-CN" w:bidi="ar-SA"/>
                    </w:rPr>
                    <w:t>1</w:t>
                  </w:r>
                  <w:r>
                    <w:rPr>
                      <w:rFonts w:hint="eastAsia" w:ascii="Times New Roman" w:hAnsi="Times New Roman" w:cs="Times New Roman"/>
                      <w:color w:val="000000"/>
                      <w:sz w:val="21"/>
                      <w:szCs w:val="21"/>
                      <w:lang w:val="en-US" w:eastAsia="zh-CN"/>
                    </w:rPr>
                    <w:t>台</w:t>
                  </w:r>
                </w:p>
              </w:tc>
              <w:tc>
                <w:tcPr>
                  <w:tcW w:w="1270" w:type="pct"/>
                  <w:noWrap w:val="0"/>
                  <w:vAlign w:val="center"/>
                </w:tcPr>
                <w:p>
                  <w:pPr>
                    <w:snapToGrid w:val="0"/>
                    <w:spacing w:line="240" w:lineRule="auto"/>
                    <w:jc w:val="center"/>
                    <w:rPr>
                      <w:rFonts w:ascii="Times New Roman" w:hAnsi="Times New Roman" w:eastAsia="宋体" w:cs="Times New Roman"/>
                      <w:b w:val="0"/>
                      <w:i w:val="0"/>
                      <w:caps w:val="0"/>
                      <w:spacing w:val="0"/>
                      <w:w w:val="100"/>
                      <w:kern w:val="2"/>
                      <w:sz w:val="21"/>
                      <w:szCs w:val="21"/>
                      <w:lang w:val="en-US" w:eastAsia="zh-CN" w:bidi="ar-SA"/>
                    </w:rPr>
                  </w:pPr>
                  <w:r>
                    <w:rPr>
                      <w:rFonts w:hint="eastAsia" w:ascii="Times New Roman" w:hAnsi="Times New Roman" w:cs="Times New Roman"/>
                      <w:color w:val="000000"/>
                      <w:sz w:val="21"/>
                      <w:szCs w:val="21"/>
                      <w:lang w:val="en-US" w:eastAsia="zh-CN"/>
                    </w:rPr>
                    <w:t>切片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14</w:t>
                  </w:r>
                </w:p>
              </w:tc>
              <w:tc>
                <w:tcPr>
                  <w:tcW w:w="853" w:type="pct"/>
                  <w:vMerge w:val="continue"/>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p>
              </w:tc>
              <w:tc>
                <w:tcPr>
                  <w:tcW w:w="925" w:type="pct"/>
                  <w:noWrap w:val="0"/>
                  <w:vAlign w:val="center"/>
                </w:tcPr>
                <w:p>
                  <w:pPr>
                    <w:snapToGrid w:val="0"/>
                    <w:spacing w:before="0" w:beforeAutospacing="0" w:after="0" w:afterAutospacing="0" w:line="240" w:lineRule="auto"/>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塑料薄膜封口机</w:t>
                  </w:r>
                </w:p>
              </w:tc>
              <w:tc>
                <w:tcPr>
                  <w:tcW w:w="774" w:type="pc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90型卧式</w:t>
                  </w:r>
                </w:p>
              </w:tc>
              <w:tc>
                <w:tcPr>
                  <w:tcW w:w="780" w:type="pct"/>
                  <w:noWrap w:val="0"/>
                  <w:vAlign w:val="center"/>
                </w:tcPr>
                <w:p>
                  <w:pPr>
                    <w:snapToGrid w:val="0"/>
                    <w:spacing w:line="240" w:lineRule="auto"/>
                    <w:jc w:val="center"/>
                    <w:rPr>
                      <w:rFonts w:hint="default" w:ascii="Times New Roman" w:hAnsi="Times New Roman" w:eastAsia="宋体" w:cs="Times New Roman"/>
                      <w:b w:val="0"/>
                      <w:i w:val="0"/>
                      <w:caps w:val="0"/>
                      <w:spacing w:val="0"/>
                      <w:w w:val="100"/>
                      <w:kern w:val="2"/>
                      <w:sz w:val="21"/>
                      <w:szCs w:val="21"/>
                      <w:lang w:val="en-US" w:eastAsia="zh-CN" w:bidi="ar-SA"/>
                    </w:rPr>
                  </w:pPr>
                  <w:r>
                    <w:rPr>
                      <w:rFonts w:hint="eastAsia" w:ascii="Times New Roman" w:hAnsi="Times New Roman" w:cs="Times New Roman"/>
                      <w:b w:val="0"/>
                      <w:i w:val="0"/>
                      <w:caps w:val="0"/>
                      <w:spacing w:val="0"/>
                      <w:w w:val="100"/>
                      <w:kern w:val="2"/>
                      <w:sz w:val="21"/>
                      <w:szCs w:val="21"/>
                      <w:lang w:val="en-US" w:eastAsia="zh-CN" w:bidi="ar-SA"/>
                    </w:rPr>
                    <w:t>1</w:t>
                  </w:r>
                  <w:r>
                    <w:rPr>
                      <w:rFonts w:hint="eastAsia" w:ascii="Times New Roman" w:hAnsi="Times New Roman" w:cs="Times New Roman"/>
                      <w:color w:val="000000"/>
                      <w:sz w:val="21"/>
                      <w:szCs w:val="21"/>
                      <w:lang w:val="en-US" w:eastAsia="zh-CN"/>
                    </w:rPr>
                    <w:t>台</w:t>
                  </w:r>
                </w:p>
              </w:tc>
              <w:tc>
                <w:tcPr>
                  <w:tcW w:w="1270" w:type="pct"/>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15</w:t>
                  </w:r>
                </w:p>
              </w:tc>
              <w:tc>
                <w:tcPr>
                  <w:tcW w:w="853" w:type="pc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烘干</w:t>
                  </w:r>
                </w:p>
              </w:tc>
              <w:tc>
                <w:tcPr>
                  <w:tcW w:w="925" w:type="pct"/>
                  <w:noWrap w:val="0"/>
                  <w:vAlign w:val="center"/>
                </w:tcPr>
                <w:p>
                  <w:pPr>
                    <w:snapToGrid w:val="0"/>
                    <w:spacing w:before="0" w:beforeAutospacing="0" w:after="0" w:afterAutospacing="0" w:line="240" w:lineRule="auto"/>
                    <w:jc w:val="center"/>
                    <w:textAlignment w:val="baseline"/>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烘干房</w:t>
                  </w:r>
                </w:p>
              </w:tc>
              <w:tc>
                <w:tcPr>
                  <w:tcW w:w="774" w:type="pct"/>
                  <w:noWrap w:val="0"/>
                  <w:vAlign w:val="center"/>
                </w:tcPr>
                <w:p>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rPr>
                    <w:t>/</w:t>
                  </w:r>
                </w:p>
              </w:tc>
              <w:tc>
                <w:tcPr>
                  <w:tcW w:w="780" w:type="pct"/>
                  <w:noWrap w:val="0"/>
                  <w:vAlign w:val="center"/>
                </w:tcPr>
                <w:p>
                  <w:pPr>
                    <w:snapToGrid w:val="0"/>
                    <w:spacing w:line="240" w:lineRule="auto"/>
                    <w:jc w:val="center"/>
                    <w:rPr>
                      <w:rFonts w:hint="eastAsia" w:ascii="Times New Roman" w:hAnsi="Times New Roman" w:eastAsia="宋体" w:cs="Times New Roman"/>
                      <w:b w:val="0"/>
                      <w:i w:val="0"/>
                      <w:caps w:val="0"/>
                      <w:spacing w:val="0"/>
                      <w:w w:val="100"/>
                      <w:kern w:val="2"/>
                      <w:sz w:val="21"/>
                      <w:szCs w:val="21"/>
                      <w:lang w:val="en-US" w:eastAsia="zh-CN" w:bidi="ar-SA"/>
                    </w:rPr>
                  </w:pPr>
                  <w:r>
                    <w:rPr>
                      <w:rFonts w:hint="eastAsia" w:ascii="Times New Roman" w:hAnsi="Times New Roman" w:cs="Times New Roman"/>
                      <w:color w:val="000000"/>
                      <w:sz w:val="21"/>
                      <w:szCs w:val="21"/>
                      <w:lang w:val="en-US" w:eastAsia="zh-CN"/>
                    </w:rPr>
                    <w:t>6个</w:t>
                  </w:r>
                </w:p>
              </w:tc>
              <w:tc>
                <w:tcPr>
                  <w:tcW w:w="1270" w:type="pct"/>
                  <w:noWrap w:val="0"/>
                  <w:vAlign w:val="center"/>
                </w:tcPr>
                <w:p>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烘干，腐竹和豆皮烘干共用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16</w:t>
                  </w:r>
                </w:p>
              </w:tc>
              <w:tc>
                <w:tcPr>
                  <w:tcW w:w="853" w:type="pc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散热</w:t>
                  </w:r>
                </w:p>
              </w:tc>
              <w:tc>
                <w:tcPr>
                  <w:tcW w:w="925" w:type="pct"/>
                  <w:noWrap w:val="0"/>
                  <w:vAlign w:val="center"/>
                </w:tcPr>
                <w:p>
                  <w:pPr>
                    <w:snapToGrid w:val="0"/>
                    <w:spacing w:before="0" w:beforeAutospacing="0" w:after="0" w:afterAutospacing="0" w:line="240" w:lineRule="auto"/>
                    <w:jc w:val="center"/>
                    <w:textAlignment w:val="baseline"/>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蒸汽散热器</w:t>
                  </w:r>
                </w:p>
              </w:tc>
              <w:tc>
                <w:tcPr>
                  <w:tcW w:w="774" w:type="pct"/>
                  <w:noWrap w:val="0"/>
                  <w:vAlign w:val="center"/>
                </w:tcPr>
                <w:p>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rPr>
                    <w:t>/</w:t>
                  </w:r>
                </w:p>
              </w:tc>
              <w:tc>
                <w:tcPr>
                  <w:tcW w:w="780" w:type="pct"/>
                  <w:noWrap w:val="0"/>
                  <w:vAlign w:val="center"/>
                </w:tcPr>
                <w:p>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6个</w:t>
                  </w:r>
                </w:p>
              </w:tc>
              <w:tc>
                <w:tcPr>
                  <w:tcW w:w="1270" w:type="pct"/>
                  <w:noWrap w:val="0"/>
                  <w:vAlign w:val="center"/>
                </w:tcPr>
                <w:p>
                  <w:pPr>
                    <w:snapToGrid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蒸汽散热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19</w:t>
                  </w:r>
                </w:p>
              </w:tc>
              <w:tc>
                <w:tcPr>
                  <w:tcW w:w="853" w:type="pct"/>
                  <w:vMerge w:val="restar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供热</w:t>
                  </w:r>
                </w:p>
              </w:tc>
              <w:tc>
                <w:tcPr>
                  <w:tcW w:w="925" w:type="pct"/>
                  <w:vMerge w:val="restart"/>
                  <w:noWrap w:val="0"/>
                  <w:vAlign w:val="center"/>
                </w:tcPr>
                <w:p>
                  <w:pPr>
                    <w:snapToGrid w:val="0"/>
                    <w:spacing w:before="0" w:beforeAutospacing="0" w:after="0" w:afterAutospacing="0" w:line="240" w:lineRule="auto"/>
                    <w:jc w:val="center"/>
                    <w:textAlignment w:val="baseline"/>
                    <w:rPr>
                      <w:rStyle w:val="45"/>
                      <w:rFonts w:ascii="Times New Roman" w:hAnsi="Times New Roman" w:eastAsia="宋体"/>
                      <w:b w:val="0"/>
                      <w:i w:val="0"/>
                      <w:caps w:val="0"/>
                      <w:color w:val="000000"/>
                      <w:spacing w:val="0"/>
                      <w:w w:val="100"/>
                      <w:kern w:val="2"/>
                      <w:sz w:val="21"/>
                      <w:szCs w:val="21"/>
                      <w:lang w:val="en-US" w:eastAsia="zh-CN" w:bidi="ar-SA"/>
                    </w:rPr>
                  </w:pPr>
                  <w:r>
                    <w:rPr>
                      <w:rFonts w:ascii="Times New Roman" w:hAnsi="Times New Roman" w:eastAsia="宋体" w:cs="Times New Roman"/>
                      <w:b w:val="0"/>
                      <w:i w:val="0"/>
                      <w:caps w:val="0"/>
                      <w:color w:val="000000"/>
                      <w:spacing w:val="0"/>
                      <w:w w:val="100"/>
                      <w:kern w:val="2"/>
                      <w:sz w:val="21"/>
                      <w:szCs w:val="21"/>
                      <w:lang w:val="en-US" w:eastAsia="zh-CN" w:bidi="ar-SA"/>
                    </w:rPr>
                    <w:t>生物质蒸汽锅炉</w:t>
                  </w:r>
                </w:p>
              </w:tc>
              <w:tc>
                <w:tcPr>
                  <w:tcW w:w="774" w:type="pct"/>
                  <w:noWrap w:val="0"/>
                  <w:vAlign w:val="center"/>
                </w:tcPr>
                <w:p>
                  <w:pPr>
                    <w:snapToGrid w:val="0"/>
                    <w:spacing w:line="240" w:lineRule="auto"/>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2</w:t>
                  </w:r>
                  <w:r>
                    <w:rPr>
                      <w:rFonts w:hint="eastAsia" w:ascii="Times New Roman" w:hAnsi="Times New Roman" w:eastAsia="宋体" w:cs="Times New Roman"/>
                      <w:color w:val="000000"/>
                      <w:sz w:val="21"/>
                      <w:szCs w:val="21"/>
                    </w:rPr>
                    <w:t>t/h</w:t>
                  </w:r>
                </w:p>
              </w:tc>
              <w:tc>
                <w:tcPr>
                  <w:tcW w:w="780" w:type="pc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1台</w:t>
                  </w:r>
                </w:p>
              </w:tc>
              <w:tc>
                <w:tcPr>
                  <w:tcW w:w="1270" w:type="pct"/>
                  <w:vMerge w:val="restart"/>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用于烘干、拉皮、煮浆和回润房供热，一用一备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20</w:t>
                  </w:r>
                </w:p>
              </w:tc>
              <w:tc>
                <w:tcPr>
                  <w:tcW w:w="853" w:type="pct"/>
                  <w:vMerge w:val="continue"/>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p>
              </w:tc>
              <w:tc>
                <w:tcPr>
                  <w:tcW w:w="925" w:type="pct"/>
                  <w:vMerge w:val="continue"/>
                  <w:noWrap w:val="0"/>
                  <w:vAlign w:val="center"/>
                </w:tcPr>
                <w:p>
                  <w:pPr>
                    <w:snapToGrid w:val="0"/>
                    <w:spacing w:before="0" w:beforeAutospacing="0" w:after="0" w:afterAutospacing="0" w:line="240" w:lineRule="auto"/>
                    <w:jc w:val="center"/>
                    <w:textAlignment w:val="baseline"/>
                    <w:rPr>
                      <w:rFonts w:ascii="Times New Roman" w:hAnsi="Times New Roman" w:eastAsia="宋体" w:cs="Times New Roman"/>
                      <w:b w:val="0"/>
                      <w:i w:val="0"/>
                      <w:caps w:val="0"/>
                      <w:color w:val="000000"/>
                      <w:spacing w:val="0"/>
                      <w:w w:val="100"/>
                      <w:kern w:val="2"/>
                      <w:sz w:val="21"/>
                      <w:szCs w:val="21"/>
                      <w:lang w:val="en-US" w:eastAsia="zh-CN" w:bidi="ar-SA"/>
                    </w:rPr>
                  </w:pPr>
                </w:p>
              </w:tc>
              <w:tc>
                <w:tcPr>
                  <w:tcW w:w="774" w:type="pct"/>
                  <w:noWrap w:val="0"/>
                  <w:vAlign w:val="center"/>
                </w:tcPr>
                <w:p>
                  <w:pPr>
                    <w:snapToGrid w:val="0"/>
                    <w:spacing w:line="240" w:lineRule="auto"/>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10</w:t>
                  </w:r>
                  <w:r>
                    <w:rPr>
                      <w:rFonts w:hint="eastAsia" w:ascii="Times New Roman" w:hAnsi="Times New Roman" w:eastAsia="宋体" w:cs="Times New Roman"/>
                      <w:color w:val="000000"/>
                      <w:sz w:val="21"/>
                      <w:szCs w:val="21"/>
                    </w:rPr>
                    <w:t>t/h</w:t>
                  </w:r>
                </w:p>
              </w:tc>
              <w:tc>
                <w:tcPr>
                  <w:tcW w:w="780" w:type="pc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1台</w:t>
                  </w:r>
                </w:p>
              </w:tc>
              <w:tc>
                <w:tcPr>
                  <w:tcW w:w="1270" w:type="pct"/>
                  <w:vMerge w:val="continue"/>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noWrap w:val="0"/>
                  <w:vAlign w:val="center"/>
                </w:tcPr>
                <w:p>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21</w:t>
                  </w:r>
                </w:p>
              </w:tc>
              <w:tc>
                <w:tcPr>
                  <w:tcW w:w="853" w:type="pct"/>
                  <w:vMerge w:val="continue"/>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p>
              </w:tc>
              <w:tc>
                <w:tcPr>
                  <w:tcW w:w="925" w:type="pct"/>
                  <w:noWrap w:val="0"/>
                  <w:vAlign w:val="center"/>
                </w:tcPr>
                <w:p>
                  <w:pPr>
                    <w:snapToGrid w:val="0"/>
                    <w:spacing w:before="0" w:beforeAutospacing="0" w:after="0" w:afterAutospacing="0" w:line="240" w:lineRule="auto"/>
                    <w:jc w:val="center"/>
                    <w:textAlignment w:val="baseline"/>
                    <w:rPr>
                      <w:rFonts w:ascii="Times New Roman" w:hAnsi="Times New Roman" w:eastAsia="宋体" w:cs="Times New Roman"/>
                      <w:b w:val="0"/>
                      <w:i w:val="0"/>
                      <w:caps w:val="0"/>
                      <w:color w:val="000000"/>
                      <w:spacing w:val="0"/>
                      <w:w w:val="100"/>
                      <w:kern w:val="2"/>
                      <w:sz w:val="21"/>
                      <w:szCs w:val="21"/>
                      <w:lang w:val="en-US" w:eastAsia="zh-CN" w:bidi="ar-SA"/>
                    </w:rPr>
                  </w:pPr>
                  <w:r>
                    <w:rPr>
                      <w:rFonts w:ascii="Times New Roman" w:hAnsi="Times New Roman"/>
                      <w:bCs/>
                      <w:sz w:val="21"/>
                      <w:szCs w:val="21"/>
                    </w:rPr>
                    <w:t>软化</w:t>
                  </w:r>
                  <w:r>
                    <w:rPr>
                      <w:rFonts w:hint="eastAsia" w:ascii="Times New Roman" w:hAnsi="Times New Roman"/>
                      <w:bCs/>
                      <w:sz w:val="21"/>
                      <w:szCs w:val="21"/>
                      <w:lang w:val="en-US" w:eastAsia="zh-CN"/>
                    </w:rPr>
                    <w:t>器</w:t>
                  </w:r>
                </w:p>
              </w:tc>
              <w:tc>
                <w:tcPr>
                  <w:tcW w:w="774" w:type="pct"/>
                  <w:noWrap w:val="0"/>
                  <w:vAlign w:val="center"/>
                </w:tcPr>
                <w:p>
                  <w:pPr>
                    <w:snapToGrid w:val="0"/>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w:t>
                  </w:r>
                </w:p>
              </w:tc>
              <w:tc>
                <w:tcPr>
                  <w:tcW w:w="780" w:type="pct"/>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1台</w:t>
                  </w:r>
                </w:p>
              </w:tc>
              <w:tc>
                <w:tcPr>
                  <w:tcW w:w="1270" w:type="pc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软水制备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pPr>
                    <w:snapToGrid w:val="0"/>
                    <w:spacing w:line="240" w:lineRule="auto"/>
                    <w:jc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22</w:t>
                  </w:r>
                </w:p>
              </w:tc>
              <w:tc>
                <w:tcPr>
                  <w:tcW w:w="853" w:type="pct"/>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p>
              </w:tc>
              <w:tc>
                <w:tcPr>
                  <w:tcW w:w="925" w:type="pct"/>
                  <w:noWrap w:val="0"/>
                  <w:vAlign w:val="center"/>
                </w:tcPr>
                <w:p>
                  <w:pPr>
                    <w:snapToGrid w:val="0"/>
                    <w:spacing w:before="0" w:beforeAutospacing="0" w:after="0" w:afterAutospacing="0" w:line="240" w:lineRule="auto"/>
                    <w:jc w:val="center"/>
                    <w:textAlignment w:val="baseline"/>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碱液喷淋装置</w:t>
                  </w:r>
                </w:p>
              </w:tc>
              <w:tc>
                <w:tcPr>
                  <w:tcW w:w="774" w:type="pct"/>
                  <w:noWrap w:val="0"/>
                  <w:vAlign w:val="center"/>
                </w:tcPr>
                <w:p>
                  <w:pPr>
                    <w:snapToGrid w:val="0"/>
                    <w:spacing w:line="240" w:lineRule="auto"/>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c>
                <w:tcPr>
                  <w:tcW w:w="780" w:type="pct"/>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1台</w:t>
                  </w:r>
                </w:p>
              </w:tc>
              <w:tc>
                <w:tcPr>
                  <w:tcW w:w="1270" w:type="pct"/>
                  <w:noWrap w:val="0"/>
                  <w:vAlign w:val="center"/>
                </w:tcPr>
                <w:p>
                  <w:pPr>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烟尘处理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pPr>
                    <w:snapToGrid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23</w:t>
                  </w:r>
                </w:p>
              </w:tc>
              <w:tc>
                <w:tcPr>
                  <w:tcW w:w="853" w:type="pct"/>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rPr>
                    <w:t>/</w:t>
                  </w:r>
                </w:p>
              </w:tc>
              <w:tc>
                <w:tcPr>
                  <w:tcW w:w="925" w:type="pct"/>
                  <w:noWrap w:val="0"/>
                  <w:vAlign w:val="center"/>
                </w:tcPr>
                <w:p>
                  <w:pPr>
                    <w:snapToGrid w:val="0"/>
                    <w:spacing w:before="0" w:beforeAutospacing="0" w:after="0" w:afterAutospacing="0" w:line="240" w:lineRule="auto"/>
                    <w:jc w:val="center"/>
                    <w:textAlignment w:val="baseline"/>
                    <w:rPr>
                      <w:rFonts w:hint="eastAsia" w:ascii="Times New Roman" w:hAnsi="Times New Roman" w:eastAsia="宋体" w:cs="Times New Roman"/>
                      <w:color w:val="000000"/>
                      <w:kern w:val="2"/>
                      <w:sz w:val="21"/>
                      <w:szCs w:val="21"/>
                      <w:lang w:val="en-US" w:eastAsia="zh-CN" w:bidi="ar-SA"/>
                    </w:rPr>
                  </w:pPr>
                  <w:r>
                    <w:rPr>
                      <w:rStyle w:val="45"/>
                      <w:rFonts w:ascii="Times New Roman" w:hAnsi="Times New Roman" w:eastAsia="宋体"/>
                      <w:b w:val="0"/>
                      <w:i w:val="0"/>
                      <w:caps w:val="0"/>
                      <w:color w:val="000000"/>
                      <w:spacing w:val="0"/>
                      <w:w w:val="100"/>
                      <w:kern w:val="2"/>
                      <w:sz w:val="21"/>
                      <w:szCs w:val="21"/>
                      <w:lang w:val="en-US" w:eastAsia="zh-CN" w:bidi="ar-SA"/>
                    </w:rPr>
                    <w:t>水泵</w:t>
                  </w:r>
                </w:p>
              </w:tc>
              <w:tc>
                <w:tcPr>
                  <w:tcW w:w="774" w:type="pct"/>
                  <w:noWrap w:val="0"/>
                  <w:vAlign w:val="center"/>
                </w:tcPr>
                <w:p>
                  <w:pPr>
                    <w:snapToGrid w:val="0"/>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w:t>
                  </w:r>
                </w:p>
              </w:tc>
              <w:tc>
                <w:tcPr>
                  <w:tcW w:w="780" w:type="pct"/>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r>
                    <w:rPr>
                      <w:rFonts w:ascii="Times New Roman" w:hAnsi="Times New Roman" w:eastAsia="宋体"/>
                      <w:b w:val="0"/>
                      <w:i w:val="0"/>
                      <w:caps w:val="0"/>
                      <w:spacing w:val="0"/>
                      <w:w w:val="100"/>
                      <w:kern w:val="2"/>
                      <w:sz w:val="21"/>
                      <w:szCs w:val="21"/>
                      <w:lang w:val="en-US" w:eastAsia="zh-CN" w:bidi="ar-SA"/>
                    </w:rPr>
                    <w:t>30</w:t>
                  </w:r>
                  <w:r>
                    <w:rPr>
                      <w:rFonts w:hint="eastAsia" w:ascii="Times New Roman" w:hAnsi="Times New Roman" w:eastAsia="宋体"/>
                      <w:b w:val="0"/>
                      <w:i w:val="0"/>
                      <w:caps w:val="0"/>
                      <w:spacing w:val="0"/>
                      <w:w w:val="100"/>
                      <w:kern w:val="2"/>
                      <w:sz w:val="21"/>
                      <w:szCs w:val="21"/>
                      <w:lang w:val="en-US" w:eastAsia="zh-CN" w:bidi="ar-SA"/>
                    </w:rPr>
                    <w:t>个</w:t>
                  </w:r>
                </w:p>
              </w:tc>
              <w:tc>
                <w:tcPr>
                  <w:tcW w:w="1270" w:type="pct"/>
                  <w:noWrap w:val="0"/>
                  <w:vAlign w:val="center"/>
                </w:tcPr>
                <w:p>
                  <w:pPr>
                    <w:snapToGrid w:val="0"/>
                    <w:spacing w:line="240" w:lineRule="auto"/>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both"/>
              <w:textAlignment w:val="auto"/>
              <w:rPr>
                <w:rFonts w:hint="default" w:ascii="Times New Roman" w:hAnsi="Times New Roman" w:eastAsia="宋体" w:cs="Times New Roman"/>
                <w:b/>
                <w:color w:val="auto"/>
                <w:spacing w:val="0"/>
                <w:kern w:val="21"/>
                <w:sz w:val="28"/>
                <w:szCs w:val="28"/>
                <w:lang w:val="en-US" w:eastAsia="zh-CN" w:bidi="ar-SA"/>
              </w:rPr>
            </w:pPr>
            <w:r>
              <w:rPr>
                <w:rFonts w:hint="eastAsia" w:ascii="Times New Roman" w:hAnsi="Times New Roman" w:eastAsia="宋体" w:cs="Times New Roman"/>
                <w:b/>
                <w:color w:val="auto"/>
                <w:spacing w:val="0"/>
                <w:kern w:val="21"/>
                <w:sz w:val="28"/>
                <w:szCs w:val="28"/>
                <w:lang w:val="en-US" w:eastAsia="zh-CN" w:bidi="ar-SA"/>
              </w:rPr>
              <w:t>3、</w:t>
            </w:r>
            <w:r>
              <w:rPr>
                <w:rFonts w:hint="default" w:ascii="Times New Roman" w:hAnsi="Times New Roman" w:eastAsia="宋体" w:cs="Times New Roman"/>
                <w:b/>
                <w:color w:val="auto"/>
                <w:spacing w:val="0"/>
                <w:kern w:val="21"/>
                <w:sz w:val="28"/>
                <w:szCs w:val="28"/>
                <w:lang w:val="en-US" w:eastAsia="zh-CN" w:bidi="ar-SA"/>
              </w:rPr>
              <w:t>公用工程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宋体" w:cs="Times New Roman"/>
                <w:b/>
                <w:bCs/>
                <w:color w:val="000000" w:themeColor="text1"/>
                <w:sz w:val="24"/>
                <w:szCs w:val="22"/>
                <w:u w:val="none"/>
                <w:lang w:eastAsia="zh-CN"/>
                <w14:textFill>
                  <w14:solidFill>
                    <w14:schemeClr w14:val="tx1"/>
                  </w14:solidFill>
                </w14:textFill>
              </w:rPr>
            </w:pPr>
            <w:r>
              <w:rPr>
                <w:rFonts w:hint="eastAsia" w:ascii="Times New Roman" w:hAnsi="Times New Roman" w:eastAsia="宋体" w:cs="Times New Roman"/>
                <w:b/>
                <w:bCs/>
                <w:color w:val="000000" w:themeColor="text1"/>
                <w:sz w:val="24"/>
                <w:szCs w:val="22"/>
                <w:u w:val="none"/>
                <w:lang w:val="en-US" w:eastAsia="zh-CN"/>
                <w14:textFill>
                  <w14:solidFill>
                    <w14:schemeClr w14:val="tx1"/>
                  </w14:solidFill>
                </w14:textFill>
              </w:rPr>
              <w:t>3.1</w:t>
            </w:r>
            <w:r>
              <w:rPr>
                <w:rFonts w:hint="default" w:ascii="Times New Roman" w:hAnsi="Times New Roman" w:eastAsia="宋体" w:cs="Times New Roman"/>
                <w:b/>
                <w:bCs/>
                <w:color w:val="000000" w:themeColor="text1"/>
                <w:sz w:val="24"/>
                <w:szCs w:val="22"/>
                <w:u w:val="none"/>
                <w:lang w:val="en-US" w:eastAsia="zh-CN"/>
                <w14:textFill>
                  <w14:solidFill>
                    <w14:schemeClr w14:val="tx1"/>
                  </w14:solidFill>
                </w14:textFill>
              </w:rPr>
              <w:t>给、排水</w:t>
            </w:r>
          </w:p>
          <w:p>
            <w:pPr>
              <w:spacing w:line="360" w:lineRule="auto"/>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（1）给水</w:t>
            </w:r>
          </w:p>
          <w:p>
            <w:pPr>
              <w:spacing w:line="360" w:lineRule="auto"/>
              <w:ind w:firstLine="480"/>
              <w:rPr>
                <w:rFonts w:hint="default" w:ascii="Times New Roman" w:hAnsi="Times New Roman" w:eastAsia="宋体" w:cs="Times New Roman"/>
                <w:color w:val="000000"/>
                <w:sz w:val="24"/>
                <w:szCs w:val="24"/>
                <w:u w:val="none"/>
                <w:lang w:val="en-US" w:eastAsia="zh-CN"/>
              </w:rPr>
            </w:pPr>
            <w:r>
              <w:rPr>
                <w:rFonts w:ascii="Times New Roman" w:hAnsi="Times New Roman" w:eastAsia="宋体" w:cs="Times New Roman"/>
                <w:color w:val="000000"/>
                <w:sz w:val="24"/>
                <w:szCs w:val="24"/>
                <w:u w:val="none"/>
                <w:lang w:val="en-US" w:eastAsia="zh-CN"/>
              </w:rPr>
              <w:t>本项目用水环节主要为生产用水和员工生活用水，由沿路铺设的市政供水管网提</w:t>
            </w:r>
            <w:r>
              <w:rPr>
                <w:rFonts w:hint="default" w:ascii="Times New Roman" w:hAnsi="Times New Roman" w:eastAsia="宋体" w:cs="Times New Roman"/>
                <w:color w:val="000000"/>
                <w:sz w:val="24"/>
                <w:szCs w:val="24"/>
                <w:u w:val="none"/>
                <w:lang w:val="en-US" w:eastAsia="zh-CN"/>
              </w:rPr>
              <w:t>供。</w:t>
            </w:r>
          </w:p>
          <w:p>
            <w:pPr>
              <w:spacing w:line="360" w:lineRule="auto"/>
              <w:ind w:firstLine="480"/>
              <w:rPr>
                <w:rFonts w:hint="eastAsia" w:ascii="Times New Roman" w:hAnsi="Times New Roman" w:eastAsia="宋体" w:cs="Times New Roman"/>
                <w:color w:val="000000"/>
                <w:kern w:val="2"/>
                <w:sz w:val="24"/>
                <w:szCs w:val="24"/>
                <w:u w:val="none"/>
                <w:lang w:val="en-US" w:eastAsia="zh-CN" w:bidi="ar-SA"/>
              </w:rPr>
            </w:pPr>
            <w:r>
              <w:rPr>
                <w:rFonts w:hint="eastAsia" w:ascii="Times New Roman" w:hAnsi="Times New Roman" w:eastAsia="宋体" w:cs="Times New Roman"/>
                <w:color w:val="000000"/>
                <w:kern w:val="2"/>
                <w:sz w:val="24"/>
                <w:szCs w:val="24"/>
                <w:u w:val="none"/>
                <w:lang w:val="en-US" w:eastAsia="zh-CN" w:bidi="ar-SA"/>
              </w:rPr>
              <w:t>①生活用水</w:t>
            </w:r>
          </w:p>
          <w:p>
            <w:pPr>
              <w:spacing w:line="360" w:lineRule="auto"/>
              <w:ind w:firstLine="480" w:firstLineChars="200"/>
              <w:rPr>
                <w:rFonts w:hint="eastAsia" w:ascii="Times New Roman" w:hAnsi="Times New Roman" w:eastAsia="宋体" w:cs="Times New Roman"/>
                <w:color w:val="000000"/>
                <w:sz w:val="24"/>
                <w:szCs w:val="24"/>
                <w:u w:val="none"/>
              </w:rPr>
            </w:pPr>
            <w:r>
              <w:rPr>
                <w:rFonts w:ascii="Times New Roman" w:hAnsi="Times New Roman" w:eastAsia="宋体" w:cs="Times New Roman"/>
                <w:color w:val="000000"/>
                <w:sz w:val="24"/>
                <w:szCs w:val="24"/>
                <w:u w:val="none"/>
              </w:rPr>
              <w:t>项目建成后</w:t>
            </w:r>
            <w:r>
              <w:rPr>
                <w:rFonts w:hint="eastAsia" w:ascii="Times New Roman" w:hAnsi="Times New Roman" w:eastAsia="宋体" w:cs="Times New Roman"/>
                <w:color w:val="000000"/>
                <w:sz w:val="24"/>
                <w:szCs w:val="24"/>
                <w:u w:val="none"/>
              </w:rPr>
              <w:t>员工</w:t>
            </w:r>
            <w:r>
              <w:rPr>
                <w:rFonts w:ascii="Times New Roman" w:hAnsi="Times New Roman" w:eastAsia="宋体" w:cs="Times New Roman"/>
                <w:color w:val="000000"/>
                <w:sz w:val="24"/>
                <w:szCs w:val="24"/>
                <w:u w:val="none"/>
              </w:rPr>
              <w:t>定员</w:t>
            </w:r>
            <w:r>
              <w:rPr>
                <w:rFonts w:hint="eastAsia" w:ascii="Times New Roman" w:hAnsi="Times New Roman" w:eastAsia="宋体" w:cs="Times New Roman"/>
                <w:color w:val="000000"/>
                <w:sz w:val="24"/>
                <w:szCs w:val="24"/>
                <w:u w:val="none"/>
              </w:rPr>
              <w:t>30</w:t>
            </w:r>
            <w:r>
              <w:rPr>
                <w:rFonts w:ascii="Times New Roman" w:hAnsi="Times New Roman" w:eastAsia="宋体" w:cs="Times New Roman"/>
                <w:color w:val="000000"/>
                <w:sz w:val="24"/>
                <w:szCs w:val="24"/>
                <w:u w:val="none"/>
              </w:rPr>
              <w:t>人</w:t>
            </w:r>
            <w:r>
              <w:rPr>
                <w:rFonts w:hint="eastAsia" w:ascii="Times New Roman" w:hAnsi="Times New Roman" w:eastAsia="宋体" w:cs="Times New Roman"/>
                <w:color w:val="000000"/>
                <w:sz w:val="24"/>
                <w:szCs w:val="24"/>
                <w:u w:val="none"/>
              </w:rPr>
              <w:t>，员工均在厂内食宿</w:t>
            </w:r>
            <w:r>
              <w:rPr>
                <w:rFonts w:ascii="Times New Roman" w:hAnsi="Times New Roman" w:eastAsia="宋体" w:cs="Times New Roman"/>
                <w:color w:val="000000"/>
                <w:sz w:val="24"/>
                <w:szCs w:val="24"/>
                <w:u w:val="none"/>
              </w:rPr>
              <w:t>。根据《湖南省用水定额》（DB43/T 388-2014），员工用水量计为</w:t>
            </w:r>
            <w:r>
              <w:rPr>
                <w:rFonts w:hint="eastAsia" w:ascii="Times New Roman" w:hAnsi="Times New Roman" w:cs="Times New Roman"/>
                <w:color w:val="000000"/>
                <w:sz w:val="24"/>
                <w:szCs w:val="24"/>
                <w:u w:val="none"/>
                <w:lang w:val="en-US" w:eastAsia="zh-CN"/>
              </w:rPr>
              <w:t>160</w:t>
            </w:r>
            <w:r>
              <w:rPr>
                <w:rFonts w:ascii="Times New Roman" w:hAnsi="Times New Roman" w:eastAsia="宋体" w:cs="Times New Roman"/>
                <w:color w:val="000000"/>
                <w:sz w:val="24"/>
                <w:szCs w:val="24"/>
                <w:u w:val="none"/>
              </w:rPr>
              <w:t>L/人·d，年生产天数为</w:t>
            </w:r>
            <w:r>
              <w:rPr>
                <w:rFonts w:hint="eastAsia" w:ascii="Times New Roman" w:hAnsi="Times New Roman" w:cs="Times New Roman"/>
                <w:color w:val="000000"/>
                <w:sz w:val="24"/>
                <w:szCs w:val="24"/>
                <w:u w:val="none"/>
                <w:lang w:val="en-US" w:eastAsia="zh-CN"/>
              </w:rPr>
              <w:t>300</w:t>
            </w:r>
            <w:r>
              <w:rPr>
                <w:rFonts w:ascii="Times New Roman" w:hAnsi="Times New Roman" w:eastAsia="宋体" w:cs="Times New Roman"/>
                <w:color w:val="000000"/>
                <w:sz w:val="24"/>
                <w:szCs w:val="24"/>
                <w:u w:val="none"/>
              </w:rPr>
              <w:t>天，则项目</w:t>
            </w:r>
            <w:r>
              <w:rPr>
                <w:rFonts w:hint="eastAsia" w:ascii="Times New Roman" w:hAnsi="Times New Roman" w:cs="Times New Roman"/>
                <w:color w:val="000000"/>
                <w:sz w:val="24"/>
                <w:szCs w:val="24"/>
                <w:u w:val="none"/>
                <w:lang w:val="en-US" w:eastAsia="zh-CN"/>
              </w:rPr>
              <w:t>生活</w:t>
            </w:r>
            <w:r>
              <w:rPr>
                <w:rFonts w:ascii="Times New Roman" w:hAnsi="Times New Roman" w:eastAsia="宋体" w:cs="Times New Roman"/>
                <w:color w:val="000000"/>
                <w:sz w:val="24"/>
                <w:szCs w:val="24"/>
                <w:u w:val="none"/>
              </w:rPr>
              <w:t>用水量</w:t>
            </w:r>
            <w:r>
              <w:rPr>
                <w:rFonts w:hint="eastAsia" w:ascii="Times New Roman" w:hAnsi="Times New Roman" w:cs="Times New Roman"/>
                <w:color w:val="000000"/>
                <w:sz w:val="24"/>
                <w:szCs w:val="24"/>
                <w:u w:val="none"/>
                <w:lang w:eastAsia="zh-CN"/>
              </w:rPr>
              <w:t>（</w:t>
            </w:r>
            <w:r>
              <w:rPr>
                <w:rFonts w:hint="eastAsia" w:ascii="Times New Roman" w:hAnsi="Times New Roman" w:cs="Times New Roman"/>
                <w:color w:val="000000"/>
                <w:sz w:val="24"/>
                <w:szCs w:val="24"/>
                <w:u w:val="none"/>
                <w:lang w:val="en-US" w:eastAsia="zh-CN"/>
              </w:rPr>
              <w:t>包括食堂用水</w:t>
            </w:r>
            <w:r>
              <w:rPr>
                <w:rFonts w:hint="eastAsia" w:ascii="Times New Roman" w:hAnsi="Times New Roman" w:cs="Times New Roman"/>
                <w:color w:val="000000"/>
                <w:sz w:val="24"/>
                <w:szCs w:val="24"/>
                <w:u w:val="none"/>
                <w:lang w:eastAsia="zh-CN"/>
              </w:rPr>
              <w:t>）</w:t>
            </w:r>
            <w:r>
              <w:rPr>
                <w:rFonts w:ascii="Times New Roman" w:hAnsi="Times New Roman" w:eastAsia="宋体" w:cs="Times New Roman"/>
                <w:color w:val="000000"/>
                <w:sz w:val="24"/>
                <w:szCs w:val="24"/>
                <w:u w:val="none"/>
              </w:rPr>
              <w:t>为</w:t>
            </w:r>
            <w:r>
              <w:rPr>
                <w:rFonts w:hint="eastAsia" w:ascii="Times New Roman" w:hAnsi="Times New Roman" w:cs="Times New Roman"/>
                <w:color w:val="000000"/>
                <w:sz w:val="24"/>
                <w:szCs w:val="24"/>
                <w:u w:val="none"/>
                <w:lang w:val="en-US" w:eastAsia="zh-CN"/>
              </w:rPr>
              <w:t>4.8</w:t>
            </w:r>
            <w:r>
              <w:rPr>
                <w:rFonts w:hint="eastAsia" w:ascii="Times New Roman" w:hAnsi="Times New Roman" w:cs="Times New Roman"/>
                <w:color w:val="000000"/>
                <w:kern w:val="0"/>
                <w:sz w:val="24"/>
                <w:szCs w:val="24"/>
                <w:u w:val="none"/>
                <w:lang w:val="en-US" w:eastAsia="zh-CN"/>
              </w:rPr>
              <w:t>t</w:t>
            </w:r>
            <w:r>
              <w:rPr>
                <w:rFonts w:ascii="Times New Roman" w:hAnsi="Times New Roman" w:eastAsia="宋体" w:cs="Times New Roman"/>
                <w:color w:val="000000"/>
                <w:kern w:val="0"/>
                <w:sz w:val="24"/>
                <w:szCs w:val="24"/>
                <w:u w:val="none"/>
              </w:rPr>
              <w:t>/d</w:t>
            </w:r>
            <w:r>
              <w:rPr>
                <w:rFonts w:ascii="Times New Roman" w:hAnsi="Times New Roman" w:eastAsia="宋体" w:cs="Times New Roman"/>
                <w:color w:val="000000"/>
                <w:sz w:val="24"/>
                <w:szCs w:val="24"/>
                <w:u w:val="none"/>
              </w:rPr>
              <w:t>，</w:t>
            </w:r>
            <w:r>
              <w:rPr>
                <w:rFonts w:hint="eastAsia" w:ascii="Times New Roman" w:hAnsi="Times New Roman" w:cs="Times New Roman"/>
                <w:color w:val="000000"/>
                <w:sz w:val="24"/>
                <w:szCs w:val="24"/>
                <w:u w:val="none"/>
                <w:lang w:val="en-US" w:eastAsia="zh-CN"/>
              </w:rPr>
              <w:t>1440</w:t>
            </w:r>
            <w:r>
              <w:rPr>
                <w:rFonts w:hint="eastAsia" w:ascii="Times New Roman" w:hAnsi="Times New Roman" w:cs="Times New Roman"/>
                <w:color w:val="000000"/>
                <w:kern w:val="0"/>
                <w:sz w:val="24"/>
                <w:szCs w:val="24"/>
                <w:u w:val="none"/>
                <w:lang w:val="en-US" w:eastAsia="zh-CN"/>
              </w:rPr>
              <w:t>t</w:t>
            </w:r>
            <w:r>
              <w:rPr>
                <w:rFonts w:ascii="Times New Roman" w:hAnsi="Times New Roman" w:eastAsia="宋体" w:cs="Times New Roman"/>
                <w:color w:val="000000"/>
                <w:kern w:val="0"/>
                <w:sz w:val="24"/>
                <w:szCs w:val="24"/>
                <w:u w:val="none"/>
              </w:rPr>
              <w:t>/a</w:t>
            </w:r>
            <w:r>
              <w:rPr>
                <w:rFonts w:hint="eastAsia" w:ascii="Times New Roman" w:hAnsi="Times New Roman" w:eastAsia="宋体" w:cs="Times New Roman"/>
                <w:color w:val="000000"/>
                <w:sz w:val="24"/>
                <w:szCs w:val="24"/>
                <w:u w:val="none"/>
              </w:rPr>
              <w:t>。</w:t>
            </w:r>
          </w:p>
          <w:p>
            <w:pPr>
              <w:widowControl w:val="0"/>
              <w:spacing w:line="360" w:lineRule="auto"/>
              <w:ind w:firstLine="480" w:firstLineChars="200"/>
              <w:jc w:val="both"/>
              <w:rPr>
                <w:rFonts w:hint="eastAsia" w:ascii="Times New Roman" w:hAnsi="Times New Roman" w:eastAsia="宋体" w:cs="Times New Roman"/>
                <w:color w:val="000000"/>
                <w:kern w:val="2"/>
                <w:sz w:val="24"/>
                <w:szCs w:val="24"/>
                <w:u w:val="none"/>
                <w:lang w:val="en-US" w:eastAsia="zh-CN" w:bidi="ar-SA"/>
              </w:rPr>
            </w:pPr>
            <w:r>
              <w:rPr>
                <w:rFonts w:hint="eastAsia" w:ascii="Times New Roman" w:hAnsi="Times New Roman" w:eastAsia="宋体" w:cs="Times New Roman"/>
                <w:color w:val="000000"/>
                <w:kern w:val="2"/>
                <w:sz w:val="24"/>
                <w:szCs w:val="24"/>
                <w:u w:val="none"/>
                <w:lang w:val="en-US" w:eastAsia="zh-CN" w:bidi="ar-SA"/>
              </w:rPr>
              <w:t>②生产用水</w:t>
            </w:r>
          </w:p>
          <w:p>
            <w:pPr>
              <w:widowControl w:val="0"/>
              <w:spacing w:line="360" w:lineRule="auto"/>
              <w:ind w:firstLine="480" w:firstLineChars="200"/>
              <w:jc w:val="both"/>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kern w:val="2"/>
                <w:sz w:val="24"/>
                <w:szCs w:val="24"/>
                <w:u w:val="none"/>
                <w:lang w:val="en-US" w:eastAsia="zh-CN" w:bidi="ar-SA"/>
              </w:rPr>
              <w:t>生产用水主要包括</w:t>
            </w:r>
            <w:r>
              <w:rPr>
                <w:rFonts w:hint="eastAsia" w:ascii="Times New Roman" w:hAnsi="Times New Roman" w:cs="Times New Roman"/>
                <w:color w:val="000000"/>
                <w:kern w:val="2"/>
                <w:sz w:val="24"/>
                <w:szCs w:val="24"/>
                <w:u w:val="none"/>
                <w:lang w:val="en-US" w:eastAsia="zh-CN" w:bidi="ar-SA"/>
              </w:rPr>
              <w:t>豆皮生产</w:t>
            </w:r>
            <w:r>
              <w:rPr>
                <w:rFonts w:hint="eastAsia" w:ascii="Times New Roman" w:hAnsi="Times New Roman" w:eastAsia="宋体" w:cs="Times New Roman"/>
                <w:color w:val="000000"/>
                <w:kern w:val="2"/>
                <w:sz w:val="24"/>
                <w:szCs w:val="24"/>
                <w:u w:val="none"/>
                <w:lang w:val="en-US" w:eastAsia="zh-CN" w:bidi="ar-SA"/>
              </w:rPr>
              <w:t>过程</w:t>
            </w:r>
            <w:r>
              <w:rPr>
                <w:rFonts w:hint="eastAsia" w:ascii="Times New Roman" w:hAnsi="Times New Roman" w:cs="Times New Roman"/>
                <w:color w:val="000000"/>
                <w:kern w:val="2"/>
                <w:sz w:val="24"/>
                <w:szCs w:val="24"/>
                <w:u w:val="none"/>
                <w:lang w:val="en-US" w:eastAsia="zh-CN" w:bidi="ar-SA"/>
              </w:rPr>
              <w:t>豆粕粉</w:t>
            </w:r>
            <w:r>
              <w:rPr>
                <w:rFonts w:hint="eastAsia" w:ascii="Times New Roman" w:hAnsi="Times New Roman" w:eastAsia="宋体" w:cs="Times New Roman"/>
                <w:color w:val="000000"/>
                <w:kern w:val="2"/>
                <w:sz w:val="24"/>
                <w:szCs w:val="24"/>
                <w:u w:val="none"/>
                <w:lang w:val="en-US" w:eastAsia="zh-CN" w:bidi="ar-SA"/>
              </w:rPr>
              <w:t>配置用水</w:t>
            </w:r>
            <w:r>
              <w:rPr>
                <w:rFonts w:hint="eastAsia" w:ascii="Times New Roman" w:hAnsi="Times New Roman" w:cs="Times New Roman"/>
                <w:color w:val="000000"/>
                <w:kern w:val="2"/>
                <w:sz w:val="24"/>
                <w:szCs w:val="24"/>
                <w:u w:val="none"/>
                <w:lang w:val="en-US" w:eastAsia="zh-CN" w:bidi="ar-SA"/>
              </w:rPr>
              <w:t>、</w:t>
            </w:r>
            <w:r>
              <w:rPr>
                <w:rFonts w:hint="eastAsia" w:ascii="Times New Roman" w:hAnsi="Times New Roman" w:cs="Times New Roman"/>
                <w:bCs/>
                <w:color w:val="000000"/>
                <w:sz w:val="24"/>
                <w:szCs w:val="24"/>
                <w:u w:val="none"/>
                <w:lang w:val="en-US" w:eastAsia="zh-CN"/>
              </w:rPr>
              <w:t>大豆清洗用水、</w:t>
            </w:r>
            <w:r>
              <w:rPr>
                <w:rFonts w:hint="eastAsia" w:ascii="Times New Roman" w:hAnsi="Times New Roman" w:eastAsia="宋体" w:cs="Times New Roman"/>
                <w:color w:val="000000"/>
                <w:kern w:val="2"/>
                <w:sz w:val="24"/>
                <w:szCs w:val="24"/>
                <w:u w:val="none"/>
                <w:lang w:val="en-US" w:eastAsia="zh-CN" w:bidi="ar-SA"/>
              </w:rPr>
              <w:t>大豆浸泡用水、磨浆用水、设备清洗用水、</w:t>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地面清洗用水</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w:t>
            </w:r>
            <w:r>
              <w:rPr>
                <w:rFonts w:hint="eastAsia" w:ascii="Times New Roman" w:hAnsi="Times New Roman" w:eastAsia="宋体" w:cs="Times New Roman"/>
                <w:color w:val="000000"/>
                <w:kern w:val="2"/>
                <w:sz w:val="24"/>
                <w:szCs w:val="24"/>
                <w:u w:val="none"/>
                <w:lang w:val="en-US" w:eastAsia="zh-CN" w:bidi="ar-SA"/>
              </w:rPr>
              <w:t>锅炉</w:t>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用水</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、软水机制备软水用水</w:t>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和碱液喷淋用水，其</w:t>
            </w:r>
            <w:r>
              <w:rPr>
                <w:rFonts w:hint="eastAsia" w:ascii="Times New Roman" w:hAnsi="Times New Roman" w:eastAsia="宋体" w:cs="Times New Roman"/>
                <w:color w:val="000000"/>
                <w:kern w:val="2"/>
                <w:sz w:val="24"/>
                <w:szCs w:val="24"/>
                <w:u w:val="none"/>
                <w:lang w:val="en-US" w:eastAsia="zh-CN" w:bidi="ar-SA"/>
              </w:rPr>
              <w:t>中</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锅炉用水使用自制</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软</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水。</w:t>
            </w:r>
          </w:p>
          <w:p>
            <w:pPr>
              <w:spacing w:line="360" w:lineRule="auto"/>
              <w:ind w:firstLine="480" w:firstLineChars="200"/>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豆皮生产过程豆粕粉配置用水：按业主提供的配方比例，加入2%的食盐、15%</w:t>
            </w:r>
            <w:r>
              <w:rPr>
                <w:rFonts w:hint="default" w:ascii="Times New Roman" w:hAnsi="Times New Roman" w:cs="Times New Roman"/>
                <w:color w:val="000000" w:themeColor="text1"/>
                <w:kern w:val="2"/>
                <w:sz w:val="24"/>
                <w:szCs w:val="24"/>
                <w:u w:val="none"/>
                <w:lang w:val="en-US" w:eastAsia="zh-CN" w:bidi="ar-SA"/>
                <w14:textFill>
                  <w14:solidFill>
                    <w14:schemeClr w14:val="tx1"/>
                  </w14:solidFill>
                </w14:textFill>
              </w:rPr>
              <w:t>的</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水一起搅拌混合成团。豆粕粉年用量为900吨，则该部分食盐用量为18吨、水用量为135吨。</w:t>
            </w:r>
          </w:p>
          <w:p>
            <w:pPr>
              <w:spacing w:line="360" w:lineRule="auto"/>
              <w:ind w:firstLine="480" w:firstLineChars="200"/>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大豆清洗用水：</w:t>
            </w:r>
            <w:r>
              <w:rPr>
                <w:rFonts w:hint="eastAsia" w:ascii="Times New Roman" w:hAnsi="Times New Roman" w:cs="Times New Roman"/>
                <w:b w:val="0"/>
                <w:bCs w:val="0"/>
                <w:color w:val="000000"/>
                <w:kern w:val="2"/>
                <w:sz w:val="24"/>
                <w:szCs w:val="24"/>
                <w:u w:val="none"/>
                <w:lang w:val="en-US" w:eastAsia="zh-CN" w:bidi="ar-SA"/>
              </w:rPr>
              <w:t>大豆年使用量约2102吨，</w:t>
            </w:r>
            <w:r>
              <w:rPr>
                <w:rFonts w:hint="eastAsia" w:ascii="Times New Roman" w:hAnsi="Times New Roman" w:eastAsia="宋体"/>
                <w:color w:val="000000"/>
                <w:sz w:val="24"/>
              </w:rPr>
              <w:t>先人工去杂，去除可能的小石子</w:t>
            </w:r>
            <w:r>
              <w:rPr>
                <w:rFonts w:hint="eastAsia" w:ascii="Times New Roman" w:hAnsi="Times New Roman" w:eastAsia="宋体"/>
                <w:color w:val="000000"/>
                <w:sz w:val="24"/>
                <w:lang w:val="en-US" w:eastAsia="zh-CN"/>
              </w:rPr>
              <w:t>和</w:t>
            </w:r>
            <w:r>
              <w:rPr>
                <w:rFonts w:hint="eastAsia" w:ascii="Times New Roman" w:hAnsi="Times New Roman" w:eastAsia="宋体"/>
                <w:color w:val="000000"/>
                <w:sz w:val="24"/>
              </w:rPr>
              <w:t>虫蛀大豆等，</w:t>
            </w:r>
            <w:r>
              <w:rPr>
                <w:rFonts w:hint="eastAsia" w:ascii="Times New Roman" w:hAnsi="Times New Roman" w:eastAsia="宋体"/>
                <w:color w:val="000000"/>
                <w:sz w:val="24"/>
                <w:lang w:val="en-US" w:eastAsia="zh-CN"/>
              </w:rPr>
              <w:t>产生废豆子</w:t>
            </w:r>
            <w:r>
              <w:rPr>
                <w:rFonts w:hint="eastAsia" w:ascii="Times New Roman" w:hAnsi="Times New Roman" w:eastAsia="宋体"/>
                <w:color w:val="000000"/>
                <w:sz w:val="24"/>
              </w:rPr>
              <w:t>约为原料的</w:t>
            </w:r>
            <w:r>
              <w:rPr>
                <w:rFonts w:hint="eastAsia" w:ascii="Times New Roman" w:hAnsi="Times New Roman"/>
                <w:color w:val="000000"/>
                <w:sz w:val="24"/>
                <w:lang w:val="en-US" w:eastAsia="zh-CN"/>
              </w:rPr>
              <w:t>1</w:t>
            </w:r>
            <w:r>
              <w:rPr>
                <w:rFonts w:hint="eastAsia" w:ascii="Times New Roman" w:hAnsi="Times New Roman" w:eastAsia="宋体"/>
                <w:color w:val="000000"/>
                <w:sz w:val="24"/>
              </w:rPr>
              <w:t>%</w:t>
            </w:r>
            <w:r>
              <w:rPr>
                <w:rFonts w:hint="eastAsia" w:ascii="Times New Roman" w:hAnsi="Times New Roman" w:eastAsia="宋体"/>
                <w:color w:val="000000"/>
                <w:sz w:val="24"/>
                <w:lang w:val="en-US" w:eastAsia="zh-CN"/>
              </w:rPr>
              <w:t>约</w:t>
            </w:r>
            <w:r>
              <w:rPr>
                <w:rFonts w:hint="eastAsia" w:ascii="Times New Roman" w:hAnsi="Times New Roman"/>
                <w:color w:val="000000"/>
                <w:sz w:val="24"/>
                <w:lang w:val="en-US" w:eastAsia="zh-CN"/>
              </w:rPr>
              <w:t>21.02t/a；经除杂后原料量为2080.98t/a进入滚筒式炒锅进行烘干，此过程烘干蒸发去除黄豆中的水分，蒸发的水分</w:t>
            </w:r>
            <w:r>
              <w:rPr>
                <w:rFonts w:hint="eastAsia" w:ascii="Times New Roman" w:hAnsi="Times New Roman" w:eastAsia="宋体"/>
                <w:color w:val="000000"/>
                <w:sz w:val="24"/>
              </w:rPr>
              <w:t>约为原料的</w:t>
            </w:r>
            <w:r>
              <w:rPr>
                <w:rFonts w:hint="eastAsia" w:ascii="Times New Roman" w:hAnsi="Times New Roman"/>
                <w:color w:val="000000"/>
                <w:sz w:val="24"/>
                <w:lang w:val="en-US" w:eastAsia="zh-CN"/>
              </w:rPr>
              <w:t>3</w:t>
            </w:r>
            <w:r>
              <w:rPr>
                <w:rFonts w:hint="eastAsia" w:ascii="Times New Roman" w:hAnsi="Times New Roman" w:eastAsia="宋体"/>
                <w:color w:val="000000"/>
                <w:sz w:val="24"/>
              </w:rPr>
              <w:t>%</w:t>
            </w:r>
            <w:r>
              <w:rPr>
                <w:rFonts w:hint="eastAsia" w:ascii="Times New Roman" w:hAnsi="Times New Roman" w:eastAsia="宋体"/>
                <w:color w:val="000000"/>
                <w:sz w:val="24"/>
                <w:lang w:val="en-US" w:eastAsia="zh-CN"/>
              </w:rPr>
              <w:t>约</w:t>
            </w:r>
            <w:r>
              <w:rPr>
                <w:rFonts w:hint="eastAsia" w:ascii="Times New Roman" w:hAnsi="Times New Roman"/>
                <w:color w:val="000000"/>
                <w:sz w:val="24"/>
                <w:lang w:val="en-US" w:eastAsia="zh-CN"/>
              </w:rPr>
              <w:t>62.43</w:t>
            </w:r>
            <w:r>
              <w:rPr>
                <w:rFonts w:hint="eastAsia" w:ascii="Times New Roman" w:hAnsi="Times New Roman" w:eastAsia="宋体"/>
                <w:color w:val="000000"/>
                <w:sz w:val="24"/>
                <w:lang w:val="en-US" w:eastAsia="zh-CN"/>
              </w:rPr>
              <w:t>吨</w:t>
            </w:r>
            <w:r>
              <w:rPr>
                <w:rFonts w:hint="eastAsia" w:ascii="Times New Roman" w:hAnsi="Times New Roman"/>
                <w:color w:val="000000"/>
                <w:sz w:val="24"/>
                <w:lang w:val="en-US" w:eastAsia="zh-CN"/>
              </w:rPr>
              <w:t>；经烘干后的原料量为2018.55t/a</w:t>
            </w:r>
            <w:r>
              <w:rPr>
                <w:rFonts w:hint="eastAsia" w:ascii="Times New Roman" w:hAnsi="Times New Roman" w:cs="Times New Roman"/>
                <w:b w:val="0"/>
                <w:bCs w:val="0"/>
                <w:color w:val="000000"/>
                <w:kern w:val="2"/>
                <w:sz w:val="24"/>
                <w:szCs w:val="24"/>
                <w:u w:val="none"/>
                <w:lang w:val="en-US" w:eastAsia="zh-CN" w:bidi="ar-SA"/>
              </w:rPr>
              <w:t>进入经脱皮机进行去皮，产生碎豆废豆皮豆粉约为原料的10%约201.86吨，故进入清洗工序的原料实际约为1816.69吨，</w:t>
            </w:r>
            <w:r>
              <w:rPr>
                <w:rFonts w:hint="eastAsia" w:ascii="Times New Roman" w:hAnsi="Times New Roman" w:eastAsia="宋体" w:cs="Times New Roman"/>
                <w:b w:val="0"/>
                <w:bCs w:val="0"/>
                <w:color w:val="000000"/>
                <w:sz w:val="24"/>
                <w:szCs w:val="24"/>
                <w:u w:val="none"/>
              </w:rPr>
              <w:t>大豆与水的比例约为1：</w:t>
            </w:r>
            <w:r>
              <w:rPr>
                <w:rFonts w:hint="eastAsia" w:ascii="Times New Roman" w:hAnsi="Times New Roman" w:cs="Times New Roman"/>
                <w:b w:val="0"/>
                <w:bCs w:val="0"/>
                <w:color w:val="000000"/>
                <w:sz w:val="24"/>
                <w:szCs w:val="24"/>
                <w:u w:val="none"/>
                <w:lang w:val="en-US" w:eastAsia="zh-CN"/>
              </w:rPr>
              <w:t>2</w:t>
            </w:r>
            <w:r>
              <w:rPr>
                <w:rFonts w:hint="eastAsia" w:ascii="Times New Roman" w:hAnsi="Times New Roman" w:eastAsia="宋体" w:cs="Times New Roman"/>
                <w:b w:val="0"/>
                <w:bCs w:val="0"/>
                <w:color w:val="000000"/>
                <w:sz w:val="24"/>
                <w:szCs w:val="24"/>
                <w:u w:val="none"/>
              </w:rPr>
              <w:t>，项目大豆的消耗量为</w:t>
            </w:r>
            <w:r>
              <w:rPr>
                <w:rFonts w:hint="eastAsia" w:ascii="Times New Roman" w:hAnsi="Times New Roman" w:cs="Times New Roman"/>
                <w:b w:val="0"/>
                <w:bCs w:val="0"/>
                <w:color w:val="000000"/>
                <w:sz w:val="24"/>
                <w:szCs w:val="24"/>
                <w:u w:val="none"/>
                <w:lang w:val="en-US" w:eastAsia="zh-CN"/>
              </w:rPr>
              <w:t>6.06</w:t>
            </w:r>
            <w:r>
              <w:rPr>
                <w:rFonts w:hint="eastAsia" w:ascii="Times New Roman" w:hAnsi="Times New Roman" w:eastAsia="宋体" w:cs="Times New Roman"/>
                <w:b w:val="0"/>
                <w:bCs w:val="0"/>
                <w:color w:val="000000"/>
                <w:sz w:val="24"/>
                <w:szCs w:val="24"/>
                <w:u w:val="none"/>
              </w:rPr>
              <w:t>t/d（</w:t>
            </w:r>
            <w:r>
              <w:rPr>
                <w:rFonts w:hint="eastAsia" w:ascii="Times New Roman" w:hAnsi="Times New Roman" w:cs="Times New Roman"/>
                <w:b w:val="0"/>
                <w:bCs w:val="0"/>
                <w:color w:val="000000"/>
                <w:kern w:val="2"/>
                <w:sz w:val="24"/>
                <w:szCs w:val="24"/>
                <w:u w:val="none"/>
                <w:lang w:val="en-US" w:eastAsia="zh-CN" w:bidi="ar-SA"/>
              </w:rPr>
              <w:t>1816.69</w:t>
            </w:r>
            <w:r>
              <w:rPr>
                <w:rFonts w:hint="eastAsia" w:ascii="Times New Roman" w:hAnsi="Times New Roman" w:eastAsia="宋体" w:cs="Times New Roman"/>
                <w:b w:val="0"/>
                <w:bCs w:val="0"/>
                <w:color w:val="000000"/>
                <w:sz w:val="24"/>
                <w:szCs w:val="24"/>
                <w:u w:val="none"/>
              </w:rPr>
              <w:t>t/a），则</w:t>
            </w:r>
            <w:r>
              <w:rPr>
                <w:rFonts w:hint="eastAsia" w:ascii="Times New Roman" w:hAnsi="Times New Roman" w:cs="Times New Roman"/>
                <w:b w:val="0"/>
                <w:bCs w:val="0"/>
                <w:color w:val="000000"/>
                <w:sz w:val="24"/>
                <w:szCs w:val="24"/>
                <w:u w:val="none"/>
                <w:lang w:val="en-US" w:eastAsia="zh-CN"/>
              </w:rPr>
              <w:t>清洗黄豆水</w:t>
            </w:r>
            <w:r>
              <w:rPr>
                <w:rFonts w:hint="eastAsia" w:ascii="Times New Roman" w:hAnsi="Times New Roman" w:eastAsia="宋体" w:cs="Times New Roman"/>
                <w:b w:val="0"/>
                <w:bCs w:val="0"/>
                <w:color w:val="000000"/>
                <w:sz w:val="24"/>
                <w:szCs w:val="24"/>
                <w:u w:val="none"/>
              </w:rPr>
              <w:t>量为</w:t>
            </w:r>
            <w:r>
              <w:rPr>
                <w:rFonts w:hint="eastAsia" w:ascii="Times New Roman" w:hAnsi="Times New Roman" w:cs="Times New Roman"/>
                <w:b w:val="0"/>
                <w:bCs w:val="0"/>
                <w:color w:val="000000"/>
                <w:sz w:val="24"/>
                <w:szCs w:val="24"/>
                <w:u w:val="none"/>
                <w:lang w:val="en-US" w:eastAsia="zh-CN"/>
              </w:rPr>
              <w:t>12.11</w:t>
            </w:r>
            <w:r>
              <w:rPr>
                <w:rFonts w:hint="eastAsia" w:ascii="Times New Roman" w:hAnsi="Times New Roman" w:eastAsia="宋体" w:cs="Times New Roman"/>
                <w:b w:val="0"/>
                <w:bCs w:val="0"/>
                <w:color w:val="000000"/>
                <w:sz w:val="24"/>
                <w:szCs w:val="24"/>
                <w:u w:val="none"/>
              </w:rPr>
              <w:t>t/d（</w:t>
            </w:r>
            <w:r>
              <w:rPr>
                <w:rFonts w:hint="eastAsia" w:ascii="Times New Roman" w:hAnsi="Times New Roman" w:cs="Times New Roman"/>
                <w:b w:val="0"/>
                <w:bCs w:val="0"/>
                <w:color w:val="000000"/>
                <w:sz w:val="24"/>
                <w:szCs w:val="24"/>
                <w:u w:val="none"/>
                <w:lang w:val="en-US" w:eastAsia="zh-CN"/>
              </w:rPr>
              <w:t>3633.38</w:t>
            </w:r>
            <w:r>
              <w:rPr>
                <w:rFonts w:hint="eastAsia" w:ascii="Times New Roman" w:hAnsi="Times New Roman" w:eastAsia="宋体" w:cs="Times New Roman"/>
                <w:b w:val="0"/>
                <w:bCs w:val="0"/>
                <w:color w:val="000000"/>
                <w:sz w:val="24"/>
                <w:szCs w:val="24"/>
                <w:u w:val="none"/>
              </w:rPr>
              <w:t>/a）。</w:t>
            </w:r>
          </w:p>
          <w:p>
            <w:pPr>
              <w:spacing w:line="360" w:lineRule="auto"/>
              <w:ind w:firstLine="480" w:firstLineChars="200"/>
              <w:rPr>
                <w:rFonts w:hint="default" w:ascii="Times New Roman" w:hAnsi="Times New Roman" w:eastAsia="宋体" w:cs="Times New Roman"/>
                <w:b w:val="0"/>
                <w:bCs w:val="0"/>
                <w:color w:val="000000"/>
                <w:sz w:val="24"/>
                <w:szCs w:val="24"/>
                <w:u w:val="none"/>
                <w:lang w:val="en-US" w:eastAsia="zh-CN"/>
              </w:rPr>
            </w:pP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大豆浸泡用水：大</w:t>
            </w:r>
            <w:r>
              <w:rPr>
                <w:rFonts w:hint="eastAsia" w:ascii="Times New Roman" w:hAnsi="Times New Roman" w:eastAsia="宋体" w:cs="Times New Roman"/>
                <w:b w:val="0"/>
                <w:bCs w:val="0"/>
                <w:color w:val="000000" w:themeColor="text1"/>
                <w:sz w:val="24"/>
                <w:szCs w:val="24"/>
                <w:u w:val="none"/>
                <w14:textFill>
                  <w14:solidFill>
                    <w14:schemeClr w14:val="tx1"/>
                  </w14:solidFill>
                </w14:textFill>
              </w:rPr>
              <w:t>豆磨浆前，需要用</w:t>
            </w:r>
            <w:r>
              <w:rPr>
                <w:rFonts w:hint="eastAsia" w:ascii="Times New Roman" w:hAnsi="Times New Roman" w:eastAsia="宋体" w:cs="Times New Roman"/>
                <w:b w:val="0"/>
                <w:bCs w:val="0"/>
                <w:color w:val="000000"/>
                <w:sz w:val="24"/>
                <w:szCs w:val="24"/>
                <w:u w:val="none"/>
              </w:rPr>
              <w:t>水进行浸泡，浸泡池内的大豆与水的比例约为1：</w:t>
            </w:r>
            <w:r>
              <w:rPr>
                <w:rFonts w:hint="eastAsia" w:ascii="Times New Roman" w:hAnsi="Times New Roman" w:cs="Times New Roman"/>
                <w:b w:val="0"/>
                <w:bCs w:val="0"/>
                <w:color w:val="000000"/>
                <w:sz w:val="24"/>
                <w:szCs w:val="24"/>
                <w:u w:val="none"/>
                <w:lang w:val="en-US" w:eastAsia="zh-CN"/>
              </w:rPr>
              <w:t>2</w:t>
            </w:r>
            <w:r>
              <w:rPr>
                <w:rFonts w:hint="eastAsia" w:ascii="Times New Roman" w:hAnsi="Times New Roman" w:eastAsia="宋体" w:cs="Times New Roman"/>
                <w:b w:val="0"/>
                <w:bCs w:val="0"/>
                <w:color w:val="000000"/>
                <w:sz w:val="24"/>
                <w:szCs w:val="24"/>
                <w:u w:val="none"/>
              </w:rPr>
              <w:t>，</w:t>
            </w:r>
            <w:r>
              <w:rPr>
                <w:rFonts w:hint="eastAsia" w:ascii="Times New Roman" w:hAnsi="Times New Roman" w:cs="Times New Roman"/>
                <w:b w:val="0"/>
                <w:bCs w:val="0"/>
                <w:color w:val="000000"/>
                <w:kern w:val="2"/>
                <w:sz w:val="24"/>
                <w:szCs w:val="24"/>
                <w:u w:val="none"/>
                <w:lang w:val="en-US" w:eastAsia="zh-CN" w:bidi="ar-SA"/>
              </w:rPr>
              <w:t>进入浸泡工序的原料实际约为1816.69t/a</w:t>
            </w:r>
            <w:r>
              <w:rPr>
                <w:rFonts w:hint="eastAsia" w:ascii="Times New Roman" w:hAnsi="Times New Roman" w:eastAsia="宋体" w:cs="Times New Roman"/>
                <w:b w:val="0"/>
                <w:bCs w:val="0"/>
                <w:color w:val="000000"/>
                <w:sz w:val="24"/>
                <w:szCs w:val="24"/>
                <w:u w:val="none"/>
              </w:rPr>
              <w:t>，则注水量为</w:t>
            </w:r>
            <w:r>
              <w:rPr>
                <w:rFonts w:hint="eastAsia" w:ascii="Times New Roman" w:hAnsi="Times New Roman" w:cs="Times New Roman"/>
                <w:b w:val="0"/>
                <w:bCs w:val="0"/>
                <w:color w:val="000000"/>
                <w:sz w:val="24"/>
                <w:szCs w:val="24"/>
                <w:u w:val="none"/>
                <w:lang w:val="en-US" w:eastAsia="zh-CN"/>
              </w:rPr>
              <w:t>12.11</w:t>
            </w:r>
            <w:r>
              <w:rPr>
                <w:rFonts w:hint="eastAsia" w:ascii="Times New Roman" w:hAnsi="Times New Roman" w:eastAsia="宋体" w:cs="Times New Roman"/>
                <w:b w:val="0"/>
                <w:bCs w:val="0"/>
                <w:color w:val="000000"/>
                <w:sz w:val="24"/>
                <w:szCs w:val="24"/>
                <w:u w:val="none"/>
              </w:rPr>
              <w:t>t/d（</w:t>
            </w:r>
            <w:r>
              <w:rPr>
                <w:rFonts w:hint="eastAsia" w:ascii="Times New Roman" w:hAnsi="Times New Roman" w:cs="Times New Roman"/>
                <w:b w:val="0"/>
                <w:bCs w:val="0"/>
                <w:color w:val="000000"/>
                <w:sz w:val="24"/>
                <w:szCs w:val="24"/>
                <w:u w:val="none"/>
                <w:lang w:val="en-US" w:eastAsia="zh-CN"/>
              </w:rPr>
              <w:t>3633.38</w:t>
            </w:r>
            <w:r>
              <w:rPr>
                <w:rFonts w:hint="eastAsia" w:ascii="Times New Roman" w:hAnsi="Times New Roman" w:eastAsia="宋体" w:cs="Times New Roman"/>
                <w:b w:val="0"/>
                <w:bCs w:val="0"/>
                <w:color w:val="000000"/>
                <w:sz w:val="24"/>
                <w:szCs w:val="24"/>
                <w:u w:val="none"/>
              </w:rPr>
              <w:t>/a）</w:t>
            </w:r>
            <w:r>
              <w:rPr>
                <w:rFonts w:hint="eastAsia" w:ascii="Times New Roman" w:hAnsi="Times New Roman" w:cs="Times New Roman"/>
                <w:b w:val="0"/>
                <w:bCs w:val="0"/>
                <w:color w:val="000000"/>
                <w:sz w:val="24"/>
                <w:szCs w:val="24"/>
                <w:u w:val="none"/>
                <w:lang w:eastAsia="zh-CN"/>
              </w:rPr>
              <w:t>，</w:t>
            </w:r>
            <w:r>
              <w:rPr>
                <w:rFonts w:hint="eastAsia" w:ascii="Times New Roman" w:hAnsi="Times New Roman" w:cs="Times New Roman"/>
                <w:b w:val="0"/>
                <w:bCs w:val="0"/>
                <w:color w:val="000000"/>
                <w:sz w:val="24"/>
                <w:szCs w:val="24"/>
                <w:u w:val="none"/>
                <w:lang w:val="en-US" w:eastAsia="zh-CN"/>
              </w:rPr>
              <w:t>大豆浸泡后浸泡水直接进入磨浆工序12.11</w:t>
            </w:r>
            <w:r>
              <w:rPr>
                <w:rFonts w:hint="eastAsia" w:ascii="Times New Roman" w:hAnsi="Times New Roman" w:eastAsia="宋体" w:cs="Times New Roman"/>
                <w:b w:val="0"/>
                <w:bCs w:val="0"/>
                <w:color w:val="000000"/>
                <w:sz w:val="24"/>
                <w:szCs w:val="24"/>
                <w:u w:val="none"/>
              </w:rPr>
              <w:t>t/d（</w:t>
            </w:r>
            <w:r>
              <w:rPr>
                <w:rFonts w:hint="eastAsia" w:ascii="Times New Roman" w:hAnsi="Times New Roman" w:cs="Times New Roman"/>
                <w:b w:val="0"/>
                <w:bCs w:val="0"/>
                <w:color w:val="000000"/>
                <w:sz w:val="24"/>
                <w:szCs w:val="24"/>
                <w:u w:val="none"/>
                <w:lang w:val="en-US" w:eastAsia="zh-CN"/>
              </w:rPr>
              <w:t>3633.38</w:t>
            </w:r>
            <w:r>
              <w:rPr>
                <w:rFonts w:hint="eastAsia" w:ascii="Times New Roman" w:hAnsi="Times New Roman" w:eastAsia="宋体" w:cs="Times New Roman"/>
                <w:b w:val="0"/>
                <w:bCs w:val="0"/>
                <w:color w:val="000000"/>
                <w:sz w:val="24"/>
                <w:szCs w:val="24"/>
                <w:u w:val="none"/>
              </w:rPr>
              <w:t>/a）</w:t>
            </w:r>
            <w:r>
              <w:rPr>
                <w:rFonts w:hint="eastAsia" w:ascii="Times New Roman" w:hAnsi="Times New Roman" w:cs="Times New Roman"/>
                <w:b w:val="0"/>
                <w:bCs w:val="0"/>
                <w:color w:val="000000"/>
                <w:sz w:val="24"/>
                <w:szCs w:val="24"/>
                <w:u w:val="none"/>
                <w:lang w:val="en-US" w:eastAsia="zh-CN"/>
              </w:rPr>
              <w:t>。</w:t>
            </w:r>
          </w:p>
          <w:p>
            <w:pPr>
              <w:widowControl w:val="0"/>
              <w:spacing w:line="360" w:lineRule="auto"/>
              <w:ind w:firstLine="480" w:firstLineChars="200"/>
              <w:jc w:val="both"/>
              <w:rPr>
                <w:rFonts w:hint="eastAsia" w:ascii="Times New Roman" w:hAnsi="Times New Roman" w:eastAsia="宋体" w:cs="Times New Roman"/>
                <w:b w:val="0"/>
                <w:bCs w:val="0"/>
                <w:color w:val="000000"/>
                <w:kern w:val="2"/>
                <w:sz w:val="24"/>
                <w:szCs w:val="24"/>
                <w:u w:val="none"/>
                <w:lang w:val="en-US" w:eastAsia="zh-CN" w:bidi="ar-SA"/>
              </w:rPr>
            </w:pPr>
            <w:r>
              <w:rPr>
                <w:rFonts w:hint="eastAsia" w:ascii="Times New Roman" w:hAnsi="Times New Roman" w:eastAsia="宋体" w:cs="Times New Roman"/>
                <w:b w:val="0"/>
                <w:bCs w:val="0"/>
                <w:color w:val="000000"/>
                <w:kern w:val="2"/>
                <w:sz w:val="24"/>
                <w:szCs w:val="24"/>
                <w:u w:val="none"/>
                <w:lang w:val="en-US" w:eastAsia="zh-CN" w:bidi="ar-SA"/>
              </w:rPr>
              <w:t>磨浆用水：</w:t>
            </w:r>
            <w:r>
              <w:rPr>
                <w:rFonts w:hint="eastAsia" w:ascii="Times New Roman" w:hAnsi="Times New Roman" w:cs="Times New Roman"/>
                <w:b w:val="0"/>
                <w:bCs w:val="0"/>
                <w:color w:val="000000"/>
                <w:kern w:val="2"/>
                <w:sz w:val="24"/>
                <w:szCs w:val="24"/>
                <w:u w:val="none"/>
                <w:lang w:val="en-US" w:eastAsia="zh-CN" w:bidi="ar-SA"/>
              </w:rPr>
              <w:t>磨浆工序</w:t>
            </w:r>
            <w:r>
              <w:rPr>
                <w:rFonts w:hint="eastAsia" w:ascii="Times New Roman" w:hAnsi="Times New Roman" w:eastAsia="宋体" w:cs="Times New Roman"/>
                <w:b w:val="0"/>
                <w:bCs w:val="0"/>
                <w:color w:val="000000"/>
                <w:sz w:val="24"/>
                <w:szCs w:val="24"/>
                <w:u w:val="none"/>
              </w:rPr>
              <w:t>大豆与水的比例约为1：</w:t>
            </w:r>
            <w:r>
              <w:rPr>
                <w:rFonts w:hint="eastAsia" w:ascii="Times New Roman" w:hAnsi="Times New Roman" w:cs="Times New Roman"/>
                <w:b w:val="0"/>
                <w:bCs w:val="0"/>
                <w:color w:val="000000"/>
                <w:sz w:val="24"/>
                <w:szCs w:val="24"/>
                <w:u w:val="none"/>
                <w:lang w:val="en-US" w:eastAsia="zh-CN"/>
              </w:rPr>
              <w:t>5</w:t>
            </w:r>
            <w:r>
              <w:rPr>
                <w:rFonts w:hint="eastAsia" w:ascii="Times New Roman" w:hAnsi="Times New Roman" w:eastAsia="宋体" w:cs="Times New Roman"/>
                <w:b w:val="0"/>
                <w:bCs w:val="0"/>
                <w:color w:val="000000"/>
                <w:kern w:val="2"/>
                <w:sz w:val="24"/>
                <w:szCs w:val="24"/>
                <w:u w:val="none"/>
                <w:lang w:val="en-GB" w:eastAsia="zh-CN" w:bidi="ar-SA"/>
              </w:rPr>
              <w:t>，</w:t>
            </w:r>
            <w:r>
              <w:rPr>
                <w:rFonts w:hint="eastAsia" w:ascii="Times New Roman" w:hAnsi="Times New Roman" w:cs="Times New Roman"/>
                <w:b w:val="0"/>
                <w:bCs w:val="0"/>
                <w:color w:val="000000"/>
                <w:kern w:val="2"/>
                <w:sz w:val="24"/>
                <w:szCs w:val="24"/>
                <w:u w:val="none"/>
                <w:lang w:val="en-US" w:eastAsia="zh-CN" w:bidi="ar-SA"/>
              </w:rPr>
              <w:t>进入浸泡工序的原料实际约为1816.69t/a</w:t>
            </w:r>
            <w:r>
              <w:rPr>
                <w:rFonts w:hint="eastAsia" w:ascii="Times New Roman" w:hAnsi="Times New Roman" w:eastAsia="宋体" w:cs="Times New Roman"/>
                <w:b w:val="0"/>
                <w:bCs w:val="0"/>
                <w:color w:val="000000"/>
                <w:sz w:val="24"/>
                <w:szCs w:val="24"/>
                <w:u w:val="none"/>
              </w:rPr>
              <w:t>，</w:t>
            </w:r>
            <w:r>
              <w:rPr>
                <w:rFonts w:hint="eastAsia" w:ascii="Times New Roman" w:hAnsi="Times New Roman" w:eastAsia="宋体" w:cs="Times New Roman"/>
                <w:b w:val="0"/>
                <w:bCs w:val="0"/>
                <w:color w:val="000000"/>
                <w:kern w:val="2"/>
                <w:sz w:val="24"/>
                <w:szCs w:val="24"/>
                <w:u w:val="none"/>
                <w:lang w:val="en-US" w:eastAsia="zh-CN" w:bidi="ar-SA"/>
              </w:rPr>
              <w:t>则磨浆</w:t>
            </w:r>
            <w:r>
              <w:rPr>
                <w:rFonts w:hint="eastAsia" w:ascii="Times New Roman" w:hAnsi="Times New Roman" w:cs="Times New Roman"/>
                <w:b w:val="0"/>
                <w:bCs w:val="0"/>
                <w:color w:val="000000"/>
                <w:kern w:val="2"/>
                <w:sz w:val="24"/>
                <w:szCs w:val="24"/>
                <w:u w:val="none"/>
                <w:lang w:val="en-US" w:eastAsia="zh-CN" w:bidi="ar-SA"/>
              </w:rPr>
              <w:t>需</w:t>
            </w:r>
            <w:r>
              <w:rPr>
                <w:rFonts w:hint="eastAsia" w:ascii="Times New Roman" w:hAnsi="Times New Roman" w:eastAsia="宋体" w:cs="Times New Roman"/>
                <w:b w:val="0"/>
                <w:bCs w:val="0"/>
                <w:color w:val="000000"/>
                <w:kern w:val="2"/>
                <w:sz w:val="24"/>
                <w:szCs w:val="24"/>
                <w:u w:val="none"/>
                <w:lang w:val="en-US" w:eastAsia="zh-CN" w:bidi="ar-SA"/>
              </w:rPr>
              <w:t>用水</w:t>
            </w:r>
            <w:r>
              <w:rPr>
                <w:rFonts w:hint="eastAsia" w:ascii="Times New Roman" w:hAnsi="Times New Roman" w:cs="Times New Roman"/>
                <w:b w:val="0"/>
                <w:bCs w:val="0"/>
                <w:color w:val="000000"/>
                <w:kern w:val="2"/>
                <w:sz w:val="24"/>
                <w:szCs w:val="24"/>
                <w:u w:val="none"/>
                <w:lang w:val="en-US" w:eastAsia="zh-CN" w:bidi="ar-SA"/>
              </w:rPr>
              <w:t>30.28</w:t>
            </w:r>
            <w:r>
              <w:rPr>
                <w:rFonts w:hint="default" w:ascii="Times New Roman" w:hAnsi="Times New Roman" w:cs="Times New Roman"/>
                <w:color w:val="000000" w:themeColor="text1"/>
                <w:kern w:val="2"/>
                <w:sz w:val="24"/>
                <w:szCs w:val="24"/>
                <w:u w:val="none"/>
                <w:lang w:val="en-US" w:eastAsia="zh-CN" w:bidi="ar-SA"/>
                <w14:textFill>
                  <w14:solidFill>
                    <w14:schemeClr w14:val="tx1"/>
                  </w14:solidFill>
                </w14:textFill>
              </w:rPr>
              <w:t>t/</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d</w:t>
            </w:r>
            <w:r>
              <w:rPr>
                <w:rFonts w:hint="eastAsia" w:ascii="Times New Roman" w:hAnsi="Times New Roman" w:eastAsia="宋体" w:cs="Times New Roman"/>
                <w:b w:val="0"/>
                <w:bCs w:val="0"/>
                <w:color w:val="000000"/>
                <w:kern w:val="2"/>
                <w:sz w:val="24"/>
                <w:szCs w:val="24"/>
                <w:u w:val="none"/>
                <w:lang w:val="en-US" w:eastAsia="zh-CN" w:bidi="ar-SA"/>
              </w:rPr>
              <w:t>、</w:t>
            </w:r>
            <w:r>
              <w:rPr>
                <w:rFonts w:hint="eastAsia" w:ascii="Times New Roman" w:hAnsi="Times New Roman" w:cs="Times New Roman"/>
                <w:b w:val="0"/>
                <w:bCs w:val="0"/>
                <w:color w:val="000000"/>
                <w:kern w:val="2"/>
                <w:sz w:val="24"/>
                <w:szCs w:val="24"/>
                <w:u w:val="none"/>
                <w:lang w:val="en-US" w:eastAsia="zh-CN" w:bidi="ar-SA"/>
              </w:rPr>
              <w:t>9083.45</w:t>
            </w:r>
            <w:r>
              <w:rPr>
                <w:rFonts w:hint="eastAsia" w:ascii="Times New Roman" w:hAnsi="Times New Roman" w:cs="Times New Roman"/>
                <w:b w:val="0"/>
                <w:bCs w:val="0"/>
                <w:color w:val="000000"/>
                <w:kern w:val="0"/>
                <w:sz w:val="24"/>
                <w:szCs w:val="24"/>
                <w:u w:val="none"/>
                <w:lang w:val="en-US" w:eastAsia="zh-CN" w:bidi="ar-SA"/>
              </w:rPr>
              <w:t>t</w:t>
            </w:r>
            <w:r>
              <w:rPr>
                <w:rFonts w:hint="eastAsia" w:ascii="Times New Roman" w:hAnsi="Times New Roman" w:eastAsia="宋体" w:cs="Times New Roman"/>
                <w:b w:val="0"/>
                <w:bCs w:val="0"/>
                <w:color w:val="000000"/>
                <w:kern w:val="2"/>
                <w:sz w:val="24"/>
                <w:szCs w:val="24"/>
                <w:u w:val="none"/>
                <w:lang w:val="en-US" w:eastAsia="zh-CN" w:bidi="ar-SA"/>
              </w:rPr>
              <w:t>/a</w:t>
            </w:r>
            <w:r>
              <w:rPr>
                <w:rFonts w:hint="eastAsia" w:ascii="Times New Roman" w:hAnsi="Times New Roman" w:cs="Times New Roman"/>
                <w:b w:val="0"/>
                <w:bCs w:val="0"/>
                <w:color w:val="000000"/>
                <w:kern w:val="2"/>
                <w:sz w:val="24"/>
                <w:szCs w:val="24"/>
                <w:u w:val="none"/>
                <w:lang w:val="en-US" w:eastAsia="zh-CN" w:bidi="ar-SA"/>
              </w:rPr>
              <w:t>，项目大豆浸泡水直接进入磨浆工序约</w:t>
            </w:r>
            <w:r>
              <w:rPr>
                <w:rFonts w:hint="eastAsia" w:ascii="Times New Roman" w:hAnsi="Times New Roman" w:cs="Times New Roman"/>
                <w:b w:val="0"/>
                <w:bCs w:val="0"/>
                <w:color w:val="000000"/>
                <w:sz w:val="24"/>
                <w:szCs w:val="24"/>
                <w:u w:val="none"/>
                <w:lang w:val="en-US" w:eastAsia="zh-CN"/>
              </w:rPr>
              <w:t>12.11</w:t>
            </w:r>
            <w:r>
              <w:rPr>
                <w:rFonts w:hint="eastAsia" w:ascii="Times New Roman" w:hAnsi="Times New Roman" w:eastAsia="宋体" w:cs="Times New Roman"/>
                <w:b w:val="0"/>
                <w:bCs w:val="0"/>
                <w:color w:val="000000"/>
                <w:sz w:val="24"/>
                <w:szCs w:val="24"/>
                <w:u w:val="none"/>
              </w:rPr>
              <w:t>t/d（</w:t>
            </w:r>
            <w:r>
              <w:rPr>
                <w:rFonts w:hint="eastAsia" w:ascii="Times New Roman" w:hAnsi="Times New Roman" w:cs="Times New Roman"/>
                <w:b w:val="0"/>
                <w:bCs w:val="0"/>
                <w:color w:val="000000"/>
                <w:sz w:val="24"/>
                <w:szCs w:val="24"/>
                <w:u w:val="none"/>
                <w:lang w:val="en-US" w:eastAsia="zh-CN"/>
              </w:rPr>
              <w:t>3633.38</w:t>
            </w:r>
            <w:r>
              <w:rPr>
                <w:rFonts w:hint="eastAsia" w:ascii="Times New Roman" w:hAnsi="Times New Roman" w:eastAsia="宋体" w:cs="Times New Roman"/>
                <w:b w:val="0"/>
                <w:bCs w:val="0"/>
                <w:color w:val="000000"/>
                <w:sz w:val="24"/>
                <w:szCs w:val="24"/>
                <w:u w:val="none"/>
              </w:rPr>
              <w:t>/a）</w:t>
            </w:r>
            <w:r>
              <w:rPr>
                <w:rFonts w:hint="eastAsia" w:ascii="Times New Roman" w:hAnsi="Times New Roman" w:cs="Times New Roman"/>
                <w:b w:val="0"/>
                <w:bCs w:val="0"/>
                <w:color w:val="000000"/>
                <w:kern w:val="2"/>
                <w:sz w:val="24"/>
                <w:szCs w:val="24"/>
                <w:u w:val="none"/>
                <w:lang w:val="en-US" w:eastAsia="zh-CN" w:bidi="ar-SA"/>
              </w:rPr>
              <w:t>，则磨浆工序需供水18.17</w:t>
            </w:r>
            <w:r>
              <w:rPr>
                <w:rFonts w:hint="default" w:ascii="Times New Roman" w:hAnsi="Times New Roman" w:cs="Times New Roman"/>
                <w:color w:val="000000" w:themeColor="text1"/>
                <w:kern w:val="2"/>
                <w:sz w:val="24"/>
                <w:szCs w:val="24"/>
                <w:u w:val="none"/>
                <w:lang w:val="en-US" w:eastAsia="zh-CN" w:bidi="ar-SA"/>
                <w14:textFill>
                  <w14:solidFill>
                    <w14:schemeClr w14:val="tx1"/>
                  </w14:solidFill>
                </w14:textFill>
              </w:rPr>
              <w:t>t/</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d</w:t>
            </w:r>
            <w:r>
              <w:rPr>
                <w:rFonts w:hint="eastAsia" w:ascii="Times New Roman" w:hAnsi="Times New Roman" w:cs="Times New Roman"/>
                <w:b w:val="0"/>
                <w:bCs w:val="0"/>
                <w:color w:val="000000"/>
                <w:kern w:val="2"/>
                <w:sz w:val="24"/>
                <w:szCs w:val="24"/>
                <w:u w:val="none"/>
                <w:lang w:val="en-US" w:eastAsia="zh-CN" w:bidi="ar-SA"/>
              </w:rPr>
              <w:t>（5450.07</w:t>
            </w:r>
            <w:r>
              <w:rPr>
                <w:rFonts w:hint="eastAsia" w:ascii="Times New Roman" w:hAnsi="Times New Roman" w:cs="Times New Roman"/>
                <w:b w:val="0"/>
                <w:bCs w:val="0"/>
                <w:color w:val="000000"/>
                <w:kern w:val="0"/>
                <w:sz w:val="24"/>
                <w:szCs w:val="24"/>
                <w:u w:val="none"/>
                <w:lang w:val="en-US" w:eastAsia="zh-CN" w:bidi="ar-SA"/>
              </w:rPr>
              <w:t>t</w:t>
            </w:r>
            <w:r>
              <w:rPr>
                <w:rFonts w:hint="eastAsia" w:ascii="Times New Roman" w:hAnsi="Times New Roman" w:eastAsia="宋体" w:cs="Times New Roman"/>
                <w:b w:val="0"/>
                <w:bCs w:val="0"/>
                <w:color w:val="000000"/>
                <w:kern w:val="2"/>
                <w:sz w:val="24"/>
                <w:szCs w:val="24"/>
                <w:u w:val="none"/>
                <w:lang w:val="en-US" w:eastAsia="zh-CN" w:bidi="ar-SA"/>
              </w:rPr>
              <w:t>/a</w:t>
            </w:r>
            <w:r>
              <w:rPr>
                <w:rFonts w:hint="eastAsia" w:ascii="Times New Roman" w:hAnsi="Times New Roman" w:cs="Times New Roman"/>
                <w:b w:val="0"/>
                <w:bCs w:val="0"/>
                <w:color w:val="000000"/>
                <w:kern w:val="2"/>
                <w:sz w:val="24"/>
                <w:szCs w:val="24"/>
                <w:u w:val="none"/>
                <w:lang w:val="en-US" w:eastAsia="zh-CN" w:bidi="ar-SA"/>
              </w:rPr>
              <w:t>）</w:t>
            </w:r>
            <w:r>
              <w:rPr>
                <w:rFonts w:hint="eastAsia" w:ascii="Times New Roman" w:hAnsi="Times New Roman" w:eastAsia="宋体" w:cs="Times New Roman"/>
                <w:b w:val="0"/>
                <w:bCs w:val="0"/>
                <w:color w:val="000000"/>
                <w:kern w:val="2"/>
                <w:sz w:val="24"/>
                <w:szCs w:val="24"/>
                <w:u w:val="none"/>
                <w:lang w:val="en-US" w:eastAsia="zh-CN" w:bidi="ar-SA"/>
              </w:rPr>
              <w:t>。</w:t>
            </w:r>
          </w:p>
          <w:p>
            <w:pPr>
              <w:widowControl w:val="0"/>
              <w:spacing w:line="360" w:lineRule="auto"/>
              <w:ind w:firstLine="480" w:firstLineChars="200"/>
              <w:jc w:val="both"/>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2"/>
                <w:sz w:val="24"/>
                <w:szCs w:val="24"/>
                <w:u w:val="none"/>
                <w:lang w:val="en-US" w:eastAsia="zh-CN" w:bidi="ar-SA"/>
              </w:rPr>
              <w:t>设备清洗用水：项目生产设备每天需清洗一次，每次设备清洗用水量约为2</w:t>
            </w:r>
            <w:r>
              <w:rPr>
                <w:rFonts w:hint="default" w:ascii="Times New Roman" w:hAnsi="Times New Roman" w:cs="Times New Roman"/>
                <w:color w:val="000000" w:themeColor="text1"/>
                <w:kern w:val="2"/>
                <w:sz w:val="24"/>
                <w:szCs w:val="24"/>
                <w:u w:val="none"/>
                <w:lang w:val="en-US" w:eastAsia="zh-CN" w:bidi="ar-SA"/>
                <w14:textFill>
                  <w14:solidFill>
                    <w14:schemeClr w14:val="tx1"/>
                  </w14:solidFill>
                </w14:textFill>
              </w:rPr>
              <w:t>t/</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d</w:t>
            </w:r>
            <w:r>
              <w:rPr>
                <w:rFonts w:hint="eastAsia" w:ascii="Times New Roman" w:hAnsi="Times New Roman" w:eastAsia="宋体" w:cs="Times New Roman"/>
                <w:b w:val="0"/>
                <w:bCs w:val="0"/>
                <w:color w:val="000000"/>
                <w:kern w:val="2"/>
                <w:sz w:val="24"/>
                <w:szCs w:val="24"/>
                <w:u w:val="none"/>
                <w:lang w:val="en-US" w:eastAsia="zh-CN" w:bidi="ar-SA"/>
              </w:rPr>
              <w:t>、400</w:t>
            </w:r>
            <w:r>
              <w:rPr>
                <w:rFonts w:hint="default" w:ascii="Times New Roman" w:hAnsi="Times New Roman" w:cs="Times New Roman"/>
                <w:color w:val="000000" w:themeColor="text1"/>
                <w:kern w:val="2"/>
                <w:sz w:val="24"/>
                <w:szCs w:val="24"/>
                <w:u w:val="none"/>
                <w:lang w:val="en-US" w:eastAsia="zh-CN" w:bidi="ar-SA"/>
                <w14:textFill>
                  <w14:solidFill>
                    <w14:schemeClr w14:val="tx1"/>
                  </w14:solidFill>
                </w14:textFill>
              </w:rPr>
              <w:t>t/a</w:t>
            </w:r>
            <w:r>
              <w:rPr>
                <w:rFonts w:hint="eastAsia" w:ascii="Times New Roman" w:hAnsi="Times New Roman" w:eastAsia="宋体" w:cs="Times New Roman"/>
                <w:b w:val="0"/>
                <w:bCs w:val="0"/>
                <w:color w:val="000000"/>
                <w:kern w:val="2"/>
                <w:sz w:val="24"/>
                <w:szCs w:val="24"/>
                <w:u w:val="none"/>
                <w:lang w:val="en-US" w:eastAsia="zh-CN" w:bidi="ar-SA"/>
              </w:rPr>
              <w:t>。</w:t>
            </w:r>
          </w:p>
          <w:p>
            <w:pPr>
              <w:spacing w:line="360" w:lineRule="auto"/>
              <w:ind w:firstLine="480" w:firstLineChars="200"/>
              <w:rPr>
                <w:rFonts w:hint="eastAsia" w:ascii="Times New Roman" w:hAnsi="Times New Roman" w:eastAsia="宋体" w:cs="Times New Roman"/>
                <w:b w:val="0"/>
                <w:bCs w:val="0"/>
                <w:color w:val="000000" w:themeColor="text1"/>
                <w:sz w:val="24"/>
                <w:szCs w:val="24"/>
                <w:u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u w:val="none"/>
                <w14:textFill>
                  <w14:solidFill>
                    <w14:schemeClr w14:val="tx1"/>
                  </w14:solidFill>
                </w14:textFill>
              </w:rPr>
              <w:t>地面清洁用水：本项目车间每天拖地1次，车间用水主要为冲洗拖把用水，平均用量约0.3</w:t>
            </w:r>
            <w:r>
              <w:rPr>
                <w:rFonts w:hint="eastAsia" w:ascii="Times New Roman" w:hAnsi="Times New Roman" w:cs="Times New Roman"/>
                <w:b w:val="0"/>
                <w:bCs w:val="0"/>
                <w:color w:val="000000" w:themeColor="text1"/>
                <w:sz w:val="24"/>
                <w:szCs w:val="24"/>
                <w:u w:val="none"/>
                <w:lang w:val="en-US" w:eastAsia="zh-CN"/>
                <w14:textFill>
                  <w14:solidFill>
                    <w14:schemeClr w14:val="tx1"/>
                  </w14:solidFill>
                </w14:textFill>
              </w:rPr>
              <w:t>t</w:t>
            </w:r>
            <w:r>
              <w:rPr>
                <w:rFonts w:hint="eastAsia" w:ascii="Times New Roman" w:hAnsi="Times New Roman" w:eastAsia="宋体" w:cs="Times New Roman"/>
                <w:b w:val="0"/>
                <w:bCs w:val="0"/>
                <w:color w:val="000000" w:themeColor="text1"/>
                <w:sz w:val="24"/>
                <w:szCs w:val="24"/>
                <w:u w:val="none"/>
                <w14:textFill>
                  <w14:solidFill>
                    <w14:schemeClr w14:val="tx1"/>
                  </w14:solidFill>
                </w14:textFill>
              </w:rPr>
              <w:t>/次，即地面清洁用水</w:t>
            </w:r>
            <w:r>
              <w:rPr>
                <w:rFonts w:hint="eastAsia" w:ascii="Times New Roman" w:hAnsi="Times New Roman" w:cs="Times New Roman"/>
                <w:b w:val="0"/>
                <w:bCs w:val="0"/>
                <w:color w:val="000000" w:themeColor="text1"/>
                <w:sz w:val="24"/>
                <w:szCs w:val="24"/>
                <w:u w:val="none"/>
                <w:lang w:val="en-US" w:eastAsia="zh-CN"/>
                <w14:textFill>
                  <w14:solidFill>
                    <w14:schemeClr w14:val="tx1"/>
                  </w14:solidFill>
                </w14:textFill>
              </w:rPr>
              <w:t>为90t/a</w:t>
            </w:r>
            <w:r>
              <w:rPr>
                <w:rFonts w:hint="eastAsia" w:ascii="Times New Roman" w:hAnsi="Times New Roman" w:eastAsia="宋体" w:cs="Times New Roman"/>
                <w:b w:val="0"/>
                <w:bCs w:val="0"/>
                <w:color w:val="000000" w:themeColor="text1"/>
                <w:sz w:val="24"/>
                <w:szCs w:val="24"/>
                <w:u w:val="none"/>
                <w14:textFill>
                  <w14:solidFill>
                    <w14:schemeClr w14:val="tx1"/>
                  </w14:solidFill>
                </w14:textFill>
              </w:rPr>
              <w:t>。</w:t>
            </w:r>
          </w:p>
          <w:p>
            <w:pPr>
              <w:widowControl w:val="0"/>
              <w:spacing w:line="360" w:lineRule="auto"/>
              <w:ind w:firstLine="480" w:firstLineChars="200"/>
              <w:jc w:val="both"/>
              <w:rPr>
                <w:rFonts w:hint="default"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锅炉用水：项目设置1台1</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0</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t/h</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、1台2</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t/h</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（备用）</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生物质锅炉，日运行</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18</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小时，</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类比其它项目，锅炉</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用水</w:t>
            </w:r>
            <w:r>
              <w:rPr>
                <w:rFonts w:hint="default"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用水定额</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为</w:t>
            </w:r>
            <w:r>
              <w:rPr>
                <w:rFonts w:hint="default"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1.05t水/t-蒸汽</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，项目年需蒸汽量约40000吨，则锅炉启动用水量约42000t。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生产过程</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烘干、提皮</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采用间接蒸汽加热，蒸汽冷凝后回流循环使用，本项目锅炉排污取2%，管道汽水损失一般为3%</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煮浆和回润工序采用直接加热，项目年煮浆10082.63吨，根据业主提供资料，煮浆部分使用蒸汽量约2400t/a，该部分蒸汽直接通入煮浆罐进行加热，全部损耗不循环使用，一部分蒸汽（约480t/a）随着加热而损耗蒸发，其余全部损耗（约1920t/a）进入煮浆罐液化为水；根据业主提供资料，回润工序大约需蒸汽量50t/a，一部分被产品吸收，一部分液化为水，烘干后的腐竹含水率大约为10%，经回润后含水率增至12%，则回润工序1000吨产品吸收的蒸汽量为：1000*（1-10%）/（1-12%）-1000=22.73吨，故产生蒸发水量为27.27吨。</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锅炉</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共损耗软水量为：（42000*</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2%</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）+（42000*3</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）+（2400*1.05）+（50*1.05）=4672.5吨，则需</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补充水量为</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15.58t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/d（</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4672.5t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/a）。</w:t>
            </w:r>
          </w:p>
          <w:p>
            <w:pPr>
              <w:widowControl w:val="0"/>
              <w:spacing w:line="360" w:lineRule="auto"/>
              <w:ind w:firstLine="480" w:firstLineChars="200"/>
              <w:jc w:val="both"/>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碱液喷淋用水：项目锅炉烟气采用碱液喷淋进行处理，用水量为1</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/h（</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2400</w:t>
            </w:r>
            <w:r>
              <w:rPr>
                <w:rFonts w:hint="default" w:ascii="Times New Roman" w:hAnsi="Times New Roman" w:cs="Times New Roman"/>
                <w:color w:val="000000" w:themeColor="text1"/>
                <w:kern w:val="2"/>
                <w:sz w:val="24"/>
                <w:szCs w:val="24"/>
                <w:u w:val="none"/>
                <w:lang w:val="en-US" w:eastAsia="zh-CN" w:bidi="ar-SA"/>
                <w14:textFill>
                  <w14:solidFill>
                    <w14:schemeClr w14:val="tx1"/>
                  </w14:solidFill>
                </w14:textFill>
              </w:rPr>
              <w:t>t/</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a</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），喷淋用水循环使用，消耗后定期补充，消耗量为用水的10%，即</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240</w:t>
            </w:r>
            <w:r>
              <w:rPr>
                <w:rFonts w:hint="default" w:ascii="Times New Roman" w:hAnsi="Times New Roman" w:cs="Times New Roman"/>
                <w:color w:val="000000" w:themeColor="text1"/>
                <w:kern w:val="2"/>
                <w:sz w:val="24"/>
                <w:szCs w:val="24"/>
                <w:u w:val="none"/>
                <w:lang w:val="en-US" w:eastAsia="zh-CN" w:bidi="ar-SA"/>
                <w14:textFill>
                  <w14:solidFill>
                    <w14:schemeClr w14:val="tx1"/>
                  </w14:solidFill>
                </w14:textFill>
              </w:rPr>
              <w:t>t/</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a</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w:t>
            </w:r>
          </w:p>
          <w:p>
            <w:pPr>
              <w:spacing w:line="360" w:lineRule="auto"/>
              <w:ind w:firstLine="480" w:firstLineChars="200"/>
              <w:rPr>
                <w:rFonts w:hint="eastAsia" w:ascii="Times New Roman" w:hAnsi="Times New Roman" w:eastAsia="宋体" w:cs="Times New Roman"/>
                <w:color w:val="000000"/>
                <w:sz w:val="24"/>
                <w:szCs w:val="24"/>
                <w:u w:val="none"/>
              </w:rPr>
            </w:pPr>
            <w:r>
              <w:rPr>
                <w:rFonts w:hint="eastAsia" w:ascii="Times New Roman" w:hAnsi="Times New Roman" w:cs="Times New Roman"/>
                <w:color w:val="000000" w:themeColor="text1"/>
                <w:sz w:val="24"/>
                <w:szCs w:val="24"/>
                <w:u w:val="none"/>
                <w:lang w:val="en-US" w:eastAsia="zh-CN"/>
                <w14:textFill>
                  <w14:solidFill>
                    <w14:schemeClr w14:val="tx1"/>
                  </w14:solidFill>
                </w14:textFill>
              </w:rPr>
              <w:t>锅炉</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需</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补充水量为</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15.58t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/d（</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4672.5t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/a）</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u w:val="none"/>
                <w14:textFill>
                  <w14:solidFill>
                    <w14:schemeClr w14:val="tx1"/>
                  </w14:solidFill>
                </w14:textFill>
              </w:rPr>
              <w:t>采用自制纯化水，项目</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软</w:t>
            </w:r>
            <w:r>
              <w:rPr>
                <w:rFonts w:hint="eastAsia" w:ascii="Times New Roman" w:hAnsi="Times New Roman" w:eastAsia="宋体" w:cs="Times New Roman"/>
                <w:color w:val="000000" w:themeColor="text1"/>
                <w:sz w:val="24"/>
                <w:szCs w:val="24"/>
                <w:u w:val="none"/>
                <w14:textFill>
                  <w14:solidFill>
                    <w14:schemeClr w14:val="tx1"/>
                  </w14:solidFill>
                </w14:textFill>
              </w:rPr>
              <w:t>水制备效率为80%，则新鲜水用量为</w:t>
            </w:r>
            <w:r>
              <w:rPr>
                <w:rFonts w:hint="eastAsia" w:ascii="Times New Roman" w:hAnsi="Times New Roman" w:cs="Times New Roman"/>
                <w:color w:val="000000" w:themeColor="text1"/>
                <w:sz w:val="24"/>
                <w:szCs w:val="24"/>
                <w:u w:val="none"/>
                <w:lang w:val="en-US" w:eastAsia="zh-CN"/>
                <w14:textFill>
                  <w14:solidFill>
                    <w14:schemeClr w14:val="tx1"/>
                  </w14:solidFill>
                </w14:textFill>
              </w:rPr>
              <w:t>19.47</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/d</w:t>
            </w:r>
            <w:r>
              <w:rPr>
                <w:rFonts w:hint="eastAsia" w:ascii="Times New Roman" w:hAnsi="Times New Roman" w:cs="Times New Roman"/>
                <w:color w:val="000000" w:themeColor="text1"/>
                <w:sz w:val="24"/>
                <w:szCs w:val="24"/>
                <w:u w:val="none"/>
                <w:lang w:eastAsia="zh-CN"/>
                <w14:textFill>
                  <w14:solidFill>
                    <w14:schemeClr w14:val="tx1"/>
                  </w14:solidFill>
                </w14:textFill>
              </w:rPr>
              <w:t>（</w:t>
            </w:r>
            <w:r>
              <w:rPr>
                <w:rFonts w:hint="eastAsia" w:ascii="Times New Roman" w:hAnsi="Times New Roman" w:cs="Times New Roman"/>
                <w:color w:val="000000" w:themeColor="text1"/>
                <w:sz w:val="24"/>
                <w:szCs w:val="24"/>
                <w:u w:val="none"/>
                <w:lang w:val="en-US" w:eastAsia="zh-CN"/>
                <w14:textFill>
                  <w14:solidFill>
                    <w14:schemeClr w14:val="tx1"/>
                  </w14:solidFill>
                </w14:textFill>
              </w:rPr>
              <w:t>5840.63</w:t>
            </w:r>
            <w:r>
              <w:rPr>
                <w:rFonts w:hint="eastAsia" w:ascii="Times New Roman" w:hAnsi="Times New Roman" w:cs="Times New Roman"/>
                <w:b w:val="0"/>
                <w:bCs w:val="0"/>
                <w:color w:val="000000" w:themeColor="text1"/>
                <w:kern w:val="0"/>
                <w:sz w:val="24"/>
                <w:szCs w:val="24"/>
                <w:u w:val="none"/>
                <w:lang w:val="en-US" w:eastAsia="zh-CN" w:bidi="ar-SA"/>
                <w14:textFill>
                  <w14:solidFill>
                    <w14:schemeClr w14:val="tx1"/>
                  </w14:solidFill>
                </w14:textFill>
              </w:rPr>
              <w:t>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/a</w:t>
            </w:r>
            <w:r>
              <w:rPr>
                <w:rFonts w:hint="eastAsia" w:ascii="Times New Roman" w:hAnsi="Times New Roman" w:cs="Times New Roman"/>
                <w:color w:val="000000" w:themeColor="text1"/>
                <w:sz w:val="24"/>
                <w:szCs w:val="24"/>
                <w:u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u w:val="none"/>
                <w14:textFill>
                  <w14:solidFill>
                    <w14:schemeClr w14:val="tx1"/>
                  </w14:solidFill>
                </w14:textFill>
              </w:rPr>
              <w:t>。</w:t>
            </w:r>
            <w:r>
              <w:rPr>
                <w:rFonts w:hint="eastAsia" w:ascii="Times New Roman" w:hAnsi="Times New Roman" w:cs="Times New Roman"/>
                <w:color w:val="000000" w:themeColor="text1"/>
                <w:sz w:val="24"/>
                <w:szCs w:val="24"/>
                <w:u w:val="none"/>
                <w:lang w:val="en-US" w:eastAsia="zh-CN"/>
                <w14:textFill>
                  <w14:solidFill>
                    <w14:schemeClr w14:val="tx1"/>
                  </w14:solidFill>
                </w14:textFill>
              </w:rPr>
              <w:t>锅炉首次启动需用水42000吨/首次，</w:t>
            </w:r>
            <w:r>
              <w:rPr>
                <w:rFonts w:hint="eastAsia" w:ascii="Times New Roman" w:hAnsi="Times New Roman" w:cs="Times New Roman"/>
                <w:color w:val="000000" w:themeColor="text1"/>
                <w:sz w:val="24"/>
                <w:szCs w:val="24"/>
                <w:lang w:val="en-US" w:eastAsia="zh-CN"/>
                <w14:textFill>
                  <w14:solidFill>
                    <w14:schemeClr w14:val="tx1"/>
                  </w14:solidFill>
                </w14:textFill>
              </w:rPr>
              <w:t>故软水机制备需新鲜水52500吨/首次。</w:t>
            </w:r>
          </w:p>
          <w:p>
            <w:pPr>
              <w:widowControl w:val="0"/>
              <w:spacing w:line="360" w:lineRule="auto"/>
              <w:ind w:firstLine="480" w:firstLineChars="200"/>
              <w:jc w:val="both"/>
              <w:rPr>
                <w:rFonts w:hint="default" w:ascii="Times New Roman" w:hAnsi="Times New Roman" w:eastAsia="宋体" w:cs="Times New Roman"/>
                <w:color w:val="000000"/>
                <w:kern w:val="2"/>
                <w:sz w:val="24"/>
                <w:szCs w:val="24"/>
                <w:u w:val="none"/>
                <w:lang w:val="en-US" w:eastAsia="zh-CN" w:bidi="ar-SA"/>
              </w:rPr>
            </w:pPr>
            <w:r>
              <w:rPr>
                <w:rFonts w:hint="eastAsia" w:ascii="Times New Roman" w:hAnsi="Times New Roman" w:eastAsia="宋体" w:cs="Times New Roman"/>
                <w:color w:val="000000"/>
                <w:kern w:val="2"/>
                <w:sz w:val="24"/>
                <w:szCs w:val="24"/>
                <w:u w:val="none"/>
                <w:lang w:val="en-US" w:eastAsia="zh-CN" w:bidi="ar-SA"/>
              </w:rPr>
              <w:t>综上所述，项目生产用水用量为</w:t>
            </w:r>
            <w:r>
              <w:rPr>
                <w:rFonts w:hint="eastAsia" w:ascii="Times New Roman" w:hAnsi="Times New Roman" w:cs="Times New Roman"/>
                <w:color w:val="000000"/>
                <w:kern w:val="2"/>
                <w:sz w:val="24"/>
                <w:szCs w:val="24"/>
                <w:u w:val="none"/>
                <w:lang w:val="en-US" w:eastAsia="zh-CN" w:bidi="ar-SA"/>
              </w:rPr>
              <w:t>19422.46</w:t>
            </w:r>
            <w:r>
              <w:rPr>
                <w:rFonts w:hint="eastAsia" w:ascii="Times New Roman" w:hAnsi="Times New Roman" w:cs="Times New Roman"/>
                <w:b w:val="0"/>
                <w:bCs w:val="0"/>
                <w:color w:val="000000" w:themeColor="text1"/>
                <w:kern w:val="0"/>
                <w:sz w:val="24"/>
                <w:szCs w:val="24"/>
                <w:u w:val="none"/>
                <w:lang w:val="en-US" w:eastAsia="zh-CN" w:bidi="ar-SA"/>
                <w14:textFill>
                  <w14:solidFill>
                    <w14:schemeClr w14:val="tx1"/>
                  </w14:solidFill>
                </w14:textFill>
              </w:rPr>
              <w:t>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/a</w:t>
            </w:r>
            <w:r>
              <w:rPr>
                <w:rFonts w:hint="eastAsia" w:ascii="Times New Roman" w:hAnsi="Times New Roman" w:eastAsia="宋体" w:cs="Times New Roman"/>
                <w:color w:val="000000"/>
                <w:kern w:val="2"/>
                <w:sz w:val="24"/>
                <w:szCs w:val="24"/>
                <w:u w:val="none"/>
                <w:lang w:val="en-US" w:eastAsia="zh-CN" w:bidi="ar-SA"/>
              </w:rPr>
              <w:t>，生活用水为</w:t>
            </w:r>
            <w:r>
              <w:rPr>
                <w:rFonts w:hint="eastAsia" w:ascii="Times New Roman" w:hAnsi="Times New Roman" w:cs="Times New Roman"/>
                <w:color w:val="000000"/>
                <w:kern w:val="2"/>
                <w:sz w:val="24"/>
                <w:szCs w:val="24"/>
                <w:u w:val="none"/>
                <w:lang w:val="en-US" w:eastAsia="zh-CN" w:bidi="ar-SA"/>
              </w:rPr>
              <w:t>1440</w:t>
            </w:r>
            <w:r>
              <w:rPr>
                <w:rFonts w:hint="eastAsia" w:ascii="Times New Roman" w:hAnsi="Times New Roman" w:cs="Times New Roman"/>
                <w:b w:val="0"/>
                <w:bCs w:val="0"/>
                <w:color w:val="000000" w:themeColor="text1"/>
                <w:kern w:val="0"/>
                <w:sz w:val="24"/>
                <w:szCs w:val="24"/>
                <w:u w:val="none"/>
                <w:lang w:val="en-US" w:eastAsia="zh-CN" w:bidi="ar-SA"/>
                <w14:textFill>
                  <w14:solidFill>
                    <w14:schemeClr w14:val="tx1"/>
                  </w14:solidFill>
                </w14:textFill>
              </w:rPr>
              <w:t>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/a</w:t>
            </w:r>
            <w:r>
              <w:rPr>
                <w:rFonts w:hint="eastAsia" w:ascii="Times New Roman" w:hAnsi="Times New Roman" w:eastAsia="宋体" w:cs="Times New Roman"/>
                <w:color w:val="000000"/>
                <w:kern w:val="2"/>
                <w:sz w:val="24"/>
                <w:szCs w:val="24"/>
                <w:u w:val="none"/>
                <w:lang w:val="en-US" w:eastAsia="zh-CN" w:bidi="ar-SA"/>
              </w:rPr>
              <w:t>，总用水量为</w:t>
            </w:r>
            <w:r>
              <w:rPr>
                <w:rFonts w:hint="eastAsia" w:ascii="Times New Roman" w:hAnsi="Times New Roman" w:cs="Times New Roman"/>
                <w:color w:val="000000"/>
                <w:kern w:val="2"/>
                <w:sz w:val="24"/>
                <w:szCs w:val="24"/>
                <w:u w:val="none"/>
                <w:lang w:val="en-US" w:eastAsia="zh-CN" w:bidi="ar-SA"/>
              </w:rPr>
              <w:t>20862.46</w:t>
            </w:r>
            <w:r>
              <w:rPr>
                <w:rFonts w:hint="eastAsia" w:ascii="Times New Roman" w:hAnsi="Times New Roman" w:cs="Times New Roman"/>
                <w:b w:val="0"/>
                <w:bCs w:val="0"/>
                <w:color w:val="000000" w:themeColor="text1"/>
                <w:kern w:val="0"/>
                <w:sz w:val="24"/>
                <w:szCs w:val="24"/>
                <w:u w:val="none"/>
                <w:lang w:val="en-US" w:eastAsia="zh-CN" w:bidi="ar-SA"/>
                <w14:textFill>
                  <w14:solidFill>
                    <w14:schemeClr w14:val="tx1"/>
                  </w14:solidFill>
                </w14:textFill>
              </w:rPr>
              <w:t>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/a</w:t>
            </w:r>
            <w:r>
              <w:rPr>
                <w:rFonts w:hint="eastAsia" w:ascii="Times New Roman" w:hAnsi="Times New Roman" w:eastAsia="宋体" w:cs="Times New Roman"/>
                <w:color w:val="000000"/>
                <w:kern w:val="2"/>
                <w:sz w:val="24"/>
                <w:szCs w:val="24"/>
                <w:u w:val="none"/>
                <w:lang w:val="en-US" w:eastAsia="zh-CN" w:bidi="ar-SA"/>
              </w:rPr>
              <w:t>。</w:t>
            </w:r>
            <w:r>
              <w:rPr>
                <w:rFonts w:hint="eastAsia" w:ascii="Times New Roman" w:hAnsi="Times New Roman" w:cs="Times New Roman"/>
                <w:color w:val="000000"/>
                <w:kern w:val="2"/>
                <w:sz w:val="24"/>
                <w:szCs w:val="24"/>
                <w:u w:val="none"/>
                <w:lang w:val="en-US" w:eastAsia="zh-CN" w:bidi="ar-SA"/>
              </w:rPr>
              <w:t>锅炉首次启动用水量为42000吨，需</w:t>
            </w:r>
            <w:r>
              <w:rPr>
                <w:rFonts w:hint="eastAsia" w:ascii="Times New Roman" w:hAnsi="Times New Roman" w:cs="Times New Roman"/>
                <w:color w:val="000000" w:themeColor="text1"/>
                <w:sz w:val="24"/>
                <w:szCs w:val="24"/>
                <w:lang w:val="en-US" w:eastAsia="zh-CN"/>
                <w14:textFill>
                  <w14:solidFill>
                    <w14:schemeClr w14:val="tx1"/>
                  </w14:solidFill>
                </w14:textFill>
              </w:rPr>
              <w:t>软水机制备用新鲜水52500吨，该用水不计入项目每年总用水量中。</w:t>
            </w:r>
          </w:p>
          <w:p>
            <w:pPr>
              <w:widowControl w:val="0"/>
              <w:spacing w:line="360" w:lineRule="auto"/>
              <w:ind w:firstLine="480" w:firstLineChars="200"/>
              <w:jc w:val="both"/>
              <w:rPr>
                <w:rFonts w:ascii="Times New Roman" w:hAnsi="Times New Roman" w:eastAsia="宋体" w:cs="Times New Roman"/>
                <w:color w:val="000000"/>
                <w:sz w:val="24"/>
                <w:szCs w:val="24"/>
                <w:u w:val="none"/>
              </w:rPr>
            </w:pPr>
            <w:r>
              <w:rPr>
                <w:rFonts w:ascii="Times New Roman" w:hAnsi="Times New Roman" w:eastAsia="宋体" w:cs="Times New Roman"/>
                <w:color w:val="000000"/>
                <w:sz w:val="24"/>
                <w:szCs w:val="24"/>
                <w:u w:val="none"/>
              </w:rPr>
              <w:t>（2）排水</w:t>
            </w:r>
          </w:p>
          <w:p>
            <w:pPr>
              <w:spacing w:line="360" w:lineRule="auto"/>
              <w:ind w:firstLine="480"/>
              <w:rPr>
                <w:rFonts w:hint="eastAsia" w:ascii="Times New Roman" w:hAnsi="Times New Roman" w:cs="Times New Roman"/>
                <w:bCs/>
                <w:color w:val="000000"/>
                <w:sz w:val="24"/>
                <w:szCs w:val="24"/>
                <w:u w:val="none"/>
                <w:lang w:val="en-US" w:eastAsia="zh-CN"/>
              </w:rPr>
            </w:pPr>
            <w:r>
              <w:rPr>
                <w:rFonts w:hint="eastAsia" w:ascii="Times New Roman" w:hAnsi="Times New Roman" w:cs="Times New Roman"/>
                <w:bCs/>
                <w:color w:val="000000"/>
                <w:sz w:val="24"/>
                <w:szCs w:val="24"/>
                <w:u w:val="none"/>
                <w:lang w:val="en-US" w:eastAsia="zh-CN"/>
              </w:rPr>
              <w:t>①生活污水</w:t>
            </w:r>
          </w:p>
          <w:p>
            <w:pPr>
              <w:spacing w:line="360" w:lineRule="auto"/>
              <w:ind w:firstLine="480"/>
              <w:rPr>
                <w:rFonts w:hint="eastAsia" w:ascii="Times New Roman" w:hAnsi="Times New Roman" w:cs="Times New Roman"/>
                <w:color w:val="000000"/>
                <w:sz w:val="24"/>
                <w:szCs w:val="24"/>
                <w:u w:val="none"/>
                <w:lang w:eastAsia="zh-CN"/>
              </w:rPr>
            </w:pPr>
            <w:r>
              <w:rPr>
                <w:rFonts w:hint="eastAsia" w:ascii="Times New Roman" w:hAnsi="Times New Roman" w:cs="Times New Roman"/>
                <w:bCs/>
                <w:color w:val="000000"/>
                <w:sz w:val="24"/>
                <w:szCs w:val="24"/>
                <w:u w:val="none"/>
                <w:lang w:val="en-US" w:eastAsia="zh-CN"/>
              </w:rPr>
              <w:t>生活污水产生系数以0.8计，则产生的生活污水量（包括食堂废水）为3.84t/d（1152t/a）。食堂废水经隔油池处理后进入化粪池，生活污水经化粪池处理后与食堂废水一起</w:t>
            </w:r>
            <w:r>
              <w:rPr>
                <w:rFonts w:hint="eastAsia" w:ascii="Times New Roman" w:hAnsi="Times New Roman" w:eastAsia="宋体" w:cs="Times New Roman"/>
                <w:color w:val="000000"/>
                <w:sz w:val="24"/>
                <w:szCs w:val="24"/>
                <w:u w:val="none"/>
              </w:rPr>
              <w:t>作为农肥用于菜地施肥</w:t>
            </w:r>
            <w:r>
              <w:rPr>
                <w:rFonts w:hint="eastAsia" w:ascii="Times New Roman" w:hAnsi="Times New Roman" w:cs="Times New Roman"/>
                <w:color w:val="000000"/>
                <w:sz w:val="24"/>
                <w:szCs w:val="24"/>
                <w:u w:val="none"/>
                <w:lang w:eastAsia="zh-CN"/>
              </w:rPr>
              <w:t>。</w:t>
            </w:r>
          </w:p>
          <w:p>
            <w:pPr>
              <w:spacing w:line="360" w:lineRule="auto"/>
              <w:ind w:firstLine="480"/>
              <w:rPr>
                <w:rFonts w:hint="eastAsia" w:ascii="Times New Roman" w:hAnsi="Times New Roman" w:cs="Times New Roman"/>
                <w:color w:val="000000"/>
                <w:kern w:val="2"/>
                <w:sz w:val="24"/>
                <w:szCs w:val="24"/>
                <w:u w:val="none"/>
                <w:lang w:val="en-US" w:eastAsia="zh-CN" w:bidi="ar-SA"/>
              </w:rPr>
            </w:pPr>
            <w:r>
              <w:rPr>
                <w:rFonts w:hint="eastAsia" w:ascii="宋体" w:hAnsi="宋体" w:eastAsia="宋体" w:cs="宋体"/>
                <w:bCs/>
                <w:color w:val="000000"/>
                <w:sz w:val="24"/>
                <w:szCs w:val="24"/>
                <w:u w:val="none"/>
                <w:lang w:val="en-US" w:eastAsia="zh-CN"/>
              </w:rPr>
              <w:t>②</w:t>
            </w:r>
            <w:r>
              <w:rPr>
                <w:rFonts w:hint="eastAsia" w:ascii="Times New Roman" w:hAnsi="Times New Roman" w:eastAsia="宋体" w:cs="Times New Roman"/>
                <w:color w:val="000000"/>
                <w:kern w:val="2"/>
                <w:sz w:val="24"/>
                <w:szCs w:val="24"/>
                <w:u w:val="none"/>
                <w:lang w:val="en-US" w:eastAsia="zh-CN" w:bidi="ar-SA"/>
              </w:rPr>
              <w:t>生产</w:t>
            </w:r>
            <w:r>
              <w:rPr>
                <w:rFonts w:hint="eastAsia" w:ascii="Times New Roman" w:hAnsi="Times New Roman" w:cs="Times New Roman"/>
                <w:color w:val="000000"/>
                <w:kern w:val="2"/>
                <w:sz w:val="24"/>
                <w:szCs w:val="24"/>
                <w:u w:val="none"/>
                <w:lang w:val="en-US" w:eastAsia="zh-CN" w:bidi="ar-SA"/>
              </w:rPr>
              <w:t>废水</w:t>
            </w:r>
          </w:p>
          <w:p>
            <w:pPr>
              <w:spacing w:line="360" w:lineRule="auto"/>
              <w:ind w:firstLine="480"/>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cs="Times New Roman"/>
                <w:bCs/>
                <w:color w:val="000000"/>
                <w:sz w:val="24"/>
                <w:szCs w:val="24"/>
                <w:u w:val="none"/>
                <w:lang w:val="en-US" w:eastAsia="zh-CN"/>
              </w:rPr>
              <w:t>项目生产废水主要包括大豆清洗废水</w:t>
            </w:r>
            <w:r>
              <w:rPr>
                <w:rFonts w:hint="eastAsia" w:ascii="Times New Roman" w:hAnsi="Times New Roman" w:cs="Times New Roman"/>
                <w:color w:val="000000"/>
                <w:kern w:val="2"/>
                <w:sz w:val="24"/>
                <w:szCs w:val="24"/>
                <w:u w:val="none"/>
                <w:lang w:val="en-US" w:eastAsia="zh-CN" w:bidi="ar-SA"/>
              </w:rPr>
              <w:t>、</w:t>
            </w:r>
            <w:r>
              <w:rPr>
                <w:rFonts w:hint="eastAsia" w:ascii="Times New Roman" w:hAnsi="Times New Roman" w:eastAsia="宋体" w:cs="Times New Roman"/>
                <w:color w:val="000000"/>
                <w:kern w:val="2"/>
                <w:sz w:val="24"/>
                <w:szCs w:val="24"/>
                <w:u w:val="none"/>
                <w:lang w:val="en-US" w:eastAsia="zh-CN" w:bidi="ar-SA"/>
              </w:rPr>
              <w:t>设备清洗</w:t>
            </w:r>
            <w:r>
              <w:rPr>
                <w:rFonts w:hint="eastAsia" w:ascii="Times New Roman" w:hAnsi="Times New Roman" w:cs="Times New Roman"/>
                <w:color w:val="000000"/>
                <w:kern w:val="2"/>
                <w:sz w:val="24"/>
                <w:szCs w:val="24"/>
                <w:u w:val="none"/>
                <w:lang w:val="en-US" w:eastAsia="zh-CN" w:bidi="ar-SA"/>
              </w:rPr>
              <w:t>废水</w:t>
            </w:r>
            <w:r>
              <w:rPr>
                <w:rFonts w:hint="eastAsia" w:ascii="Times New Roman" w:hAnsi="Times New Roman" w:eastAsia="宋体" w:cs="Times New Roman"/>
                <w:color w:val="000000"/>
                <w:kern w:val="2"/>
                <w:sz w:val="24"/>
                <w:szCs w:val="24"/>
                <w:u w:val="none"/>
                <w:lang w:val="en-US" w:eastAsia="zh-CN" w:bidi="ar-SA"/>
              </w:rPr>
              <w:t>、</w:t>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地面清洗</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废水、</w:t>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碱液喷淋</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废水、</w:t>
            </w:r>
            <w:r>
              <w:rPr>
                <w:rFonts w:hint="eastAsia" w:ascii="Times New Roman" w:hAnsi="Times New Roman" w:eastAsia="宋体" w:cs="Times New Roman"/>
                <w:color w:val="000000"/>
                <w:kern w:val="2"/>
                <w:sz w:val="24"/>
                <w:szCs w:val="24"/>
                <w:u w:val="none"/>
                <w:lang w:val="en-US" w:eastAsia="zh-CN" w:bidi="ar-SA"/>
              </w:rPr>
              <w:t>锅炉</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排污水</w:t>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和</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软</w:t>
            </w:r>
            <w:r>
              <w:rPr>
                <w:rFonts w:hint="eastAsia" w:ascii="Times New Roman" w:hAnsi="Times New Roman" w:eastAsia="宋体" w:cs="Times New Roman"/>
                <w:color w:val="000000"/>
                <w:sz w:val="24"/>
                <w:szCs w:val="24"/>
                <w:u w:val="none"/>
              </w:rPr>
              <w:t>水净化机产生的浓水</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w:t>
            </w:r>
          </w:p>
          <w:p>
            <w:pPr>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大豆清洗废水：</w:t>
            </w:r>
            <w:r>
              <w:rPr>
                <w:rFonts w:hint="eastAsia" w:ascii="Times New Roman" w:hAnsi="Times New Roman" w:cs="Times New Roman"/>
                <w:color w:val="000000"/>
                <w:sz w:val="24"/>
                <w:szCs w:val="24"/>
                <w:lang w:val="en-US" w:eastAsia="zh-CN"/>
              </w:rPr>
              <w:t>清洗废水</w:t>
            </w:r>
            <w:r>
              <w:rPr>
                <w:rFonts w:hint="eastAsia" w:ascii="Times New Roman" w:hAnsi="Times New Roman" w:cs="Times New Roman"/>
                <w:bCs/>
                <w:color w:val="000000"/>
                <w:sz w:val="24"/>
                <w:szCs w:val="24"/>
                <w:u w:val="none"/>
                <w:lang w:val="en-US" w:eastAsia="zh-CN"/>
              </w:rPr>
              <w:t>产生系数以0.8计，则产生的大豆清洗废水量为</w:t>
            </w:r>
            <w:r>
              <w:rPr>
                <w:rFonts w:hint="eastAsia" w:ascii="Times New Roman" w:hAnsi="Times New Roman" w:cs="Times New Roman"/>
                <w:b w:val="0"/>
                <w:bCs w:val="0"/>
                <w:color w:val="000000"/>
                <w:sz w:val="24"/>
                <w:szCs w:val="24"/>
                <w:u w:val="none"/>
                <w:lang w:val="en-US" w:eastAsia="zh-CN"/>
              </w:rPr>
              <w:t>9.69</w:t>
            </w:r>
            <w:r>
              <w:rPr>
                <w:rFonts w:hint="eastAsia" w:ascii="Times New Roman" w:hAnsi="Times New Roman" w:eastAsia="宋体" w:cs="Times New Roman"/>
                <w:b w:val="0"/>
                <w:bCs w:val="0"/>
                <w:color w:val="000000"/>
                <w:sz w:val="24"/>
                <w:szCs w:val="24"/>
                <w:u w:val="none"/>
              </w:rPr>
              <w:t>t/d（</w:t>
            </w:r>
            <w:r>
              <w:rPr>
                <w:rFonts w:hint="eastAsia" w:ascii="Times New Roman" w:hAnsi="Times New Roman" w:cs="Times New Roman"/>
                <w:b w:val="0"/>
                <w:bCs w:val="0"/>
                <w:color w:val="000000"/>
                <w:sz w:val="24"/>
                <w:szCs w:val="24"/>
                <w:u w:val="none"/>
                <w:lang w:val="en-US" w:eastAsia="zh-CN"/>
              </w:rPr>
              <w:t>2906.704t</w:t>
            </w:r>
            <w:r>
              <w:rPr>
                <w:rFonts w:hint="eastAsia" w:ascii="Times New Roman" w:hAnsi="Times New Roman" w:eastAsia="宋体" w:cs="Times New Roman"/>
                <w:b w:val="0"/>
                <w:bCs w:val="0"/>
                <w:color w:val="000000"/>
                <w:sz w:val="24"/>
                <w:szCs w:val="24"/>
                <w:u w:val="none"/>
              </w:rPr>
              <w:t>/a）</w:t>
            </w:r>
            <w:r>
              <w:rPr>
                <w:rFonts w:hint="eastAsia" w:ascii="Times New Roman" w:hAnsi="Times New Roman" w:cs="Times New Roman"/>
                <w:bCs/>
                <w:color w:val="000000"/>
                <w:sz w:val="24"/>
                <w:szCs w:val="24"/>
                <w:u w:val="none"/>
                <w:lang w:val="en-US" w:eastAsia="zh-CN"/>
              </w:rPr>
              <w:t>，</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排入厂区污水处</w:t>
            </w:r>
            <w:r>
              <w:rPr>
                <w:rFonts w:hint="eastAsia" w:ascii="Times New Roman" w:hAnsi="Times New Roman" w:eastAsia="宋体" w:cs="Times New Roman"/>
                <w:color w:val="000000"/>
                <w:sz w:val="24"/>
                <w:szCs w:val="24"/>
                <w:lang w:val="en-US" w:eastAsia="zh-CN"/>
              </w:rPr>
              <w:t>理站处理后用于周边农田施肥。</w:t>
            </w:r>
          </w:p>
          <w:p>
            <w:p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设备清洗</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废</w:t>
            </w:r>
            <w:r>
              <w:rPr>
                <w:rFonts w:hint="eastAsia" w:ascii="Times New Roman" w:hAnsi="Times New Roman" w:eastAsia="宋体" w:cs="Times New Roman"/>
                <w:color w:val="000000"/>
                <w:sz w:val="24"/>
                <w:szCs w:val="24"/>
                <w:lang w:val="en-US" w:eastAsia="zh-CN"/>
              </w:rPr>
              <w:t>水：项目生产设备每天需清洗一次，每次设备清洗用水量约为2</w:t>
            </w:r>
            <w:r>
              <w:rPr>
                <w:rFonts w:hint="default" w:ascii="Times New Roman" w:hAnsi="Times New Roman" w:eastAsia="宋体" w:cs="Times New Roman"/>
                <w:color w:val="000000"/>
                <w:sz w:val="24"/>
                <w:szCs w:val="24"/>
                <w:lang w:val="en-US" w:eastAsia="zh-CN"/>
              </w:rPr>
              <w:t>t/</w:t>
            </w:r>
            <w:r>
              <w:rPr>
                <w:rFonts w:hint="eastAsia" w:ascii="Times New Roman" w:hAnsi="Times New Roman" w:eastAsia="宋体" w:cs="Times New Roman"/>
                <w:color w:val="000000"/>
                <w:sz w:val="24"/>
                <w:szCs w:val="24"/>
                <w:lang w:val="en-US" w:eastAsia="zh-CN"/>
              </w:rPr>
              <w:t>d、400</w:t>
            </w:r>
            <w:r>
              <w:rPr>
                <w:rFonts w:hint="default" w:ascii="Times New Roman" w:hAnsi="Times New Roman" w:eastAsia="宋体" w:cs="Times New Roman"/>
                <w:color w:val="000000"/>
                <w:sz w:val="24"/>
                <w:szCs w:val="24"/>
                <w:lang w:val="en-US" w:eastAsia="zh-CN"/>
              </w:rPr>
              <w:t>t/a</w:t>
            </w:r>
            <w:r>
              <w:rPr>
                <w:rFonts w:hint="eastAsia" w:ascii="Times New Roman" w:hAnsi="Times New Roman" w:cs="Times New Roman"/>
                <w:color w:val="000000"/>
                <w:sz w:val="24"/>
                <w:szCs w:val="24"/>
                <w:lang w:val="en-US" w:eastAsia="zh-CN"/>
              </w:rPr>
              <w:t>，清洗废水</w:t>
            </w:r>
            <w:r>
              <w:rPr>
                <w:rFonts w:hint="eastAsia" w:ascii="Times New Roman" w:hAnsi="Times New Roman" w:cs="Times New Roman"/>
                <w:bCs/>
                <w:color w:val="000000"/>
                <w:sz w:val="24"/>
                <w:szCs w:val="24"/>
                <w:u w:val="none"/>
                <w:lang w:val="en-US" w:eastAsia="zh-CN"/>
              </w:rPr>
              <w:t>产生系数以0.8计，则产生的设备清洗废水量约1.07</w:t>
            </w:r>
            <w:r>
              <w:rPr>
                <w:rFonts w:hint="default" w:ascii="Times New Roman" w:hAnsi="Times New Roman" w:eastAsia="宋体" w:cs="Times New Roman"/>
                <w:color w:val="000000"/>
                <w:sz w:val="24"/>
                <w:szCs w:val="24"/>
                <w:lang w:val="en-US" w:eastAsia="zh-CN"/>
              </w:rPr>
              <w:t>t/</w:t>
            </w:r>
            <w:r>
              <w:rPr>
                <w:rFonts w:hint="eastAsia" w:ascii="Times New Roman" w:hAnsi="Times New Roman" w:eastAsia="宋体" w:cs="Times New Roman"/>
                <w:color w:val="000000"/>
                <w:sz w:val="24"/>
                <w:szCs w:val="24"/>
                <w:lang w:val="en-US" w:eastAsia="zh-CN"/>
              </w:rPr>
              <w:t>d、</w:t>
            </w:r>
            <w:r>
              <w:rPr>
                <w:rFonts w:hint="eastAsia" w:ascii="Times New Roman" w:hAnsi="Times New Roman" w:cs="Times New Roman"/>
                <w:bCs/>
                <w:color w:val="000000"/>
                <w:sz w:val="24"/>
                <w:szCs w:val="24"/>
                <w:u w:val="none"/>
                <w:lang w:val="en-US" w:eastAsia="zh-CN"/>
              </w:rPr>
              <w:t>320</w:t>
            </w:r>
            <w:r>
              <w:rPr>
                <w:rFonts w:hint="default" w:ascii="Times New Roman" w:hAnsi="Times New Roman" w:eastAsia="宋体" w:cs="Times New Roman"/>
                <w:color w:val="000000"/>
                <w:sz w:val="24"/>
                <w:szCs w:val="24"/>
                <w:lang w:val="en-US" w:eastAsia="zh-CN"/>
              </w:rPr>
              <w:t>t/a</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排入厂区污水处</w:t>
            </w:r>
            <w:r>
              <w:rPr>
                <w:rFonts w:hint="eastAsia" w:ascii="Times New Roman" w:hAnsi="Times New Roman" w:eastAsia="宋体" w:cs="Times New Roman"/>
                <w:color w:val="000000"/>
                <w:sz w:val="24"/>
                <w:szCs w:val="24"/>
                <w:lang w:val="en-US" w:eastAsia="zh-CN"/>
              </w:rPr>
              <w:t>理站处理后用于周边农田施肥。</w:t>
            </w:r>
          </w:p>
          <w:p>
            <w:pPr>
              <w:spacing w:line="360" w:lineRule="auto"/>
              <w:ind w:firstLine="480" w:firstLineChars="200"/>
              <w:rPr>
                <w:rFonts w:hint="eastAsia" w:ascii="Times New Roman" w:hAnsi="Times New Roman" w:eastAsia="宋体" w:cs="Times New Roman"/>
                <w:b w:val="0"/>
                <w:bCs w:val="0"/>
                <w:color w:val="000000"/>
                <w:sz w:val="24"/>
                <w:szCs w:val="24"/>
                <w:u w:val="none"/>
              </w:rPr>
            </w:pPr>
            <w:r>
              <w:rPr>
                <w:rFonts w:hint="eastAsia" w:ascii="Times New Roman" w:hAnsi="Times New Roman" w:eastAsia="宋体" w:cs="Times New Roman"/>
                <w:color w:val="000000"/>
                <w:sz w:val="24"/>
                <w:szCs w:val="24"/>
                <w:lang w:val="en-GB"/>
              </w:rPr>
              <w:t>地面清洁</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废</w:t>
            </w:r>
            <w:r>
              <w:rPr>
                <w:rFonts w:hint="eastAsia" w:ascii="Times New Roman" w:hAnsi="Times New Roman" w:eastAsia="宋体" w:cs="Times New Roman"/>
                <w:color w:val="000000"/>
                <w:sz w:val="24"/>
                <w:szCs w:val="24"/>
                <w:lang w:val="en-GB"/>
              </w:rPr>
              <w:t>水：</w:t>
            </w:r>
            <w:r>
              <w:rPr>
                <w:rFonts w:hint="eastAsia" w:ascii="Times New Roman" w:hAnsi="Times New Roman" w:cs="Times New Roman"/>
                <w:color w:val="000000"/>
                <w:sz w:val="24"/>
                <w:szCs w:val="24"/>
                <w:lang w:val="en-US" w:eastAsia="zh-CN"/>
              </w:rPr>
              <w:t>地面清洁采用拖把湿拖，地面清洁后废水大部分蒸发，只有少量洗拖把废水产生，</w:t>
            </w:r>
            <w:r>
              <w:rPr>
                <w:rFonts w:hint="eastAsia" w:ascii="Times New Roman" w:hAnsi="Times New Roman" w:eastAsia="宋体" w:cs="Times New Roman"/>
                <w:color w:val="000000"/>
                <w:sz w:val="24"/>
                <w:szCs w:val="24"/>
                <w:lang w:val="en-GB"/>
              </w:rPr>
              <w:t>本项目地面清洁用水</w:t>
            </w:r>
            <w:r>
              <w:rPr>
                <w:rFonts w:hint="eastAsia" w:ascii="Times New Roman" w:hAnsi="Times New Roman" w:eastAsia="宋体" w:cs="Times New Roman"/>
                <w:color w:val="000000"/>
                <w:sz w:val="24"/>
                <w:szCs w:val="24"/>
                <w:lang w:val="en-US" w:eastAsia="zh-CN"/>
              </w:rPr>
              <w:t>为</w:t>
            </w:r>
            <w:r>
              <w:rPr>
                <w:rFonts w:hint="eastAsia" w:ascii="Times New Roman" w:hAnsi="Times New Roman" w:cs="Times New Roman"/>
                <w:color w:val="000000"/>
                <w:sz w:val="24"/>
                <w:szCs w:val="24"/>
                <w:lang w:val="en-US" w:eastAsia="zh-CN"/>
              </w:rPr>
              <w:t>0.3</w:t>
            </w:r>
            <w:r>
              <w:rPr>
                <w:rFonts w:hint="default" w:ascii="Times New Roman" w:hAnsi="Times New Roman" w:eastAsia="宋体" w:cs="Times New Roman"/>
                <w:color w:val="000000"/>
                <w:sz w:val="24"/>
                <w:szCs w:val="24"/>
                <w:lang w:val="en-US" w:eastAsia="zh-CN"/>
              </w:rPr>
              <w:t>t/</w:t>
            </w:r>
            <w:r>
              <w:rPr>
                <w:rFonts w:hint="eastAsia" w:ascii="Times New Roman" w:hAnsi="Times New Roman" w:eastAsia="宋体" w:cs="Times New Roman"/>
                <w:color w:val="000000"/>
                <w:sz w:val="24"/>
                <w:szCs w:val="24"/>
                <w:lang w:val="en-US" w:eastAsia="zh-CN"/>
              </w:rPr>
              <w:t>d、90t/a</w:t>
            </w:r>
            <w:r>
              <w:rPr>
                <w:rFonts w:hint="eastAsia" w:ascii="Times New Roman" w:hAnsi="Times New Roman" w:cs="Times New Roman"/>
                <w:color w:val="000000"/>
                <w:sz w:val="24"/>
                <w:szCs w:val="24"/>
                <w:lang w:val="en-GB" w:eastAsia="zh-CN"/>
              </w:rPr>
              <w:t>，</w:t>
            </w:r>
            <w:r>
              <w:rPr>
                <w:rFonts w:hint="eastAsia" w:ascii="Times New Roman" w:hAnsi="Times New Roman" w:cs="Times New Roman"/>
                <w:color w:val="000000"/>
                <w:sz w:val="24"/>
                <w:szCs w:val="24"/>
                <w:lang w:val="en-US" w:eastAsia="zh-CN"/>
              </w:rPr>
              <w:t>清洗废水</w:t>
            </w:r>
            <w:r>
              <w:rPr>
                <w:rFonts w:hint="eastAsia" w:ascii="Times New Roman" w:hAnsi="Times New Roman" w:cs="Times New Roman"/>
                <w:bCs/>
                <w:color w:val="000000"/>
                <w:sz w:val="24"/>
                <w:szCs w:val="24"/>
                <w:u w:val="none"/>
                <w:lang w:val="en-US" w:eastAsia="zh-CN"/>
              </w:rPr>
              <w:t>产生系数以0.8计，则产生的地面清洗废水量约0.24</w:t>
            </w:r>
            <w:r>
              <w:rPr>
                <w:rFonts w:hint="default" w:ascii="Times New Roman" w:hAnsi="Times New Roman" w:eastAsia="宋体" w:cs="Times New Roman"/>
                <w:color w:val="000000"/>
                <w:sz w:val="24"/>
                <w:szCs w:val="24"/>
                <w:lang w:val="en-US" w:eastAsia="zh-CN"/>
              </w:rPr>
              <w:t>t/</w:t>
            </w:r>
            <w:r>
              <w:rPr>
                <w:rFonts w:hint="eastAsia" w:ascii="Times New Roman" w:hAnsi="Times New Roman" w:eastAsia="宋体" w:cs="Times New Roman"/>
                <w:color w:val="000000"/>
                <w:sz w:val="24"/>
                <w:szCs w:val="24"/>
                <w:lang w:val="en-US" w:eastAsia="zh-CN"/>
              </w:rPr>
              <w:t>d、</w:t>
            </w:r>
            <w:r>
              <w:rPr>
                <w:rFonts w:hint="eastAsia" w:ascii="Times New Roman" w:hAnsi="Times New Roman" w:cs="Times New Roman"/>
                <w:bCs/>
                <w:color w:val="000000"/>
                <w:sz w:val="24"/>
                <w:szCs w:val="24"/>
                <w:u w:val="none"/>
                <w:lang w:val="en-US" w:eastAsia="zh-CN"/>
              </w:rPr>
              <w:t>72</w:t>
            </w:r>
            <w:r>
              <w:rPr>
                <w:rFonts w:hint="default" w:ascii="Times New Roman" w:hAnsi="Times New Roman" w:eastAsia="宋体" w:cs="Times New Roman"/>
                <w:color w:val="000000"/>
                <w:sz w:val="24"/>
                <w:szCs w:val="24"/>
                <w:lang w:val="en-US" w:eastAsia="zh-CN"/>
              </w:rPr>
              <w:t>t/a</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排入厂区污水处</w:t>
            </w:r>
            <w:r>
              <w:rPr>
                <w:rFonts w:hint="eastAsia" w:ascii="Times New Roman" w:hAnsi="Times New Roman" w:eastAsia="宋体" w:cs="Times New Roman"/>
                <w:color w:val="000000"/>
                <w:sz w:val="24"/>
                <w:szCs w:val="24"/>
                <w:lang w:val="en-US" w:eastAsia="zh-CN"/>
              </w:rPr>
              <w:t>理站处理后用于周边农田施肥。</w:t>
            </w:r>
          </w:p>
          <w:p>
            <w:pPr>
              <w:spacing w:line="360" w:lineRule="auto"/>
              <w:ind w:firstLine="480"/>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碱液喷淋</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废水</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：碱液喷淋</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废水循环使用不外排，</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消耗后定期补充。</w:t>
            </w:r>
          </w:p>
          <w:p>
            <w:pPr>
              <w:widowControl w:val="0"/>
              <w:spacing w:line="360" w:lineRule="auto"/>
              <w:ind w:firstLine="480" w:firstLineChars="200"/>
              <w:jc w:val="both"/>
              <w:rPr>
                <w:rFonts w:hint="default" w:ascii="Times New Roman" w:hAnsi="Times New Roman"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锅炉</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损耗及排污水：项目锅炉首次启动需用水42000吨，</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蒸汽冷凝后回流循环使用，本项目锅炉排污取2%，管道汽水损失一般为3%，</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煮浆和回润工序采用直接加热，煮浆工序蒸汽一部分进入豆浆（2449.92t/a），一部分蒸发损耗（约480t/a），回润工序一部分进入产品（约1920t/a），一部分化为蒸汽水（27.27t/a），在回润房内设置排水导流沟，收集后用于厂区周边绿化。则锅炉和回润排污水量总计约</w:t>
            </w:r>
            <w:r>
              <w:rPr>
                <w:rFonts w:hint="eastAsia" w:ascii="Times New Roman" w:hAnsi="Times New Roman" w:cs="Times New Roman"/>
                <w:color w:val="000000" w:themeColor="text1"/>
                <w:sz w:val="24"/>
                <w:szCs w:val="24"/>
                <w:lang w:val="en-US" w:eastAsia="zh-CN"/>
                <w14:textFill>
                  <w14:solidFill>
                    <w14:schemeClr w14:val="tx1"/>
                  </w14:solidFill>
                </w14:textFill>
              </w:rPr>
              <w:t>8.575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w:t>
            </w:r>
            <w:r>
              <w:rPr>
                <w:rFonts w:hint="eastAsia" w:ascii="Times New Roman" w:hAnsi="Times New Roman" w:cs="Times New Roman"/>
                <w:color w:val="000000" w:themeColor="text1"/>
                <w:sz w:val="24"/>
                <w:szCs w:val="24"/>
                <w:lang w:val="en-US" w:eastAsia="zh-CN"/>
                <w14:textFill>
                  <w14:solidFill>
                    <w14:schemeClr w14:val="tx1"/>
                  </w14:solidFill>
                </w14:textFill>
              </w:rPr>
              <w:t>2572.5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cs="Times New Roman"/>
                <w:color w:val="000000" w:themeColor="text1"/>
                <w:sz w:val="24"/>
                <w:szCs w:val="24"/>
                <w:lang w:val="en-GB" w:eastAsia="zh-CN"/>
                <w14:textFill>
                  <w14:solidFill>
                    <w14:schemeClr w14:val="tx1"/>
                  </w14:solidFill>
                </w14:textFill>
              </w:rPr>
              <w:t>，</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锅炉</w:t>
            </w:r>
            <w:r>
              <w:rPr>
                <w:rFonts w:hint="eastAsia" w:ascii="Times New Roman" w:hAnsi="Times New Roman" w:cs="Times New Roman"/>
                <w:color w:val="000000" w:themeColor="text1"/>
                <w:sz w:val="24"/>
                <w:szCs w:val="24"/>
                <w:lang w:val="en-US" w:eastAsia="zh-CN"/>
                <w14:textFill>
                  <w14:solidFill>
                    <w14:schemeClr w14:val="tx1"/>
                  </w14:solidFill>
                </w14:textFill>
              </w:rPr>
              <w:t>损耗量约</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7t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/d（</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2100t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/a）</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锅炉排污水</w:t>
            </w:r>
            <w:r>
              <w:rPr>
                <w:rFonts w:hint="eastAsia" w:ascii="Times New Roman" w:hAnsi="Times New Roman" w:cs="Times New Roman"/>
                <w:color w:val="000000" w:themeColor="text1"/>
                <w:sz w:val="24"/>
                <w:szCs w:val="24"/>
                <w:lang w:val="en-US" w:eastAsia="zh-CN"/>
                <w14:textFill>
                  <w14:solidFill>
                    <w14:schemeClr w14:val="tx1"/>
                  </w14:solidFill>
                </w14:textFill>
              </w:rPr>
              <w:t>用于项目</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厂区周边绿化</w:t>
            </w:r>
            <w:r>
              <w:rPr>
                <w:rFonts w:hint="eastAsia" w:ascii="Times New Roman" w:hAnsi="Times New Roman" w:cs="Times New Roman"/>
                <w:color w:val="000000" w:themeColor="text1"/>
                <w:sz w:val="24"/>
                <w:szCs w:val="24"/>
                <w:lang w:val="en-US" w:eastAsia="zh-CN"/>
                <w14:textFill>
                  <w14:solidFill>
                    <w14:schemeClr w14:val="tx1"/>
                  </w14:solidFill>
                </w14:textFill>
              </w:rPr>
              <w:t>。首次启动需软水42000吨/首次，故软水机制备需新鲜水52500吨/首次，产生10500吨/首次排污水，用于周边绿化。</w:t>
            </w:r>
          </w:p>
          <w:p>
            <w:pPr>
              <w:spacing w:line="360" w:lineRule="auto"/>
              <w:ind w:firstLine="480" w:firstLineChars="200"/>
              <w:rPr>
                <w:rFonts w:hint="eastAsia" w:ascii="Times New Roman" w:hAnsi="Times New Roman" w:cs="Times New Roman"/>
                <w:color w:val="000000"/>
                <w:sz w:val="24"/>
                <w:szCs w:val="24"/>
                <w:u w:val="none"/>
                <w:lang w:val="en-US" w:eastAsia="zh-CN"/>
              </w:rPr>
            </w:pP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软</w:t>
            </w:r>
            <w:r>
              <w:rPr>
                <w:rFonts w:hint="eastAsia" w:ascii="Times New Roman" w:hAnsi="Times New Roman" w:eastAsia="宋体" w:cs="Times New Roman"/>
                <w:color w:val="000000"/>
                <w:sz w:val="24"/>
                <w:szCs w:val="24"/>
                <w:u w:val="none"/>
              </w:rPr>
              <w:t>水净化机产生的浓水</w:t>
            </w:r>
            <w:r>
              <w:rPr>
                <w:rFonts w:hint="eastAsia" w:ascii="Times New Roman" w:hAnsi="Times New Roman" w:cs="Times New Roman"/>
                <w:color w:val="000000"/>
                <w:sz w:val="24"/>
                <w:szCs w:val="24"/>
                <w:u w:val="none"/>
                <w:lang w:eastAsia="zh-CN"/>
              </w:rPr>
              <w:t>：</w:t>
            </w:r>
            <w:r>
              <w:rPr>
                <w:rFonts w:hint="eastAsia" w:ascii="Times New Roman" w:hAnsi="Times New Roman" w:cs="Times New Roman"/>
                <w:color w:val="000000"/>
                <w:sz w:val="24"/>
                <w:szCs w:val="24"/>
                <w:u w:val="none"/>
                <w:lang w:val="en-US" w:eastAsia="zh-CN"/>
              </w:rPr>
              <w:t>本项目</w:t>
            </w:r>
            <w:r>
              <w:rPr>
                <w:rFonts w:hint="eastAsia" w:ascii="Times New Roman" w:hAnsi="Times New Roman" w:eastAsia="宋体" w:cs="Times New Roman"/>
                <w:color w:val="000000" w:themeColor="text1"/>
                <w:sz w:val="24"/>
                <w:szCs w:val="24"/>
                <w:u w:val="none"/>
                <w14:textFill>
                  <w14:solidFill>
                    <w14:schemeClr w14:val="tx1"/>
                  </w14:solidFill>
                </w14:textFill>
              </w:rPr>
              <w:t>锅炉用水</w:t>
            </w:r>
            <w:r>
              <w:rPr>
                <w:rFonts w:hint="eastAsia" w:ascii="Times New Roman" w:hAnsi="Times New Roman" w:cs="Times New Roman"/>
                <w:color w:val="000000" w:themeColor="text1"/>
                <w:sz w:val="24"/>
                <w:szCs w:val="24"/>
                <w:u w:val="none"/>
                <w:lang w:val="en-US" w:eastAsia="zh-CN"/>
                <w14:textFill>
                  <w14:solidFill>
                    <w14:schemeClr w14:val="tx1"/>
                  </w14:solidFill>
                </w14:textFill>
              </w:rPr>
              <w:t>需使用</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软</w:t>
            </w:r>
            <w:r>
              <w:rPr>
                <w:rFonts w:hint="eastAsia" w:ascii="Times New Roman" w:hAnsi="Times New Roman" w:cs="Times New Roman"/>
                <w:color w:val="000000" w:themeColor="text1"/>
                <w:sz w:val="24"/>
                <w:szCs w:val="24"/>
                <w:u w:val="none"/>
                <w:lang w:val="en-US" w:eastAsia="zh-CN"/>
                <w14:textFill>
                  <w14:solidFill>
                    <w14:schemeClr w14:val="tx1"/>
                  </w14:solidFill>
                </w14:textFill>
              </w:rPr>
              <w:t>水，</w:t>
            </w:r>
            <w:r>
              <w:rPr>
                <w:rFonts w:hint="eastAsia" w:ascii="Times New Roman" w:hAnsi="Times New Roman" w:eastAsia="宋体" w:cs="Times New Roman"/>
                <w:color w:val="000000" w:themeColor="text1"/>
                <w:sz w:val="24"/>
                <w:szCs w:val="24"/>
                <w:u w:val="none"/>
                <w14:textFill>
                  <w14:solidFill>
                    <w14:schemeClr w14:val="tx1"/>
                  </w14:solidFill>
                </w14:textFill>
              </w:rPr>
              <w:t>共计</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15.58t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/d（</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4672.5t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/a）</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u w:val="none"/>
                <w14:textFill>
                  <w14:solidFill>
                    <w14:schemeClr w14:val="tx1"/>
                  </w14:solidFill>
                </w14:textFill>
              </w:rPr>
              <w:t>项目</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软</w:t>
            </w:r>
            <w:r>
              <w:rPr>
                <w:rFonts w:hint="eastAsia" w:ascii="Times New Roman" w:hAnsi="Times New Roman" w:eastAsia="宋体" w:cs="Times New Roman"/>
                <w:color w:val="000000" w:themeColor="text1"/>
                <w:sz w:val="24"/>
                <w:szCs w:val="24"/>
                <w:u w:val="none"/>
                <w14:textFill>
                  <w14:solidFill>
                    <w14:schemeClr w14:val="tx1"/>
                  </w14:solidFill>
                </w14:textFill>
              </w:rPr>
              <w:t>水制备效率为80%，则新鲜水用量为</w:t>
            </w:r>
            <w:r>
              <w:rPr>
                <w:rFonts w:hint="eastAsia" w:ascii="Times New Roman" w:hAnsi="Times New Roman" w:cs="Times New Roman"/>
                <w:color w:val="000000" w:themeColor="text1"/>
                <w:sz w:val="24"/>
                <w:szCs w:val="24"/>
                <w:u w:val="none"/>
                <w:lang w:val="en-US" w:eastAsia="zh-CN"/>
                <w14:textFill>
                  <w14:solidFill>
                    <w14:schemeClr w14:val="tx1"/>
                  </w14:solidFill>
                </w14:textFill>
              </w:rPr>
              <w:t>19.47</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/d</w:t>
            </w:r>
            <w:r>
              <w:rPr>
                <w:rFonts w:hint="eastAsia" w:ascii="Times New Roman" w:hAnsi="Times New Roman" w:cs="Times New Roman"/>
                <w:color w:val="000000" w:themeColor="text1"/>
                <w:sz w:val="24"/>
                <w:szCs w:val="24"/>
                <w:u w:val="none"/>
                <w:lang w:eastAsia="zh-CN"/>
                <w14:textFill>
                  <w14:solidFill>
                    <w14:schemeClr w14:val="tx1"/>
                  </w14:solidFill>
                </w14:textFill>
              </w:rPr>
              <w:t>（</w:t>
            </w:r>
            <w:r>
              <w:rPr>
                <w:rFonts w:hint="eastAsia" w:ascii="Times New Roman" w:hAnsi="Times New Roman" w:cs="Times New Roman"/>
                <w:color w:val="000000" w:themeColor="text1"/>
                <w:sz w:val="24"/>
                <w:szCs w:val="24"/>
                <w:u w:val="none"/>
                <w:lang w:val="en-US" w:eastAsia="zh-CN"/>
                <w14:textFill>
                  <w14:solidFill>
                    <w14:schemeClr w14:val="tx1"/>
                  </w14:solidFill>
                </w14:textFill>
              </w:rPr>
              <w:t>5840.63</w:t>
            </w:r>
            <w:r>
              <w:rPr>
                <w:rFonts w:hint="eastAsia" w:ascii="Times New Roman" w:hAnsi="Times New Roman" w:cs="Times New Roman"/>
                <w:b w:val="0"/>
                <w:bCs w:val="0"/>
                <w:color w:val="000000" w:themeColor="text1"/>
                <w:kern w:val="0"/>
                <w:sz w:val="24"/>
                <w:szCs w:val="24"/>
                <w:u w:val="none"/>
                <w:lang w:val="en-US" w:eastAsia="zh-CN" w:bidi="ar-SA"/>
                <w14:textFill>
                  <w14:solidFill>
                    <w14:schemeClr w14:val="tx1"/>
                  </w14:solidFill>
                </w14:textFill>
              </w:rPr>
              <w:t>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/a</w:t>
            </w:r>
            <w:r>
              <w:rPr>
                <w:rFonts w:hint="eastAsia" w:ascii="Times New Roman" w:hAnsi="Times New Roman" w:cs="Times New Roman"/>
                <w:color w:val="000000" w:themeColor="text1"/>
                <w:sz w:val="24"/>
                <w:szCs w:val="24"/>
                <w:u w:val="none"/>
                <w:lang w:eastAsia="zh-CN"/>
                <w14:textFill>
                  <w14:solidFill>
                    <w14:schemeClr w14:val="tx1"/>
                  </w14:solidFill>
                </w14:textFill>
              </w:rPr>
              <w:t>），</w:t>
            </w:r>
            <w:r>
              <w:rPr>
                <w:rFonts w:hint="eastAsia" w:ascii="Times New Roman" w:hAnsi="Times New Roman" w:cs="Times New Roman"/>
                <w:color w:val="000000" w:themeColor="text1"/>
                <w:sz w:val="24"/>
                <w:szCs w:val="24"/>
                <w:u w:val="none"/>
                <w:lang w:val="en-US" w:eastAsia="zh-CN"/>
                <w14:textFill>
                  <w14:solidFill>
                    <w14:schemeClr w14:val="tx1"/>
                  </w14:solidFill>
                </w14:textFill>
              </w:rPr>
              <w:t>则产生浓水约3.89</w:t>
            </w:r>
            <w:r>
              <w:rPr>
                <w:rFonts w:hint="eastAsia" w:ascii="Times New Roman" w:hAnsi="Times New Roman" w:cs="Times New Roman"/>
                <w:b w:val="0"/>
                <w:bCs w:val="0"/>
                <w:color w:val="000000" w:themeColor="text1"/>
                <w:kern w:val="0"/>
                <w:sz w:val="24"/>
                <w:szCs w:val="24"/>
                <w:u w:val="none"/>
                <w:lang w:val="en-US" w:eastAsia="zh-CN" w:bidi="ar-SA"/>
                <w14:textFill>
                  <w14:solidFill>
                    <w14:schemeClr w14:val="tx1"/>
                  </w14:solidFill>
                </w14:textFill>
              </w:rPr>
              <w:t>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d，</w:t>
            </w:r>
            <w:r>
              <w:rPr>
                <w:rFonts w:hint="eastAsia" w:ascii="Times New Roman" w:hAnsi="Times New Roman" w:cs="Times New Roman"/>
                <w:color w:val="000000" w:themeColor="text1"/>
                <w:sz w:val="24"/>
                <w:szCs w:val="24"/>
                <w:u w:val="none"/>
                <w:lang w:val="en-US" w:eastAsia="zh-CN"/>
                <w14:textFill>
                  <w14:solidFill>
                    <w14:schemeClr w14:val="tx1"/>
                  </w14:solidFill>
                </w14:textFill>
              </w:rPr>
              <w:t>1168.13</w:t>
            </w:r>
            <w:r>
              <w:rPr>
                <w:rFonts w:hint="eastAsia" w:ascii="Times New Roman" w:hAnsi="Times New Roman" w:cs="Times New Roman"/>
                <w:b w:val="0"/>
                <w:bCs w:val="0"/>
                <w:color w:val="000000" w:themeColor="text1"/>
                <w:kern w:val="0"/>
                <w:sz w:val="24"/>
                <w:szCs w:val="24"/>
                <w:u w:val="none"/>
                <w:lang w:val="en-US" w:eastAsia="zh-CN" w:bidi="ar-SA"/>
                <w14:textFill>
                  <w14:solidFill>
                    <w14:schemeClr w14:val="tx1"/>
                  </w14:solidFill>
                </w14:textFill>
              </w:rPr>
              <w:t>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/a</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w:t>
            </w:r>
            <w:r>
              <w:rPr>
                <w:rFonts w:hint="eastAsia" w:ascii="Times New Roman" w:hAnsi="Times New Roman" w:eastAsia="宋体" w:cs="Times New Roman"/>
                <w:color w:val="000000"/>
                <w:sz w:val="24"/>
                <w:szCs w:val="24"/>
                <w:u w:val="none"/>
              </w:rPr>
              <w:t>排污水属于清净下水，</w:t>
            </w:r>
            <w:r>
              <w:rPr>
                <w:rFonts w:hint="eastAsia" w:ascii="Times New Roman" w:hAnsi="Times New Roman" w:cs="Times New Roman"/>
                <w:color w:val="000000"/>
                <w:sz w:val="24"/>
                <w:szCs w:val="24"/>
                <w:u w:val="none"/>
                <w:lang w:val="en-US" w:eastAsia="zh-CN"/>
              </w:rPr>
              <w:t>用于周边绿化。</w:t>
            </w:r>
          </w:p>
          <w:p>
            <w:pPr>
              <w:spacing w:line="360" w:lineRule="auto"/>
              <w:ind w:firstLine="480" w:firstLineChars="200"/>
              <w:rPr>
                <w:rFonts w:hint="default" w:ascii="Times New Roman" w:hAnsi="Times New Roman" w:cs="Times New Roman"/>
                <w:color w:val="000000"/>
                <w:sz w:val="24"/>
                <w:szCs w:val="24"/>
                <w:u w:val="none"/>
                <w:lang w:val="en-US" w:eastAsia="zh-CN"/>
              </w:rPr>
            </w:pPr>
            <w:r>
              <w:rPr>
                <w:rFonts w:hint="eastAsia" w:ascii="Times New Roman" w:hAnsi="Times New Roman" w:cs="Times New Roman"/>
                <w:color w:val="000000"/>
                <w:sz w:val="24"/>
                <w:szCs w:val="24"/>
                <w:u w:val="none"/>
                <w:lang w:val="en-US" w:eastAsia="zh-CN"/>
              </w:rPr>
              <w:t>项目水平衡图如下所示：</w:t>
            </w:r>
          </w:p>
          <w:p>
            <w:pPr>
              <w:spacing w:line="360" w:lineRule="auto"/>
              <w:ind w:firstLine="480" w:firstLineChars="200"/>
              <w:rPr>
                <w:rFonts w:hint="eastAsia" w:ascii="Times New Roman" w:hAnsi="Times New Roman" w:cs="Times New Roman"/>
                <w:color w:val="000000"/>
                <w:sz w:val="24"/>
                <w:szCs w:val="24"/>
                <w:u w:val="none"/>
                <w:lang w:val="en-US" w:eastAsia="zh-CN"/>
              </w:rPr>
            </w:pPr>
          </w:p>
          <w:p>
            <w:pPr>
              <w:spacing w:line="360" w:lineRule="auto"/>
              <w:ind w:firstLine="480" w:firstLineChars="200"/>
              <w:rPr>
                <w:rFonts w:hint="eastAsia" w:ascii="Times New Roman" w:hAnsi="Times New Roman" w:cs="Times New Roman"/>
                <w:color w:val="000000"/>
                <w:sz w:val="24"/>
                <w:szCs w:val="24"/>
                <w:u w:val="none"/>
                <w:lang w:val="en-US" w:eastAsia="zh-CN"/>
              </w:rPr>
            </w:pPr>
          </w:p>
          <w:p>
            <w:pPr>
              <w:spacing w:line="360" w:lineRule="auto"/>
              <w:ind w:firstLine="480" w:firstLineChars="200"/>
              <w:rPr>
                <w:rFonts w:hint="eastAsia" w:ascii="Times New Roman" w:hAnsi="Times New Roman" w:cs="Times New Roman"/>
                <w:color w:val="000000"/>
                <w:sz w:val="24"/>
                <w:szCs w:val="24"/>
                <w:u w:val="none"/>
                <w:lang w:val="en-US" w:eastAsia="zh-CN"/>
              </w:rPr>
            </w:pPr>
          </w:p>
          <w:p>
            <w:pPr>
              <w:spacing w:line="360" w:lineRule="auto"/>
              <w:ind w:firstLine="480" w:firstLineChars="200"/>
              <w:rPr>
                <w:rFonts w:hint="eastAsia" w:ascii="Times New Roman" w:hAnsi="Times New Roman" w:cs="Times New Roman"/>
                <w:color w:val="000000"/>
                <w:sz w:val="24"/>
                <w:szCs w:val="24"/>
                <w:u w:val="none"/>
                <w:lang w:val="en-US" w:eastAsia="zh-CN"/>
              </w:rPr>
            </w:pPr>
          </w:p>
          <w:p>
            <w:pPr>
              <w:spacing w:line="360" w:lineRule="auto"/>
              <w:ind w:firstLine="480" w:firstLineChars="200"/>
              <w:rPr>
                <w:rFonts w:hint="eastAsia" w:ascii="Times New Roman" w:hAnsi="Times New Roman" w:cs="Times New Roman"/>
                <w:color w:val="000000"/>
                <w:sz w:val="24"/>
                <w:szCs w:val="24"/>
                <w:u w:val="none"/>
                <w:lang w:val="en-US" w:eastAsia="zh-CN"/>
              </w:rPr>
            </w:pPr>
          </w:p>
          <w:p>
            <w:pPr>
              <w:spacing w:line="360" w:lineRule="auto"/>
              <w:ind w:firstLine="480" w:firstLineChars="200"/>
              <w:rPr>
                <w:rFonts w:hint="eastAsia" w:ascii="Times New Roman" w:hAnsi="Times New Roman" w:cs="Times New Roman"/>
                <w:color w:val="000000"/>
                <w:sz w:val="24"/>
                <w:szCs w:val="24"/>
                <w:u w:val="none"/>
                <w:lang w:val="en-US" w:eastAsia="zh-CN"/>
              </w:rPr>
            </w:pPr>
          </w:p>
          <w:p>
            <w:pPr>
              <w:spacing w:line="360" w:lineRule="auto"/>
              <w:ind w:firstLine="480" w:firstLineChars="200"/>
              <w:rPr>
                <w:rFonts w:hint="eastAsia" w:ascii="Times New Roman" w:hAnsi="Times New Roman" w:cs="Times New Roman"/>
                <w:color w:val="000000"/>
                <w:sz w:val="24"/>
                <w:szCs w:val="24"/>
                <w:u w:val="none"/>
                <w:lang w:val="en-US" w:eastAsia="zh-CN"/>
              </w:rPr>
            </w:pPr>
          </w:p>
          <w:p>
            <w:pPr>
              <w:spacing w:line="360" w:lineRule="auto"/>
              <w:rPr>
                <w:rFonts w:hint="eastAsia" w:ascii="Times New Roman" w:hAnsi="Times New Roman" w:cs="Times New Roman"/>
                <w:color w:val="000000"/>
                <w:sz w:val="24"/>
                <w:szCs w:val="24"/>
                <w:u w:val="none"/>
                <w:lang w:val="en-US" w:eastAsia="zh-CN"/>
              </w:rPr>
            </w:pPr>
          </w:p>
          <w:p>
            <w:pPr>
              <w:spacing w:line="360" w:lineRule="auto"/>
              <w:jc w:val="center"/>
              <w:rPr>
                <w:rFonts w:hint="eastAsia" w:ascii="Times New Roman" w:hAnsi="Times New Roman" w:eastAsia="新宋体" w:cs="Times New Roman"/>
                <w:b/>
                <w:bCs/>
                <w:color w:val="000000"/>
                <w:sz w:val="24"/>
                <w:szCs w:val="24"/>
                <w:lang w:val="en-US" w:eastAsia="zh-CN"/>
              </w:rPr>
            </w:pPr>
            <w: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267325" cy="7029450"/>
                  <wp:effectExtent l="0" t="0" r="9525" b="0"/>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267325" cy="7029450"/>
                          </a:xfrm>
                          <a:prstGeom prst="rect">
                            <a:avLst/>
                          </a:prstGeom>
                          <a:noFill/>
                          <a:ln>
                            <a:noFill/>
                          </a:ln>
                        </pic:spPr>
                      </pic:pic>
                    </a:graphicData>
                  </a:graphic>
                </wp:anchor>
              </w:drawing>
            </w:r>
            <w:r>
              <w:rPr>
                <w:rFonts w:hint="eastAsia" w:ascii="Times New Roman" w:hAnsi="Times New Roman" w:cs="Times New Roman"/>
                <w:b/>
                <w:bCs/>
                <w:color w:val="000000"/>
                <w:sz w:val="21"/>
                <w:szCs w:val="21"/>
                <w:lang w:val="en-US" w:eastAsia="zh-CN"/>
              </w:rPr>
              <w:t>图2-1 项目水平衡图（t/a）</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baseline"/>
              <w:rPr>
                <w:rFonts w:hint="default" w:ascii="Times New Roman" w:hAnsi="Times New Roman" w:eastAsia="新宋体" w:cs="Times New Roman"/>
                <w:b/>
                <w:bCs/>
                <w:color w:val="000000"/>
                <w:sz w:val="24"/>
                <w:szCs w:val="24"/>
              </w:rPr>
            </w:pPr>
            <w:r>
              <w:rPr>
                <w:rFonts w:hint="eastAsia" w:ascii="Times New Roman" w:hAnsi="Times New Roman" w:eastAsia="新宋体" w:cs="Times New Roman"/>
                <w:b/>
                <w:bCs/>
                <w:color w:val="000000"/>
                <w:sz w:val="24"/>
                <w:szCs w:val="24"/>
                <w:lang w:val="en-US" w:eastAsia="zh-CN"/>
              </w:rPr>
              <w:t>2</w:t>
            </w:r>
            <w:r>
              <w:rPr>
                <w:rFonts w:hint="default" w:ascii="Times New Roman" w:hAnsi="Times New Roman" w:eastAsia="新宋体" w:cs="Times New Roman"/>
                <w:b/>
                <w:bCs/>
                <w:color w:val="000000"/>
                <w:sz w:val="24"/>
                <w:szCs w:val="24"/>
              </w:rPr>
              <w:t>、劳动定员及工作制度</w:t>
            </w:r>
          </w:p>
          <w:p>
            <w:pPr>
              <w:adjustRightInd w:val="0"/>
              <w:spacing w:line="360" w:lineRule="auto"/>
              <w:ind w:firstLine="480" w:firstLineChars="200"/>
              <w:textAlignment w:val="baseline"/>
              <w:rPr>
                <w:rFonts w:hint="default" w:ascii="Times New Roman" w:hAnsi="Times New Roman" w:eastAsia="新宋体" w:cs="Times New Roman"/>
                <w:color w:val="auto"/>
                <w:sz w:val="24"/>
                <w:szCs w:val="24"/>
              </w:rPr>
            </w:pPr>
            <w:r>
              <w:rPr>
                <w:rFonts w:hint="default" w:ascii="Times New Roman" w:hAnsi="Times New Roman" w:eastAsia="新宋体" w:cs="Times New Roman"/>
                <w:color w:val="000000"/>
                <w:sz w:val="24"/>
                <w:szCs w:val="24"/>
              </w:rPr>
              <w:t>项目</w:t>
            </w:r>
            <w:r>
              <w:rPr>
                <w:rFonts w:hint="default" w:ascii="Times New Roman" w:hAnsi="Times New Roman" w:eastAsia="新宋体" w:cs="Times New Roman"/>
                <w:color w:val="000000"/>
                <w:sz w:val="24"/>
                <w:szCs w:val="24"/>
                <w:lang w:eastAsia="zh-CN"/>
              </w:rPr>
              <w:t>总</w:t>
            </w:r>
            <w:r>
              <w:rPr>
                <w:rFonts w:hint="default" w:ascii="Times New Roman" w:hAnsi="Times New Roman" w:eastAsia="新宋体" w:cs="Times New Roman"/>
                <w:color w:val="000000"/>
                <w:sz w:val="24"/>
                <w:szCs w:val="24"/>
              </w:rPr>
              <w:t>工作人员数为</w:t>
            </w:r>
            <w:r>
              <w:rPr>
                <w:rFonts w:hint="eastAsia" w:ascii="Times New Roman" w:hAnsi="Times New Roman" w:eastAsia="新宋体" w:cs="Times New Roman"/>
                <w:color w:val="000000"/>
                <w:sz w:val="24"/>
                <w:szCs w:val="24"/>
                <w:lang w:val="en-US" w:eastAsia="zh-CN"/>
              </w:rPr>
              <w:t>30</w:t>
            </w:r>
            <w:r>
              <w:rPr>
                <w:rFonts w:hint="default" w:ascii="Times New Roman" w:hAnsi="Times New Roman" w:eastAsia="新宋体" w:cs="Times New Roman"/>
                <w:color w:val="000000"/>
                <w:sz w:val="24"/>
                <w:szCs w:val="24"/>
              </w:rPr>
              <w:t>人</w:t>
            </w:r>
            <w:r>
              <w:rPr>
                <w:rFonts w:hint="default" w:ascii="Times New Roman" w:hAnsi="Times New Roman" w:eastAsia="新宋体" w:cs="Times New Roman"/>
                <w:color w:val="000000"/>
                <w:sz w:val="24"/>
                <w:szCs w:val="24"/>
                <w:lang w:val="en-US" w:eastAsia="zh-CN"/>
              </w:rPr>
              <w:t>，</w:t>
            </w:r>
            <w:r>
              <w:rPr>
                <w:rFonts w:hint="default" w:ascii="Times New Roman" w:hAnsi="Times New Roman" w:eastAsia="新宋体" w:cs="Times New Roman"/>
                <w:bCs/>
                <w:color w:val="000000"/>
                <w:sz w:val="24"/>
                <w:szCs w:val="24"/>
              </w:rPr>
              <w:t>工作制为每天</w:t>
            </w:r>
            <w:r>
              <w:rPr>
                <w:rFonts w:hint="eastAsia" w:ascii="Times New Roman" w:hAnsi="Times New Roman" w:eastAsia="新宋体" w:cs="Times New Roman"/>
                <w:bCs/>
                <w:color w:val="000000"/>
                <w:sz w:val="24"/>
                <w:szCs w:val="24"/>
                <w:lang w:val="en-US" w:eastAsia="zh-CN"/>
              </w:rPr>
              <w:t>2</w:t>
            </w:r>
            <w:r>
              <w:rPr>
                <w:rFonts w:hint="default" w:ascii="Times New Roman" w:hAnsi="Times New Roman" w:eastAsia="新宋体" w:cs="Times New Roman"/>
                <w:bCs/>
                <w:color w:val="000000"/>
                <w:sz w:val="24"/>
                <w:szCs w:val="24"/>
              </w:rPr>
              <w:t>班，每班工作</w:t>
            </w:r>
            <w:r>
              <w:rPr>
                <w:rFonts w:hint="eastAsia" w:ascii="Times New Roman" w:hAnsi="Times New Roman" w:eastAsia="新宋体" w:cs="Times New Roman"/>
                <w:bCs/>
                <w:color w:val="000000"/>
                <w:sz w:val="24"/>
                <w:szCs w:val="24"/>
                <w:lang w:val="en-US" w:eastAsia="zh-CN"/>
              </w:rPr>
              <w:t>9</w:t>
            </w:r>
            <w:r>
              <w:rPr>
                <w:rFonts w:hint="default" w:ascii="Times New Roman" w:hAnsi="Times New Roman" w:eastAsia="新宋体" w:cs="Times New Roman"/>
                <w:bCs/>
                <w:color w:val="000000"/>
                <w:sz w:val="24"/>
                <w:szCs w:val="24"/>
              </w:rPr>
              <w:t>小时</w:t>
            </w:r>
            <w:r>
              <w:rPr>
                <w:rFonts w:hint="default" w:ascii="Times New Roman" w:hAnsi="Times New Roman" w:eastAsia="新宋体" w:cs="Times New Roman"/>
                <w:sz w:val="24"/>
                <w:szCs w:val="24"/>
                <w:lang w:eastAsia="zh-CN"/>
              </w:rPr>
              <w:t>，</w:t>
            </w:r>
            <w:r>
              <w:rPr>
                <w:rFonts w:hint="default" w:ascii="Times New Roman" w:hAnsi="Times New Roman" w:eastAsia="新宋体" w:cs="Times New Roman"/>
                <w:snapToGrid w:val="0"/>
                <w:sz w:val="24"/>
                <w:szCs w:val="24"/>
              </w:rPr>
              <w:t>一天工作</w:t>
            </w:r>
            <w:r>
              <w:rPr>
                <w:rFonts w:hint="eastAsia" w:ascii="Times New Roman" w:hAnsi="Times New Roman" w:eastAsia="新宋体" w:cs="Times New Roman"/>
                <w:snapToGrid w:val="0"/>
                <w:sz w:val="24"/>
                <w:szCs w:val="24"/>
                <w:lang w:val="en-US" w:eastAsia="zh-CN"/>
              </w:rPr>
              <w:t>18</w:t>
            </w:r>
            <w:r>
              <w:rPr>
                <w:rFonts w:hint="default" w:ascii="Times New Roman" w:hAnsi="Times New Roman" w:eastAsia="新宋体" w:cs="Times New Roman"/>
                <w:snapToGrid w:val="0"/>
                <w:sz w:val="24"/>
                <w:szCs w:val="24"/>
              </w:rPr>
              <w:t>小时，</w:t>
            </w:r>
            <w:r>
              <w:rPr>
                <w:rFonts w:hint="default" w:ascii="Times New Roman" w:hAnsi="Times New Roman" w:eastAsia="新宋体" w:cs="Times New Roman"/>
                <w:color w:val="000000"/>
                <w:sz w:val="24"/>
                <w:szCs w:val="24"/>
              </w:rPr>
              <w:t>全年工作</w:t>
            </w:r>
            <w:r>
              <w:rPr>
                <w:rFonts w:hint="eastAsia" w:ascii="Times New Roman" w:hAnsi="Times New Roman" w:eastAsia="新宋体" w:cs="Times New Roman"/>
                <w:color w:val="000000"/>
                <w:sz w:val="24"/>
                <w:szCs w:val="24"/>
                <w:lang w:val="en-US" w:eastAsia="zh-CN"/>
              </w:rPr>
              <w:t>5400</w:t>
            </w:r>
            <w:r>
              <w:rPr>
                <w:rFonts w:hint="default" w:ascii="Times New Roman" w:hAnsi="Times New Roman" w:eastAsia="新宋体" w:cs="Times New Roman"/>
                <w:color w:val="000000"/>
                <w:sz w:val="24"/>
                <w:szCs w:val="24"/>
              </w:rPr>
              <w:t>小时</w:t>
            </w:r>
            <w:r>
              <w:rPr>
                <w:rFonts w:hint="eastAsia" w:ascii="Times New Roman" w:hAnsi="Times New Roman" w:eastAsia="新宋体" w:cs="Times New Roman"/>
                <w:color w:val="000000"/>
                <w:sz w:val="24"/>
                <w:szCs w:val="24"/>
                <w:lang w:eastAsia="zh-CN"/>
              </w:rPr>
              <w:t>；</w:t>
            </w:r>
            <w:r>
              <w:rPr>
                <w:rFonts w:hint="default" w:ascii="Times New Roman" w:hAnsi="Times New Roman" w:eastAsia="新宋体" w:cs="Times New Roman"/>
                <w:color w:val="000000"/>
                <w:sz w:val="24"/>
                <w:szCs w:val="24"/>
              </w:rPr>
              <w:t>锅炉年运行</w:t>
            </w:r>
            <w:r>
              <w:rPr>
                <w:rFonts w:hint="eastAsia" w:ascii="Times New Roman" w:hAnsi="Times New Roman" w:eastAsia="新宋体" w:cs="Times New Roman"/>
                <w:color w:val="000000"/>
                <w:sz w:val="24"/>
                <w:szCs w:val="24"/>
                <w:lang w:val="en-US" w:eastAsia="zh-CN"/>
              </w:rPr>
              <w:t>300</w:t>
            </w:r>
            <w:r>
              <w:rPr>
                <w:rFonts w:hint="default" w:ascii="Times New Roman" w:hAnsi="Times New Roman" w:eastAsia="新宋体" w:cs="Times New Roman"/>
                <w:color w:val="000000"/>
                <w:sz w:val="24"/>
                <w:szCs w:val="24"/>
              </w:rPr>
              <w:t>天，每天运行时间为</w:t>
            </w:r>
            <w:r>
              <w:rPr>
                <w:rFonts w:hint="eastAsia" w:ascii="Times New Roman" w:hAnsi="Times New Roman" w:eastAsia="新宋体" w:cs="Times New Roman"/>
                <w:color w:val="000000"/>
                <w:sz w:val="24"/>
                <w:szCs w:val="24"/>
                <w:lang w:val="en-US" w:eastAsia="zh-CN"/>
              </w:rPr>
              <w:t>18</w:t>
            </w:r>
            <w:r>
              <w:rPr>
                <w:rFonts w:hint="default" w:ascii="Times New Roman" w:hAnsi="Times New Roman" w:eastAsia="新宋体" w:cs="Times New Roman"/>
                <w:color w:val="000000"/>
                <w:sz w:val="24"/>
                <w:szCs w:val="24"/>
              </w:rPr>
              <w:t>小时，全年工作</w:t>
            </w:r>
            <w:r>
              <w:rPr>
                <w:rFonts w:hint="eastAsia" w:ascii="Times New Roman" w:hAnsi="Times New Roman" w:eastAsia="新宋体" w:cs="Times New Roman"/>
                <w:color w:val="000000"/>
                <w:sz w:val="24"/>
                <w:szCs w:val="24"/>
                <w:lang w:val="en-US" w:eastAsia="zh-CN"/>
              </w:rPr>
              <w:t>5400</w:t>
            </w:r>
            <w:r>
              <w:rPr>
                <w:rFonts w:hint="default" w:ascii="Times New Roman" w:hAnsi="Times New Roman" w:eastAsia="新宋体" w:cs="Times New Roman"/>
                <w:color w:val="000000"/>
                <w:sz w:val="24"/>
                <w:szCs w:val="24"/>
              </w:rPr>
              <w:t>小时。</w:t>
            </w:r>
            <w:r>
              <w:rPr>
                <w:rFonts w:hint="default" w:ascii="Times New Roman" w:hAnsi="Times New Roman" w:eastAsia="新宋体" w:cs="Times New Roman"/>
                <w:color w:val="auto"/>
                <w:sz w:val="24"/>
                <w:szCs w:val="24"/>
              </w:rPr>
              <w:t>项目设职工宿舍及食堂等。</w:t>
            </w:r>
          </w:p>
          <w:p>
            <w:pPr>
              <w:spacing w:line="360" w:lineRule="auto"/>
              <w:ind w:firstLine="482" w:firstLineChars="200"/>
              <w:rPr>
                <w:rFonts w:ascii="Times New Roman" w:hAnsi="Times New Roman" w:eastAsia="宋体" w:cs="Times New Roman"/>
                <w:b/>
                <w:bCs/>
                <w:color w:val="000000"/>
                <w:sz w:val="24"/>
                <w:szCs w:val="24"/>
              </w:rPr>
            </w:pPr>
            <w:r>
              <w:rPr>
                <w:rFonts w:hint="eastAsia" w:ascii="Times New Roman" w:hAnsi="Times New Roman" w:cs="Times New Roman"/>
                <w:b/>
                <w:bCs/>
                <w:color w:val="000000"/>
                <w:sz w:val="24"/>
                <w:szCs w:val="24"/>
                <w:lang w:val="en-US" w:eastAsia="zh-CN"/>
              </w:rPr>
              <w:t>3</w:t>
            </w:r>
            <w:r>
              <w:rPr>
                <w:rFonts w:ascii="Times New Roman" w:hAnsi="Times New Roman" w:eastAsia="宋体" w:cs="Times New Roman"/>
                <w:b/>
                <w:bCs/>
                <w:color w:val="000000"/>
                <w:sz w:val="24"/>
                <w:szCs w:val="24"/>
              </w:rPr>
              <w:t>、供电</w:t>
            </w:r>
          </w:p>
          <w:p>
            <w:pPr>
              <w:spacing w:line="360" w:lineRule="auto"/>
              <w:ind w:firstLine="480"/>
              <w:rPr>
                <w:rFonts w:hint="eastAsia" w:ascii="Times New Roman" w:hAnsi="Times New Roman" w:eastAsia="宋体" w:cs="Times New Roman"/>
                <w:bCs/>
                <w:color w:val="000000"/>
                <w:sz w:val="24"/>
                <w:szCs w:val="24"/>
              </w:rPr>
            </w:pPr>
            <w:r>
              <w:rPr>
                <w:rFonts w:hint="eastAsia" w:ascii="Times New Roman" w:hAnsi="Times New Roman" w:eastAsia="宋体" w:cs="Times New Roman"/>
                <w:color w:val="000000"/>
                <w:sz w:val="24"/>
                <w:szCs w:val="24"/>
              </w:rPr>
              <w:t>项目</w:t>
            </w:r>
            <w:r>
              <w:rPr>
                <w:rFonts w:ascii="Times New Roman" w:hAnsi="Times New Roman" w:eastAsia="宋体" w:cs="Times New Roman"/>
                <w:color w:val="000000"/>
                <w:sz w:val="24"/>
                <w:szCs w:val="24"/>
              </w:rPr>
              <w:t>供电由当地供电系统提供，</w:t>
            </w:r>
            <w:r>
              <w:rPr>
                <w:rFonts w:ascii="Times New Roman" w:hAnsi="Times New Roman" w:eastAsia="宋体" w:cs="Times New Roman"/>
                <w:bCs/>
                <w:color w:val="000000"/>
                <w:sz w:val="24"/>
                <w:szCs w:val="24"/>
              </w:rPr>
              <w:t>从</w:t>
            </w:r>
            <w:r>
              <w:rPr>
                <w:rFonts w:hint="eastAsia" w:ascii="Times New Roman" w:hAnsi="Times New Roman" w:eastAsia="宋体" w:cs="Times New Roman"/>
                <w:bCs/>
                <w:color w:val="000000"/>
                <w:sz w:val="24"/>
                <w:szCs w:val="24"/>
              </w:rPr>
              <w:t>当地</w:t>
            </w:r>
            <w:r>
              <w:rPr>
                <w:rFonts w:ascii="Times New Roman" w:hAnsi="Times New Roman" w:eastAsia="宋体" w:cs="Times New Roman"/>
                <w:bCs/>
                <w:color w:val="000000"/>
                <w:sz w:val="24"/>
                <w:szCs w:val="24"/>
              </w:rPr>
              <w:t>引入10KV供电线路，经变压器变压为380V、220V电压供电。输电线路，地表选用架空线或架空绝缘线路输电。</w:t>
            </w:r>
            <w:r>
              <w:rPr>
                <w:rFonts w:hint="eastAsia" w:ascii="Times New Roman" w:hAnsi="Times New Roman" w:eastAsia="宋体" w:cs="Times New Roman"/>
                <w:bCs/>
                <w:color w:val="000000"/>
                <w:sz w:val="24"/>
                <w:szCs w:val="24"/>
              </w:rPr>
              <w:t>项目年用电量约为30万kwh/a。</w:t>
            </w:r>
          </w:p>
          <w:p>
            <w:pPr>
              <w:spacing w:line="360" w:lineRule="auto"/>
              <w:ind w:firstLine="480"/>
              <w:rPr>
                <w:rFonts w:ascii="Times New Roman" w:hAnsi="Times New Roman" w:eastAsia="宋体" w:cs="Times New Roman"/>
                <w:b/>
                <w:bCs/>
                <w:color w:val="000000"/>
                <w:sz w:val="24"/>
                <w:szCs w:val="24"/>
              </w:rPr>
            </w:pPr>
            <w:r>
              <w:rPr>
                <w:rFonts w:hint="eastAsia" w:ascii="Times New Roman" w:hAnsi="Times New Roman" w:cs="Times New Roman"/>
                <w:b/>
                <w:bCs/>
                <w:color w:val="000000"/>
                <w:sz w:val="24"/>
                <w:szCs w:val="24"/>
                <w:lang w:val="en-US" w:eastAsia="zh-CN"/>
              </w:rPr>
              <w:t>4</w:t>
            </w:r>
            <w:r>
              <w:rPr>
                <w:rFonts w:hint="eastAsia" w:ascii="Times New Roman" w:hAnsi="Times New Roman" w:eastAsia="宋体" w:cs="Times New Roman"/>
                <w:b/>
                <w:bCs/>
                <w:color w:val="000000"/>
                <w:sz w:val="24"/>
                <w:szCs w:val="24"/>
              </w:rPr>
              <w:t>、供热</w:t>
            </w:r>
          </w:p>
          <w:p>
            <w:pPr>
              <w:widowControl w:val="0"/>
              <w:spacing w:line="360" w:lineRule="auto"/>
              <w:ind w:firstLine="480" w:firstLineChars="200"/>
              <w:jc w:val="both"/>
              <w:rPr>
                <w:rFonts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本项目煮浆</w:t>
            </w:r>
            <w:r>
              <w:rPr>
                <w:rFonts w:hint="eastAsia" w:ascii="Times New Roman" w:hAnsi="Times New Roman" w:cs="Times New Roman"/>
                <w:color w:val="000000"/>
                <w:kern w:val="2"/>
                <w:sz w:val="24"/>
                <w:szCs w:val="24"/>
                <w:lang w:val="en-US" w:eastAsia="zh-CN" w:bidi="ar-SA"/>
              </w:rPr>
              <w:t>、烘干、提皮和回润</w:t>
            </w:r>
            <w:r>
              <w:rPr>
                <w:rFonts w:hint="eastAsia" w:ascii="Times New Roman" w:hAnsi="Times New Roman" w:eastAsia="宋体" w:cs="Times New Roman"/>
                <w:color w:val="000000"/>
                <w:kern w:val="2"/>
                <w:sz w:val="24"/>
                <w:szCs w:val="24"/>
                <w:lang w:val="en-US" w:eastAsia="zh-CN" w:bidi="ar-SA"/>
              </w:rPr>
              <w:t>过程需要用到蒸汽，</w:t>
            </w:r>
            <w:r>
              <w:rPr>
                <w:rFonts w:hint="eastAsia" w:ascii="Times New Roman" w:hAnsi="Times New Roman" w:cs="Times New Roman"/>
                <w:color w:val="000000"/>
                <w:kern w:val="2"/>
                <w:sz w:val="24"/>
                <w:szCs w:val="24"/>
                <w:lang w:val="en-US" w:eastAsia="zh-CN" w:bidi="ar-SA"/>
              </w:rPr>
              <w:t>所需蒸汽量约4万吨，</w:t>
            </w:r>
            <w:r>
              <w:rPr>
                <w:rFonts w:hint="eastAsia" w:ascii="Times New Roman" w:hAnsi="Times New Roman" w:eastAsia="宋体" w:cs="Times New Roman"/>
                <w:color w:val="000000"/>
                <w:kern w:val="2"/>
                <w:sz w:val="24"/>
                <w:szCs w:val="24"/>
                <w:lang w:val="en-US" w:eastAsia="zh-CN" w:bidi="ar-SA"/>
              </w:rPr>
              <w:t>生物质年耗量为</w:t>
            </w:r>
            <w:r>
              <w:rPr>
                <w:rFonts w:hint="eastAsia" w:ascii="Times New Roman" w:hAnsi="Times New Roman" w:cs="Times New Roman"/>
                <w:color w:val="000000"/>
                <w:kern w:val="2"/>
                <w:sz w:val="24"/>
                <w:szCs w:val="24"/>
                <w:lang w:val="en-US" w:eastAsia="zh-CN" w:bidi="ar-SA"/>
              </w:rPr>
              <w:t>1万吨，</w:t>
            </w:r>
            <w:r>
              <w:rPr>
                <w:rFonts w:hint="eastAsia" w:ascii="Times New Roman" w:hAnsi="Times New Roman" w:eastAsia="宋体" w:cs="Times New Roman"/>
                <w:color w:val="000000"/>
                <w:kern w:val="2"/>
                <w:sz w:val="24"/>
                <w:szCs w:val="24"/>
                <w:lang w:val="en-US" w:eastAsia="zh-CN" w:bidi="ar-SA"/>
              </w:rPr>
              <w:t>由自建的</w:t>
            </w:r>
            <w:r>
              <w:rPr>
                <w:rFonts w:hint="eastAsia" w:ascii="Times New Roman" w:hAnsi="Times New Roman" w:cs="Times New Roman"/>
                <w:color w:val="000000"/>
                <w:kern w:val="2"/>
                <w:sz w:val="24"/>
                <w:szCs w:val="24"/>
                <w:lang w:val="en-US" w:eastAsia="zh-CN" w:bidi="ar-SA"/>
              </w:rPr>
              <w:t>10</w:t>
            </w:r>
            <w:r>
              <w:rPr>
                <w:rFonts w:hint="eastAsia" w:ascii="Times New Roman" w:hAnsi="Times New Roman" w:eastAsia="宋体" w:cs="Times New Roman"/>
                <w:color w:val="000000"/>
                <w:kern w:val="2"/>
                <w:sz w:val="24"/>
                <w:szCs w:val="24"/>
                <w:lang w:val="en-US" w:eastAsia="zh-CN" w:bidi="ar-SA"/>
              </w:rPr>
              <w:t>t/h</w:t>
            </w:r>
            <w:r>
              <w:rPr>
                <w:rFonts w:hint="eastAsia" w:ascii="Times New Roman" w:hAnsi="Times New Roman" w:cs="Times New Roman"/>
                <w:color w:val="000000"/>
                <w:kern w:val="2"/>
                <w:sz w:val="24"/>
                <w:szCs w:val="24"/>
                <w:lang w:val="en-US" w:eastAsia="zh-CN" w:bidi="ar-SA"/>
              </w:rPr>
              <w:t>和2</w:t>
            </w:r>
            <w:r>
              <w:rPr>
                <w:rFonts w:hint="eastAsia" w:ascii="Times New Roman" w:hAnsi="Times New Roman" w:eastAsia="宋体" w:cs="Times New Roman"/>
                <w:color w:val="000000"/>
                <w:kern w:val="2"/>
                <w:sz w:val="24"/>
                <w:szCs w:val="24"/>
                <w:lang w:val="en-US" w:eastAsia="zh-CN" w:bidi="ar-SA"/>
              </w:rPr>
              <w:t>t/h</w:t>
            </w:r>
            <w:r>
              <w:rPr>
                <w:rFonts w:hint="eastAsia" w:ascii="Times New Roman" w:hAnsi="Times New Roman" w:cs="Times New Roman"/>
                <w:color w:val="000000"/>
                <w:kern w:val="2"/>
                <w:sz w:val="24"/>
                <w:szCs w:val="24"/>
                <w:lang w:val="en-US" w:eastAsia="zh-CN" w:bidi="ar-SA"/>
              </w:rPr>
              <w:t>（备用）</w:t>
            </w:r>
            <w:r>
              <w:rPr>
                <w:rFonts w:hint="eastAsia" w:ascii="Times New Roman" w:hAnsi="Times New Roman" w:eastAsia="宋体" w:cs="Times New Roman"/>
                <w:color w:val="000000"/>
                <w:kern w:val="2"/>
                <w:sz w:val="24"/>
                <w:szCs w:val="24"/>
                <w:lang w:val="en-US" w:eastAsia="zh-CN" w:bidi="ar-SA"/>
              </w:rPr>
              <w:t>的生物质蒸汽锅炉提供，锅炉日运行</w:t>
            </w:r>
            <w:r>
              <w:rPr>
                <w:rFonts w:hint="eastAsia" w:ascii="Times New Roman" w:hAnsi="Times New Roman" w:cs="Times New Roman"/>
                <w:color w:val="000000"/>
                <w:kern w:val="2"/>
                <w:sz w:val="24"/>
                <w:szCs w:val="24"/>
                <w:lang w:val="en-US" w:eastAsia="zh-CN" w:bidi="ar-SA"/>
              </w:rPr>
              <w:t>18</w:t>
            </w:r>
            <w:r>
              <w:rPr>
                <w:rFonts w:hint="eastAsia" w:ascii="Times New Roman" w:hAnsi="Times New Roman" w:eastAsia="宋体" w:cs="Times New Roman"/>
                <w:color w:val="000000"/>
                <w:kern w:val="2"/>
                <w:sz w:val="24"/>
                <w:szCs w:val="24"/>
                <w:lang w:val="en-US" w:eastAsia="zh-CN" w:bidi="ar-SA"/>
              </w:rPr>
              <w:t>h（</w:t>
            </w:r>
            <w:r>
              <w:rPr>
                <w:rFonts w:hint="eastAsia" w:ascii="Times New Roman" w:hAnsi="Times New Roman" w:cs="Times New Roman"/>
                <w:color w:val="000000"/>
                <w:kern w:val="2"/>
                <w:sz w:val="24"/>
                <w:szCs w:val="24"/>
                <w:lang w:val="en-US" w:eastAsia="zh-CN" w:bidi="ar-SA"/>
              </w:rPr>
              <w:t>5400</w:t>
            </w:r>
            <w:r>
              <w:rPr>
                <w:rFonts w:hint="eastAsia" w:ascii="Times New Roman" w:hAnsi="Times New Roman" w:eastAsia="宋体" w:cs="Times New Roman"/>
                <w:color w:val="000000"/>
                <w:kern w:val="2"/>
                <w:sz w:val="24"/>
                <w:szCs w:val="24"/>
                <w:lang w:val="en-US" w:eastAsia="zh-CN" w:bidi="ar-SA"/>
              </w:rPr>
              <w:t>t/a）。</w:t>
            </w:r>
          </w:p>
          <w:p>
            <w:pPr>
              <w:tabs>
                <w:tab w:val="left" w:pos="2055"/>
              </w:tabs>
              <w:spacing w:line="360" w:lineRule="auto"/>
              <w:ind w:firstLine="482" w:firstLineChars="200"/>
              <w:rPr>
                <w:rFonts w:ascii="Times New Roman" w:hAnsi="Times New Roman" w:eastAsia="宋体" w:cs="Times New Roman"/>
                <w:b/>
                <w:color w:val="000000"/>
                <w:sz w:val="24"/>
                <w:szCs w:val="24"/>
              </w:rPr>
            </w:pPr>
            <w:r>
              <w:rPr>
                <w:rFonts w:hint="eastAsia" w:ascii="Times New Roman" w:hAnsi="Times New Roman" w:cs="Times New Roman"/>
                <w:b/>
                <w:color w:val="000000"/>
                <w:sz w:val="24"/>
                <w:szCs w:val="24"/>
                <w:lang w:val="en-US" w:eastAsia="zh-CN"/>
              </w:rPr>
              <w:t>5</w:t>
            </w:r>
            <w:r>
              <w:rPr>
                <w:rFonts w:ascii="Times New Roman" w:hAnsi="Times New Roman" w:eastAsia="宋体" w:cs="Times New Roman"/>
                <w:b/>
                <w:color w:val="000000"/>
                <w:sz w:val="24"/>
                <w:szCs w:val="24"/>
              </w:rPr>
              <w:t>、消防</w:t>
            </w:r>
            <w:r>
              <w:rPr>
                <w:rFonts w:ascii="Times New Roman" w:hAnsi="Times New Roman" w:eastAsia="宋体" w:cs="Times New Roman"/>
                <w:b/>
                <w:color w:val="000000"/>
                <w:sz w:val="24"/>
                <w:szCs w:val="24"/>
              </w:rPr>
              <w:tab/>
            </w:r>
          </w:p>
          <w:p>
            <w:pPr>
              <w:spacing w:line="360" w:lineRule="auto"/>
              <w:ind w:firstLine="480" w:firstLineChars="200"/>
              <w:rPr>
                <w:rStyle w:val="40"/>
                <w:rFonts w:ascii="Times New Roman" w:hAnsi="Times New Roman" w:eastAsia="宋体" w:cs="Times New Roman"/>
                <w:color w:val="000000"/>
                <w:sz w:val="24"/>
                <w:szCs w:val="24"/>
              </w:rPr>
            </w:pPr>
            <w:r>
              <w:rPr>
                <w:rStyle w:val="40"/>
                <w:rFonts w:ascii="Times New Roman" w:hAnsi="Times New Roman" w:cs="Times New Roman"/>
                <w:color w:val="000000"/>
                <w:szCs w:val="24"/>
              </w:rPr>
              <w:t>办公生活区按建筑灭火器配置规范规定设置推车式、手提式磷酸盐干粉灭火器。</w:t>
            </w:r>
          </w:p>
          <w:p>
            <w:pPr>
              <w:spacing w:line="360" w:lineRule="auto"/>
              <w:ind w:firstLine="482" w:firstLineChars="200"/>
              <w:rPr>
                <w:rFonts w:ascii="Times New Roman" w:hAnsi="Times New Roman" w:eastAsia="宋体" w:cs="Times New Roman"/>
                <w:b/>
                <w:color w:val="000000"/>
                <w:sz w:val="24"/>
                <w:szCs w:val="24"/>
              </w:rPr>
            </w:pPr>
            <w:r>
              <w:rPr>
                <w:rFonts w:hint="eastAsia" w:ascii="Times New Roman" w:hAnsi="Times New Roman" w:cs="Times New Roman"/>
                <w:b/>
                <w:color w:val="000000"/>
                <w:sz w:val="24"/>
                <w:szCs w:val="24"/>
                <w:lang w:val="en-US" w:eastAsia="zh-CN"/>
              </w:rPr>
              <w:t>6</w:t>
            </w:r>
            <w:r>
              <w:rPr>
                <w:rFonts w:ascii="Times New Roman" w:hAnsi="Times New Roman" w:eastAsia="宋体" w:cs="Times New Roman"/>
                <w:b/>
                <w:color w:val="000000"/>
                <w:sz w:val="24"/>
                <w:szCs w:val="24"/>
              </w:rPr>
              <w:t>、能源</w:t>
            </w:r>
          </w:p>
          <w:p>
            <w:pPr>
              <w:widowControl w:val="0"/>
              <w:spacing w:line="360" w:lineRule="auto"/>
              <w:ind w:firstLine="480" w:firstLineChars="200"/>
              <w:jc w:val="both"/>
              <w:rPr>
                <w:rStyle w:val="40"/>
                <w:rFonts w:ascii="Times New Roman" w:hAnsi="Times New Roman" w:cs="Times New Roman"/>
                <w:color w:val="000000"/>
                <w:szCs w:val="24"/>
              </w:rPr>
            </w:pPr>
            <w:r>
              <w:rPr>
                <w:rStyle w:val="40"/>
                <w:rFonts w:hint="eastAsia" w:ascii="Times New Roman" w:hAnsi="Times New Roman" w:cs="Times New Roman"/>
                <w:color w:val="000000"/>
                <w:szCs w:val="24"/>
              </w:rPr>
              <w:t>项目</w:t>
            </w:r>
            <w:r>
              <w:rPr>
                <w:rStyle w:val="40"/>
                <w:rFonts w:ascii="Times New Roman" w:hAnsi="Times New Roman" w:cs="Times New Roman"/>
                <w:color w:val="000000"/>
                <w:szCs w:val="24"/>
              </w:rPr>
              <w:t>能源主要使用电能</w:t>
            </w:r>
            <w:r>
              <w:rPr>
                <w:rStyle w:val="40"/>
                <w:rFonts w:hint="eastAsia" w:ascii="Times New Roman" w:hAnsi="Times New Roman" w:cs="Times New Roman"/>
                <w:color w:val="000000"/>
                <w:szCs w:val="24"/>
              </w:rPr>
              <w:t>和生物质能，为</w:t>
            </w:r>
            <w:r>
              <w:rPr>
                <w:rStyle w:val="40"/>
                <w:rFonts w:ascii="Times New Roman" w:hAnsi="Times New Roman" w:cs="Times New Roman"/>
                <w:color w:val="000000"/>
                <w:szCs w:val="24"/>
              </w:rPr>
              <w:t>清洁能源</w:t>
            </w:r>
            <w:r>
              <w:rPr>
                <w:rStyle w:val="40"/>
                <w:rFonts w:hint="eastAsia" w:ascii="Times New Roman" w:hAnsi="Times New Roman" w:cs="Times New Roman"/>
                <w:color w:val="000000"/>
                <w:szCs w:val="24"/>
              </w:rPr>
              <w:t>。</w:t>
            </w:r>
          </w:p>
          <w:p>
            <w:pPr>
              <w:widowControl w:val="0"/>
              <w:spacing w:line="360" w:lineRule="auto"/>
              <w:ind w:firstLine="480" w:firstLineChars="200"/>
              <w:jc w:val="both"/>
              <w:rPr>
                <w:rStyle w:val="40"/>
                <w:rFonts w:ascii="Times New Roman" w:hAnsi="Times New Roman" w:cs="Times New Roman"/>
                <w:color w:val="000000"/>
                <w:szCs w:val="24"/>
              </w:rPr>
            </w:pPr>
          </w:p>
          <w:p>
            <w:pPr>
              <w:widowControl w:val="0"/>
              <w:spacing w:line="360" w:lineRule="auto"/>
              <w:ind w:firstLine="480" w:firstLineChars="200"/>
              <w:jc w:val="both"/>
              <w:rPr>
                <w:rStyle w:val="40"/>
                <w:rFonts w:ascii="Times New Roman" w:hAnsi="Times New Roman" w:cs="Times New Roman"/>
                <w:color w:val="000000"/>
                <w:szCs w:val="24"/>
              </w:rPr>
            </w:pPr>
          </w:p>
          <w:p>
            <w:pPr>
              <w:widowControl w:val="0"/>
              <w:spacing w:line="360" w:lineRule="auto"/>
              <w:ind w:firstLine="480" w:firstLineChars="200"/>
              <w:jc w:val="both"/>
              <w:rPr>
                <w:rStyle w:val="40"/>
                <w:rFonts w:ascii="Times New Roman" w:hAnsi="Times New Roman" w:cs="Times New Roman"/>
                <w:color w:val="000000"/>
                <w:szCs w:val="24"/>
              </w:rPr>
            </w:pPr>
          </w:p>
          <w:p>
            <w:pPr>
              <w:widowControl w:val="0"/>
              <w:spacing w:line="360" w:lineRule="auto"/>
              <w:ind w:firstLine="480" w:firstLineChars="200"/>
              <w:jc w:val="both"/>
              <w:rPr>
                <w:rStyle w:val="40"/>
                <w:rFonts w:ascii="Times New Roman" w:hAnsi="Times New Roman" w:cs="Times New Roman"/>
                <w:color w:val="000000"/>
                <w:szCs w:val="24"/>
              </w:rPr>
            </w:pPr>
          </w:p>
          <w:p>
            <w:pPr>
              <w:widowControl w:val="0"/>
              <w:spacing w:line="360" w:lineRule="auto"/>
              <w:ind w:firstLine="480" w:firstLineChars="200"/>
              <w:jc w:val="both"/>
              <w:rPr>
                <w:rStyle w:val="40"/>
                <w:rFonts w:ascii="Times New Roman" w:hAnsi="Times New Roman" w:cs="Times New Roman"/>
                <w:color w:val="000000"/>
                <w:szCs w:val="24"/>
              </w:rPr>
            </w:pPr>
          </w:p>
          <w:p>
            <w:pPr>
              <w:widowControl w:val="0"/>
              <w:spacing w:line="360" w:lineRule="auto"/>
              <w:ind w:firstLine="480" w:firstLineChars="200"/>
              <w:jc w:val="both"/>
              <w:rPr>
                <w:rStyle w:val="40"/>
                <w:rFonts w:ascii="Times New Roman" w:hAnsi="Times New Roman" w:cs="Times New Roman"/>
                <w:color w:val="000000"/>
                <w:szCs w:val="24"/>
              </w:rPr>
            </w:pPr>
          </w:p>
          <w:p>
            <w:pPr>
              <w:widowControl w:val="0"/>
              <w:spacing w:line="360" w:lineRule="auto"/>
              <w:ind w:firstLine="480" w:firstLineChars="200"/>
              <w:jc w:val="both"/>
              <w:rPr>
                <w:rStyle w:val="40"/>
                <w:rFonts w:ascii="Times New Roman" w:hAnsi="Times New Roman" w:cs="Times New Roman"/>
                <w:color w:val="000000"/>
                <w:szCs w:val="24"/>
              </w:rPr>
            </w:pPr>
          </w:p>
          <w:p>
            <w:pPr>
              <w:widowControl w:val="0"/>
              <w:spacing w:line="360" w:lineRule="auto"/>
              <w:ind w:firstLine="480" w:firstLineChars="200"/>
              <w:jc w:val="both"/>
              <w:rPr>
                <w:rStyle w:val="40"/>
                <w:rFonts w:ascii="Times New Roman" w:hAnsi="Times New Roman" w:cs="Times New Roman"/>
                <w:color w:val="000000"/>
                <w:szCs w:val="24"/>
              </w:rPr>
            </w:pPr>
          </w:p>
          <w:p>
            <w:pPr>
              <w:widowControl w:val="0"/>
              <w:spacing w:line="360" w:lineRule="auto"/>
              <w:ind w:firstLine="480" w:firstLineChars="200"/>
              <w:jc w:val="both"/>
              <w:rPr>
                <w:rStyle w:val="40"/>
                <w:rFonts w:hint="eastAsia" w:ascii="Times New Roman" w:hAnsi="Times New Roman" w:cs="Times New Roman"/>
                <w:color w:val="000000"/>
                <w:szCs w:val="24"/>
              </w:rPr>
            </w:pPr>
          </w:p>
          <w:p>
            <w:pPr>
              <w:widowControl w:val="0"/>
              <w:spacing w:line="360" w:lineRule="auto"/>
              <w:ind w:firstLine="480" w:firstLineChars="200"/>
              <w:jc w:val="both"/>
              <w:rPr>
                <w:rStyle w:val="40"/>
                <w:rFonts w:ascii="Times New Roman" w:hAnsi="Times New Roman" w:cs="Times New Roman"/>
                <w:color w:val="000000"/>
                <w:szCs w:val="24"/>
              </w:rPr>
            </w:pPr>
          </w:p>
          <w:p>
            <w:pPr>
              <w:widowControl w:val="0"/>
              <w:spacing w:line="360" w:lineRule="auto"/>
              <w:ind w:firstLine="480" w:firstLineChars="200"/>
              <w:jc w:val="both"/>
              <w:rPr>
                <w:rStyle w:val="40"/>
                <w:rFonts w:ascii="Times New Roman" w:hAnsi="Times New Roman" w:cs="Times New Roman"/>
                <w:color w:val="000000"/>
                <w:szCs w:val="24"/>
              </w:rPr>
            </w:pPr>
          </w:p>
          <w:p>
            <w:pPr>
              <w:widowControl w:val="0"/>
              <w:spacing w:line="360" w:lineRule="auto"/>
              <w:ind w:firstLine="480" w:firstLineChars="200"/>
              <w:jc w:val="both"/>
              <w:rPr>
                <w:rStyle w:val="40"/>
                <w:rFonts w:ascii="Times New Roman" w:hAnsi="Times New Roman" w:cs="Times New Roman"/>
                <w:color w:val="000000"/>
                <w:szCs w:val="24"/>
              </w:rPr>
            </w:pPr>
          </w:p>
          <w:p>
            <w:pPr>
              <w:widowControl w:val="0"/>
              <w:spacing w:line="360" w:lineRule="auto"/>
              <w:ind w:firstLine="480" w:firstLineChars="200"/>
              <w:jc w:val="both"/>
              <w:rPr>
                <w:rStyle w:val="40"/>
                <w:rFonts w:ascii="Times New Roman" w:hAnsi="Times New Roman" w:cs="Times New Roman"/>
                <w:color w:val="000000"/>
                <w:szCs w:val="24"/>
              </w:rPr>
            </w:pPr>
          </w:p>
          <w:p>
            <w:pPr>
              <w:widowControl w:val="0"/>
              <w:spacing w:line="360" w:lineRule="auto"/>
              <w:jc w:val="both"/>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vAlign w:val="center"/>
          </w:tcPr>
          <w:p>
            <w:pPr>
              <w:bidi w:val="0"/>
              <w:jc w:val="center"/>
              <w:rPr>
                <w:rFonts w:hint="default"/>
                <w:sz w:val="24"/>
                <w:szCs w:val="24"/>
                <w:vertAlign w:val="baseline"/>
                <w:lang w:val="en-US" w:eastAsia="zh-CN"/>
              </w:rPr>
            </w:pPr>
            <w:r>
              <w:rPr>
                <w:rFonts w:hint="eastAsia"/>
                <w:sz w:val="24"/>
                <w:szCs w:val="24"/>
                <w:vertAlign w:val="baseline"/>
                <w:lang w:val="en-US" w:eastAsia="zh-CN"/>
              </w:rPr>
              <w:t>工艺流程和产污环节</w:t>
            </w:r>
          </w:p>
        </w:tc>
        <w:tc>
          <w:tcPr>
            <w:tcW w:w="8786" w:type="dxa"/>
            <w:vAlign w:val="center"/>
          </w:tcPr>
          <w:p>
            <w:pPr>
              <w:widowControl w:val="0"/>
              <w:adjustRightInd w:val="0"/>
              <w:snapToGrid w:val="0"/>
              <w:spacing w:line="360" w:lineRule="auto"/>
              <w:ind w:left="0" w:leftChars="0" w:right="318" w:firstLine="0" w:firstLineChars="0"/>
              <w:jc w:val="both"/>
              <w:rPr>
                <w:rFonts w:hint="default" w:ascii="Times New Roman" w:hAnsi="Times New Roman" w:eastAsia="宋体" w:cs="Times New Roman"/>
                <w:b/>
                <w:color w:val="auto"/>
                <w:spacing w:val="0"/>
                <w:kern w:val="21"/>
                <w:sz w:val="28"/>
                <w:szCs w:val="28"/>
                <w:lang w:val="en-US" w:eastAsia="zh-CN" w:bidi="ar-SA"/>
              </w:rPr>
            </w:pPr>
            <w:r>
              <w:rPr>
                <w:rFonts w:hint="eastAsia" w:ascii="Times New Roman" w:hAnsi="Times New Roman" w:eastAsia="宋体" w:cs="Times New Roman"/>
                <w:b/>
                <w:color w:val="auto"/>
                <w:spacing w:val="0"/>
                <w:kern w:val="21"/>
                <w:sz w:val="28"/>
                <w:szCs w:val="28"/>
                <w:lang w:val="en-US" w:eastAsia="zh-CN" w:bidi="ar-SA"/>
              </w:rPr>
              <w:t>2、</w:t>
            </w:r>
            <w:r>
              <w:rPr>
                <w:rFonts w:hint="default" w:ascii="Times New Roman" w:hAnsi="Times New Roman" w:eastAsia="宋体" w:cs="Times New Roman"/>
                <w:b/>
                <w:color w:val="auto"/>
                <w:spacing w:val="0"/>
                <w:kern w:val="21"/>
                <w:sz w:val="28"/>
                <w:szCs w:val="28"/>
                <w:lang w:val="en-US" w:eastAsia="zh-CN" w:bidi="ar-SA"/>
              </w:rPr>
              <w:t>工艺流程简述：</w:t>
            </w:r>
          </w:p>
          <w:p>
            <w:pPr>
              <w:pStyle w:val="6"/>
              <w:pageBreakBefore w:val="0"/>
              <w:widowControl w:val="0"/>
              <w:numPr>
                <w:ilvl w:val="0"/>
                <w:numId w:val="0"/>
              </w:numPr>
              <w:kinsoku/>
              <w:wordWrap/>
              <w:overflowPunct/>
              <w:topLinePunct w:val="0"/>
              <w:autoSpaceDE/>
              <w:autoSpaceDN/>
              <w:bidi w:val="0"/>
              <w:adjustRightInd w:val="0"/>
              <w:snapToGrid w:val="0"/>
              <w:spacing w:line="360" w:lineRule="auto"/>
              <w:ind w:left="284" w:leftChars="0"/>
              <w:textAlignment w:val="auto"/>
              <w:outlineLvl w:val="2"/>
              <w:rPr>
                <w:rFonts w:hint="default" w:ascii="Times New Roman" w:hAnsi="Times New Roman" w:eastAsia="宋体" w:cs="Times New Roman"/>
                <w:color w:val="000000"/>
                <w:szCs w:val="22"/>
                <w:lang w:val="en-US" w:eastAsia="zh-CN"/>
              </w:rPr>
            </w:pPr>
            <w:r>
              <w:rPr>
                <w:rFonts w:hint="eastAsia" w:cs="Times New Roman"/>
                <w:color w:val="000000"/>
                <w:szCs w:val="22"/>
                <w:lang w:val="en-US" w:eastAsia="zh-CN"/>
              </w:rPr>
              <w:t>2.1</w:t>
            </w:r>
            <w:r>
              <w:rPr>
                <w:rFonts w:hint="default" w:ascii="Times New Roman" w:hAnsi="Times New Roman" w:eastAsia="宋体" w:cs="Times New Roman"/>
                <w:color w:val="000000"/>
                <w:szCs w:val="22"/>
                <w:lang w:val="en-US" w:eastAsia="zh-CN"/>
              </w:rPr>
              <w:t>施工期工艺流程及产污节点</w:t>
            </w:r>
          </w:p>
          <w:p>
            <w:pPr>
              <w:spacing w:line="360" w:lineRule="auto"/>
              <w:ind w:firstLine="496" w:firstLineChars="200"/>
              <w:rPr>
                <w:rFonts w:hint="eastAsia" w:ascii="Times New Roman" w:hAnsi="Times New Roman" w:eastAsia="宋体" w:cs="Times New Roman"/>
                <w:bCs/>
                <w:color w:val="000000"/>
                <w:spacing w:val="4"/>
                <w:sz w:val="24"/>
                <w:szCs w:val="24"/>
              </w:rPr>
            </w:pPr>
            <w:r>
              <w:rPr>
                <w:rFonts w:hint="eastAsia" w:ascii="Times New Roman" w:hAnsi="Times New Roman" w:eastAsia="宋体" w:cs="Times New Roman"/>
                <w:bCs/>
                <w:color w:val="000000"/>
                <w:spacing w:val="4"/>
                <w:sz w:val="24"/>
                <w:szCs w:val="24"/>
              </w:rPr>
              <w:t>本项目施工期工艺流程如下图所示：</w:t>
            </w:r>
          </w:p>
          <w:p>
            <w:pPr>
              <w:spacing w:line="360" w:lineRule="auto"/>
              <w:jc w:val="cente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object>
                <v:shape id="_x0000_i1025" o:spt="75" type="#_x0000_t75" style="height:121.8pt;width:415.1pt;" o:ole="t" filled="f" o:preferrelative="t" stroked="f" coordsize="21600,21600">
                  <v:path/>
                  <v:fill on="f" focussize="0,0"/>
                  <v:stroke on="f"/>
                  <v:imagedata r:id="rId13" o:title=""/>
                  <o:lock v:ext="edit" aspectratio="f"/>
                  <w10:wrap type="none"/>
                  <w10:anchorlock/>
                </v:shape>
                <o:OLEObject Type="Embed" ProgID="Visio.Drawing.11" ShapeID="_x0000_i1025" DrawAspect="Content" ObjectID="_1468075725" r:id="rId12">
                  <o:LockedField>false</o:LockedField>
                </o:OLEObject>
              </w:object>
            </w:r>
          </w:p>
          <w:p>
            <w:pPr>
              <w:spacing w:line="360" w:lineRule="auto"/>
              <w:ind w:firstLine="422" w:firstLineChars="200"/>
              <w:jc w:val="center"/>
              <w:rPr>
                <w:rFonts w:hint="default" w:ascii="Times New Roman" w:hAnsi="Times New Roman" w:eastAsia="宋体" w:cs="Times New Roman"/>
                <w:color w:val="000000"/>
                <w:sz w:val="24"/>
                <w:szCs w:val="22"/>
              </w:rPr>
            </w:pPr>
            <w:r>
              <w:rPr>
                <w:rFonts w:hint="eastAsia" w:ascii="Times New Roman" w:hAnsi="Times New Roman" w:eastAsia="宋体" w:cs="Times New Roman"/>
                <w:b/>
                <w:bCs/>
                <w:color w:val="000000"/>
                <w:sz w:val="21"/>
                <w:szCs w:val="21"/>
              </w:rPr>
              <w:t>图</w:t>
            </w:r>
            <w:r>
              <w:rPr>
                <w:rFonts w:hint="eastAsia" w:ascii="Times New Roman" w:hAnsi="Times New Roman" w:eastAsia="宋体" w:cs="Times New Roman"/>
                <w:b/>
                <w:bCs/>
                <w:color w:val="000000"/>
                <w:sz w:val="21"/>
                <w:szCs w:val="21"/>
                <w:lang w:val="en-US" w:eastAsia="zh-CN"/>
              </w:rPr>
              <w:t>2</w:t>
            </w:r>
            <w:r>
              <w:rPr>
                <w:rFonts w:hint="eastAsia" w:ascii="Times New Roman" w:hAnsi="Times New Roman" w:eastAsia="宋体" w:cs="Times New Roman"/>
                <w:b/>
                <w:bCs/>
                <w:color w:val="000000"/>
                <w:sz w:val="21"/>
                <w:szCs w:val="21"/>
              </w:rPr>
              <w:t>-</w:t>
            </w:r>
            <w:r>
              <w:rPr>
                <w:rFonts w:hint="eastAsia" w:ascii="Times New Roman" w:hAnsi="Times New Roman" w:cs="Times New Roman"/>
                <w:b/>
                <w:bCs/>
                <w:color w:val="000000"/>
                <w:sz w:val="21"/>
                <w:szCs w:val="21"/>
                <w:lang w:val="en-US" w:eastAsia="zh-CN"/>
              </w:rPr>
              <w:t>2</w:t>
            </w:r>
            <w:r>
              <w:rPr>
                <w:rFonts w:hint="eastAsia" w:ascii="Times New Roman" w:hAnsi="Times New Roman" w:eastAsia="宋体" w:cs="Times New Roman"/>
                <w:b/>
                <w:bCs/>
                <w:color w:val="000000"/>
                <w:sz w:val="21"/>
                <w:szCs w:val="21"/>
              </w:rPr>
              <w:t xml:space="preserve"> 施工期工艺流程及产污节点图</w:t>
            </w:r>
          </w:p>
          <w:p>
            <w:pPr>
              <w:pStyle w:val="6"/>
              <w:numPr>
                <w:ilvl w:val="0"/>
                <w:numId w:val="0"/>
              </w:numPr>
              <w:ind w:left="284" w:leftChars="0"/>
              <w:outlineLvl w:val="2"/>
              <w:rPr>
                <w:rFonts w:hint="default" w:ascii="Times New Roman" w:hAnsi="Times New Roman" w:eastAsia="宋体" w:cs="Times New Roman"/>
                <w:color w:val="000000"/>
                <w:szCs w:val="22"/>
                <w:lang w:val="en-US" w:eastAsia="zh-CN"/>
              </w:rPr>
            </w:pPr>
            <w:r>
              <w:rPr>
                <w:rFonts w:hint="eastAsia" w:cs="Times New Roman"/>
                <w:color w:val="000000"/>
                <w:szCs w:val="22"/>
                <w:lang w:val="en-US" w:eastAsia="zh-CN"/>
              </w:rPr>
              <w:t>2.2</w:t>
            </w:r>
            <w:r>
              <w:rPr>
                <w:rFonts w:hint="default" w:ascii="Times New Roman" w:hAnsi="Times New Roman" w:eastAsia="宋体" w:cs="Times New Roman"/>
                <w:color w:val="000000"/>
                <w:szCs w:val="22"/>
                <w:lang w:val="en-US" w:eastAsia="zh-CN"/>
              </w:rPr>
              <w:t>营运期工艺流程及产污节点</w:t>
            </w:r>
          </w:p>
          <w:p>
            <w:pPr>
              <w:spacing w:line="360" w:lineRule="auto"/>
              <w:ind w:firstLine="496" w:firstLineChars="200"/>
              <w:rPr>
                <w:rFonts w:hint="eastAsia" w:ascii="Times New Roman" w:hAnsi="Times New Roman" w:eastAsia="宋体" w:cs="Times New Roman"/>
                <w:bCs/>
                <w:color w:val="000000"/>
                <w:spacing w:val="4"/>
                <w:sz w:val="24"/>
                <w:szCs w:val="24"/>
                <w:lang w:val="en-US" w:eastAsia="zh-CN"/>
              </w:rPr>
            </w:pPr>
            <w:r>
              <w:rPr>
                <w:rFonts w:hint="eastAsia" w:ascii="Times New Roman" w:hAnsi="Times New Roman" w:eastAsia="宋体" w:cs="Times New Roman"/>
                <w:bCs/>
                <w:color w:val="000000"/>
                <w:spacing w:val="4"/>
                <w:sz w:val="24"/>
                <w:szCs w:val="24"/>
                <w:lang w:val="en-US" w:eastAsia="zh-CN"/>
              </w:rPr>
              <w:t>主要生产工艺流程如下</w:t>
            </w:r>
            <w:r>
              <w:rPr>
                <w:rFonts w:hint="eastAsia" w:ascii="Times New Roman" w:hAnsi="Times New Roman" w:cs="Times New Roman"/>
                <w:bCs/>
                <w:color w:val="000000"/>
                <w:spacing w:val="4"/>
                <w:sz w:val="24"/>
                <w:szCs w:val="24"/>
                <w:lang w:val="en-US" w:eastAsia="zh-CN"/>
              </w:rPr>
              <w:t>：</w:t>
            </w:r>
          </w:p>
          <w:p>
            <w:pPr>
              <w:spacing w:line="360" w:lineRule="auto"/>
              <w:jc w:val="center"/>
              <w:rPr>
                <w:rFonts w:hint="default" w:ascii="Times New Roman" w:hAnsi="Times New Roman" w:eastAsia="新宋体" w:cs="Times New Roman"/>
                <w:b/>
                <w:bCs/>
                <w:kern w:val="2"/>
                <w:sz w:val="21"/>
                <w:szCs w:val="21"/>
                <w:lang w:val="en-US" w:eastAsia="zh-CN" w:bidi="ar-SA"/>
              </w:rPr>
            </w:pPr>
            <w:r>
              <w:drawing>
                <wp:anchor distT="0" distB="0" distL="114300" distR="114300" simplePos="0" relativeHeight="251663360" behindDoc="0" locked="0" layoutInCell="1" allowOverlap="1">
                  <wp:simplePos x="0" y="0"/>
                  <wp:positionH relativeFrom="column">
                    <wp:posOffset>-52070</wp:posOffset>
                  </wp:positionH>
                  <wp:positionV relativeFrom="paragraph">
                    <wp:posOffset>201295</wp:posOffset>
                  </wp:positionV>
                  <wp:extent cx="5473700" cy="2781300"/>
                  <wp:effectExtent l="0" t="0" r="1270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1228090" y="1144905"/>
                            <a:ext cx="5473700" cy="2781300"/>
                          </a:xfrm>
                          <a:prstGeom prst="rect">
                            <a:avLst/>
                          </a:prstGeom>
                          <a:noFill/>
                          <a:ln>
                            <a:noFill/>
                          </a:ln>
                        </pic:spPr>
                      </pic:pic>
                    </a:graphicData>
                  </a:graphic>
                </wp:anchor>
              </w:drawing>
            </w:r>
            <w:r>
              <w:rPr>
                <w:rFonts w:hint="eastAsia" w:ascii="Times New Roman" w:hAnsi="Times New Roman" w:eastAsia="宋体" w:cs="Times New Roman"/>
                <w:b/>
                <w:bCs/>
                <w:color w:val="000000"/>
                <w:kern w:val="2"/>
                <w:sz w:val="21"/>
                <w:szCs w:val="21"/>
                <w:lang w:val="en-US" w:eastAsia="zh-CN" w:bidi="ar-SA"/>
              </w:rPr>
              <w:t>图2-</w:t>
            </w:r>
            <w:r>
              <w:rPr>
                <w:rFonts w:hint="eastAsia" w:ascii="Times New Roman" w:hAnsi="Times New Roman" w:cs="Times New Roman"/>
                <w:b/>
                <w:bCs/>
                <w:color w:val="000000"/>
                <w:kern w:val="2"/>
                <w:sz w:val="21"/>
                <w:szCs w:val="21"/>
                <w:lang w:val="en-US" w:eastAsia="zh-CN" w:bidi="ar-SA"/>
              </w:rPr>
              <w:t>3</w:t>
            </w:r>
            <w:r>
              <w:rPr>
                <w:rFonts w:hint="eastAsia" w:ascii="Times New Roman" w:hAnsi="Times New Roman" w:eastAsia="宋体" w:cs="Times New Roman"/>
                <w:b/>
                <w:bCs/>
                <w:color w:val="000000"/>
                <w:kern w:val="2"/>
                <w:sz w:val="21"/>
                <w:szCs w:val="21"/>
                <w:lang w:val="en-US" w:eastAsia="zh-CN" w:bidi="ar-SA"/>
              </w:rPr>
              <w:t xml:space="preserve"> </w:t>
            </w:r>
            <w:r>
              <w:rPr>
                <w:rFonts w:hint="default" w:ascii="Times New Roman" w:hAnsi="Times New Roman" w:eastAsia="新宋体" w:cs="Times New Roman"/>
                <w:b/>
                <w:bCs/>
                <w:kern w:val="2"/>
                <w:sz w:val="21"/>
                <w:szCs w:val="21"/>
                <w:lang w:val="en-US" w:eastAsia="zh-CN" w:bidi="ar-SA"/>
              </w:rPr>
              <w:t>锅炉运行工艺流程及产污节点图</w:t>
            </w:r>
          </w:p>
          <w:p>
            <w:pPr>
              <w:spacing w:line="360" w:lineRule="auto"/>
              <w:jc w:val="center"/>
              <w:rPr>
                <w:rFonts w:hint="default" w:ascii="Times New Roman" w:hAnsi="Times New Roman" w:eastAsia="新宋体" w:cs="Times New Roman"/>
                <w:b/>
                <w:bCs/>
                <w:kern w:val="2"/>
                <w:sz w:val="21"/>
                <w:szCs w:val="21"/>
                <w:lang w:val="en-US" w:eastAsia="zh-CN" w:bidi="ar-SA"/>
              </w:rPr>
            </w:pPr>
          </w:p>
          <w:p>
            <w:pPr>
              <w:spacing w:line="360" w:lineRule="auto"/>
              <w:jc w:val="center"/>
              <w:rPr>
                <w:rFonts w:hint="default" w:ascii="Times New Roman" w:hAnsi="Times New Roman" w:eastAsia="新宋体" w:cs="Times New Roman"/>
                <w:b/>
                <w:bCs/>
                <w:kern w:val="2"/>
                <w:sz w:val="21"/>
                <w:szCs w:val="21"/>
                <w:lang w:val="en-US" w:eastAsia="zh-CN" w:bidi="ar-SA"/>
              </w:rPr>
            </w:pPr>
          </w:p>
          <w:p>
            <w:pPr>
              <w:spacing w:line="360" w:lineRule="auto"/>
              <w:jc w:val="center"/>
              <w:rPr>
                <w:rFonts w:hint="default" w:ascii="Times New Roman" w:hAnsi="Times New Roman" w:eastAsia="新宋体" w:cs="Times New Roman"/>
                <w:b/>
                <w:bCs/>
                <w:kern w:val="2"/>
                <w:sz w:val="21"/>
                <w:szCs w:val="21"/>
                <w:lang w:val="en-US" w:eastAsia="zh-CN" w:bidi="ar-SA"/>
              </w:rPr>
            </w:pPr>
          </w:p>
          <w:p>
            <w:pPr>
              <w:spacing w:line="360" w:lineRule="auto"/>
              <w:jc w:val="center"/>
              <w:rPr>
                <w:rFonts w:hint="default" w:ascii="Times New Roman" w:hAnsi="Times New Roman" w:eastAsia="新宋体" w:cs="Times New Roman"/>
                <w:b/>
                <w:bCs/>
                <w:kern w:val="2"/>
                <w:sz w:val="21"/>
                <w:szCs w:val="21"/>
                <w:lang w:val="en-US" w:eastAsia="zh-CN" w:bidi="ar-SA"/>
              </w:rPr>
            </w:pPr>
          </w:p>
          <w:p>
            <w:pPr>
              <w:spacing w:line="360" w:lineRule="auto"/>
              <w:jc w:val="center"/>
              <w:rPr>
                <w:rFonts w:hint="eastAsia" w:ascii="Times New Roman" w:hAnsi="Times New Roman" w:eastAsia="宋体" w:cs="Times New Roman"/>
                <w:b/>
                <w:bCs/>
                <w:color w:val="000000"/>
                <w:kern w:val="2"/>
                <w:sz w:val="21"/>
                <w:szCs w:val="21"/>
                <w:lang w:val="en-US" w:eastAsia="zh-CN" w:bidi="ar-SA"/>
              </w:rPr>
            </w:pPr>
          </w:p>
          <w:p>
            <w:pPr>
              <w:spacing w:line="360" w:lineRule="auto"/>
              <w:ind w:firstLine="420" w:firstLineChars="200"/>
              <w:jc w:val="center"/>
              <w:rPr>
                <w:rFonts w:hint="default" w:ascii="Times New Roman" w:hAnsi="Times New Roman" w:eastAsia="新宋体" w:cs="Times New Roman"/>
                <w:b/>
                <w:bCs/>
                <w:kern w:val="2"/>
                <w:sz w:val="21"/>
                <w:szCs w:val="21"/>
                <w:lang w:val="en-US" w:eastAsia="zh-CN" w:bidi="ar-SA"/>
              </w:rPr>
            </w:pPr>
            <w:r>
              <w:drawing>
                <wp:anchor distT="0" distB="0" distL="114300" distR="114300" simplePos="0" relativeHeight="251662336" behindDoc="0" locked="0" layoutInCell="1" allowOverlap="1">
                  <wp:simplePos x="0" y="0"/>
                  <wp:positionH relativeFrom="column">
                    <wp:posOffset>-68580</wp:posOffset>
                  </wp:positionH>
                  <wp:positionV relativeFrom="paragraph">
                    <wp:posOffset>0</wp:posOffset>
                  </wp:positionV>
                  <wp:extent cx="5610225" cy="3819525"/>
                  <wp:effectExtent l="0" t="0" r="9525"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610225" cy="3819525"/>
                          </a:xfrm>
                          <a:prstGeom prst="rect">
                            <a:avLst/>
                          </a:prstGeom>
                          <a:noFill/>
                          <a:ln>
                            <a:noFill/>
                          </a:ln>
                        </pic:spPr>
                      </pic:pic>
                    </a:graphicData>
                  </a:graphic>
                </wp:anchor>
              </w:drawing>
            </w:r>
            <w:r>
              <w:rPr>
                <w:rFonts w:hint="eastAsia" w:ascii="Times New Roman" w:hAnsi="Times New Roman" w:eastAsia="宋体" w:cs="Times New Roman"/>
                <w:b/>
                <w:bCs/>
                <w:color w:val="000000"/>
                <w:kern w:val="2"/>
                <w:sz w:val="21"/>
                <w:szCs w:val="21"/>
                <w:lang w:val="en-US" w:eastAsia="zh-CN" w:bidi="ar-SA"/>
              </w:rPr>
              <w:t>图2-</w:t>
            </w:r>
            <w:r>
              <w:rPr>
                <w:rFonts w:hint="eastAsia" w:ascii="Times New Roman" w:hAnsi="Times New Roman" w:cs="Times New Roman"/>
                <w:b/>
                <w:bCs/>
                <w:color w:val="000000"/>
                <w:kern w:val="2"/>
                <w:sz w:val="21"/>
                <w:szCs w:val="21"/>
                <w:lang w:val="en-US" w:eastAsia="zh-CN" w:bidi="ar-SA"/>
              </w:rPr>
              <w:t>4</w:t>
            </w:r>
            <w:r>
              <w:rPr>
                <w:rFonts w:hint="eastAsia" w:ascii="Times New Roman" w:hAnsi="Times New Roman" w:eastAsia="宋体" w:cs="Times New Roman"/>
                <w:b/>
                <w:bCs/>
                <w:color w:val="000000"/>
                <w:kern w:val="2"/>
                <w:sz w:val="21"/>
                <w:szCs w:val="21"/>
                <w:lang w:val="en-US" w:eastAsia="zh-CN" w:bidi="ar-SA"/>
              </w:rPr>
              <w:t xml:space="preserve"> </w:t>
            </w:r>
            <w:r>
              <w:rPr>
                <w:rFonts w:hint="eastAsia" w:ascii="Times New Roman" w:hAnsi="Times New Roman" w:eastAsia="新宋体" w:cs="Times New Roman"/>
                <w:b/>
                <w:bCs/>
                <w:kern w:val="2"/>
                <w:sz w:val="21"/>
                <w:szCs w:val="21"/>
                <w:lang w:val="en-US" w:eastAsia="zh-CN" w:bidi="ar-SA"/>
              </w:rPr>
              <w:t>豆皮生产</w:t>
            </w:r>
            <w:r>
              <w:rPr>
                <w:rFonts w:hint="default" w:ascii="Times New Roman" w:hAnsi="Times New Roman" w:eastAsia="新宋体" w:cs="Times New Roman"/>
                <w:b/>
                <w:bCs/>
                <w:kern w:val="2"/>
                <w:sz w:val="21"/>
                <w:szCs w:val="21"/>
                <w:lang w:val="en-US" w:eastAsia="zh-CN" w:bidi="ar-SA"/>
              </w:rPr>
              <w:t>工艺流程及产污节点图</w:t>
            </w:r>
          </w:p>
          <w:p>
            <w:pPr>
              <w:spacing w:line="360" w:lineRule="auto"/>
              <w:ind w:firstLine="422" w:firstLineChars="200"/>
              <w:jc w:val="center"/>
              <w:rPr>
                <w:rFonts w:hint="default" w:ascii="Times New Roman" w:hAnsi="Times New Roman" w:eastAsia="新宋体" w:cs="Times New Roman"/>
                <w:b/>
                <w:bCs/>
                <w:kern w:val="2"/>
                <w:sz w:val="21"/>
                <w:szCs w:val="21"/>
                <w:lang w:val="en-US" w:eastAsia="zh-CN" w:bidi="ar-SA"/>
              </w:rPr>
            </w:pPr>
          </w:p>
          <w:p>
            <w:pPr>
              <w:spacing w:line="360" w:lineRule="auto"/>
              <w:ind w:firstLine="422" w:firstLineChars="200"/>
              <w:jc w:val="center"/>
              <w:rPr>
                <w:rFonts w:hint="default" w:ascii="Times New Roman" w:hAnsi="Times New Roman" w:eastAsia="新宋体" w:cs="Times New Roman"/>
                <w:b/>
                <w:bCs/>
                <w:kern w:val="2"/>
                <w:sz w:val="21"/>
                <w:szCs w:val="21"/>
                <w:lang w:val="en-US" w:eastAsia="zh-CN" w:bidi="ar-SA"/>
              </w:rPr>
            </w:pPr>
          </w:p>
          <w:p>
            <w:pPr>
              <w:spacing w:line="360" w:lineRule="auto"/>
              <w:ind w:firstLine="422" w:firstLineChars="200"/>
              <w:jc w:val="center"/>
              <w:rPr>
                <w:rFonts w:hint="default" w:ascii="Times New Roman" w:hAnsi="Times New Roman" w:eastAsia="新宋体" w:cs="Times New Roman"/>
                <w:b/>
                <w:bCs/>
                <w:kern w:val="2"/>
                <w:sz w:val="21"/>
                <w:szCs w:val="21"/>
                <w:lang w:val="en-US" w:eastAsia="zh-CN" w:bidi="ar-SA"/>
              </w:rPr>
            </w:pPr>
          </w:p>
          <w:p>
            <w:pPr>
              <w:spacing w:line="360" w:lineRule="auto"/>
              <w:ind w:firstLine="422" w:firstLineChars="200"/>
              <w:jc w:val="center"/>
              <w:rPr>
                <w:rFonts w:hint="default" w:ascii="Times New Roman" w:hAnsi="Times New Roman" w:eastAsia="新宋体" w:cs="Times New Roman"/>
                <w:b/>
                <w:bCs/>
                <w:kern w:val="2"/>
                <w:sz w:val="21"/>
                <w:szCs w:val="21"/>
                <w:lang w:val="en-US" w:eastAsia="zh-CN" w:bidi="ar-SA"/>
              </w:rPr>
            </w:pPr>
          </w:p>
          <w:p>
            <w:pPr>
              <w:spacing w:line="360" w:lineRule="auto"/>
              <w:ind w:firstLine="422" w:firstLineChars="200"/>
              <w:jc w:val="center"/>
              <w:rPr>
                <w:rFonts w:hint="default" w:ascii="Times New Roman" w:hAnsi="Times New Roman" w:eastAsia="新宋体" w:cs="Times New Roman"/>
                <w:b/>
                <w:bCs/>
                <w:kern w:val="2"/>
                <w:sz w:val="21"/>
                <w:szCs w:val="21"/>
                <w:lang w:val="en-US" w:eastAsia="zh-CN" w:bidi="ar-SA"/>
              </w:rPr>
            </w:pPr>
          </w:p>
          <w:p>
            <w:pPr>
              <w:spacing w:line="360" w:lineRule="auto"/>
              <w:ind w:firstLine="422" w:firstLineChars="200"/>
              <w:jc w:val="center"/>
              <w:rPr>
                <w:rFonts w:hint="default" w:ascii="Times New Roman" w:hAnsi="Times New Roman" w:eastAsia="新宋体" w:cs="Times New Roman"/>
                <w:b/>
                <w:bCs/>
                <w:kern w:val="2"/>
                <w:sz w:val="21"/>
                <w:szCs w:val="21"/>
                <w:lang w:val="en-US" w:eastAsia="zh-CN" w:bidi="ar-SA"/>
              </w:rPr>
            </w:pPr>
          </w:p>
          <w:p>
            <w:pPr>
              <w:spacing w:line="360" w:lineRule="auto"/>
              <w:ind w:firstLine="422" w:firstLineChars="200"/>
              <w:jc w:val="center"/>
              <w:rPr>
                <w:rFonts w:hint="default" w:ascii="Times New Roman" w:hAnsi="Times New Roman" w:eastAsia="新宋体" w:cs="Times New Roman"/>
                <w:b/>
                <w:bCs/>
                <w:kern w:val="2"/>
                <w:sz w:val="21"/>
                <w:szCs w:val="21"/>
                <w:lang w:val="en-US" w:eastAsia="zh-CN" w:bidi="ar-SA"/>
              </w:rPr>
            </w:pPr>
          </w:p>
          <w:p>
            <w:pPr>
              <w:spacing w:line="360" w:lineRule="auto"/>
              <w:ind w:firstLine="422" w:firstLineChars="200"/>
              <w:jc w:val="center"/>
              <w:rPr>
                <w:rFonts w:hint="default" w:ascii="Times New Roman" w:hAnsi="Times New Roman" w:eastAsia="新宋体" w:cs="Times New Roman"/>
                <w:b/>
                <w:bCs/>
                <w:kern w:val="2"/>
                <w:sz w:val="21"/>
                <w:szCs w:val="21"/>
                <w:lang w:val="en-US" w:eastAsia="zh-CN" w:bidi="ar-SA"/>
              </w:rPr>
            </w:pPr>
          </w:p>
          <w:p>
            <w:pPr>
              <w:spacing w:line="360" w:lineRule="auto"/>
              <w:ind w:firstLine="422" w:firstLineChars="200"/>
              <w:jc w:val="center"/>
              <w:rPr>
                <w:rFonts w:hint="default" w:ascii="Times New Roman" w:hAnsi="Times New Roman" w:eastAsia="新宋体" w:cs="Times New Roman"/>
                <w:b/>
                <w:bCs/>
                <w:kern w:val="2"/>
                <w:sz w:val="21"/>
                <w:szCs w:val="21"/>
                <w:lang w:val="en-US" w:eastAsia="zh-CN" w:bidi="ar-SA"/>
              </w:rPr>
            </w:pPr>
          </w:p>
          <w:p>
            <w:pPr>
              <w:spacing w:line="360" w:lineRule="auto"/>
              <w:ind w:firstLine="422" w:firstLineChars="200"/>
              <w:jc w:val="center"/>
              <w:rPr>
                <w:rFonts w:hint="default" w:ascii="Times New Roman" w:hAnsi="Times New Roman" w:eastAsia="新宋体" w:cs="Times New Roman"/>
                <w:b/>
                <w:bCs/>
                <w:kern w:val="2"/>
                <w:sz w:val="21"/>
                <w:szCs w:val="21"/>
                <w:lang w:val="en-US" w:eastAsia="zh-CN" w:bidi="ar-SA"/>
              </w:rPr>
            </w:pPr>
          </w:p>
          <w:p>
            <w:pPr>
              <w:spacing w:line="360" w:lineRule="auto"/>
              <w:ind w:firstLine="422" w:firstLineChars="200"/>
              <w:jc w:val="center"/>
              <w:rPr>
                <w:rFonts w:hint="default" w:ascii="Times New Roman" w:hAnsi="Times New Roman" w:eastAsia="新宋体" w:cs="Times New Roman"/>
                <w:b/>
                <w:bCs/>
                <w:kern w:val="2"/>
                <w:sz w:val="21"/>
                <w:szCs w:val="21"/>
                <w:lang w:val="en-US" w:eastAsia="zh-CN" w:bidi="ar-SA"/>
              </w:rPr>
            </w:pPr>
          </w:p>
          <w:p>
            <w:pPr>
              <w:spacing w:line="360" w:lineRule="auto"/>
              <w:ind w:firstLine="422" w:firstLineChars="200"/>
              <w:jc w:val="center"/>
              <w:rPr>
                <w:rFonts w:hint="default" w:ascii="Times New Roman" w:hAnsi="Times New Roman" w:eastAsia="新宋体" w:cs="Times New Roman"/>
                <w:b/>
                <w:bCs/>
                <w:kern w:val="2"/>
                <w:sz w:val="21"/>
                <w:szCs w:val="21"/>
                <w:lang w:val="en-US" w:eastAsia="zh-CN" w:bidi="ar-SA"/>
              </w:rPr>
            </w:pPr>
          </w:p>
          <w:p>
            <w:pPr>
              <w:spacing w:line="360" w:lineRule="auto"/>
              <w:ind w:firstLine="420" w:firstLineChars="200"/>
              <w:jc w:val="center"/>
              <w:rPr>
                <w:rFonts w:hint="eastAsia" w:ascii="Times New Roman" w:hAnsi="Times New Roman" w:eastAsia="新宋体" w:cs="Times New Roman"/>
                <w:lang w:eastAsia="zh-CN"/>
              </w:rPr>
            </w:pPr>
          </w:p>
          <w:p>
            <w:pPr>
              <w:pStyle w:val="46"/>
              <w:shd w:val="clear" w:color="auto" w:fill="FFFFFF"/>
              <w:spacing w:before="0" w:beforeAutospacing="0" w:after="0" w:afterAutospacing="0" w:line="360" w:lineRule="auto"/>
              <w:ind w:firstLine="480" w:firstLineChars="200"/>
              <w:jc w:val="center"/>
              <w:rPr>
                <w:rFonts w:hint="eastAsia" w:ascii="Times New Roman" w:hAnsi="Times New Roman" w:eastAsia="新宋体" w:cs="Times New Roman"/>
                <w:lang w:eastAsia="zh-CN"/>
              </w:rPr>
            </w:pPr>
          </w:p>
          <w:p>
            <w:pPr>
              <w:pStyle w:val="46"/>
              <w:shd w:val="clear" w:color="auto" w:fill="FFFFFF"/>
              <w:spacing w:before="0" w:beforeAutospacing="0" w:after="0" w:afterAutospacing="0" w:line="360" w:lineRule="auto"/>
              <w:ind w:firstLine="480" w:firstLineChars="200"/>
              <w:jc w:val="center"/>
              <w:rPr>
                <w:rFonts w:hint="default" w:ascii="Times New Roman" w:hAnsi="Times New Roman" w:eastAsia="新宋体" w:cs="Times New Roman"/>
                <w:b/>
                <w:bCs/>
                <w:kern w:val="2"/>
                <w:sz w:val="21"/>
                <w:szCs w:val="21"/>
                <w:lang w:val="en-US" w:eastAsia="zh-CN" w:bidi="ar-SA"/>
              </w:rPr>
            </w:pPr>
            <w:r>
              <w:drawing>
                <wp:anchor distT="0" distB="0" distL="114300" distR="114300" simplePos="0" relativeHeight="251668480" behindDoc="0" locked="0" layoutInCell="1" allowOverlap="1">
                  <wp:simplePos x="0" y="0"/>
                  <wp:positionH relativeFrom="column">
                    <wp:posOffset>-78105</wp:posOffset>
                  </wp:positionH>
                  <wp:positionV relativeFrom="paragraph">
                    <wp:posOffset>165735</wp:posOffset>
                  </wp:positionV>
                  <wp:extent cx="5543550" cy="6886575"/>
                  <wp:effectExtent l="0" t="0" r="0" b="9525"/>
                  <wp:wrapSquare wrapText="bothSides"/>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6"/>
                          <a:stretch>
                            <a:fillRect/>
                          </a:stretch>
                        </pic:blipFill>
                        <pic:spPr>
                          <a:xfrm>
                            <a:off x="0" y="0"/>
                            <a:ext cx="5543550" cy="6886575"/>
                          </a:xfrm>
                          <a:prstGeom prst="rect">
                            <a:avLst/>
                          </a:prstGeom>
                          <a:noFill/>
                          <a:ln>
                            <a:noFill/>
                          </a:ln>
                        </pic:spPr>
                      </pic:pic>
                    </a:graphicData>
                  </a:graphic>
                </wp:anchor>
              </w:drawing>
            </w:r>
            <w:r>
              <w:rPr>
                <w:rFonts w:hint="eastAsia" w:ascii="Times New Roman" w:hAnsi="Times New Roman" w:eastAsia="宋体" w:cs="Times New Roman"/>
                <w:b/>
                <w:bCs/>
                <w:color w:val="000000"/>
                <w:kern w:val="2"/>
                <w:sz w:val="21"/>
                <w:szCs w:val="21"/>
                <w:lang w:val="en-US" w:eastAsia="zh-CN" w:bidi="ar-SA"/>
              </w:rPr>
              <w:t>图2-</w:t>
            </w:r>
            <w:r>
              <w:rPr>
                <w:rFonts w:hint="eastAsia" w:ascii="Times New Roman" w:hAnsi="Times New Roman" w:cs="Times New Roman"/>
                <w:b/>
                <w:bCs/>
                <w:color w:val="000000"/>
                <w:kern w:val="2"/>
                <w:sz w:val="21"/>
                <w:szCs w:val="21"/>
                <w:lang w:val="en-US" w:eastAsia="zh-CN" w:bidi="ar-SA"/>
              </w:rPr>
              <w:t>5</w:t>
            </w:r>
            <w:r>
              <w:rPr>
                <w:rFonts w:hint="eastAsia" w:ascii="Times New Roman" w:hAnsi="Times New Roman" w:eastAsia="宋体" w:cs="Times New Roman"/>
                <w:b/>
                <w:bCs/>
                <w:color w:val="000000"/>
                <w:kern w:val="2"/>
                <w:sz w:val="21"/>
                <w:szCs w:val="21"/>
                <w:lang w:val="en-US" w:eastAsia="zh-CN" w:bidi="ar-SA"/>
              </w:rPr>
              <w:t xml:space="preserve"> </w:t>
            </w:r>
            <w:r>
              <w:rPr>
                <w:rFonts w:hint="eastAsia" w:ascii="Times New Roman" w:hAnsi="Times New Roman" w:eastAsia="新宋体" w:cs="Times New Roman"/>
                <w:b/>
                <w:bCs/>
                <w:kern w:val="2"/>
                <w:sz w:val="21"/>
                <w:szCs w:val="21"/>
                <w:lang w:val="en-US" w:eastAsia="zh-CN" w:bidi="ar-SA"/>
              </w:rPr>
              <w:t>腐竹生产</w:t>
            </w:r>
            <w:r>
              <w:rPr>
                <w:rFonts w:hint="default" w:ascii="Times New Roman" w:hAnsi="Times New Roman" w:eastAsia="新宋体" w:cs="Times New Roman"/>
                <w:b/>
                <w:bCs/>
                <w:kern w:val="2"/>
                <w:sz w:val="21"/>
                <w:szCs w:val="21"/>
                <w:lang w:val="en-US" w:eastAsia="zh-CN" w:bidi="ar-SA"/>
              </w:rPr>
              <w:t>工艺流程及产污节点图</w:t>
            </w:r>
          </w:p>
          <w:p>
            <w:pPr>
              <w:pStyle w:val="46"/>
              <w:shd w:val="clear" w:color="auto" w:fill="FFFFFF"/>
              <w:spacing w:before="0" w:beforeAutospacing="0" w:after="0" w:afterAutospacing="0" w:line="360" w:lineRule="auto"/>
              <w:ind w:firstLine="480" w:firstLineChars="200"/>
              <w:rPr>
                <w:rFonts w:hint="default" w:ascii="Times New Roman" w:hAnsi="Times New Roman" w:eastAsia="新宋体" w:cs="Times New Roman"/>
                <w:color w:val="000000" w:themeColor="text1"/>
                <w:lang w:val="en-US" w:eastAsia="zh-CN"/>
                <w14:textFill>
                  <w14:solidFill>
                    <w14:schemeClr w14:val="tx1"/>
                  </w14:solidFill>
                </w14:textFill>
              </w:rPr>
            </w:pPr>
            <w:r>
              <w:rPr>
                <w:rFonts w:hint="eastAsia" w:ascii="Times New Roman" w:hAnsi="Times New Roman" w:eastAsia="新宋体" w:cs="Times New Roman"/>
                <w:color w:val="000000" w:themeColor="text1"/>
                <w:lang w:val="en-US" w:eastAsia="zh-CN"/>
                <w14:textFill>
                  <w14:solidFill>
                    <w14:schemeClr w14:val="tx1"/>
                  </w14:solidFill>
                </w14:textFill>
              </w:rPr>
              <w:t>工艺说明：</w:t>
            </w:r>
          </w:p>
          <w:p>
            <w:pPr>
              <w:pStyle w:val="46"/>
              <w:shd w:val="clear" w:color="auto" w:fill="FFFFFF"/>
              <w:spacing w:before="0" w:beforeAutospacing="0" w:after="0" w:afterAutospacing="0" w:line="360" w:lineRule="auto"/>
              <w:ind w:firstLine="480" w:firstLineChars="200"/>
              <w:rPr>
                <w:rFonts w:hint="default" w:ascii="Times New Roman" w:hAnsi="Times New Roman" w:eastAsia="新宋体" w:cs="Times New Roman"/>
                <w:color w:val="000000" w:themeColor="text1"/>
                <w14:textFill>
                  <w14:solidFill>
                    <w14:schemeClr w14:val="tx1"/>
                  </w14:solidFill>
                </w14:textFill>
              </w:rPr>
            </w:pPr>
            <w:r>
              <w:rPr>
                <w:rFonts w:hint="eastAsia" w:ascii="Times New Roman" w:hAnsi="Times New Roman" w:eastAsia="新宋体" w:cs="Times New Roman"/>
                <w:color w:val="000000" w:themeColor="text1"/>
                <w:lang w:eastAsia="zh-CN"/>
                <w14:textFill>
                  <w14:solidFill>
                    <w14:schemeClr w14:val="tx1"/>
                  </w14:solidFill>
                </w14:textFill>
              </w:rPr>
              <w:t>（</w:t>
            </w:r>
            <w:r>
              <w:rPr>
                <w:rFonts w:hint="eastAsia" w:ascii="Times New Roman" w:hAnsi="Times New Roman" w:eastAsia="新宋体" w:cs="Times New Roman"/>
                <w:color w:val="000000" w:themeColor="text1"/>
                <w:lang w:val="en-US" w:eastAsia="zh-CN"/>
                <w14:textFill>
                  <w14:solidFill>
                    <w14:schemeClr w14:val="tx1"/>
                  </w14:solidFill>
                </w14:textFill>
              </w:rPr>
              <w:t>1</w:t>
            </w:r>
            <w:r>
              <w:rPr>
                <w:rFonts w:hint="eastAsia" w:ascii="Times New Roman" w:hAnsi="Times New Roman" w:eastAsia="新宋体" w:cs="Times New Roman"/>
                <w:color w:val="000000" w:themeColor="text1"/>
                <w:lang w:eastAsia="zh-CN"/>
                <w14:textFill>
                  <w14:solidFill>
                    <w14:schemeClr w14:val="tx1"/>
                  </w14:solidFill>
                </w14:textFill>
              </w:rPr>
              <w:t>）</w:t>
            </w:r>
            <w:r>
              <w:rPr>
                <w:rFonts w:hint="default" w:ascii="Times New Roman" w:hAnsi="Times New Roman" w:eastAsia="新宋体" w:cs="Times New Roman"/>
                <w:color w:val="000000" w:themeColor="text1"/>
                <w14:textFill>
                  <w14:solidFill>
                    <w14:schemeClr w14:val="tx1"/>
                  </w14:solidFill>
                </w14:textFill>
              </w:rPr>
              <w:t>锅炉运行简介：</w:t>
            </w:r>
          </w:p>
          <w:p>
            <w:pPr>
              <w:pStyle w:val="46"/>
              <w:shd w:val="clear" w:color="auto" w:fill="FFFFFF"/>
              <w:spacing w:before="0" w:beforeAutospacing="0" w:after="0" w:afterAutospacing="0" w:line="360" w:lineRule="auto"/>
              <w:rPr>
                <w:rFonts w:hint="default" w:ascii="Times New Roman" w:hAnsi="Times New Roman" w:eastAsia="新宋体" w:cs="Times New Roman"/>
                <w:color w:val="000000" w:themeColor="text1"/>
                <w:u w:val="none"/>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 xml:space="preserve">    生物质成型燃料由炉前给料系统送入燃烧室。燃烧产生的高温烟气经过三个回程的火管，加热锅筒内的热水，产生蒸汽，蒸汽压力为0.6-135MPa，温度为155-187℃的蒸汽直接进入储气罐储存并进入分气缸，再由分气缸通过蒸汽管道分别送至各使用蒸汽的地方。经省煤器、空预器最终换热的烟</w:t>
            </w:r>
            <w:r>
              <w:rPr>
                <w:rFonts w:hint="default" w:ascii="Times New Roman" w:hAnsi="Times New Roman" w:eastAsia="新宋体" w:cs="Times New Roman"/>
                <w:color w:val="000000" w:themeColor="text1"/>
                <w:u w:val="none"/>
                <w14:textFill>
                  <w14:solidFill>
                    <w14:schemeClr w14:val="tx1"/>
                  </w14:solidFill>
                </w14:textFill>
              </w:rPr>
              <w:t>气进入</w:t>
            </w:r>
            <w:r>
              <w:rPr>
                <w:rFonts w:hint="eastAsia"/>
                <w:color w:val="000000" w:themeColor="text1"/>
                <w:u w:val="none"/>
                <w14:textFill>
                  <w14:solidFill>
                    <w14:schemeClr w14:val="tx1"/>
                  </w14:solidFill>
                </w14:textFill>
              </w:rPr>
              <w:t>碱液喷淋除尘脱硫</w:t>
            </w:r>
            <w:r>
              <w:rPr>
                <w:rFonts w:hint="eastAsia"/>
                <w:color w:val="000000" w:themeColor="text1"/>
                <w:u w:val="none"/>
                <w:lang w:val="en-US" w:eastAsia="zh-CN"/>
                <w14:textFill>
                  <w14:solidFill>
                    <w14:schemeClr w14:val="tx1"/>
                  </w14:solidFill>
                </w14:textFill>
              </w:rPr>
              <w:t>设施进行处理</w:t>
            </w:r>
            <w:r>
              <w:rPr>
                <w:rFonts w:hint="default" w:ascii="Times New Roman" w:hAnsi="Times New Roman" w:eastAsia="新宋体" w:cs="Times New Roman"/>
                <w:color w:val="000000" w:themeColor="text1"/>
                <w:u w:val="none"/>
                <w14:textFill>
                  <w14:solidFill>
                    <w14:schemeClr w14:val="tx1"/>
                  </w14:solidFill>
                </w14:textFill>
              </w:rPr>
              <w:t>，</w:t>
            </w:r>
            <w:r>
              <w:rPr>
                <w:rFonts w:hint="eastAsia" w:ascii="Times New Roman" w:hAnsi="Times New Roman" w:eastAsia="新宋体" w:cs="Times New Roman"/>
                <w:color w:val="000000" w:themeColor="text1"/>
                <w:u w:val="none"/>
                <w:lang w:val="en-US" w:eastAsia="zh-CN"/>
                <w14:textFill>
                  <w14:solidFill>
                    <w14:schemeClr w14:val="tx1"/>
                  </w14:solidFill>
                </w14:textFill>
              </w:rPr>
              <w:t>处理后由40m烟囱</w:t>
            </w:r>
            <w:r>
              <w:rPr>
                <w:rFonts w:hint="default" w:ascii="Times New Roman" w:hAnsi="Times New Roman" w:eastAsia="新宋体" w:cs="Times New Roman"/>
                <w:color w:val="000000" w:themeColor="text1"/>
                <w:u w:val="none"/>
                <w14:textFill>
                  <w14:solidFill>
                    <w14:schemeClr w14:val="tx1"/>
                  </w14:solidFill>
                </w14:textFill>
              </w:rPr>
              <w:t>排放。该过程产生</w:t>
            </w:r>
            <w:r>
              <w:rPr>
                <w:rFonts w:hint="eastAsia" w:ascii="Times New Roman" w:hAnsi="Times New Roman" w:eastAsia="新宋体" w:cs="Times New Roman"/>
                <w:color w:val="000000" w:themeColor="text1"/>
                <w:u w:val="none"/>
                <w:lang w:val="en-US" w:eastAsia="zh-CN"/>
                <w14:textFill>
                  <w14:solidFill>
                    <w14:schemeClr w14:val="tx1"/>
                  </w14:solidFill>
                </w14:textFill>
              </w:rPr>
              <w:t>噪声、</w:t>
            </w:r>
            <w:r>
              <w:rPr>
                <w:rFonts w:hint="default" w:ascii="Times New Roman" w:hAnsi="Times New Roman" w:eastAsia="新宋体" w:cs="Times New Roman"/>
                <w:color w:val="000000" w:themeColor="text1"/>
                <w:u w:val="none"/>
                <w14:textFill>
                  <w14:solidFill>
                    <w14:schemeClr w14:val="tx1"/>
                  </w14:solidFill>
                </w14:textFill>
              </w:rPr>
              <w:t>锅炉烟气、炉渣以及锅炉</w:t>
            </w:r>
            <w:r>
              <w:rPr>
                <w:rFonts w:hint="eastAsia" w:ascii="Times New Roman" w:hAnsi="Times New Roman" w:eastAsia="新宋体" w:cs="Times New Roman"/>
                <w:color w:val="000000" w:themeColor="text1"/>
                <w:u w:val="none"/>
                <w:lang w:val="en-US" w:eastAsia="zh-CN"/>
                <w14:textFill>
                  <w14:solidFill>
                    <w14:schemeClr w14:val="tx1"/>
                  </w14:solidFill>
                </w14:textFill>
              </w:rPr>
              <w:t>废气</w:t>
            </w:r>
            <w:r>
              <w:rPr>
                <w:rFonts w:hint="default" w:ascii="Times New Roman" w:hAnsi="Times New Roman" w:eastAsia="新宋体" w:cs="Times New Roman"/>
                <w:color w:val="000000" w:themeColor="text1"/>
                <w:u w:val="none"/>
                <w14:textFill>
                  <w14:solidFill>
                    <w14:schemeClr w14:val="tx1"/>
                  </w14:solidFill>
                </w14:textFill>
              </w:rPr>
              <w:t>。</w:t>
            </w:r>
          </w:p>
          <w:p>
            <w:pPr>
              <w:pStyle w:val="46"/>
              <w:shd w:val="clear" w:color="auto" w:fill="FFFFFF"/>
              <w:spacing w:before="0" w:beforeAutospacing="0" w:after="0" w:afterAutospacing="0" w:line="360" w:lineRule="auto"/>
              <w:ind w:firstLine="480" w:firstLineChars="200"/>
              <w:rPr>
                <w:rFonts w:hint="default" w:ascii="Times New Roman" w:hAnsi="Times New Roman" w:eastAsia="新宋体" w:cs="Times New Roman"/>
                <w:u w:val="none"/>
              </w:rPr>
            </w:pPr>
            <w:r>
              <w:rPr>
                <w:rFonts w:hint="eastAsia" w:ascii="Times New Roman" w:hAnsi="Times New Roman" w:eastAsia="新宋体" w:cs="Times New Roman"/>
                <w:u w:val="none"/>
                <w:lang w:eastAsia="zh-CN"/>
              </w:rPr>
              <w:t>（</w:t>
            </w:r>
            <w:r>
              <w:rPr>
                <w:rFonts w:hint="eastAsia" w:ascii="Times New Roman" w:hAnsi="Times New Roman" w:eastAsia="新宋体" w:cs="Times New Roman"/>
                <w:u w:val="none"/>
                <w:lang w:val="en-US" w:eastAsia="zh-CN"/>
              </w:rPr>
              <w:t>2</w:t>
            </w:r>
            <w:r>
              <w:rPr>
                <w:rFonts w:hint="eastAsia" w:ascii="Times New Roman" w:hAnsi="Times New Roman" w:eastAsia="新宋体" w:cs="Times New Roman"/>
                <w:u w:val="none"/>
                <w:lang w:eastAsia="zh-CN"/>
              </w:rPr>
              <w:t>）</w:t>
            </w:r>
            <w:r>
              <w:rPr>
                <w:rFonts w:hint="default" w:ascii="Times New Roman" w:hAnsi="Times New Roman" w:eastAsia="新宋体" w:cs="Times New Roman"/>
                <w:u w:val="none"/>
              </w:rPr>
              <w:t>软水制备工艺简介：</w:t>
            </w:r>
          </w:p>
          <w:p>
            <w:pPr>
              <w:adjustRightInd w:val="0"/>
              <w:spacing w:line="360" w:lineRule="auto"/>
              <w:textAlignment w:val="baseline"/>
              <w:rPr>
                <w:rFonts w:hint="default" w:ascii="Times New Roman" w:hAnsi="Times New Roman" w:eastAsia="新宋体" w:cs="Times New Roman"/>
                <w:snapToGrid w:val="0"/>
                <w:sz w:val="24"/>
                <w:szCs w:val="24"/>
              </w:rPr>
            </w:pPr>
            <w:r>
              <w:rPr>
                <w:rFonts w:hint="default" w:ascii="Times New Roman" w:hAnsi="Times New Roman" w:eastAsia="新宋体" w:cs="Times New Roman"/>
                <w:b/>
                <w:snapToGrid w:val="0"/>
                <w:sz w:val="24"/>
                <w:szCs w:val="24"/>
                <w:u w:val="none"/>
              </w:rPr>
              <w:t xml:space="preserve">    </w:t>
            </w:r>
            <w:r>
              <w:rPr>
                <w:rFonts w:hint="default" w:ascii="Times New Roman" w:hAnsi="Times New Roman" w:eastAsia="新宋体" w:cs="Times New Roman"/>
                <w:snapToGrid w:val="0"/>
                <w:sz w:val="24"/>
                <w:szCs w:val="24"/>
                <w:u w:val="none"/>
              </w:rPr>
              <w:t>本项目全自动软水器采用Na离子软化法工艺，当含有硬度离子的原水通过交换器树脂层时，水中的钙、镁离子与树脂内的钠离子发生置换，树脂吸附了钙、镁离子而钠离子进入水中，这样从交换器内流出的水就是去掉了硬度</w:t>
            </w:r>
            <w:r>
              <w:rPr>
                <w:rFonts w:hint="default" w:ascii="Times New Roman" w:hAnsi="Times New Roman" w:eastAsia="新宋体" w:cs="Times New Roman"/>
                <w:snapToGrid w:val="0"/>
                <w:sz w:val="24"/>
                <w:szCs w:val="24"/>
              </w:rPr>
              <w:t>离子的软化水。随着交换过程的不断进行，树脂中Na</w:t>
            </w:r>
            <w:r>
              <w:rPr>
                <w:rFonts w:hint="default" w:ascii="Times New Roman" w:hAnsi="Times New Roman" w:eastAsia="新宋体" w:cs="Times New Roman"/>
                <w:snapToGrid w:val="0"/>
                <w:sz w:val="24"/>
                <w:szCs w:val="24"/>
                <w:vertAlign w:val="superscript"/>
              </w:rPr>
              <w:t>+</w:t>
            </w:r>
            <w:r>
              <w:rPr>
                <w:rFonts w:hint="default" w:ascii="Times New Roman" w:hAnsi="Times New Roman" w:eastAsia="新宋体" w:cs="Times New Roman"/>
                <w:snapToGrid w:val="0"/>
                <w:sz w:val="24"/>
                <w:szCs w:val="24"/>
              </w:rPr>
              <w:t>全部被置出来后就失去了交换功能，此时必须使用Nacl溶液对树脂层冲洗进行再生，将树脂吸附的Ca</w:t>
            </w:r>
            <w:r>
              <w:rPr>
                <w:rFonts w:hint="default" w:ascii="Times New Roman" w:hAnsi="Times New Roman" w:eastAsia="新宋体" w:cs="Times New Roman"/>
                <w:snapToGrid w:val="0"/>
                <w:sz w:val="24"/>
                <w:szCs w:val="24"/>
                <w:vertAlign w:val="superscript"/>
              </w:rPr>
              <w:t>2+</w:t>
            </w:r>
            <w:r>
              <w:rPr>
                <w:rFonts w:hint="default" w:ascii="Times New Roman" w:hAnsi="Times New Roman" w:eastAsia="新宋体" w:cs="Times New Roman"/>
                <w:snapToGrid w:val="0"/>
                <w:sz w:val="24"/>
                <w:szCs w:val="24"/>
              </w:rPr>
              <w:t>、Mg</w:t>
            </w:r>
            <w:r>
              <w:rPr>
                <w:rFonts w:hint="default" w:ascii="Times New Roman" w:hAnsi="Times New Roman" w:eastAsia="新宋体" w:cs="Times New Roman"/>
                <w:strike w:val="0"/>
                <w:dstrike w:val="0"/>
                <w:snapToGrid w:val="0"/>
                <w:sz w:val="24"/>
                <w:szCs w:val="24"/>
                <w:vertAlign w:val="superscript"/>
              </w:rPr>
              <w:t>2+</w:t>
            </w:r>
            <w:r>
              <w:rPr>
                <w:rFonts w:hint="default" w:ascii="Times New Roman" w:hAnsi="Times New Roman" w:eastAsia="新宋体" w:cs="Times New Roman"/>
                <w:snapToGrid w:val="0"/>
                <w:sz w:val="24"/>
                <w:szCs w:val="24"/>
              </w:rPr>
              <w:t>置换下来，树脂重新吸附了钠离子，恢复了软化交换能力，树脂更换周期约1年/次。该过程产生软水设备反冲洗水以及废树脂。</w:t>
            </w:r>
          </w:p>
          <w:p>
            <w:pPr>
              <w:adjustRightIn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GB" w:eastAsia="zh-CN"/>
              </w:rPr>
              <w:t>（</w:t>
            </w:r>
            <w:r>
              <w:rPr>
                <w:rFonts w:hint="eastAsia" w:ascii="Times New Roman" w:hAnsi="Times New Roman" w:eastAsia="新宋体" w:cs="Times New Roman"/>
                <w:snapToGrid w:val="0"/>
                <w:sz w:val="24"/>
                <w:szCs w:val="24"/>
                <w:lang w:val="en-US" w:eastAsia="zh-CN"/>
              </w:rPr>
              <w:t>3</w:t>
            </w:r>
            <w:r>
              <w:rPr>
                <w:rFonts w:hint="eastAsia" w:ascii="Times New Roman" w:hAnsi="Times New Roman" w:eastAsia="新宋体" w:cs="Times New Roman"/>
                <w:snapToGrid w:val="0"/>
                <w:sz w:val="24"/>
                <w:szCs w:val="24"/>
                <w:lang w:val="en-GB" w:eastAsia="zh-CN"/>
              </w:rPr>
              <w:t>）</w:t>
            </w:r>
            <w:r>
              <w:rPr>
                <w:rFonts w:hint="eastAsia" w:ascii="Times New Roman" w:hAnsi="Times New Roman" w:eastAsia="新宋体" w:cs="Times New Roman"/>
                <w:snapToGrid w:val="0"/>
                <w:sz w:val="24"/>
                <w:szCs w:val="24"/>
                <w:lang w:val="en-US" w:eastAsia="zh-CN"/>
              </w:rPr>
              <w:t>豆皮工艺流程简介</w:t>
            </w:r>
          </w:p>
          <w:p>
            <w:pPr>
              <w:adjustRightIn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US" w:eastAsia="zh-CN"/>
              </w:rPr>
              <w:t>混合搅拌：按业主提供的配方比例加入食盐%、水15%于豆粕粉（900吨）进行混合搅拌，直至以抓手为团、松手为散时为宜，搅拌机每天工作后需清洗1次，该过程产生少量投料粉尘、清洗废水和设备噪声。</w:t>
            </w:r>
          </w:p>
          <w:p>
            <w:pPr>
              <w:adjustRightIn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US" w:eastAsia="zh-CN"/>
              </w:rPr>
              <w:t>膨化成型：将混合好的物料送入豆皮膨化机，在加压、加热（电加热）80℃条件下是原料从喷口出挤出。该过程产生少量水蒸气、豆皮生产气味和设备噪声。</w:t>
            </w:r>
          </w:p>
          <w:p>
            <w:pPr>
              <w:adjustRightIn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US" w:eastAsia="zh-CN"/>
              </w:rPr>
              <w:t>整切：然后根据需要适当切断。该过程产生设备噪声。</w:t>
            </w:r>
          </w:p>
          <w:p>
            <w:pPr>
              <w:adjustRightIn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US" w:eastAsia="zh-CN"/>
              </w:rPr>
              <w:t>烘干：将切断的豆皮放入烘干房内（</w:t>
            </w:r>
            <w:r>
              <w:rPr>
                <w:rFonts w:hint="default" w:ascii="Times New Roman" w:hAnsi="Times New Roman" w:eastAsia="宋体" w:cs="Times New Roman"/>
                <w:snapToGrid w:val="0"/>
                <w:sz w:val="24"/>
                <w:szCs w:val="24"/>
                <w:lang w:val="en-US" w:eastAsia="zh-CN"/>
              </w:rPr>
              <w:t>烘干温度为170℃），</w:t>
            </w:r>
            <w:r>
              <w:rPr>
                <w:rFonts w:hint="eastAsia" w:ascii="Times New Roman" w:hAnsi="Times New Roman" w:eastAsia="新宋体" w:cs="Times New Roman"/>
                <w:snapToGrid w:val="0"/>
                <w:sz w:val="24"/>
                <w:szCs w:val="24"/>
                <w:lang w:val="en-US" w:eastAsia="zh-CN"/>
              </w:rPr>
              <w:t>烘干房内烘干机加装蒸汽散热器，以蒸汽为换热介质，对流把热量传递到基管内壁，内壁再通过热传导把热量传递到散热器的外壁和翅片，外壁和翅片最后再以强制对流和辐射的方式加热周围的空气，以达到烘干物料效果。此过程产生设备噪声、水蒸汽、豆皮生产气味。</w:t>
            </w:r>
          </w:p>
          <w:p>
            <w:pPr>
              <w:adjustRightInd w:val="0"/>
              <w:spacing w:line="360" w:lineRule="auto"/>
              <w:ind w:firstLine="480" w:firstLineChars="200"/>
              <w:textAlignment w:val="baseline"/>
              <w:rPr>
                <w:rFonts w:hint="eastAsia"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US" w:eastAsia="zh-CN"/>
              </w:rPr>
              <w:t>包装入库：</w:t>
            </w:r>
            <w:r>
              <w:rPr>
                <w:rFonts w:hint="default" w:ascii="Times New Roman" w:hAnsi="Times New Roman" w:eastAsia="新宋体" w:cs="Times New Roman"/>
                <w:snapToGrid w:val="0"/>
                <w:sz w:val="24"/>
                <w:szCs w:val="24"/>
                <w:lang w:val="en-US" w:eastAsia="zh-CN"/>
              </w:rPr>
              <w:t>经包装后即可入库待售</w:t>
            </w:r>
            <w:r>
              <w:rPr>
                <w:rFonts w:hint="eastAsia" w:ascii="Times New Roman" w:hAnsi="Times New Roman" w:eastAsia="新宋体" w:cs="Times New Roman"/>
                <w:snapToGrid w:val="0"/>
                <w:sz w:val="24"/>
                <w:szCs w:val="24"/>
                <w:lang w:val="en-US" w:eastAsia="zh-CN"/>
              </w:rPr>
              <w:t>。此过程产生废包装材料。</w:t>
            </w:r>
          </w:p>
          <w:p>
            <w:pPr>
              <w:adjustRightInd w:val="0"/>
              <w:spacing w:line="360" w:lineRule="auto"/>
              <w:ind w:firstLine="480" w:firstLineChars="200"/>
              <w:textAlignment w:val="baseline"/>
              <w:rPr>
                <w:rFonts w:hint="eastAsia"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GB" w:eastAsia="zh-CN"/>
              </w:rPr>
              <w:t>（</w:t>
            </w:r>
            <w:r>
              <w:rPr>
                <w:rFonts w:hint="eastAsia" w:ascii="Times New Roman" w:hAnsi="Times New Roman" w:eastAsia="新宋体" w:cs="Times New Roman"/>
                <w:snapToGrid w:val="0"/>
                <w:sz w:val="24"/>
                <w:szCs w:val="24"/>
                <w:lang w:val="en-US" w:eastAsia="zh-CN"/>
              </w:rPr>
              <w:t>3</w:t>
            </w:r>
            <w:r>
              <w:rPr>
                <w:rFonts w:hint="eastAsia" w:ascii="Times New Roman" w:hAnsi="Times New Roman" w:eastAsia="新宋体" w:cs="Times New Roman"/>
                <w:snapToGrid w:val="0"/>
                <w:sz w:val="24"/>
                <w:szCs w:val="24"/>
                <w:lang w:val="en-GB" w:eastAsia="zh-CN"/>
              </w:rPr>
              <w:t>）</w:t>
            </w:r>
            <w:r>
              <w:rPr>
                <w:rFonts w:hint="eastAsia" w:ascii="Times New Roman" w:hAnsi="Times New Roman" w:eastAsia="新宋体" w:cs="Times New Roman"/>
                <w:snapToGrid w:val="0"/>
                <w:sz w:val="24"/>
                <w:szCs w:val="24"/>
                <w:lang w:val="en-US" w:eastAsia="zh-CN"/>
              </w:rPr>
              <w:t>腐竹工艺流程简介</w:t>
            </w:r>
          </w:p>
          <w:p>
            <w:pPr>
              <w:adjustRightInd w:val="0"/>
              <w:spacing w:line="360" w:lineRule="auto"/>
              <w:ind w:firstLine="480" w:firstLineChars="200"/>
              <w:textAlignment w:val="baseline"/>
              <w:rPr>
                <w:rFonts w:hint="eastAsia" w:ascii="Times New Roman" w:hAnsi="Times New Roman" w:eastAsia="新宋体" w:cs="Times New Roman"/>
                <w:snapToGrid w:val="0"/>
                <w:sz w:val="24"/>
                <w:szCs w:val="24"/>
                <w:lang w:val="en-GB"/>
              </w:rPr>
            </w:pPr>
            <w:r>
              <w:rPr>
                <w:rFonts w:hint="eastAsia" w:ascii="Times New Roman" w:hAnsi="Times New Roman" w:eastAsia="新宋体" w:cs="Times New Roman"/>
                <w:snapToGrid w:val="0"/>
                <w:sz w:val="24"/>
                <w:szCs w:val="24"/>
                <w:lang w:val="en-US" w:eastAsia="zh-CN"/>
              </w:rPr>
              <w:t>原料检验：</w:t>
            </w:r>
            <w:r>
              <w:rPr>
                <w:rFonts w:hint="eastAsia" w:ascii="Times New Roman" w:hAnsi="Times New Roman" w:eastAsia="新宋体" w:cs="Times New Roman"/>
                <w:snapToGrid w:val="0"/>
                <w:sz w:val="24"/>
                <w:szCs w:val="24"/>
                <w:lang w:val="en-GB"/>
              </w:rPr>
              <w:t>对外购大豆进行挑选，人工去除其中的杂物和有问题的大豆。</w:t>
            </w:r>
          </w:p>
          <w:p>
            <w:pPr>
              <w:adjustRightInd w:val="0"/>
              <w:spacing w:line="360" w:lineRule="auto"/>
              <w:ind w:firstLine="480" w:firstLineChars="200"/>
              <w:textAlignment w:val="baseline"/>
              <w:rPr>
                <w:rFonts w:hint="eastAsia"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US" w:eastAsia="zh-CN"/>
              </w:rPr>
              <w:t>烘豆：</w:t>
            </w:r>
            <w:r>
              <w:rPr>
                <w:rFonts w:hint="eastAsia" w:ascii="Times New Roman" w:hAnsi="Times New Roman" w:eastAsia="新宋体" w:cs="Times New Roman"/>
                <w:snapToGrid w:val="0"/>
                <w:sz w:val="24"/>
                <w:szCs w:val="24"/>
                <w:lang w:val="en-GB" w:eastAsia="zh-CN"/>
              </w:rPr>
              <w:t>除杂后的大豆，送入</w:t>
            </w:r>
            <w:r>
              <w:rPr>
                <w:rFonts w:hint="eastAsia" w:ascii="Times New Roman" w:hAnsi="Times New Roman" w:eastAsia="新宋体" w:cs="Times New Roman"/>
                <w:snapToGrid w:val="0"/>
                <w:sz w:val="24"/>
                <w:szCs w:val="24"/>
                <w:lang w:val="en-US" w:eastAsia="zh-CN"/>
              </w:rPr>
              <w:t>滚筒式炒锅</w:t>
            </w:r>
            <w:r>
              <w:rPr>
                <w:rFonts w:hint="eastAsia" w:ascii="Times New Roman" w:hAnsi="Times New Roman" w:eastAsia="新宋体" w:cs="Times New Roman"/>
                <w:snapToGrid w:val="0"/>
                <w:sz w:val="24"/>
                <w:szCs w:val="24"/>
                <w:lang w:val="en-GB" w:eastAsia="zh-CN"/>
              </w:rPr>
              <w:t>中进行烘干，除去大豆中多余水分，</w:t>
            </w:r>
            <w:r>
              <w:rPr>
                <w:rFonts w:hint="eastAsia" w:ascii="Times New Roman" w:hAnsi="Times New Roman" w:eastAsia="新宋体" w:cs="Times New Roman"/>
                <w:snapToGrid w:val="0"/>
                <w:sz w:val="24"/>
                <w:szCs w:val="24"/>
                <w:lang w:val="en-US" w:eastAsia="zh-CN"/>
              </w:rPr>
              <w:t>并且有利于下一步黄豆与豆皮分离。此过程产生燃料燃烧废气、设备噪声和水蒸气。</w:t>
            </w:r>
          </w:p>
          <w:p>
            <w:pPr>
              <w:adjustRightIn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GB" w:eastAsia="zh-CN"/>
              </w:rPr>
              <w:t>项目烘干方式</w:t>
            </w:r>
            <w:r>
              <w:rPr>
                <w:rFonts w:hint="eastAsia" w:ascii="Times New Roman" w:hAnsi="Times New Roman" w:eastAsia="新宋体" w:cs="Times New Roman"/>
                <w:snapToGrid w:val="0"/>
                <w:sz w:val="24"/>
                <w:szCs w:val="24"/>
                <w:lang w:val="en-US" w:eastAsia="zh-CN"/>
              </w:rPr>
              <w:t>为利用木材燃烧，产生高温气流，高温气流与原料一同进入干燥筒体，在高速热气流输送中，将原料中的水分蒸发，原料由干燥筒体尾部的出料口出料，得到干燥原料；而水分以及烘干产生的废气进入旋风分离器，干燥筒体出料口连接旋风除尘器和布袋除尘器</w:t>
            </w:r>
            <w:r>
              <w:rPr>
                <w:rFonts w:hint="eastAsia" w:ascii="Times New Roman" w:hAnsi="Times New Roman" w:eastAsia="新宋体" w:cs="Times New Roman"/>
                <w:snapToGrid w:val="0"/>
                <w:sz w:val="24"/>
                <w:szCs w:val="24"/>
                <w:lang w:val="en-GB" w:eastAsia="zh-CN"/>
              </w:rPr>
              <w:t>。</w:t>
            </w:r>
            <w:r>
              <w:rPr>
                <w:rFonts w:hint="eastAsia" w:ascii="Times New Roman" w:hAnsi="Times New Roman" w:eastAsia="新宋体" w:cs="Times New Roman"/>
                <w:snapToGrid w:val="0"/>
                <w:sz w:val="24"/>
                <w:szCs w:val="24"/>
                <w:lang w:val="en-US" w:eastAsia="zh-CN"/>
              </w:rPr>
              <w:t>旋风分离器主要用于除去</w:t>
            </w:r>
            <w:r>
              <w:rPr>
                <w:rFonts w:hint="default" w:ascii="Times New Roman" w:hAnsi="Times New Roman" w:eastAsia="新宋体" w:cs="Times New Roman"/>
                <w:snapToGrid w:val="0"/>
                <w:sz w:val="24"/>
                <w:szCs w:val="24"/>
                <w:lang w:val="en-US" w:eastAsia="zh-CN"/>
              </w:rPr>
              <w:t>气体中粉尘，旋风分离器粉尘去除效率≥80%</w:t>
            </w:r>
            <w:r>
              <w:rPr>
                <w:rFonts w:hint="eastAsia" w:ascii="Times New Roman" w:hAnsi="Times New Roman" w:eastAsia="新宋体" w:cs="Times New Roman"/>
                <w:snapToGrid w:val="0"/>
                <w:sz w:val="24"/>
                <w:szCs w:val="24"/>
                <w:lang w:val="en-US" w:eastAsia="zh-CN"/>
              </w:rPr>
              <w:t>，</w:t>
            </w:r>
            <w:r>
              <w:rPr>
                <w:rFonts w:hint="eastAsia"/>
                <w:bCs/>
                <w:snapToGrid w:val="0"/>
                <w:kern w:val="0"/>
                <w:sz w:val="24"/>
              </w:rPr>
              <w:t>布袋除</w:t>
            </w:r>
            <w:r>
              <w:rPr>
                <w:rFonts w:hint="default" w:ascii="Times New Roman" w:hAnsi="Times New Roman" w:cs="Times New Roman"/>
                <w:bCs/>
                <w:snapToGrid w:val="0"/>
                <w:kern w:val="0"/>
                <w:sz w:val="24"/>
              </w:rPr>
              <w:t>尘器除尘效率为99%，则项目双筒旋风除尘器+布袋除尘器</w:t>
            </w:r>
            <w:r>
              <w:rPr>
                <w:rFonts w:hint="default" w:ascii="Times New Roman" w:hAnsi="Times New Roman" w:cs="Times New Roman"/>
                <w:sz w:val="24"/>
              </w:rPr>
              <w:t>对颗粒物的处理效率</w:t>
            </w:r>
            <w:r>
              <w:rPr>
                <w:rFonts w:hint="default" w:ascii="Times New Roman" w:hAnsi="Times New Roman" w:cs="Times New Roman"/>
                <w:bCs/>
                <w:snapToGrid w:val="0"/>
                <w:kern w:val="0"/>
                <w:sz w:val="24"/>
              </w:rPr>
              <w:t>为99.8%，</w:t>
            </w:r>
            <w:r>
              <w:rPr>
                <w:rFonts w:hint="default" w:ascii="Times New Roman" w:hAnsi="Times New Roman" w:cs="Times New Roman"/>
                <w:sz w:val="24"/>
              </w:rPr>
              <w:t>对</w:t>
            </w:r>
            <w:r>
              <w:rPr>
                <w:rFonts w:hint="default" w:ascii="Times New Roman" w:hAnsi="Times New Roman" w:cs="Times New Roman"/>
                <w:sz w:val="24"/>
                <w:shd w:val="clear" w:color="auto" w:fill="FFFFFF"/>
              </w:rPr>
              <w:t>NO</w:t>
            </w:r>
            <w:r>
              <w:rPr>
                <w:rFonts w:hint="default" w:ascii="Times New Roman" w:hAnsi="Times New Roman" w:cs="Times New Roman"/>
                <w:sz w:val="24"/>
                <w:shd w:val="clear" w:color="auto" w:fill="FFFFFF"/>
                <w:vertAlign w:val="subscript"/>
              </w:rPr>
              <w:t>x</w:t>
            </w:r>
            <w:r>
              <w:rPr>
                <w:rFonts w:hint="default" w:ascii="Times New Roman" w:hAnsi="Times New Roman" w:cs="Times New Roman"/>
                <w:sz w:val="24"/>
                <w:shd w:val="clear" w:color="auto" w:fill="FFFFFF"/>
              </w:rPr>
              <w:t>、SO</w:t>
            </w:r>
            <w:r>
              <w:rPr>
                <w:rFonts w:hint="default" w:ascii="Times New Roman" w:hAnsi="Times New Roman" w:cs="Times New Roman"/>
                <w:sz w:val="24"/>
                <w:shd w:val="clear" w:color="auto" w:fill="FFFFFF"/>
                <w:vertAlign w:val="subscript"/>
              </w:rPr>
              <w:t>2</w:t>
            </w:r>
            <w:r>
              <w:rPr>
                <w:rFonts w:hint="default" w:ascii="Times New Roman" w:hAnsi="Times New Roman" w:cs="Times New Roman"/>
                <w:sz w:val="24"/>
                <w:shd w:val="clear" w:color="auto" w:fill="FFFFFF"/>
              </w:rPr>
              <w:t>无处理效果，</w:t>
            </w:r>
            <w:r>
              <w:rPr>
                <w:rFonts w:hint="default" w:ascii="Times New Roman" w:hAnsi="Times New Roman" w:eastAsia="新宋体" w:cs="Times New Roman"/>
                <w:snapToGrid w:val="0"/>
                <w:sz w:val="24"/>
                <w:szCs w:val="24"/>
                <w:lang w:val="en-US" w:eastAsia="zh-CN"/>
              </w:rPr>
              <w:t>尾气经处理后由引风机引至15m排气筒排放。</w:t>
            </w:r>
          </w:p>
          <w:p>
            <w:pPr>
              <w:adjustRightInd w:val="0"/>
              <w:spacing w:line="360" w:lineRule="auto"/>
              <w:ind w:firstLine="480" w:firstLineChars="200"/>
              <w:textAlignment w:val="baseline"/>
              <w:rPr>
                <w:rFonts w:hint="default" w:ascii="Times New Roman" w:hAnsi="Times New Roman" w:eastAsia="新宋体" w:cs="Times New Roman"/>
                <w:snapToGrid w:val="0"/>
                <w:sz w:val="24"/>
                <w:szCs w:val="24"/>
              </w:rPr>
            </w:pPr>
            <w:r>
              <w:rPr>
                <w:rFonts w:hint="eastAsia" w:ascii="Times New Roman" w:hAnsi="Times New Roman" w:eastAsia="新宋体" w:cs="Times New Roman"/>
                <w:snapToGrid w:val="0"/>
                <w:sz w:val="24"/>
                <w:szCs w:val="24"/>
                <w:lang w:val="en-US" w:eastAsia="zh-CN"/>
              </w:rPr>
              <w:t>脱皮：</w:t>
            </w:r>
            <w:r>
              <w:rPr>
                <w:rFonts w:hint="default" w:ascii="Times New Roman" w:hAnsi="Times New Roman" w:eastAsia="新宋体" w:cs="Times New Roman"/>
                <w:snapToGrid w:val="0"/>
                <w:sz w:val="24"/>
                <w:szCs w:val="24"/>
                <w:lang w:val="en-US" w:eastAsia="zh-CN"/>
              </w:rPr>
              <w:t>黄豆购入后需经脱皮机进行脱皮以提高后续出浆率。黄豆经由倒料口倒入，在脱壳机内部</w:t>
            </w:r>
            <w:r>
              <w:rPr>
                <w:rFonts w:hint="eastAsia" w:ascii="Times New Roman" w:hAnsi="Times New Roman" w:eastAsia="新宋体" w:cs="Times New Roman"/>
                <w:snapToGrid w:val="0"/>
                <w:sz w:val="24"/>
                <w:szCs w:val="24"/>
                <w:lang w:val="en-US" w:eastAsia="zh-CN"/>
              </w:rPr>
              <w:t>不设置筛分器</w:t>
            </w:r>
            <w:r>
              <w:rPr>
                <w:rFonts w:hint="default" w:ascii="Times New Roman" w:hAnsi="Times New Roman" w:eastAsia="新宋体" w:cs="Times New Roman"/>
                <w:snapToGrid w:val="0"/>
                <w:sz w:val="24"/>
                <w:szCs w:val="24"/>
                <w:lang w:val="en-US" w:eastAsia="zh-CN"/>
              </w:rPr>
              <w:t>，</w:t>
            </w:r>
            <w:r>
              <w:rPr>
                <w:rFonts w:hint="eastAsia" w:ascii="Times New Roman" w:hAnsi="Times New Roman" w:eastAsia="新宋体" w:cs="Times New Roman"/>
                <w:snapToGrid w:val="0"/>
                <w:sz w:val="24"/>
                <w:szCs w:val="24"/>
                <w:lang w:val="en-US" w:eastAsia="zh-CN"/>
              </w:rPr>
              <w:t>只</w:t>
            </w:r>
            <w:r>
              <w:rPr>
                <w:rFonts w:hint="default" w:ascii="Times New Roman" w:hAnsi="Times New Roman" w:eastAsia="新宋体" w:cs="Times New Roman"/>
                <w:snapToGrid w:val="0"/>
                <w:sz w:val="24"/>
                <w:szCs w:val="24"/>
                <w:lang w:val="en-US" w:eastAsia="zh-CN"/>
              </w:rPr>
              <w:t xml:space="preserve">将豆皮与脱皮黄豆分开，豆皮、脱皮黄豆从出口滚出，出口设置收集袋。此过程因黄豆表面受力破碎会产生少量粉尘，并产生豆皮及设备运行噪声。 </w:t>
            </w:r>
          </w:p>
          <w:p>
            <w:pPr>
              <w:adjustRightInd w:val="0"/>
              <w:spacing w:line="360" w:lineRule="auto"/>
              <w:ind w:firstLine="480" w:firstLineChars="200"/>
              <w:textAlignment w:val="baseline"/>
              <w:rPr>
                <w:rFonts w:hint="eastAsia"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US" w:eastAsia="zh-CN"/>
              </w:rPr>
              <w:t>筛分：将豆皮和黄豆进行筛分，筛分出的脱皮黄豆进入下一工序。此过程产生设备噪声、少量脱壳粉尘及废豆皮。</w:t>
            </w:r>
          </w:p>
          <w:p>
            <w:pPr>
              <w:adjustRightIn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US" w:eastAsia="zh-CN"/>
              </w:rPr>
              <w:t>清洗：</w:t>
            </w:r>
            <w:r>
              <w:rPr>
                <w:rFonts w:ascii="F4" w:hAnsi="F4" w:eastAsia="F4" w:cs="F4"/>
                <w:color w:val="000000"/>
                <w:kern w:val="0"/>
                <w:sz w:val="24"/>
                <w:szCs w:val="24"/>
                <w:lang w:val="en-US" w:eastAsia="zh-CN" w:bidi="ar"/>
              </w:rPr>
              <w:t>脱皮</w:t>
            </w:r>
            <w:r>
              <w:rPr>
                <w:rFonts w:hint="eastAsia" w:ascii="F4" w:hAnsi="F4" w:eastAsia="F4" w:cs="F4"/>
                <w:color w:val="000000"/>
                <w:kern w:val="0"/>
                <w:sz w:val="24"/>
                <w:szCs w:val="24"/>
                <w:lang w:val="en-US" w:eastAsia="zh-CN" w:bidi="ar"/>
              </w:rPr>
              <w:t>筛分</w:t>
            </w:r>
            <w:r>
              <w:rPr>
                <w:rFonts w:ascii="F4" w:hAnsi="F4" w:eastAsia="F4" w:cs="F4"/>
                <w:color w:val="000000"/>
                <w:kern w:val="0"/>
                <w:sz w:val="24"/>
                <w:szCs w:val="24"/>
                <w:lang w:val="en-US" w:eastAsia="zh-CN" w:bidi="ar"/>
              </w:rPr>
              <w:t>后的黄豆先在</w:t>
            </w:r>
            <w:r>
              <w:rPr>
                <w:rFonts w:hint="eastAsia" w:ascii="F4" w:hAnsi="F4" w:eastAsia="F4" w:cs="F4"/>
                <w:color w:val="000000"/>
                <w:kern w:val="0"/>
                <w:sz w:val="24"/>
                <w:szCs w:val="24"/>
                <w:lang w:val="en-US" w:eastAsia="zh-CN" w:bidi="ar"/>
              </w:rPr>
              <w:t>浸泡池</w:t>
            </w:r>
            <w:r>
              <w:rPr>
                <w:rFonts w:ascii="F4" w:hAnsi="F4" w:eastAsia="F4" w:cs="F4"/>
                <w:color w:val="000000"/>
                <w:kern w:val="0"/>
                <w:sz w:val="24"/>
                <w:szCs w:val="24"/>
                <w:lang w:val="en-US" w:eastAsia="zh-CN" w:bidi="ar"/>
              </w:rPr>
              <w:t>中经过自来水冲洗干净</w:t>
            </w:r>
            <w:r>
              <w:rPr>
                <w:rFonts w:hint="eastAsia" w:ascii="F4" w:hAnsi="F4" w:eastAsia="F4" w:cs="F4"/>
                <w:color w:val="000000"/>
                <w:kern w:val="0"/>
                <w:sz w:val="24"/>
                <w:szCs w:val="24"/>
                <w:lang w:val="en-US" w:eastAsia="zh-CN" w:bidi="ar"/>
              </w:rPr>
              <w:t>。</w:t>
            </w:r>
          </w:p>
          <w:p>
            <w:pPr>
              <w:adjustRightInd w:val="0"/>
              <w:spacing w:line="360" w:lineRule="auto"/>
              <w:ind w:firstLine="480" w:firstLineChars="200"/>
              <w:textAlignment w:val="baseline"/>
              <w:rPr>
                <w:rFonts w:hint="default" w:ascii="Times New Roman" w:hAnsi="Times New Roman" w:eastAsia="宋体" w:cs="Times New Roman"/>
                <w:snapToGrid w:val="0"/>
                <w:sz w:val="24"/>
                <w:szCs w:val="24"/>
                <w:lang w:val="en-US" w:eastAsia="zh-CN"/>
              </w:rPr>
            </w:pPr>
            <w:r>
              <w:rPr>
                <w:rFonts w:hint="eastAsia" w:ascii="Times New Roman" w:hAnsi="Times New Roman" w:eastAsia="新宋体" w:cs="Times New Roman"/>
                <w:snapToGrid w:val="0"/>
                <w:sz w:val="24"/>
                <w:szCs w:val="24"/>
                <w:lang w:val="en-US" w:eastAsia="zh-CN"/>
              </w:rPr>
              <w:t>浸泡：</w:t>
            </w:r>
            <w:r>
              <w:rPr>
                <w:rFonts w:hint="eastAsia" w:ascii="Times New Roman" w:hAnsi="Times New Roman" w:cs="Times New Roman"/>
                <w:b w:val="0"/>
                <w:bCs/>
                <w:color w:val="000000"/>
                <w:sz w:val="24"/>
                <w:szCs w:val="24"/>
                <w:u w:val="none"/>
                <w:lang w:val="en-US" w:eastAsia="zh-CN"/>
              </w:rPr>
              <w:t>清洗后的</w:t>
            </w:r>
            <w:r>
              <w:rPr>
                <w:rFonts w:hint="eastAsia" w:ascii="Times New Roman" w:hAnsi="Times New Roman" w:eastAsia="宋体" w:cs="Times New Roman"/>
                <w:b w:val="0"/>
                <w:bCs/>
                <w:color w:val="000000"/>
                <w:sz w:val="24"/>
                <w:szCs w:val="24"/>
                <w:u w:val="none"/>
                <w:lang w:val="en-GB"/>
              </w:rPr>
              <w:t>大豆用</w:t>
            </w:r>
            <w:r>
              <w:rPr>
                <w:rFonts w:hint="eastAsia" w:ascii="Times New Roman" w:hAnsi="Times New Roman" w:cs="Times New Roman"/>
                <w:b w:val="0"/>
                <w:bCs/>
                <w:color w:val="000000"/>
                <w:sz w:val="24"/>
                <w:szCs w:val="24"/>
                <w:u w:val="none"/>
                <w:lang w:val="en-US" w:eastAsia="zh-CN"/>
              </w:rPr>
              <w:t>自来水</w:t>
            </w:r>
            <w:r>
              <w:rPr>
                <w:rFonts w:hint="eastAsia" w:ascii="Times New Roman" w:hAnsi="Times New Roman" w:eastAsia="宋体" w:cs="Times New Roman"/>
                <w:b w:val="0"/>
                <w:bCs/>
                <w:color w:val="000000"/>
                <w:sz w:val="24"/>
                <w:szCs w:val="24"/>
                <w:u w:val="none"/>
                <w:lang w:val="en-GB"/>
              </w:rPr>
              <w:t>浸泡</w:t>
            </w:r>
            <w:r>
              <w:rPr>
                <w:rFonts w:hint="eastAsia" w:ascii="Times New Roman" w:hAnsi="Times New Roman" w:cs="Times New Roman"/>
                <w:b w:val="0"/>
                <w:bCs/>
                <w:color w:val="000000"/>
                <w:sz w:val="24"/>
                <w:szCs w:val="24"/>
                <w:u w:val="none"/>
                <w:lang w:val="en-GB" w:eastAsia="zh-CN"/>
              </w:rPr>
              <w:t>，</w:t>
            </w:r>
            <w:r>
              <w:rPr>
                <w:rFonts w:hint="eastAsia" w:ascii="Times New Roman" w:hAnsi="Times New Roman" w:eastAsia="宋体" w:cs="Times New Roman"/>
                <w:b w:val="0"/>
                <w:bCs/>
                <w:color w:val="000000"/>
                <w:sz w:val="24"/>
                <w:szCs w:val="24"/>
                <w:u w:val="none"/>
                <w:lang w:val="en-GB"/>
              </w:rPr>
              <w:t>其一是使黄豆充分膨胀便于磨制豆浆，使黄豆组织中蛋白质比较容易地抽提出来；其二是改善豆浆的色泽和白度，浸泡过程约</w:t>
            </w:r>
            <w:r>
              <w:rPr>
                <w:rFonts w:hint="eastAsia" w:ascii="Times New Roman" w:hAnsi="Times New Roman" w:cs="Times New Roman"/>
                <w:b w:val="0"/>
                <w:bCs/>
                <w:color w:val="000000"/>
                <w:sz w:val="24"/>
                <w:szCs w:val="24"/>
                <w:u w:val="none"/>
                <w:lang w:val="en-US" w:eastAsia="zh-CN"/>
              </w:rPr>
              <w:t>4</w:t>
            </w:r>
            <w:r>
              <w:rPr>
                <w:rFonts w:hint="eastAsia" w:ascii="Times New Roman" w:hAnsi="Times New Roman" w:eastAsia="宋体" w:cs="Times New Roman"/>
                <w:b w:val="0"/>
                <w:bCs/>
                <w:color w:val="000000"/>
                <w:sz w:val="24"/>
                <w:szCs w:val="24"/>
                <w:u w:val="none"/>
                <w:lang w:val="en-GB"/>
              </w:rPr>
              <w:t>小时，浸泡</w:t>
            </w:r>
            <w:r>
              <w:rPr>
                <w:rFonts w:hint="eastAsia" w:ascii="Times New Roman" w:hAnsi="Times New Roman" w:cs="Times New Roman"/>
                <w:b w:val="0"/>
                <w:bCs/>
                <w:color w:val="000000"/>
                <w:sz w:val="24"/>
                <w:szCs w:val="24"/>
                <w:u w:val="none"/>
                <w:lang w:val="en-US" w:eastAsia="zh-CN"/>
              </w:rPr>
              <w:t>后的水直接进入磨浆工序。</w:t>
            </w:r>
          </w:p>
          <w:p>
            <w:pPr>
              <w:adjustRightIn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US" w:eastAsia="zh-CN"/>
              </w:rPr>
              <w:t>磨浆：</w:t>
            </w:r>
            <w:r>
              <w:rPr>
                <w:rFonts w:hint="default" w:ascii="Times New Roman" w:hAnsi="Times New Roman" w:eastAsia="新宋体" w:cs="Times New Roman"/>
                <w:snapToGrid w:val="0"/>
                <w:sz w:val="24"/>
                <w:szCs w:val="24"/>
                <w:lang w:val="en-US" w:eastAsia="zh-CN"/>
              </w:rPr>
              <w:t>将泡好的黄豆分多次加入磨浆机中，边加黄豆边加</w:t>
            </w:r>
            <w:r>
              <w:rPr>
                <w:rFonts w:hint="eastAsia" w:ascii="Times New Roman" w:hAnsi="Times New Roman" w:eastAsia="新宋体" w:cs="Times New Roman"/>
                <w:snapToGrid w:val="0"/>
                <w:sz w:val="24"/>
                <w:szCs w:val="24"/>
                <w:lang w:val="en-US" w:eastAsia="zh-CN"/>
              </w:rPr>
              <w:t>水</w:t>
            </w:r>
            <w:r>
              <w:rPr>
                <w:rFonts w:hint="default" w:ascii="Times New Roman" w:hAnsi="Times New Roman" w:eastAsia="新宋体" w:cs="Times New Roman"/>
                <w:snapToGrid w:val="0"/>
                <w:sz w:val="24"/>
                <w:szCs w:val="24"/>
                <w:lang w:val="en-US" w:eastAsia="zh-CN"/>
              </w:rPr>
              <w:t>，</w:t>
            </w:r>
            <w:r>
              <w:rPr>
                <w:rFonts w:hint="eastAsia" w:ascii="Times New Roman" w:hAnsi="Times New Roman" w:eastAsia="新宋体" w:cs="Times New Roman"/>
                <w:snapToGrid w:val="0"/>
                <w:sz w:val="24"/>
                <w:szCs w:val="24"/>
                <w:lang w:val="en-US" w:eastAsia="zh-CN"/>
              </w:rPr>
              <w:t>黄豆与水按1:5的比例添加，</w:t>
            </w:r>
            <w:r>
              <w:rPr>
                <w:rFonts w:hint="default" w:ascii="Times New Roman" w:hAnsi="Times New Roman" w:eastAsia="新宋体" w:cs="Times New Roman"/>
                <w:snapToGrid w:val="0"/>
                <w:sz w:val="24"/>
                <w:szCs w:val="24"/>
                <w:lang w:val="en-US" w:eastAsia="zh-CN"/>
              </w:rPr>
              <w:t>磨成豆浆糊，磨浆时加豆加水要均匀，与磨速协调一致</w:t>
            </w:r>
            <w:r>
              <w:rPr>
                <w:rFonts w:hint="eastAsia" w:ascii="Times New Roman" w:hAnsi="Times New Roman" w:eastAsia="新宋体" w:cs="Times New Roman"/>
                <w:snapToGrid w:val="0"/>
                <w:sz w:val="24"/>
                <w:szCs w:val="24"/>
                <w:lang w:val="en-US" w:eastAsia="zh-CN"/>
              </w:rPr>
              <w:t>。</w:t>
            </w:r>
            <w:r>
              <w:rPr>
                <w:rFonts w:hint="default" w:ascii="Times New Roman" w:hAnsi="Times New Roman" w:eastAsia="新宋体" w:cs="Times New Roman"/>
                <w:snapToGrid w:val="0"/>
                <w:sz w:val="24"/>
                <w:szCs w:val="24"/>
                <w:lang w:val="en-US" w:eastAsia="zh-CN"/>
              </w:rPr>
              <w:t>再通过</w:t>
            </w:r>
            <w:r>
              <w:rPr>
                <w:rFonts w:hint="eastAsia" w:ascii="Times New Roman" w:hAnsi="Times New Roman" w:eastAsia="新宋体" w:cs="Times New Roman"/>
                <w:snapToGrid w:val="0"/>
                <w:sz w:val="24"/>
                <w:szCs w:val="24"/>
                <w:lang w:val="en-US" w:eastAsia="zh-CN"/>
              </w:rPr>
              <w:t>磨浆机自带的过滤系统</w:t>
            </w:r>
            <w:r>
              <w:rPr>
                <w:rFonts w:hint="default" w:ascii="Times New Roman" w:hAnsi="Times New Roman" w:eastAsia="新宋体" w:cs="Times New Roman"/>
                <w:snapToGrid w:val="0"/>
                <w:sz w:val="24"/>
                <w:szCs w:val="24"/>
                <w:lang w:val="en-US" w:eastAsia="zh-CN"/>
              </w:rPr>
              <w:t>将豆浆与豆渣过滤分离。此过程产生</w:t>
            </w:r>
            <w:r>
              <w:rPr>
                <w:rFonts w:hint="eastAsia" w:ascii="Times New Roman" w:hAnsi="Times New Roman" w:eastAsia="新宋体" w:cs="Times New Roman"/>
                <w:snapToGrid w:val="0"/>
                <w:sz w:val="24"/>
                <w:szCs w:val="24"/>
                <w:lang w:val="en-US" w:eastAsia="zh-CN"/>
              </w:rPr>
              <w:t>设备噪声、废</w:t>
            </w:r>
            <w:r>
              <w:rPr>
                <w:rFonts w:hint="default" w:ascii="Times New Roman" w:hAnsi="Times New Roman" w:eastAsia="新宋体" w:cs="Times New Roman"/>
                <w:snapToGrid w:val="0"/>
                <w:sz w:val="24"/>
                <w:szCs w:val="24"/>
                <w:lang w:val="en-US" w:eastAsia="zh-CN"/>
              </w:rPr>
              <w:t>豆渣</w:t>
            </w:r>
            <w:r>
              <w:rPr>
                <w:rFonts w:hint="eastAsia" w:ascii="Times New Roman" w:hAnsi="Times New Roman" w:eastAsia="新宋体" w:cs="Times New Roman"/>
                <w:snapToGrid w:val="0"/>
                <w:sz w:val="24"/>
                <w:szCs w:val="24"/>
                <w:lang w:val="en-US" w:eastAsia="zh-CN"/>
              </w:rPr>
              <w:t>和少量的豆腥废气</w:t>
            </w:r>
            <w:r>
              <w:rPr>
                <w:rFonts w:hint="default" w:ascii="Times New Roman" w:hAnsi="Times New Roman" w:eastAsia="新宋体" w:cs="Times New Roman"/>
                <w:snapToGrid w:val="0"/>
                <w:sz w:val="24"/>
                <w:szCs w:val="24"/>
                <w:lang w:val="en-US" w:eastAsia="zh-CN"/>
              </w:rPr>
              <w:t xml:space="preserve">。 </w:t>
            </w:r>
          </w:p>
          <w:p>
            <w:pPr>
              <w:adjustRightInd w:val="0"/>
              <w:spacing w:line="360" w:lineRule="auto"/>
              <w:ind w:firstLine="480" w:firstLineChars="200"/>
              <w:textAlignment w:val="baseline"/>
              <w:rPr>
                <w:rFonts w:hint="eastAsia"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US" w:eastAsia="zh-CN"/>
              </w:rPr>
              <w:t>煮浆：</w:t>
            </w:r>
            <w:r>
              <w:rPr>
                <w:rFonts w:hint="default" w:ascii="Times New Roman" w:hAnsi="Times New Roman" w:eastAsia="新宋体" w:cs="Times New Roman"/>
                <w:snapToGrid w:val="0"/>
                <w:sz w:val="24"/>
                <w:szCs w:val="24"/>
                <w:lang w:val="en-US" w:eastAsia="zh-CN"/>
              </w:rPr>
              <w:t>生豆浆放入煮浆</w:t>
            </w:r>
            <w:r>
              <w:rPr>
                <w:rFonts w:hint="eastAsia" w:ascii="Times New Roman" w:hAnsi="Times New Roman" w:eastAsia="新宋体" w:cs="Times New Roman"/>
                <w:snapToGrid w:val="0"/>
                <w:sz w:val="24"/>
                <w:szCs w:val="24"/>
                <w:lang w:val="en-US" w:eastAsia="zh-CN"/>
              </w:rPr>
              <w:t>罐</w:t>
            </w:r>
            <w:r>
              <w:rPr>
                <w:rFonts w:hint="default" w:ascii="Times New Roman" w:hAnsi="Times New Roman" w:eastAsia="新宋体" w:cs="Times New Roman"/>
                <w:snapToGrid w:val="0"/>
                <w:sz w:val="24"/>
                <w:szCs w:val="24"/>
                <w:lang w:val="en-US" w:eastAsia="zh-CN"/>
              </w:rPr>
              <w:t>中</w:t>
            </w:r>
            <w:r>
              <w:rPr>
                <w:rFonts w:hint="eastAsia" w:ascii="Times New Roman" w:hAnsi="Times New Roman" w:eastAsia="新宋体" w:cs="Times New Roman"/>
                <w:snapToGrid w:val="0"/>
                <w:sz w:val="24"/>
                <w:szCs w:val="24"/>
                <w:lang w:val="en-US" w:eastAsia="zh-CN"/>
              </w:rPr>
              <w:t>直接</w:t>
            </w:r>
            <w:r>
              <w:rPr>
                <w:rFonts w:hint="default" w:ascii="Times New Roman" w:hAnsi="Times New Roman" w:eastAsia="新宋体" w:cs="Times New Roman"/>
                <w:snapToGrid w:val="0"/>
                <w:sz w:val="24"/>
                <w:szCs w:val="24"/>
                <w:lang w:val="en-US" w:eastAsia="zh-CN"/>
              </w:rPr>
              <w:t>通</w:t>
            </w:r>
            <w:r>
              <w:rPr>
                <w:rFonts w:hint="eastAsia" w:ascii="Times New Roman" w:hAnsi="Times New Roman" w:eastAsia="新宋体" w:cs="Times New Roman"/>
                <w:snapToGrid w:val="0"/>
                <w:sz w:val="24"/>
                <w:szCs w:val="24"/>
                <w:lang w:val="en-US" w:eastAsia="zh-CN"/>
              </w:rPr>
              <w:t>入蒸汽</w:t>
            </w:r>
            <w:r>
              <w:rPr>
                <w:rFonts w:hint="default" w:ascii="Times New Roman" w:hAnsi="Times New Roman" w:eastAsia="新宋体" w:cs="Times New Roman"/>
                <w:snapToGrid w:val="0"/>
                <w:sz w:val="24"/>
                <w:szCs w:val="24"/>
                <w:lang w:val="en-US" w:eastAsia="zh-CN"/>
              </w:rPr>
              <w:t>加热</w:t>
            </w:r>
            <w:r>
              <w:rPr>
                <w:rFonts w:hint="eastAsia" w:ascii="Times New Roman" w:hAnsi="Times New Roman" w:eastAsia="新宋体" w:cs="Times New Roman"/>
                <w:snapToGrid w:val="0"/>
                <w:sz w:val="24"/>
                <w:szCs w:val="24"/>
                <w:lang w:val="en-US" w:eastAsia="zh-CN"/>
              </w:rPr>
              <w:t>密闭</w:t>
            </w:r>
            <w:r>
              <w:rPr>
                <w:rFonts w:hint="default" w:ascii="Times New Roman" w:hAnsi="Times New Roman" w:eastAsia="新宋体" w:cs="Times New Roman"/>
                <w:snapToGrid w:val="0"/>
                <w:sz w:val="24"/>
                <w:szCs w:val="24"/>
                <w:lang w:val="en-US" w:eastAsia="zh-CN"/>
              </w:rPr>
              <w:t>煮熟</w:t>
            </w:r>
            <w:r>
              <w:rPr>
                <w:rFonts w:hint="eastAsia" w:ascii="Times New Roman" w:hAnsi="Times New Roman" w:eastAsia="新宋体" w:cs="Times New Roman"/>
                <w:snapToGrid w:val="0"/>
                <w:sz w:val="24"/>
                <w:szCs w:val="24"/>
                <w:lang w:val="en-US" w:eastAsia="zh-CN"/>
              </w:rPr>
              <w:t>，</w:t>
            </w:r>
            <w:r>
              <w:rPr>
                <w:rFonts w:hint="default" w:ascii="Times New Roman" w:hAnsi="Times New Roman" w:eastAsia="新宋体" w:cs="Times New Roman"/>
                <w:snapToGrid w:val="0"/>
                <w:sz w:val="24"/>
                <w:szCs w:val="24"/>
                <w:lang w:val="en-US" w:eastAsia="zh-CN"/>
              </w:rPr>
              <w:t>此过程会产生</w:t>
            </w:r>
            <w:r>
              <w:rPr>
                <w:rFonts w:hint="eastAsia" w:ascii="Times New Roman" w:hAnsi="Times New Roman" w:eastAsia="新宋体" w:cs="Times New Roman"/>
                <w:snapToGrid w:val="0"/>
                <w:sz w:val="24"/>
                <w:szCs w:val="24"/>
                <w:lang w:val="en-US" w:eastAsia="zh-CN"/>
              </w:rPr>
              <w:t>设备噪声，通过气孔产生水蒸气和豆腥废气。</w:t>
            </w:r>
          </w:p>
          <w:p>
            <w:pPr>
              <w:adjustRightIn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US" w:eastAsia="zh-CN"/>
              </w:rPr>
              <w:t>成型提皮：从煮浆罐</w:t>
            </w:r>
            <w:r>
              <w:rPr>
                <w:rFonts w:hint="default" w:ascii="Times New Roman" w:hAnsi="Times New Roman" w:eastAsia="新宋体" w:cs="Times New Roman"/>
                <w:snapToGrid w:val="0"/>
                <w:sz w:val="24"/>
                <w:szCs w:val="24"/>
                <w:lang w:val="en-US" w:eastAsia="zh-CN"/>
              </w:rPr>
              <w:t>转移至腐竹生产槽中，腐竹生产槽保持85℃恒温，经过一段时间后豆浆表面慢慢形成一层腐竹，通过人工将腐竹拉起，挂在腐竹挂架上，此工序称为</w:t>
            </w:r>
            <w:r>
              <w:rPr>
                <w:rFonts w:hint="eastAsia" w:ascii="Times New Roman" w:hAnsi="Times New Roman" w:eastAsia="新宋体" w:cs="Times New Roman"/>
                <w:snapToGrid w:val="0"/>
                <w:sz w:val="24"/>
                <w:szCs w:val="24"/>
                <w:lang w:val="en-US" w:eastAsia="zh-CN"/>
              </w:rPr>
              <w:t>提皮，根据业主提供资料，提皮过程中产生</w:t>
            </w:r>
            <w:r>
              <w:rPr>
                <w:rFonts w:hint="default" w:ascii="Times New Roman" w:hAnsi="Times New Roman" w:eastAsia="新宋体" w:cs="Times New Roman"/>
                <w:snapToGrid w:val="0"/>
                <w:sz w:val="24"/>
                <w:szCs w:val="24"/>
                <w:lang w:val="en-US" w:eastAsia="zh-CN"/>
              </w:rPr>
              <w:t>剩余浆液</w:t>
            </w:r>
            <w:r>
              <w:rPr>
                <w:rFonts w:hint="eastAsia" w:ascii="Times New Roman" w:hAnsi="Times New Roman" w:eastAsia="新宋体" w:cs="Times New Roman"/>
                <w:snapToGrid w:val="0"/>
                <w:sz w:val="24"/>
                <w:szCs w:val="24"/>
                <w:lang w:val="en-US" w:eastAsia="zh-CN"/>
              </w:rPr>
              <w:t>、水蒸汽和豆腥废气，</w:t>
            </w:r>
            <w:r>
              <w:rPr>
                <w:rFonts w:hint="default" w:ascii="Times New Roman" w:hAnsi="Times New Roman" w:eastAsia="新宋体" w:cs="Times New Roman"/>
                <w:snapToGrid w:val="0"/>
                <w:sz w:val="24"/>
                <w:szCs w:val="24"/>
                <w:lang w:val="en-US" w:eastAsia="zh-CN"/>
              </w:rPr>
              <w:t>剩余</w:t>
            </w:r>
            <w:r>
              <w:rPr>
                <w:rFonts w:hint="eastAsia" w:ascii="Times New Roman" w:hAnsi="Times New Roman" w:eastAsia="新宋体" w:cs="Times New Roman"/>
                <w:snapToGrid w:val="0"/>
                <w:sz w:val="24"/>
                <w:szCs w:val="24"/>
                <w:lang w:val="en-US" w:eastAsia="zh-CN"/>
              </w:rPr>
              <w:t>浆液</w:t>
            </w:r>
            <w:r>
              <w:rPr>
                <w:rFonts w:hint="default" w:ascii="Times New Roman" w:hAnsi="Times New Roman" w:eastAsia="新宋体" w:cs="Times New Roman"/>
                <w:snapToGrid w:val="0"/>
                <w:sz w:val="24"/>
                <w:szCs w:val="24"/>
                <w:lang w:val="en-US" w:eastAsia="zh-CN"/>
              </w:rPr>
              <w:t>中仍含有较丰富的蛋白质，可用作养殖饲料调配使用。</w:t>
            </w:r>
          </w:p>
          <w:p>
            <w:pPr>
              <w:adjustRightIn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US" w:eastAsia="zh-CN"/>
              </w:rPr>
              <w:t>烘干：</w:t>
            </w:r>
            <w:r>
              <w:rPr>
                <w:rFonts w:hint="default" w:ascii="Times New Roman" w:hAnsi="Times New Roman" w:eastAsia="新宋体" w:cs="Times New Roman"/>
                <w:snapToGrid w:val="0"/>
                <w:sz w:val="24"/>
                <w:szCs w:val="24"/>
                <w:lang w:val="en-US" w:eastAsia="zh-CN"/>
              </w:rPr>
              <w:t>腐竹挂架上的腐竹待不再滴落浆液后（约挂起30-45min后），使用容器转移至烘房中烘干</w:t>
            </w:r>
            <w:r>
              <w:rPr>
                <w:rFonts w:hint="eastAsia" w:ascii="Times New Roman" w:hAnsi="Times New Roman" w:eastAsia="新宋体" w:cs="Times New Roman"/>
                <w:snapToGrid w:val="0"/>
                <w:sz w:val="24"/>
                <w:szCs w:val="24"/>
                <w:lang w:val="en-US" w:eastAsia="zh-CN"/>
              </w:rPr>
              <w:t>即为腐竹。烘干房内烘干机加装蒸汽散热器，以蒸汽为换热介质，对流把热量传递到基管内壁，内壁再通过热传导把热量传递到散热器的外壁和翅片，外壁和翅片最后再以强制对流和辐射的方式加热周围的空气，以达到烘干物料效果。此过程产生设备噪声、水蒸汽、腐竹生产气味。</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US" w:eastAsia="zh-CN"/>
              </w:rPr>
              <w:t>回润：烘干后的腐竹含水率低较脆，易碎，不易包装，因此在包装前需放置于回润房通过蒸汽管直接通入蒸汽进行回潮使腐竹些许软化，以便于腐竹进行包装。此过程产生腐竹生产气味、蒸汽水。</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US" w:eastAsia="zh-CN"/>
              </w:rPr>
              <w:t>包装入库：</w:t>
            </w:r>
            <w:r>
              <w:rPr>
                <w:rFonts w:hint="default" w:ascii="Times New Roman" w:hAnsi="Times New Roman" w:eastAsia="新宋体" w:cs="Times New Roman"/>
                <w:snapToGrid w:val="0"/>
                <w:sz w:val="24"/>
                <w:szCs w:val="24"/>
                <w:lang w:val="en-US" w:eastAsia="zh-CN"/>
              </w:rPr>
              <w:t>经包装后即可入库待售</w:t>
            </w:r>
            <w:r>
              <w:rPr>
                <w:rFonts w:hint="eastAsia" w:ascii="Times New Roman" w:hAnsi="Times New Roman" w:eastAsia="新宋体" w:cs="Times New Roman"/>
                <w:snapToGrid w:val="0"/>
                <w:sz w:val="24"/>
                <w:szCs w:val="24"/>
                <w:lang w:val="en-US" w:eastAsia="zh-CN"/>
              </w:rPr>
              <w:t>。此过程产生废包装材料。</w:t>
            </w:r>
            <w:r>
              <w:rPr>
                <w:rFonts w:hint="default" w:ascii="Times New Roman" w:hAnsi="Times New Roman" w:eastAsia="新宋体" w:cs="Times New Roman"/>
                <w:snapToGrid w:val="0"/>
                <w:sz w:val="24"/>
                <w:szCs w:val="24"/>
                <w:lang w:val="en-US" w:eastAsia="zh-CN"/>
              </w:rPr>
              <w:t xml:space="preserve"> </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r>
              <w:rPr>
                <w:rFonts w:hint="default" w:ascii="Times New Roman" w:hAnsi="Times New Roman" w:eastAsia="新宋体" w:cs="Times New Roman"/>
                <w:snapToGrid w:val="0"/>
                <w:sz w:val="24"/>
                <w:szCs w:val="24"/>
                <w:lang w:val="en-US" w:eastAsia="zh-CN"/>
              </w:rPr>
              <w:t>本项目生产过程中，</w:t>
            </w:r>
            <w:r>
              <w:rPr>
                <w:rFonts w:hint="eastAsia" w:ascii="Times New Roman" w:hAnsi="Times New Roman" w:eastAsia="新宋体" w:cs="Times New Roman"/>
                <w:snapToGrid w:val="0"/>
                <w:sz w:val="24"/>
                <w:szCs w:val="24"/>
                <w:lang w:val="en-US" w:eastAsia="zh-CN"/>
              </w:rPr>
              <w:t>产生的主要固体废物</w:t>
            </w:r>
            <w:r>
              <w:rPr>
                <w:rFonts w:hint="default" w:ascii="Times New Roman" w:hAnsi="Times New Roman" w:eastAsia="新宋体" w:cs="Times New Roman"/>
                <w:snapToGrid w:val="0"/>
                <w:sz w:val="24"/>
                <w:szCs w:val="24"/>
                <w:lang w:val="en-US" w:eastAsia="zh-CN"/>
              </w:rPr>
              <w:t>为</w:t>
            </w:r>
            <w:r>
              <w:rPr>
                <w:rFonts w:hint="eastAsia" w:ascii="Times New Roman" w:hAnsi="Times New Roman" w:eastAsia="新宋体" w:cs="Times New Roman"/>
                <w:snapToGrid w:val="0"/>
                <w:sz w:val="24"/>
                <w:szCs w:val="24"/>
                <w:lang w:val="en-US" w:eastAsia="zh-CN"/>
              </w:rPr>
              <w:t>不合格废豆子、脱皮</w:t>
            </w:r>
            <w:r>
              <w:rPr>
                <w:rFonts w:hint="default" w:ascii="Times New Roman" w:hAnsi="Times New Roman" w:eastAsia="新宋体" w:cs="Times New Roman"/>
                <w:snapToGrid w:val="0"/>
                <w:sz w:val="24"/>
                <w:szCs w:val="24"/>
                <w:lang w:val="en-US" w:eastAsia="zh-CN"/>
              </w:rPr>
              <w:t>豆皮</w:t>
            </w:r>
            <w:r>
              <w:rPr>
                <w:rFonts w:hint="eastAsia" w:ascii="Times New Roman" w:hAnsi="Times New Roman" w:eastAsia="新宋体" w:cs="Times New Roman"/>
                <w:snapToGrid w:val="0"/>
                <w:sz w:val="24"/>
                <w:szCs w:val="24"/>
                <w:lang w:val="en-US" w:eastAsia="zh-CN"/>
              </w:rPr>
              <w:t>和碎豆子、</w:t>
            </w:r>
            <w:r>
              <w:rPr>
                <w:rFonts w:hint="default" w:ascii="Times New Roman" w:hAnsi="Times New Roman" w:eastAsia="新宋体" w:cs="Times New Roman"/>
                <w:snapToGrid w:val="0"/>
                <w:sz w:val="24"/>
                <w:szCs w:val="24"/>
                <w:lang w:val="en-US" w:eastAsia="zh-CN"/>
              </w:rPr>
              <w:t>豆渣、剩余浆液</w:t>
            </w:r>
            <w:r>
              <w:rPr>
                <w:rFonts w:hint="eastAsia" w:ascii="Times New Roman" w:hAnsi="Times New Roman" w:eastAsia="新宋体" w:cs="Times New Roman"/>
                <w:snapToGrid w:val="0"/>
                <w:sz w:val="24"/>
                <w:szCs w:val="24"/>
                <w:lang w:val="en-US" w:eastAsia="zh-CN"/>
              </w:rPr>
              <w:t>；产生的废水主要</w:t>
            </w:r>
            <w:r>
              <w:rPr>
                <w:rFonts w:hint="default" w:ascii="Times New Roman" w:hAnsi="Times New Roman" w:eastAsia="新宋体" w:cs="Times New Roman"/>
                <w:snapToGrid w:val="0"/>
                <w:sz w:val="24"/>
                <w:szCs w:val="24"/>
                <w:lang w:val="en-US" w:eastAsia="zh-CN"/>
              </w:rPr>
              <w:t>为</w:t>
            </w:r>
            <w:r>
              <w:rPr>
                <w:rFonts w:hint="eastAsia" w:ascii="Times New Roman" w:hAnsi="Times New Roman" w:eastAsia="新宋体" w:cs="Times New Roman"/>
                <w:snapToGrid w:val="0"/>
                <w:sz w:val="24"/>
                <w:szCs w:val="24"/>
                <w:lang w:val="en-US" w:eastAsia="zh-CN"/>
              </w:rPr>
              <w:t>生活污水、设备和地面</w:t>
            </w:r>
            <w:r>
              <w:rPr>
                <w:rFonts w:hint="default" w:ascii="Times New Roman" w:hAnsi="Times New Roman" w:eastAsia="新宋体" w:cs="Times New Roman"/>
                <w:snapToGrid w:val="0"/>
                <w:sz w:val="24"/>
                <w:szCs w:val="24"/>
                <w:lang w:val="en-US" w:eastAsia="zh-CN"/>
              </w:rPr>
              <w:t>清洗废水、</w:t>
            </w:r>
            <w:r>
              <w:rPr>
                <w:rFonts w:hint="eastAsia" w:ascii="Times New Roman" w:hAnsi="Times New Roman" w:eastAsia="新宋体" w:cs="Times New Roman"/>
                <w:snapToGrid w:val="0"/>
                <w:sz w:val="24"/>
                <w:szCs w:val="24"/>
                <w:lang w:val="en-US" w:eastAsia="zh-CN"/>
              </w:rPr>
              <w:t>浸豆废水、</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软</w:t>
            </w:r>
            <w:r>
              <w:rPr>
                <w:rFonts w:hint="eastAsia" w:ascii="Times New Roman" w:hAnsi="Times New Roman" w:eastAsia="新宋体" w:cs="Times New Roman"/>
                <w:snapToGrid w:val="0"/>
                <w:sz w:val="24"/>
                <w:szCs w:val="24"/>
                <w:lang w:val="en-US" w:eastAsia="zh-CN"/>
              </w:rPr>
              <w:t>水制备排污水和锅炉排污水；产生的废气主要为</w:t>
            </w:r>
            <w:r>
              <w:rPr>
                <w:rFonts w:hint="default" w:ascii="Times New Roman" w:hAnsi="Times New Roman" w:eastAsia="新宋体" w:cs="Times New Roman"/>
                <w:snapToGrid w:val="0"/>
                <w:sz w:val="24"/>
                <w:szCs w:val="24"/>
                <w:lang w:val="en-US" w:eastAsia="zh-CN"/>
              </w:rPr>
              <w:t>生产过程的</w:t>
            </w:r>
            <w:r>
              <w:rPr>
                <w:rFonts w:hint="eastAsia" w:ascii="Times New Roman" w:hAnsi="Times New Roman" w:eastAsia="新宋体" w:cs="Times New Roman"/>
                <w:snapToGrid w:val="0"/>
                <w:sz w:val="24"/>
                <w:szCs w:val="24"/>
                <w:lang w:val="en-US" w:eastAsia="zh-CN"/>
              </w:rPr>
              <w:t>豆腥废气、腐竹</w:t>
            </w:r>
            <w:r>
              <w:rPr>
                <w:rFonts w:hint="default" w:ascii="Times New Roman" w:hAnsi="Times New Roman" w:eastAsia="新宋体" w:cs="Times New Roman"/>
                <w:snapToGrid w:val="0"/>
                <w:sz w:val="24"/>
                <w:szCs w:val="24"/>
                <w:lang w:val="en-US" w:eastAsia="zh-CN"/>
              </w:rPr>
              <w:t>气味</w:t>
            </w:r>
            <w:r>
              <w:rPr>
                <w:rFonts w:hint="eastAsia" w:ascii="Times New Roman" w:hAnsi="Times New Roman" w:eastAsia="新宋体" w:cs="Times New Roman"/>
                <w:snapToGrid w:val="0"/>
                <w:sz w:val="24"/>
                <w:szCs w:val="24"/>
                <w:lang w:val="en-US" w:eastAsia="zh-CN"/>
              </w:rPr>
              <w:t>、豆皮</w:t>
            </w:r>
            <w:r>
              <w:rPr>
                <w:rFonts w:hint="default" w:ascii="Times New Roman" w:hAnsi="Times New Roman" w:eastAsia="新宋体" w:cs="Times New Roman"/>
                <w:snapToGrid w:val="0"/>
                <w:sz w:val="24"/>
                <w:szCs w:val="24"/>
                <w:lang w:val="en-US" w:eastAsia="zh-CN"/>
              </w:rPr>
              <w:t>气味、</w:t>
            </w:r>
            <w:r>
              <w:rPr>
                <w:rFonts w:hint="eastAsia" w:ascii="Times New Roman" w:hAnsi="Times New Roman" w:eastAsia="新宋体" w:cs="Times New Roman"/>
                <w:snapToGrid w:val="0"/>
                <w:sz w:val="24"/>
                <w:szCs w:val="24"/>
                <w:lang w:val="en-US" w:eastAsia="zh-CN"/>
              </w:rPr>
              <w:t>滚筒式炒锅燃料燃烧废气、</w:t>
            </w:r>
            <w:r>
              <w:rPr>
                <w:rFonts w:hint="default" w:ascii="Times New Roman" w:hAnsi="Times New Roman" w:eastAsia="新宋体" w:cs="Times New Roman"/>
                <w:snapToGrid w:val="0"/>
                <w:sz w:val="24"/>
                <w:szCs w:val="24"/>
                <w:lang w:val="en-US" w:eastAsia="zh-CN"/>
              </w:rPr>
              <w:t>锅炉废气</w:t>
            </w:r>
            <w:r>
              <w:rPr>
                <w:rFonts w:hint="eastAsia" w:ascii="Times New Roman" w:hAnsi="Times New Roman" w:eastAsia="新宋体" w:cs="Times New Roman"/>
                <w:snapToGrid w:val="0"/>
                <w:sz w:val="24"/>
                <w:szCs w:val="24"/>
                <w:lang w:val="en-US" w:eastAsia="zh-CN"/>
              </w:rPr>
              <w:t>以及污水处理站恶臭</w:t>
            </w:r>
            <w:r>
              <w:rPr>
                <w:rFonts w:hint="default" w:ascii="Times New Roman" w:hAnsi="Times New Roman" w:eastAsia="新宋体" w:cs="Times New Roman"/>
                <w:snapToGrid w:val="0"/>
                <w:sz w:val="24"/>
                <w:szCs w:val="24"/>
                <w:lang w:val="en-US" w:eastAsia="zh-CN"/>
              </w:rPr>
              <w:t>；生产设备运行时产生的噪声等</w:t>
            </w:r>
            <w:r>
              <w:rPr>
                <w:rFonts w:hint="eastAsia" w:ascii="Times New Roman" w:hAnsi="Times New Roman" w:eastAsia="新宋体" w:cs="Times New Roman"/>
                <w:snapToGrid w:val="0"/>
                <w:sz w:val="24"/>
                <w:szCs w:val="24"/>
                <w:lang w:val="en-US" w:eastAsia="zh-CN"/>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r>
              <w:rPr>
                <w:rFonts w:hint="eastAsia" w:ascii="Times New Roman" w:hAnsi="Times New Roman" w:eastAsia="新宋体" w:cs="Times New Roman"/>
                <w:snapToGrid w:val="0"/>
                <w:sz w:val="24"/>
                <w:szCs w:val="24"/>
                <w:lang w:val="en-US" w:eastAsia="zh-CN"/>
              </w:rPr>
              <w:t>项目物料平衡图如下所示：</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新宋体" w:cs="Times New Roman"/>
                <w:snapToGrid w:val="0"/>
                <w:sz w:val="24"/>
                <w:szCs w:val="24"/>
                <w:lang w:val="en-US" w:eastAsia="zh-CN"/>
              </w:rPr>
            </w:pPr>
          </w:p>
          <w:p>
            <w:pPr>
              <w:bidi w:val="0"/>
              <w:jc w:val="center"/>
              <w:rPr>
                <w:rFonts w:hint="eastAsia"/>
                <w:sz w:val="24"/>
                <w:szCs w:val="24"/>
                <w:lang w:val="en-US" w:eastAsia="zh-CN"/>
              </w:rPr>
            </w:pPr>
            <w:r>
              <w:drawing>
                <wp:anchor distT="0" distB="0" distL="114300" distR="114300" simplePos="0" relativeHeight="251669504" behindDoc="0" locked="0" layoutInCell="1" allowOverlap="1">
                  <wp:simplePos x="0" y="0"/>
                  <wp:positionH relativeFrom="column">
                    <wp:posOffset>-137795</wp:posOffset>
                  </wp:positionH>
                  <wp:positionV relativeFrom="paragraph">
                    <wp:posOffset>-4958080</wp:posOffset>
                  </wp:positionV>
                  <wp:extent cx="5515610" cy="5367655"/>
                  <wp:effectExtent l="0" t="0" r="8890" b="4445"/>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1135380" y="1144905"/>
                            <a:ext cx="5515610" cy="5367655"/>
                          </a:xfrm>
                          <a:prstGeom prst="rect">
                            <a:avLst/>
                          </a:prstGeom>
                          <a:noFill/>
                          <a:ln>
                            <a:noFill/>
                          </a:ln>
                        </pic:spPr>
                      </pic:pic>
                    </a:graphicData>
                  </a:graphic>
                </wp:anchor>
              </w:drawing>
            </w:r>
            <w:r>
              <w:rPr>
                <w:rFonts w:hint="default" w:ascii="Times New Roman" w:hAnsi="Times New Roman" w:cs="Times New Roman" w:eastAsiaTheme="minorEastAsia"/>
                <w:b/>
                <w:bCs/>
                <w:lang w:val="en-US" w:eastAsia="zh-CN"/>
              </w:rPr>
              <w:t>图2-6 项目物料平衡图（t/a）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bidi w:val="0"/>
              <w:jc w:val="center"/>
              <w:rPr>
                <w:rFonts w:hint="default"/>
                <w:sz w:val="24"/>
                <w:szCs w:val="24"/>
                <w:vertAlign w:val="baseline"/>
                <w:lang w:val="en-US" w:eastAsia="zh-CN"/>
              </w:rPr>
            </w:pPr>
            <w:r>
              <w:rPr>
                <w:rFonts w:hint="eastAsia"/>
                <w:sz w:val="24"/>
                <w:szCs w:val="24"/>
                <w:vertAlign w:val="baseline"/>
                <w:lang w:val="en-US" w:eastAsia="zh-CN"/>
              </w:rPr>
              <w:t>与项目有关的原有环境污染</w:t>
            </w:r>
          </w:p>
        </w:tc>
        <w:tc>
          <w:tcPr>
            <w:tcW w:w="8786" w:type="dxa"/>
            <w:vAlign w:val="center"/>
          </w:tcPr>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2"/>
                <w:lang w:eastAsia="zh-CN"/>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本项目为新建项目，</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租赁</w:t>
            </w: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租用湖南省永州市新田县大坪塘小明路村的集体土地建设</w:t>
            </w:r>
            <w:r>
              <w:rPr>
                <w:rFonts w:hint="default" w:ascii="Times New Roman" w:hAnsi="Times New Roman" w:eastAsia="宋体" w:cs="Times New Roman"/>
                <w:color w:val="000000" w:themeColor="text1"/>
                <w:sz w:val="24"/>
                <w:szCs w:val="22"/>
                <w:u w:val="none"/>
                <w:lang w:val="en-US" w:eastAsia="zh-CN"/>
                <w14:textFill>
                  <w14:solidFill>
                    <w14:schemeClr w14:val="tx1"/>
                  </w14:solidFill>
                </w14:textFill>
              </w:rPr>
              <w:t>进行建设，</w:t>
            </w:r>
            <w:r>
              <w:rPr>
                <w:rFonts w:hint="default" w:ascii="Times New Roman" w:hAnsi="Times New Roman" w:eastAsia="宋体" w:cs="Times New Roman"/>
                <w:color w:val="000000" w:themeColor="text1"/>
                <w:sz w:val="24"/>
                <w:szCs w:val="22"/>
                <w14:textFill>
                  <w14:solidFill>
                    <w14:schemeClr w14:val="tx1"/>
                  </w14:solidFill>
                </w14:textFill>
              </w:rPr>
              <w:t>不存在原有污染情况及环境问题</w:t>
            </w:r>
            <w:r>
              <w:rPr>
                <w:rFonts w:hint="eastAsia" w:ascii="Times New Roman" w:hAnsi="Times New Roman" w:cs="Times New Roman"/>
                <w:color w:val="000000" w:themeColor="text1"/>
                <w:sz w:val="24"/>
                <w:szCs w:val="22"/>
                <w:lang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pStyle w:val="16"/>
              <w:ind w:left="0" w:leftChars="0" w:firstLine="0" w:firstLineChars="0"/>
              <w:jc w:val="both"/>
              <w:rPr>
                <w:rFonts w:hint="eastAsia"/>
                <w:sz w:val="24"/>
                <w:szCs w:val="24"/>
                <w:lang w:val="en-US" w:eastAsia="zh-CN"/>
              </w:rPr>
            </w:pPr>
          </w:p>
        </w:tc>
      </w:tr>
    </w:tbl>
    <w:p>
      <w:pPr>
        <w:bidi w:val="0"/>
        <w:rPr>
          <w:rFonts w:hint="eastAsia"/>
          <w:lang w:val="en-US" w:eastAsia="zh-CN"/>
        </w:rPr>
        <w:sectPr>
          <w:pgSz w:w="11906" w:h="16838"/>
          <w:pgMar w:top="1803" w:right="1440" w:bottom="1803" w:left="1440" w:header="851" w:footer="992" w:gutter="0"/>
          <w:pgNumType w:fmt="decimal"/>
          <w:cols w:space="425" w:num="1"/>
          <w:docGrid w:type="lines" w:linePitch="31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eastAsia"/>
          <w:lang w:val="en-US" w:eastAsia="zh-CN"/>
        </w:rPr>
      </w:pPr>
      <w:bookmarkStart w:id="2" w:name="_Toc18699"/>
      <w:r>
        <w:rPr>
          <w:rFonts w:hint="eastAsia"/>
          <w:b/>
          <w:sz w:val="36"/>
          <w:szCs w:val="36"/>
          <w:lang w:val="en-US" w:eastAsia="zh-CN"/>
        </w:rPr>
        <w:t>三、区域环境质量现状、环境保护目标及评价标准</w:t>
      </w:r>
      <w:bookmarkEnd w:id="2"/>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8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bidi w:val="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区域环境质量现状</w:t>
            </w:r>
          </w:p>
        </w:tc>
        <w:tc>
          <w:tcPr>
            <w:tcW w:w="8566" w:type="dxa"/>
            <w:vAlign w:val="center"/>
          </w:tcPr>
          <w:p>
            <w:pPr>
              <w:widowControl w:val="0"/>
              <w:adjustRightInd w:val="0"/>
              <w:snapToGrid w:val="0"/>
              <w:spacing w:line="360" w:lineRule="auto"/>
              <w:ind w:left="0" w:leftChars="0" w:right="318" w:firstLine="0" w:firstLineChars="0"/>
              <w:jc w:val="both"/>
              <w:rPr>
                <w:rFonts w:hint="default" w:ascii="Times New Roman" w:hAnsi="Times New Roman" w:eastAsia="宋体" w:cs="Times New Roman"/>
                <w:b/>
                <w:color w:val="auto"/>
                <w:spacing w:val="0"/>
                <w:kern w:val="21"/>
                <w:sz w:val="28"/>
                <w:szCs w:val="28"/>
                <w:lang w:val="en-US" w:eastAsia="zh-CN" w:bidi="ar-SA"/>
              </w:rPr>
            </w:pPr>
            <w:bookmarkStart w:id="3" w:name="_Toc411767822"/>
            <w:r>
              <w:rPr>
                <w:rFonts w:hint="default" w:ascii="Times New Roman" w:hAnsi="Times New Roman" w:eastAsia="宋体" w:cs="Times New Roman"/>
                <w:b/>
                <w:color w:val="auto"/>
                <w:spacing w:val="0"/>
                <w:kern w:val="21"/>
                <w:sz w:val="28"/>
                <w:szCs w:val="28"/>
                <w:lang w:val="en-US" w:eastAsia="zh-CN" w:bidi="ar-SA"/>
              </w:rPr>
              <w:t>建设项目所在地区域环境质量现状及主要环境问题（环境空气、地面水、地下水、声环境、生态环境等）</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color w:val="000000"/>
                <w:kern w:val="2"/>
                <w:sz w:val="24"/>
                <w:szCs w:val="22"/>
                <w:lang w:val="en-US" w:eastAsia="zh-CN" w:bidi="ar-SA"/>
              </w:rPr>
            </w:pPr>
            <w:r>
              <w:rPr>
                <w:rFonts w:hint="default" w:ascii="Times New Roman" w:hAnsi="Times New Roman" w:eastAsia="宋体" w:cs="Times New Roman"/>
                <w:b/>
                <w:bCs/>
                <w:color w:val="000000"/>
                <w:kern w:val="2"/>
                <w:sz w:val="24"/>
                <w:szCs w:val="22"/>
                <w:lang w:val="en-US" w:eastAsia="zh-CN" w:bidi="ar-SA"/>
              </w:rPr>
              <w:t>1、大气环境质量现状</w:t>
            </w:r>
            <w:bookmarkEnd w:id="3"/>
          </w:p>
          <w:p>
            <w:pPr>
              <w:pStyle w:val="30"/>
              <w:pageBreakBefore w:val="0"/>
              <w:widowControl w:val="0"/>
              <w:kinsoku/>
              <w:wordWrap/>
              <w:overflowPunct/>
              <w:topLinePunct w:val="0"/>
              <w:autoSpaceDE/>
              <w:autoSpaceDN/>
              <w:bidi w:val="0"/>
              <w:adjustRightInd w:val="0"/>
              <w:snapToGrid w:val="0"/>
              <w:spacing w:line="360" w:lineRule="auto"/>
              <w:ind w:firstLine="482"/>
              <w:jc w:val="both"/>
              <w:textAlignment w:val="auto"/>
              <w:rPr>
                <w:rFonts w:hint="default" w:ascii="Times New Roman" w:hAnsi="Times New Roman" w:eastAsia="宋体" w:cs="Times New Roman"/>
                <w:bCs/>
                <w:color w:val="000000"/>
                <w:sz w:val="24"/>
                <w:szCs w:val="24"/>
                <w:u w:val="none"/>
              </w:rPr>
            </w:pPr>
            <w:r>
              <w:rPr>
                <w:rFonts w:hint="default" w:ascii="Times New Roman" w:hAnsi="Times New Roman" w:eastAsia="宋体" w:cs="Times New Roman"/>
                <w:bCs/>
                <w:color w:val="000000"/>
                <w:sz w:val="24"/>
                <w:szCs w:val="24"/>
                <w:u w:val="none"/>
              </w:rPr>
              <w:t>（1）达标区判定</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w:t>
            </w:r>
            <w:r>
              <w:rPr>
                <w:rFonts w:hint="eastAsia" w:ascii="Times New Roman" w:hAnsi="Times New Roman" w:eastAsia="宋体" w:cs="Times New Roman"/>
                <w:color w:val="000000"/>
                <w:sz w:val="24"/>
                <w:szCs w:val="24"/>
              </w:rPr>
              <w:t>永州市生态环境</w:t>
            </w:r>
            <w:r>
              <w:rPr>
                <w:rFonts w:ascii="Times New Roman" w:hAnsi="Times New Roman" w:eastAsia="宋体" w:cs="Times New Roman"/>
                <w:color w:val="000000"/>
                <w:sz w:val="24"/>
                <w:szCs w:val="24"/>
              </w:rPr>
              <w:t>局监测科发布的《关于2020年12月份全市环境质量状况的通报》（永生环委办</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2021</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5号）统计的环</w:t>
            </w:r>
            <w:r>
              <w:rPr>
                <w:rFonts w:hint="eastAsia" w:ascii="Times New Roman" w:hAnsi="Times New Roman" w:eastAsia="宋体" w:cs="Times New Roman"/>
                <w:color w:val="000000"/>
                <w:sz w:val="24"/>
                <w:szCs w:val="24"/>
              </w:rPr>
              <w:t>境监测结果</w:t>
            </w:r>
            <w:r>
              <w:rPr>
                <w:rFonts w:ascii="Times New Roman" w:hAnsi="Times New Roman" w:eastAsia="宋体" w:cs="Times New Roman"/>
                <w:color w:val="000000"/>
                <w:sz w:val="24"/>
                <w:szCs w:val="24"/>
              </w:rPr>
              <w:t>，来判定县域大气环境质量达标情况，统计数据显示环境空气中各污染因子浓度值均能够达到</w:t>
            </w:r>
            <w:r>
              <w:rPr>
                <w:rFonts w:ascii="Times New Roman" w:hAnsi="Times New Roman" w:eastAsia="宋体" w:cs="Times New Roman"/>
                <w:snapToGrid w:val="0"/>
                <w:color w:val="000000"/>
                <w:kern w:val="0"/>
                <w:sz w:val="24"/>
                <w:szCs w:val="24"/>
              </w:rPr>
              <w:t>《环境空气质量标准》（GB3095-2012）中二级标准及修改单要求，</w:t>
            </w:r>
            <w:r>
              <w:rPr>
                <w:rFonts w:ascii="Times New Roman" w:hAnsi="Times New Roman" w:eastAsia="宋体" w:cs="Times New Roman"/>
                <w:color w:val="000000"/>
                <w:sz w:val="24"/>
                <w:szCs w:val="24"/>
              </w:rPr>
              <w:t>新田县属于20</w:t>
            </w:r>
            <w:r>
              <w:rPr>
                <w:rFonts w:hint="eastAsia" w:ascii="Times New Roman" w:hAnsi="Times New Roman" w:eastAsia="宋体" w:cs="Times New Roman"/>
                <w:color w:val="000000"/>
                <w:sz w:val="24"/>
                <w:szCs w:val="24"/>
              </w:rPr>
              <w:t>20</w:t>
            </w:r>
            <w:r>
              <w:rPr>
                <w:rFonts w:ascii="Times New Roman" w:hAnsi="Times New Roman" w:eastAsia="宋体" w:cs="Times New Roman"/>
                <w:color w:val="000000"/>
                <w:sz w:val="24"/>
                <w:szCs w:val="24"/>
              </w:rPr>
              <w:t>年度环境质量达标区。具体情况详见表</w:t>
            </w:r>
            <w:r>
              <w:rPr>
                <w:rFonts w:hint="eastAsia" w:ascii="Times New Roman" w:hAnsi="Times New Roman" w:eastAsia="宋体" w:cs="Times New Roman"/>
                <w:color w:val="000000"/>
                <w:sz w:val="24"/>
                <w:szCs w:val="24"/>
                <w:lang w:val="en-US" w:eastAsia="zh-CN"/>
              </w:rPr>
              <w:t>3-1</w:t>
            </w:r>
            <w:r>
              <w:rPr>
                <w:rFonts w:ascii="Times New Roman" w:hAnsi="Times New Roman" w:eastAsia="宋体" w:cs="Times New Roman"/>
                <w:color w:val="000000"/>
                <w:sz w:val="24"/>
                <w:szCs w:val="24"/>
              </w:rPr>
              <w:t>。</w:t>
            </w:r>
          </w:p>
          <w:p>
            <w:pPr>
              <w:adjustRightInd w:val="0"/>
              <w:snapToGrid w:val="0"/>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表</w:t>
            </w:r>
            <w:r>
              <w:rPr>
                <w:rFonts w:hint="eastAsia" w:ascii="Times New Roman" w:hAnsi="Times New Roman" w:eastAsia="宋体" w:cs="Times New Roman"/>
                <w:b/>
                <w:bCs/>
                <w:color w:val="000000"/>
                <w:sz w:val="21"/>
                <w:szCs w:val="21"/>
                <w:lang w:val="en-US" w:eastAsia="zh-CN"/>
              </w:rPr>
              <w:t>3-1</w:t>
            </w:r>
            <w:r>
              <w:rPr>
                <w:rFonts w:ascii="Times New Roman" w:hAnsi="Times New Roman" w:eastAsia="宋体" w:cs="Times New Roman"/>
                <w:b/>
                <w:bCs/>
                <w:color w:val="000000"/>
                <w:sz w:val="21"/>
                <w:szCs w:val="21"/>
              </w:rPr>
              <w:t xml:space="preserve"> 县域空气质量现状评价表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359"/>
              <w:gridCol w:w="1756"/>
              <w:gridCol w:w="1617"/>
              <w:gridCol w:w="970"/>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污染物</w:t>
                  </w:r>
                </w:p>
              </w:tc>
              <w:tc>
                <w:tcPr>
                  <w:tcW w:w="2359" w:type="dxa"/>
                  <w:noWrap w:val="0"/>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年评价指标</w:t>
                  </w:r>
                </w:p>
              </w:tc>
              <w:tc>
                <w:tcPr>
                  <w:tcW w:w="1756" w:type="dxa"/>
                  <w:noWrap w:val="0"/>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现状浓度/（μg/m</w:t>
                  </w:r>
                  <w:r>
                    <w:rPr>
                      <w:rFonts w:ascii="Times New Roman" w:hAnsi="Times New Roman" w:eastAsia="宋体" w:cs="Times New Roman"/>
                      <w:b/>
                      <w:bCs/>
                      <w:color w:val="000000"/>
                      <w:szCs w:val="21"/>
                      <w:vertAlign w:val="superscript"/>
                    </w:rPr>
                    <w:t>3</w:t>
                  </w:r>
                  <w:r>
                    <w:rPr>
                      <w:rFonts w:ascii="Times New Roman" w:hAnsi="Times New Roman" w:eastAsia="宋体" w:cs="Times New Roman"/>
                      <w:b/>
                      <w:bCs/>
                      <w:color w:val="000000"/>
                      <w:szCs w:val="21"/>
                    </w:rPr>
                    <w:t>）</w:t>
                  </w:r>
                </w:p>
              </w:tc>
              <w:tc>
                <w:tcPr>
                  <w:tcW w:w="1617" w:type="dxa"/>
                  <w:noWrap w:val="0"/>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标准值/（μg/m</w:t>
                  </w:r>
                  <w:r>
                    <w:rPr>
                      <w:rFonts w:ascii="Times New Roman" w:hAnsi="Times New Roman" w:eastAsia="宋体" w:cs="Times New Roman"/>
                      <w:b/>
                      <w:bCs/>
                      <w:color w:val="000000"/>
                      <w:szCs w:val="21"/>
                      <w:vertAlign w:val="superscript"/>
                    </w:rPr>
                    <w:t>3</w:t>
                  </w:r>
                  <w:r>
                    <w:rPr>
                      <w:rFonts w:ascii="Times New Roman" w:hAnsi="Times New Roman" w:eastAsia="宋体" w:cs="Times New Roman"/>
                      <w:b/>
                      <w:bCs/>
                      <w:color w:val="000000"/>
                      <w:szCs w:val="21"/>
                    </w:rPr>
                    <w:t>）</w:t>
                  </w:r>
                </w:p>
              </w:tc>
              <w:tc>
                <w:tcPr>
                  <w:tcW w:w="970" w:type="dxa"/>
                  <w:noWrap w:val="0"/>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占标率/%</w:t>
                  </w:r>
                </w:p>
              </w:tc>
              <w:tc>
                <w:tcPr>
                  <w:tcW w:w="843" w:type="dxa"/>
                  <w:noWrap w:val="0"/>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SO</w:t>
                  </w:r>
                  <w:r>
                    <w:rPr>
                      <w:rFonts w:ascii="Times New Roman" w:hAnsi="Times New Roman" w:eastAsia="宋体" w:cs="Times New Roman"/>
                      <w:color w:val="000000"/>
                      <w:szCs w:val="21"/>
                      <w:vertAlign w:val="subscript"/>
                    </w:rPr>
                    <w:t>2</w:t>
                  </w:r>
                </w:p>
              </w:tc>
              <w:tc>
                <w:tcPr>
                  <w:tcW w:w="2359"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年平均质量浓度</w:t>
                  </w:r>
                </w:p>
              </w:tc>
              <w:tc>
                <w:tcPr>
                  <w:tcW w:w="1756" w:type="dxa"/>
                  <w:noWrap w:val="0"/>
                  <w:vAlign w:val="center"/>
                </w:tcPr>
                <w:p>
                  <w:pPr>
                    <w:pStyle w:val="43"/>
                    <w:spacing w:line="240" w:lineRule="auto"/>
                    <w:ind w:firstLine="0" w:firstLineChars="0"/>
                    <w:jc w:val="center"/>
                    <w:rPr>
                      <w:rFonts w:hint="eastAsia" w:ascii="Times New Roman" w:hAnsi="Times New Roman" w:eastAsia="宋体" w:cs="Times New Roman"/>
                      <w:bCs/>
                      <w:color w:val="000000"/>
                    </w:rPr>
                  </w:pPr>
                  <w:r>
                    <w:rPr>
                      <w:rFonts w:hint="eastAsia" w:ascii="Times New Roman" w:hAnsi="Times New Roman" w:eastAsia="宋体" w:cs="Times New Roman"/>
                      <w:bCs/>
                      <w:color w:val="000000"/>
                    </w:rPr>
                    <w:t>7</w:t>
                  </w:r>
                </w:p>
              </w:tc>
              <w:tc>
                <w:tcPr>
                  <w:tcW w:w="1617"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ascii="Times New Roman" w:hAnsi="Times New Roman" w:eastAsia="宋体" w:cs="Times New Roman"/>
                      <w:bCs/>
                      <w:color w:val="000000"/>
                    </w:rPr>
                    <w:t>35</w:t>
                  </w:r>
                </w:p>
              </w:tc>
              <w:tc>
                <w:tcPr>
                  <w:tcW w:w="970"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hint="eastAsia" w:ascii="Times New Roman" w:hAnsi="Times New Roman" w:eastAsia="宋体" w:cs="Times New Roman"/>
                      <w:bCs/>
                      <w:color w:val="000000"/>
                    </w:rPr>
                    <w:t>20</w:t>
                  </w:r>
                </w:p>
              </w:tc>
              <w:tc>
                <w:tcPr>
                  <w:tcW w:w="843"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NO</w:t>
                  </w:r>
                  <w:r>
                    <w:rPr>
                      <w:rFonts w:ascii="Times New Roman" w:hAnsi="Times New Roman" w:eastAsia="宋体" w:cs="Times New Roman"/>
                      <w:color w:val="000000"/>
                      <w:szCs w:val="21"/>
                      <w:vertAlign w:val="subscript"/>
                    </w:rPr>
                    <w:t>2</w:t>
                  </w:r>
                </w:p>
              </w:tc>
              <w:tc>
                <w:tcPr>
                  <w:tcW w:w="2359"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年平均质量浓度</w:t>
                  </w:r>
                </w:p>
              </w:tc>
              <w:tc>
                <w:tcPr>
                  <w:tcW w:w="1756"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hint="eastAsia" w:ascii="Times New Roman" w:hAnsi="Times New Roman" w:eastAsia="宋体" w:cs="Times New Roman"/>
                      <w:bCs/>
                      <w:color w:val="000000"/>
                    </w:rPr>
                    <w:t>12</w:t>
                  </w:r>
                </w:p>
              </w:tc>
              <w:tc>
                <w:tcPr>
                  <w:tcW w:w="1617"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ascii="Times New Roman" w:hAnsi="Times New Roman" w:eastAsia="宋体" w:cs="Times New Roman"/>
                      <w:bCs/>
                      <w:color w:val="000000"/>
                    </w:rPr>
                    <w:t>70</w:t>
                  </w:r>
                </w:p>
              </w:tc>
              <w:tc>
                <w:tcPr>
                  <w:tcW w:w="970"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hint="eastAsia" w:ascii="Times New Roman" w:hAnsi="Times New Roman" w:eastAsia="宋体" w:cs="Times New Roman"/>
                      <w:bCs/>
                      <w:color w:val="000000"/>
                    </w:rPr>
                    <w:t>17.14</w:t>
                  </w:r>
                </w:p>
              </w:tc>
              <w:tc>
                <w:tcPr>
                  <w:tcW w:w="843"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PM</w:t>
                  </w:r>
                  <w:r>
                    <w:rPr>
                      <w:rFonts w:ascii="Times New Roman" w:hAnsi="Times New Roman" w:eastAsia="宋体" w:cs="Times New Roman"/>
                      <w:color w:val="000000"/>
                      <w:szCs w:val="21"/>
                      <w:vertAlign w:val="subscript"/>
                    </w:rPr>
                    <w:t>10</w:t>
                  </w:r>
                </w:p>
              </w:tc>
              <w:tc>
                <w:tcPr>
                  <w:tcW w:w="2359"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年平均质量浓度</w:t>
                  </w:r>
                </w:p>
              </w:tc>
              <w:tc>
                <w:tcPr>
                  <w:tcW w:w="1756"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hint="eastAsia" w:ascii="Times New Roman" w:hAnsi="Times New Roman" w:eastAsia="宋体" w:cs="Times New Roman"/>
                      <w:bCs/>
                      <w:color w:val="000000"/>
                    </w:rPr>
                    <w:t>46</w:t>
                  </w:r>
                </w:p>
              </w:tc>
              <w:tc>
                <w:tcPr>
                  <w:tcW w:w="1617"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ascii="Times New Roman" w:hAnsi="Times New Roman" w:eastAsia="宋体" w:cs="Times New Roman"/>
                      <w:bCs/>
                      <w:color w:val="000000"/>
                    </w:rPr>
                    <w:t>60</w:t>
                  </w:r>
                </w:p>
              </w:tc>
              <w:tc>
                <w:tcPr>
                  <w:tcW w:w="970"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hint="eastAsia" w:ascii="Times New Roman" w:hAnsi="Times New Roman" w:eastAsia="宋体" w:cs="Times New Roman"/>
                      <w:bCs/>
                      <w:color w:val="000000"/>
                    </w:rPr>
                    <w:t>76.67</w:t>
                  </w:r>
                </w:p>
              </w:tc>
              <w:tc>
                <w:tcPr>
                  <w:tcW w:w="843"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PM</w:t>
                  </w:r>
                  <w:r>
                    <w:rPr>
                      <w:rFonts w:ascii="Times New Roman" w:hAnsi="Times New Roman" w:eastAsia="宋体" w:cs="Times New Roman"/>
                      <w:color w:val="000000"/>
                      <w:szCs w:val="21"/>
                      <w:vertAlign w:val="subscript"/>
                    </w:rPr>
                    <w:t>2.5</w:t>
                  </w:r>
                </w:p>
              </w:tc>
              <w:tc>
                <w:tcPr>
                  <w:tcW w:w="2359"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年平均质量浓度</w:t>
                  </w:r>
                </w:p>
              </w:tc>
              <w:tc>
                <w:tcPr>
                  <w:tcW w:w="1756"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hint="eastAsia" w:ascii="Times New Roman" w:hAnsi="Times New Roman" w:eastAsia="宋体" w:cs="Times New Roman"/>
                      <w:bCs/>
                      <w:color w:val="000000"/>
                    </w:rPr>
                    <w:t>29</w:t>
                  </w:r>
                </w:p>
              </w:tc>
              <w:tc>
                <w:tcPr>
                  <w:tcW w:w="1617"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ascii="Times New Roman" w:hAnsi="Times New Roman" w:eastAsia="宋体" w:cs="Times New Roman"/>
                      <w:bCs/>
                      <w:color w:val="000000"/>
                    </w:rPr>
                    <w:t>40</w:t>
                  </w:r>
                </w:p>
              </w:tc>
              <w:tc>
                <w:tcPr>
                  <w:tcW w:w="970"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hint="eastAsia" w:ascii="Times New Roman" w:hAnsi="Times New Roman" w:eastAsia="宋体" w:cs="Times New Roman"/>
                      <w:bCs/>
                      <w:color w:val="000000"/>
                    </w:rPr>
                    <w:t>72.5</w:t>
                  </w:r>
                </w:p>
              </w:tc>
              <w:tc>
                <w:tcPr>
                  <w:tcW w:w="843"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CO</w:t>
                  </w:r>
                </w:p>
              </w:tc>
              <w:tc>
                <w:tcPr>
                  <w:tcW w:w="2359"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第95百分位数日平均浓度</w:t>
                  </w:r>
                </w:p>
              </w:tc>
              <w:tc>
                <w:tcPr>
                  <w:tcW w:w="1756"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hint="eastAsia" w:ascii="Times New Roman" w:hAnsi="Times New Roman" w:eastAsia="宋体" w:cs="Times New Roman"/>
                      <w:bCs/>
                      <w:color w:val="000000"/>
                    </w:rPr>
                    <w:t>900</w:t>
                  </w:r>
                </w:p>
              </w:tc>
              <w:tc>
                <w:tcPr>
                  <w:tcW w:w="1617"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ascii="Times New Roman" w:hAnsi="Times New Roman" w:eastAsia="宋体" w:cs="Times New Roman"/>
                      <w:bCs/>
                      <w:color w:val="000000"/>
                    </w:rPr>
                    <w:t>4000</w:t>
                  </w:r>
                </w:p>
              </w:tc>
              <w:tc>
                <w:tcPr>
                  <w:tcW w:w="970"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hint="eastAsia" w:ascii="Times New Roman" w:hAnsi="Times New Roman" w:eastAsia="宋体" w:cs="Times New Roman"/>
                      <w:bCs/>
                      <w:color w:val="000000"/>
                    </w:rPr>
                    <w:t>22.5</w:t>
                  </w:r>
                </w:p>
              </w:tc>
              <w:tc>
                <w:tcPr>
                  <w:tcW w:w="843"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O</w:t>
                  </w:r>
                  <w:r>
                    <w:rPr>
                      <w:rFonts w:ascii="Times New Roman" w:hAnsi="Times New Roman" w:eastAsia="宋体" w:cs="Times New Roman"/>
                      <w:color w:val="000000"/>
                      <w:szCs w:val="21"/>
                      <w:vertAlign w:val="subscript"/>
                    </w:rPr>
                    <w:t>3</w:t>
                  </w:r>
                </w:p>
              </w:tc>
              <w:tc>
                <w:tcPr>
                  <w:tcW w:w="2359"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第90百分位数日最大8h平均浓度</w:t>
                  </w:r>
                </w:p>
              </w:tc>
              <w:tc>
                <w:tcPr>
                  <w:tcW w:w="1756"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hint="eastAsia" w:ascii="Times New Roman" w:hAnsi="Times New Roman" w:eastAsia="宋体" w:cs="Times New Roman"/>
                      <w:bCs/>
                      <w:color w:val="000000"/>
                    </w:rPr>
                    <w:t>120</w:t>
                  </w:r>
                </w:p>
              </w:tc>
              <w:tc>
                <w:tcPr>
                  <w:tcW w:w="1617"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ascii="Times New Roman" w:hAnsi="Times New Roman" w:eastAsia="宋体" w:cs="Times New Roman"/>
                      <w:bCs/>
                      <w:color w:val="000000"/>
                    </w:rPr>
                    <w:t>160</w:t>
                  </w:r>
                </w:p>
              </w:tc>
              <w:tc>
                <w:tcPr>
                  <w:tcW w:w="970" w:type="dxa"/>
                  <w:noWrap w:val="0"/>
                  <w:vAlign w:val="center"/>
                </w:tcPr>
                <w:p>
                  <w:pPr>
                    <w:pStyle w:val="43"/>
                    <w:spacing w:line="240" w:lineRule="auto"/>
                    <w:ind w:firstLine="0" w:firstLineChars="0"/>
                    <w:jc w:val="center"/>
                    <w:rPr>
                      <w:rFonts w:ascii="Times New Roman" w:hAnsi="Times New Roman" w:eastAsia="宋体" w:cs="Times New Roman"/>
                      <w:bCs/>
                      <w:color w:val="000000"/>
                    </w:rPr>
                  </w:pPr>
                  <w:r>
                    <w:rPr>
                      <w:rFonts w:hint="eastAsia" w:ascii="Times New Roman" w:hAnsi="Times New Roman" w:eastAsia="宋体" w:cs="Times New Roman"/>
                      <w:bCs/>
                      <w:color w:val="000000"/>
                    </w:rPr>
                    <w:t>75</w:t>
                  </w:r>
                </w:p>
              </w:tc>
              <w:tc>
                <w:tcPr>
                  <w:tcW w:w="843"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32"/>
                <w:szCs w:val="20"/>
                <w14:textFill>
                  <w14:solidFill>
                    <w14:schemeClr w14:val="tx1"/>
                  </w14:solidFill>
                </w14:textFill>
              </w:rPr>
            </w:pPr>
            <w:r>
              <w:rPr>
                <w:rFonts w:hint="default" w:ascii="Times New Roman" w:hAnsi="Times New Roman" w:eastAsia="宋体" w:cs="Times New Roman"/>
                <w:color w:val="auto"/>
                <w:sz w:val="24"/>
                <w:szCs w:val="24"/>
                <w:lang w:val="en-US"/>
              </w:rPr>
              <w:t>上表可知，20</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lang w:val="en-US"/>
              </w:rPr>
              <w:t>年</w:t>
            </w:r>
            <w:r>
              <w:rPr>
                <w:rFonts w:hint="eastAsia" w:ascii="Times New Roman" w:hAnsi="Times New Roman" w:cs="Times New Roman"/>
                <w:color w:val="auto"/>
                <w:sz w:val="24"/>
                <w:szCs w:val="24"/>
                <w:lang w:val="en-US" w:eastAsia="zh-CN"/>
              </w:rPr>
              <w:t>新田</w:t>
            </w:r>
            <w:r>
              <w:rPr>
                <w:rFonts w:hint="default" w:ascii="Times New Roman" w:hAnsi="Times New Roman" w:eastAsia="宋体" w:cs="Times New Roman"/>
                <w:color w:val="auto"/>
                <w:sz w:val="24"/>
                <w:szCs w:val="24"/>
                <w:lang w:val="en-US" w:eastAsia="zh-CN"/>
              </w:rPr>
              <w:t>县</w:t>
            </w:r>
            <w:r>
              <w:rPr>
                <w:rFonts w:hint="default" w:ascii="Times New Roman" w:hAnsi="Times New Roman" w:eastAsia="宋体" w:cs="Times New Roman"/>
                <w:color w:val="auto"/>
                <w:sz w:val="24"/>
                <w:szCs w:val="24"/>
                <w:lang w:val="en-US"/>
              </w:rPr>
              <w:t>SO</w:t>
            </w:r>
            <w:r>
              <w:rPr>
                <w:rFonts w:hint="default" w:ascii="Times New Roman" w:hAnsi="Times New Roman" w:eastAsia="宋体" w:cs="Times New Roman"/>
                <w:color w:val="auto"/>
                <w:sz w:val="24"/>
                <w:szCs w:val="24"/>
                <w:vertAlign w:val="subscript"/>
                <w:lang w:val="en-US"/>
              </w:rPr>
              <w:t>2</w:t>
            </w:r>
            <w:r>
              <w:rPr>
                <w:rFonts w:hint="default" w:ascii="Times New Roman" w:hAnsi="Times New Roman" w:eastAsia="宋体" w:cs="Times New Roman"/>
                <w:color w:val="auto"/>
                <w:sz w:val="24"/>
                <w:szCs w:val="24"/>
                <w:lang w:val="en-US"/>
              </w:rPr>
              <w:t>、NO</w:t>
            </w:r>
            <w:r>
              <w:rPr>
                <w:rFonts w:hint="default" w:ascii="Times New Roman" w:hAnsi="Times New Roman" w:eastAsia="宋体" w:cs="Times New Roman"/>
                <w:color w:val="auto"/>
                <w:sz w:val="24"/>
                <w:szCs w:val="24"/>
                <w:vertAlign w:val="subscript"/>
                <w:lang w:val="en-US"/>
              </w:rPr>
              <w:t>2</w:t>
            </w:r>
            <w:r>
              <w:rPr>
                <w:rFonts w:hint="default" w:ascii="Times New Roman" w:hAnsi="Times New Roman" w:eastAsia="宋体" w:cs="Times New Roman"/>
                <w:color w:val="auto"/>
                <w:sz w:val="24"/>
                <w:szCs w:val="24"/>
                <w:lang w:val="en-US"/>
              </w:rPr>
              <w:t>、CO、O</w:t>
            </w:r>
            <w:r>
              <w:rPr>
                <w:rFonts w:hint="default" w:ascii="Times New Roman" w:hAnsi="Times New Roman" w:eastAsia="宋体" w:cs="Times New Roman"/>
                <w:color w:val="auto"/>
                <w:sz w:val="24"/>
                <w:szCs w:val="24"/>
                <w:vertAlign w:val="subscript"/>
                <w:lang w:val="en-US"/>
              </w:rPr>
              <w:t>3</w:t>
            </w:r>
            <w:r>
              <w:rPr>
                <w:rFonts w:hint="default" w:ascii="Times New Roman" w:hAnsi="Times New Roman" w:eastAsia="宋体" w:cs="Times New Roman"/>
                <w:color w:val="auto"/>
                <w:sz w:val="24"/>
                <w:szCs w:val="24"/>
                <w:lang w:val="en-US"/>
              </w:rPr>
              <w:t>、PM</w:t>
            </w:r>
            <w:r>
              <w:rPr>
                <w:rFonts w:hint="default" w:ascii="Times New Roman" w:hAnsi="Times New Roman" w:eastAsia="宋体" w:cs="Times New Roman"/>
                <w:color w:val="auto"/>
                <w:sz w:val="24"/>
                <w:szCs w:val="24"/>
                <w:vertAlign w:val="subscript"/>
                <w:lang w:val="en-US"/>
              </w:rPr>
              <w:t>2.5</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rPr>
              <w:t>PM</w:t>
            </w:r>
            <w:r>
              <w:rPr>
                <w:rFonts w:hint="default" w:ascii="Times New Roman" w:hAnsi="Times New Roman" w:eastAsia="宋体" w:cs="Times New Roman"/>
                <w:color w:val="auto"/>
                <w:sz w:val="24"/>
                <w:szCs w:val="24"/>
                <w:vertAlign w:val="subscript"/>
                <w:lang w:val="en-US"/>
              </w:rPr>
              <w:t>10</w:t>
            </w:r>
            <w:r>
              <w:rPr>
                <w:rFonts w:hint="default" w:ascii="Times New Roman" w:hAnsi="Times New Roman" w:eastAsia="宋体" w:cs="Times New Roman"/>
                <w:color w:val="auto"/>
                <w:sz w:val="24"/>
                <w:szCs w:val="24"/>
                <w:lang w:val="en-US"/>
              </w:rPr>
              <w:t>质量浓度满足《环境空</w:t>
            </w:r>
            <w:r>
              <w:rPr>
                <w:rFonts w:hint="default" w:ascii="Times New Roman" w:hAnsi="Times New Roman" w:eastAsia="宋体" w:cs="Times New Roman"/>
                <w:color w:val="000000" w:themeColor="text1"/>
                <w:sz w:val="24"/>
                <w:szCs w:val="24"/>
                <w:lang w:val="en-US"/>
                <w14:textFill>
                  <w14:solidFill>
                    <w14:schemeClr w14:val="tx1"/>
                  </w14:solidFill>
                </w14:textFill>
              </w:rPr>
              <w:t>气质量标准》（GB3095-2012）及其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2018年</w:t>
            </w:r>
            <w:r>
              <w:rPr>
                <w:rFonts w:hint="default" w:ascii="Times New Roman" w:hAnsi="Times New Roman" w:eastAsia="宋体" w:cs="Times New Roman"/>
                <w:color w:val="000000" w:themeColor="text1"/>
                <w:sz w:val="24"/>
                <w:szCs w:val="24"/>
                <w:lang w:val="en-US"/>
                <w14:textFill>
                  <w14:solidFill>
                    <w14:schemeClr w14:val="tx1"/>
                  </w14:solidFill>
                </w14:textFill>
              </w:rPr>
              <w:t>修改单二级标准要求，故环境空气为达标区。</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color w:val="000000" w:themeColor="text1"/>
                <w:kern w:val="2"/>
                <w:sz w:val="24"/>
                <w:szCs w:val="22"/>
                <w:lang w:val="en-US" w:eastAsia="zh-CN" w:bidi="ar-SA"/>
                <w14:textFill>
                  <w14:solidFill>
                    <w14:schemeClr w14:val="tx1"/>
                  </w14:solidFill>
                </w14:textFill>
              </w:rPr>
            </w:pPr>
            <w:bookmarkStart w:id="4" w:name="_Toc411767823"/>
            <w:bookmarkStart w:id="5" w:name="_Toc411767825"/>
            <w:r>
              <w:rPr>
                <w:rFonts w:hint="default" w:ascii="Times New Roman" w:hAnsi="Times New Roman" w:eastAsia="宋体" w:cs="Times New Roman"/>
                <w:b/>
                <w:bCs/>
                <w:color w:val="000000" w:themeColor="text1"/>
                <w:kern w:val="2"/>
                <w:sz w:val="24"/>
                <w:szCs w:val="22"/>
                <w:lang w:val="en-US" w:eastAsia="zh-CN" w:bidi="ar-SA"/>
                <w14:textFill>
                  <w14:solidFill>
                    <w14:schemeClr w14:val="tx1"/>
                  </w14:solidFill>
                </w14:textFill>
              </w:rPr>
              <w:t>2、地表水环境质量现状</w:t>
            </w:r>
            <w:bookmarkEnd w:id="4"/>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bookmarkStart w:id="6" w:name="_Toc411767824"/>
            <w:bookmarkStart w:id="7" w:name="OLE_LINK6"/>
            <w:r>
              <w:rPr>
                <w:rFonts w:hint="default" w:ascii="Times New Roman" w:hAnsi="Times New Roman" w:eastAsia="宋体" w:cs="Times New Roman"/>
                <w:color w:val="000000" w:themeColor="text1"/>
                <w:kern w:val="0"/>
                <w:sz w:val="24"/>
                <w:szCs w:val="24"/>
                <w:u w:val="none"/>
                <w14:textFill>
                  <w14:solidFill>
                    <w14:schemeClr w14:val="tx1"/>
                  </w14:solidFill>
                </w14:textFill>
              </w:rPr>
              <w:t>项目本身无废水排放</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项目所在区域地表水主要为</w:t>
            </w:r>
            <w:r>
              <w:rPr>
                <w:rFonts w:hint="eastAsia" w:ascii="Times New Roman" w:hAnsi="Times New Roman" w:eastAsia="宋体" w:cs="Times New Roman"/>
                <w:color w:val="000000" w:themeColor="text1"/>
                <w:sz w:val="24"/>
                <w:lang w:val="en-US" w:eastAsia="zh-CN"/>
                <w14:textFill>
                  <w14:solidFill>
                    <w14:schemeClr w14:val="tx1"/>
                  </w14:solidFill>
                </w14:textFill>
              </w:rPr>
              <w:t>东北</w:t>
            </w:r>
            <w:r>
              <w:rPr>
                <w:rFonts w:hint="eastAsia" w:ascii="Times New Roman" w:hAnsi="Times New Roman" w:eastAsia="宋体" w:cs="Times New Roman"/>
                <w:color w:val="000000" w:themeColor="text1"/>
                <w:sz w:val="24"/>
                <w14:textFill>
                  <w14:solidFill>
                    <w14:schemeClr w14:val="tx1"/>
                  </w14:solidFill>
                </w14:textFill>
              </w:rPr>
              <w:t>方向</w:t>
            </w:r>
            <w:r>
              <w:rPr>
                <w:rFonts w:hint="eastAsia" w:ascii="Times New Roman" w:hAnsi="Times New Roman" w:eastAsia="宋体" w:cs="Times New Roman"/>
                <w:color w:val="000000" w:themeColor="text1"/>
                <w:sz w:val="24"/>
                <w:lang w:val="en-US" w:eastAsia="zh-CN"/>
                <w14:textFill>
                  <w14:solidFill>
                    <w14:schemeClr w14:val="tx1"/>
                  </w14:solidFill>
                </w14:textFill>
              </w:rPr>
              <w:t>1k</w:t>
            </w:r>
            <w:r>
              <w:rPr>
                <w:rFonts w:hint="eastAsia" w:ascii="Times New Roman" w:hAnsi="Times New Roman" w:eastAsia="宋体" w:cs="Times New Roman"/>
                <w:color w:val="000000" w:themeColor="text1"/>
                <w:sz w:val="24"/>
                <w14:textFill>
                  <w14:solidFill>
                    <w14:schemeClr w14:val="tx1"/>
                  </w14:solidFill>
                </w14:textFill>
              </w:rPr>
              <w:t>m的</w:t>
            </w:r>
            <w:r>
              <w:rPr>
                <w:rFonts w:hint="eastAsia"/>
                <w:color w:val="000000" w:themeColor="text1"/>
                <w:sz w:val="24"/>
                <w14:textFill>
                  <w14:solidFill>
                    <w14:schemeClr w14:val="tx1"/>
                  </w14:solidFill>
                </w14:textFill>
              </w:rPr>
              <w:t>无名小溪</w:t>
            </w:r>
            <w:r>
              <w:rPr>
                <w:rFonts w:hint="eastAsia" w:ascii="Times New Roman" w:hAnsi="Times New Roman" w:eastAsia="宋体" w:cs="Times New Roman"/>
                <w:color w:val="000000" w:themeColor="text1"/>
                <w:sz w:val="24"/>
                <w14:textFill>
                  <w14:solidFill>
                    <w14:schemeClr w14:val="tx1"/>
                  </w14:solidFill>
                </w14:textFill>
              </w:rPr>
              <w:t>，为了解项目附近地表水水质现状，本次环评</w:t>
            </w:r>
            <w:r>
              <w:rPr>
                <w:rFonts w:hint="eastAsia" w:ascii="Times New Roman" w:hAnsi="Times New Roman" w:eastAsia="宋体" w:cs="Times New Roman"/>
                <w:color w:val="000000" w:themeColor="text1"/>
                <w:sz w:val="24"/>
                <w:lang w:val="en-US" w:eastAsia="zh-CN"/>
                <w14:textFill>
                  <w14:solidFill>
                    <w14:schemeClr w14:val="tx1"/>
                  </w14:solidFill>
                </w14:textFill>
              </w:rPr>
              <w:t>引用《</w:t>
            </w:r>
            <w:r>
              <w:rPr>
                <w:rFonts w:hint="eastAsia" w:ascii="宋体" w:hAnsi="宋体" w:eastAsia="宋体" w:cs="Times New Roman"/>
                <w:color w:val="000000" w:themeColor="text1"/>
                <w:kern w:val="2"/>
                <w:sz w:val="24"/>
                <w:szCs w:val="24"/>
                <w:lang w:val="en-US" w:eastAsia="zh-CN" w:bidi="ar"/>
                <w14:textFill>
                  <w14:solidFill>
                    <w14:schemeClr w14:val="tx1"/>
                  </w14:solidFill>
                </w14:textFill>
              </w:rPr>
              <w:t>新田县新航环保墙体材料有限公司年产5000万块页岩环保砖项目</w:t>
            </w:r>
            <w:r>
              <w:rPr>
                <w:rFonts w:hint="eastAsia" w:ascii="Times New Roman" w:hAnsi="Times New Roman" w:eastAsia="宋体" w:cs="Times New Roman"/>
                <w:color w:val="000000" w:themeColor="text1"/>
                <w:sz w:val="24"/>
                <w:lang w:val="en-US" w:eastAsia="zh-CN"/>
                <w14:textFill>
                  <w14:solidFill>
                    <w14:schemeClr w14:val="tx1"/>
                  </w14:solidFill>
                </w14:textFill>
              </w:rPr>
              <w:t>》中</w:t>
            </w:r>
            <w:r>
              <w:rPr>
                <w:rFonts w:hint="eastAsia" w:ascii="Times New Roman" w:hAnsi="Times New Roman" w:eastAsia="宋体" w:cs="Times New Roman"/>
                <w:color w:val="000000" w:themeColor="text1"/>
                <w:sz w:val="24"/>
                <w14:textFill>
                  <w14:solidFill>
                    <w14:schemeClr w14:val="tx1"/>
                  </w14:solidFill>
                </w14:textFill>
              </w:rPr>
              <w:t>于</w:t>
            </w:r>
            <w:r>
              <w:rPr>
                <w:rFonts w:hint="default" w:ascii="Times New Roman" w:hAnsi="Times New Roman" w:eastAsia="宋体" w:cs="Times New Roman"/>
                <w:color w:val="000000" w:themeColor="text1"/>
                <w:sz w:val="24"/>
                <w14:textFill>
                  <w14:solidFill>
                    <w14:schemeClr w14:val="tx1"/>
                  </w14:solidFill>
                </w14:textFill>
              </w:rPr>
              <w:t>2019</w:t>
            </w:r>
            <w:r>
              <w:rPr>
                <w:rFonts w:hint="eastAsia" w:ascii="Times New Roman" w:hAnsi="Times New Roman" w:eastAsia="宋体" w:cs="Times New Roman"/>
                <w:color w:val="000000" w:themeColor="text1"/>
                <w:sz w:val="24"/>
                <w14:textFill>
                  <w14:solidFill>
                    <w14:schemeClr w14:val="tx1"/>
                  </w14:solidFill>
                </w14:textFill>
              </w:rPr>
              <w:t>年</w:t>
            </w:r>
            <w:r>
              <w:rPr>
                <w:rFonts w:hint="default" w:ascii="Times New Roman" w:hAnsi="Times New Roman" w:eastAsia="宋体" w:cs="Times New Roman"/>
                <w:color w:val="000000" w:themeColor="text1"/>
                <w:sz w:val="24"/>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月</w:t>
            </w:r>
            <w:r>
              <w:rPr>
                <w:rFonts w:hint="default" w:ascii="Times New Roman" w:hAnsi="Times New Roman" w:eastAsia="宋体" w:cs="Times New Roman"/>
                <w:color w:val="000000" w:themeColor="text1"/>
                <w:sz w:val="24"/>
                <w14:textFill>
                  <w14:solidFill>
                    <w14:schemeClr w14:val="tx1"/>
                  </w14:solidFill>
                </w14:textFill>
              </w:rPr>
              <w:t>14</w:t>
            </w:r>
            <w:r>
              <w:rPr>
                <w:rFonts w:hint="eastAsia" w:ascii="Times New Roman" w:hAnsi="Times New Roman" w:eastAsia="宋体" w:cs="Times New Roman"/>
                <w:color w:val="000000" w:themeColor="text1"/>
                <w:sz w:val="24"/>
                <w14:textFill>
                  <w14:solidFill>
                    <w14:schemeClr w14:val="tx1"/>
                  </w14:solidFill>
                </w14:textFill>
              </w:rPr>
              <w:t>日</w:t>
            </w:r>
            <w:bookmarkStart w:id="8" w:name="OLE_LINK25"/>
            <w:r>
              <w:rPr>
                <w:rFonts w:hint="eastAsia" w:ascii="Times New Roman" w:hAnsi="Times New Roman" w:eastAsia="宋体" w:cs="Times New Roman"/>
                <w:color w:val="000000" w:themeColor="text1"/>
                <w:sz w:val="24"/>
                <w14:textFill>
                  <w14:solidFill>
                    <w14:schemeClr w14:val="tx1"/>
                  </w14:solidFill>
                </w14:textFill>
              </w:rPr>
              <w:t>～</w:t>
            </w:r>
            <w:bookmarkEnd w:id="8"/>
            <w:r>
              <w:rPr>
                <w:rFonts w:hint="default" w:ascii="Times New Roman" w:hAnsi="Times New Roman" w:eastAsia="宋体" w:cs="Times New Roman"/>
                <w:color w:val="000000" w:themeColor="text1"/>
                <w:sz w:val="24"/>
                <w14:textFill>
                  <w14:solidFill>
                    <w14:schemeClr w14:val="tx1"/>
                  </w14:solidFill>
                </w14:textFill>
              </w:rPr>
              <w:t>16</w:t>
            </w:r>
            <w:r>
              <w:rPr>
                <w:rFonts w:hint="eastAsia" w:ascii="Times New Roman" w:hAnsi="Times New Roman" w:eastAsia="宋体" w:cs="Times New Roman"/>
                <w:color w:val="000000" w:themeColor="text1"/>
                <w:sz w:val="24"/>
                <w14:textFill>
                  <w14:solidFill>
                    <w14:schemeClr w14:val="tx1"/>
                  </w14:solidFill>
                </w14:textFill>
              </w:rPr>
              <w:t>日对东北侧上游</w:t>
            </w:r>
            <w:r>
              <w:rPr>
                <w:rFonts w:hint="default" w:ascii="Times New Roman" w:hAnsi="Times New Roman" w:eastAsia="宋体" w:cs="Times New Roman"/>
                <w:color w:val="000000" w:themeColor="text1"/>
                <w:sz w:val="24"/>
                <w14:textFill>
                  <w14:solidFill>
                    <w14:schemeClr w14:val="tx1"/>
                  </w14:solidFill>
                </w14:textFill>
              </w:rPr>
              <w:t>500m</w:t>
            </w:r>
            <w:r>
              <w:rPr>
                <w:rFonts w:hint="eastAsia" w:ascii="Times New Roman" w:hAnsi="Times New Roman" w:eastAsia="宋体" w:cs="Times New Roman"/>
                <w:color w:val="000000" w:themeColor="text1"/>
                <w:sz w:val="24"/>
                <w14:textFill>
                  <w14:solidFill>
                    <w14:schemeClr w14:val="tx1"/>
                  </w14:solidFill>
                </w14:textFill>
              </w:rPr>
              <w:t>无名小溪、生产区东南侧下游</w:t>
            </w:r>
            <w:r>
              <w:rPr>
                <w:rFonts w:hint="default" w:ascii="Times New Roman" w:hAnsi="Times New Roman" w:eastAsia="宋体" w:cs="Times New Roman"/>
                <w:color w:val="000000" w:themeColor="text1"/>
                <w:sz w:val="24"/>
                <w14:textFill>
                  <w14:solidFill>
                    <w14:schemeClr w14:val="tx1"/>
                  </w14:solidFill>
                </w14:textFill>
              </w:rPr>
              <w:t>1400m</w:t>
            </w:r>
            <w:r>
              <w:rPr>
                <w:rFonts w:hint="eastAsia" w:ascii="Times New Roman" w:hAnsi="Times New Roman" w:eastAsia="宋体" w:cs="Times New Roman"/>
                <w:color w:val="000000" w:themeColor="text1"/>
                <w:sz w:val="24"/>
                <w14:textFill>
                  <w14:solidFill>
                    <w14:schemeClr w14:val="tx1"/>
                  </w14:solidFill>
                </w14:textFill>
              </w:rPr>
              <w:t>无名小溪连续</w:t>
            </w:r>
            <w:r>
              <w:rPr>
                <w:rFonts w:hint="default" w:ascii="Times New Roman" w:hAnsi="Times New Roman" w:eastAsia="宋体" w:cs="Times New Roman"/>
                <w:color w:val="000000" w:themeColor="text1"/>
                <w:sz w:val="24"/>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天的现状监测。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 </w:t>
            </w: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1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eastAsia" w:ascii="宋体" w:hAnsi="宋体" w:eastAsia="宋体" w:cs="宋体"/>
                <w:color w:val="000000" w:themeColor="text1"/>
                <w:sz w:val="24"/>
                <w14:textFill>
                  <w14:solidFill>
                    <w14:schemeClr w14:val="tx1"/>
                  </w14:solidFill>
                </w14:textFill>
              </w:rPr>
              <w:t>①</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eastAsia" w:ascii="Times New Roman" w:hAnsi="Times New Roman" w:eastAsia="宋体" w:cs="Times New Roman"/>
                <w:color w:val="000000" w:themeColor="text1"/>
                <w:sz w:val="24"/>
                <w14:textFill>
                  <w14:solidFill>
                    <w14:schemeClr w14:val="tx1"/>
                  </w14:solidFill>
                </w14:textFill>
              </w:rPr>
              <w:t>监测断面、监测因子</w:t>
            </w:r>
          </w:p>
          <w:p>
            <w:pPr>
              <w:keepNext w:val="0"/>
              <w:keepLines w:val="0"/>
              <w:widowControl w:val="0"/>
              <w:suppressLineNumbers w:val="0"/>
              <w:snapToGrid w:val="0"/>
              <w:spacing w:before="0" w:beforeAutospacing="0" w:after="0" w:afterAutospacing="0"/>
              <w:ind w:left="0" w:right="0" w:firstLine="562"/>
              <w:jc w:val="center"/>
              <w:rPr>
                <w:rFonts w:hint="eastAsia" w:ascii="Times New Roman" w:hAnsi="Times New Roman" w:eastAsia="宋体" w:cs="Times New Roman"/>
                <w:b/>
                <w:kern w:val="2"/>
                <w:sz w:val="24"/>
                <w:szCs w:val="24"/>
                <w:lang w:val="en-US" w:eastAsia="zh-CN" w:bidi="ar-SA"/>
              </w:rPr>
            </w:pPr>
          </w:p>
          <w:p>
            <w:pPr>
              <w:keepNext w:val="0"/>
              <w:keepLines w:val="0"/>
              <w:widowControl w:val="0"/>
              <w:suppressLineNumbers w:val="0"/>
              <w:snapToGrid w:val="0"/>
              <w:spacing w:before="0" w:beforeAutospacing="0" w:after="0" w:afterAutospacing="0"/>
              <w:ind w:left="0" w:right="0" w:firstLine="562"/>
              <w:jc w:val="center"/>
              <w:rPr>
                <w:rFonts w:hint="eastAsia" w:ascii="Times New Roman" w:hAnsi="Times New Roman" w:eastAsia="宋体" w:cs="Times New Roman"/>
                <w:b/>
                <w:kern w:val="2"/>
                <w:sz w:val="21"/>
                <w:szCs w:val="21"/>
                <w:lang w:val="en-US" w:eastAsia="zh-CN" w:bidi="ar-SA"/>
              </w:rPr>
            </w:pPr>
          </w:p>
          <w:p>
            <w:pPr>
              <w:keepNext w:val="0"/>
              <w:keepLines w:val="0"/>
              <w:widowControl w:val="0"/>
              <w:suppressLineNumbers w:val="0"/>
              <w:snapToGrid w:val="0"/>
              <w:spacing w:before="0" w:beforeAutospacing="0" w:after="0" w:afterAutospacing="0"/>
              <w:ind w:left="0" w:right="0" w:firstLine="562"/>
              <w:jc w:val="center"/>
              <w:rPr>
                <w:rFonts w:hint="eastAsia" w:ascii="Times New Roman" w:hAnsi="Times New Roman" w:eastAsia="宋体" w:cs="Times New Roman"/>
                <w:b/>
                <w:kern w:val="2"/>
                <w:sz w:val="21"/>
                <w:szCs w:val="21"/>
                <w:lang w:val="en-US" w:eastAsia="zh-CN" w:bidi="ar-SA"/>
              </w:rPr>
            </w:pPr>
          </w:p>
          <w:p>
            <w:pPr>
              <w:keepNext w:val="0"/>
              <w:keepLines w:val="0"/>
              <w:widowControl w:val="0"/>
              <w:suppressLineNumbers w:val="0"/>
              <w:snapToGrid w:val="0"/>
              <w:spacing w:before="0" w:beforeAutospacing="0" w:after="0" w:afterAutospacing="0"/>
              <w:ind w:left="0" w:right="0" w:firstLine="562"/>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表</w:t>
            </w:r>
            <w:r>
              <w:rPr>
                <w:rFonts w:hint="default" w:ascii="Times New Roman" w:hAnsi="Times New Roman" w:eastAsia="宋体" w:cs="Times New Roman"/>
                <w:b/>
                <w:kern w:val="2"/>
                <w:sz w:val="21"/>
                <w:szCs w:val="21"/>
                <w:lang w:val="en-US" w:eastAsia="zh-CN" w:bidi="ar-SA"/>
              </w:rPr>
              <w:t xml:space="preserve">3-3   </w:t>
            </w:r>
            <w:r>
              <w:rPr>
                <w:rFonts w:hint="eastAsia" w:ascii="Times New Roman" w:hAnsi="Times New Roman" w:eastAsia="宋体" w:cs="Times New Roman"/>
                <w:b/>
                <w:kern w:val="2"/>
                <w:sz w:val="21"/>
                <w:szCs w:val="21"/>
                <w:lang w:val="en-US" w:eastAsia="zh-CN" w:bidi="ar-SA"/>
              </w:rPr>
              <w:t>监测断面及监测因子</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3"/>
              <w:gridCol w:w="2378"/>
              <w:gridCol w:w="2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811" w:type="pct"/>
                  <w:tcBorders>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outlineLvl w:val="2"/>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监测点位</w:t>
                  </w:r>
                </w:p>
              </w:tc>
              <w:tc>
                <w:tcPr>
                  <w:tcW w:w="1424" w:type="pct"/>
                  <w:tcBorders>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outlineLvl w:val="2"/>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与本项目的位置关系</w:t>
                  </w:r>
                </w:p>
              </w:tc>
              <w:tc>
                <w:tcPr>
                  <w:tcW w:w="1764" w:type="pct"/>
                  <w:tcBorders>
                    <w:left w:val="single" w:color="auto" w:sz="4" w:space="0"/>
                    <w:bottom w:val="single" w:color="auto" w:sz="4" w:space="0"/>
                  </w:tcBorders>
                  <w:vAlign w:val="center"/>
                </w:tcPr>
                <w:p>
                  <w:pPr>
                    <w:keepNext w:val="0"/>
                    <w:keepLines w:val="0"/>
                    <w:suppressLineNumbers w:val="0"/>
                    <w:spacing w:before="0" w:beforeLines="12" w:beforeAutospacing="0" w:after="0" w:afterLines="12" w:afterAutospacing="0"/>
                    <w:ind w:left="-105" w:leftChars="-50" w:right="-105" w:rightChars="-5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811"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W1</w:t>
                  </w:r>
                  <w:r>
                    <w:rPr>
                      <w:rFonts w:hint="eastAsia" w:ascii="Times New Roman" w:hAnsi="Times New Roman" w:eastAsia="宋体" w:cs="Times New Roman"/>
                      <w:sz w:val="21"/>
                      <w:szCs w:val="21"/>
                    </w:rPr>
                    <w:t>生产区东北侧上游</w:t>
                  </w:r>
                  <w:r>
                    <w:rPr>
                      <w:rFonts w:hint="default" w:ascii="Times New Roman" w:hAnsi="Times New Roman" w:eastAsia="宋体" w:cs="Times New Roman"/>
                      <w:sz w:val="21"/>
                      <w:szCs w:val="21"/>
                    </w:rPr>
                    <w:t>500m</w:t>
                  </w:r>
                  <w:r>
                    <w:rPr>
                      <w:rFonts w:hint="eastAsia" w:ascii="Times New Roman" w:hAnsi="Times New Roman" w:eastAsia="宋体" w:cs="Times New Roman"/>
                      <w:sz w:val="21"/>
                      <w:szCs w:val="21"/>
                    </w:rPr>
                    <w:t>无名小溪</w:t>
                  </w:r>
                </w:p>
              </w:tc>
              <w:tc>
                <w:tcPr>
                  <w:tcW w:w="142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位于本项目东北侧1.3km</w:t>
                  </w:r>
                </w:p>
              </w:tc>
              <w:tc>
                <w:tcPr>
                  <w:tcW w:w="1764" w:type="pct"/>
                  <w:vMerge w:val="restart"/>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right="0" w:firstLine="210" w:firstLineChars="10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pH</w:t>
                  </w:r>
                  <w:r>
                    <w:rPr>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COD</w:t>
                  </w:r>
                  <w:r>
                    <w:rPr>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BOD</w:t>
                  </w:r>
                  <w:r>
                    <w:rPr>
                      <w:rFonts w:hint="default" w:ascii="Times New Roman" w:hAnsi="Times New Roman" w:eastAsia="宋体" w:cs="Times New Roman"/>
                      <w:kern w:val="2"/>
                      <w:sz w:val="21"/>
                      <w:szCs w:val="21"/>
                      <w:vertAlign w:val="subscript"/>
                      <w:lang w:val="en-US" w:eastAsia="zh-CN" w:bidi="ar-SA"/>
                    </w:rPr>
                    <w:t>5</w:t>
                  </w:r>
                  <w:r>
                    <w:rPr>
                      <w:rFonts w:hint="eastAsia" w:ascii="Times New Roman" w:hAnsi="Times New Roman" w:eastAsia="宋体" w:cs="Times New Roman"/>
                      <w:kern w:val="2"/>
                      <w:sz w:val="21"/>
                      <w:szCs w:val="21"/>
                      <w:lang w:val="en-US" w:eastAsia="zh-CN" w:bidi="ar-SA"/>
                    </w:rPr>
                    <w:t>、氨氮、</w:t>
                  </w:r>
                  <w:r>
                    <w:rPr>
                      <w:rFonts w:hint="default" w:ascii="Times New Roman" w:hAnsi="Times New Roman" w:eastAsia="宋体" w:cs="Times New Roman"/>
                      <w:kern w:val="2"/>
                      <w:sz w:val="21"/>
                      <w:szCs w:val="21"/>
                      <w:lang w:val="en-US" w:eastAsia="zh-CN" w:bidi="ar-SA"/>
                    </w:rPr>
                    <w:t>SS</w:t>
                  </w:r>
                  <w:r>
                    <w:rPr>
                      <w:rFonts w:hint="eastAsia" w:ascii="Times New Roman" w:hAnsi="Times New Roman" w:eastAsia="宋体" w:cs="Times New Roman"/>
                      <w:kern w:val="2"/>
                      <w:sz w:val="21"/>
                      <w:szCs w:val="21"/>
                      <w:lang w:val="en-US" w:eastAsia="zh-CN" w:bidi="ar-SA"/>
                    </w:rPr>
                    <w:t>、石油类、动植物油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811" w:type="pct"/>
                  <w:tcBorders>
                    <w:top w:val="single" w:color="auto" w:sz="4" w:space="0"/>
                    <w:right w:val="single" w:color="auto" w:sz="4" w:space="0"/>
                  </w:tcBorders>
                  <w:vAlign w:val="center"/>
                </w:tcPr>
                <w:p>
                  <w:pPr>
                    <w:keepNext w:val="0"/>
                    <w:keepLines w:val="0"/>
                    <w:suppressLineNumbers w:val="0"/>
                    <w:spacing w:before="0" w:beforeAutospacing="0" w:after="0" w:afterAutospacing="0"/>
                    <w:ind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W2</w:t>
                  </w:r>
                  <w:r>
                    <w:rPr>
                      <w:rFonts w:hint="eastAsia" w:ascii="Times New Roman" w:hAnsi="Times New Roman" w:eastAsia="宋体" w:cs="Times New Roman"/>
                      <w:sz w:val="21"/>
                      <w:szCs w:val="21"/>
                    </w:rPr>
                    <w:t>生产区东南侧下游</w:t>
                  </w:r>
                  <w:r>
                    <w:rPr>
                      <w:rFonts w:hint="default" w:ascii="Times New Roman" w:hAnsi="Times New Roman" w:eastAsia="宋体" w:cs="Times New Roman"/>
                      <w:sz w:val="21"/>
                      <w:szCs w:val="21"/>
                    </w:rPr>
                    <w:t>1400m</w:t>
                  </w:r>
                  <w:r>
                    <w:rPr>
                      <w:rFonts w:hint="eastAsia" w:ascii="Times New Roman" w:hAnsi="Times New Roman" w:eastAsia="宋体" w:cs="Times New Roman"/>
                      <w:sz w:val="21"/>
                      <w:szCs w:val="21"/>
                    </w:rPr>
                    <w:t>无名小溪</w:t>
                  </w:r>
                </w:p>
              </w:tc>
              <w:tc>
                <w:tcPr>
                  <w:tcW w:w="1424" w:type="pct"/>
                  <w:tcBorders>
                    <w:top w:val="single" w:color="auto" w:sz="4" w:space="0"/>
                    <w:left w:val="single" w:color="auto" w:sz="4" w:space="0"/>
                  </w:tcBorders>
                  <w:vAlign w:val="center"/>
                </w:tcPr>
                <w:p>
                  <w:pPr>
                    <w:keepNext w:val="0"/>
                    <w:keepLines w:val="0"/>
                    <w:suppressLineNumbers w:val="0"/>
                    <w:spacing w:before="0" w:beforeAutospacing="0" w:after="0" w:afterAutospacing="0"/>
                    <w:ind w:right="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位于本项目东南侧600m</w:t>
                  </w:r>
                </w:p>
              </w:tc>
              <w:tc>
                <w:tcPr>
                  <w:tcW w:w="1764" w:type="pct"/>
                  <w:vMerge w:val="continue"/>
                  <w:tcBorders>
                    <w:top w:val="single" w:color="auto" w:sz="4" w:space="0"/>
                    <w:left w:val="single" w:color="auto" w:sz="4" w:space="0"/>
                  </w:tcBorders>
                  <w:vAlign w:val="center"/>
                </w:tcPr>
                <w:p>
                  <w:pPr>
                    <w:keepNext w:val="0"/>
                    <w:keepLines w:val="0"/>
                    <w:widowControl w:val="0"/>
                    <w:suppressLineNumbers w:val="0"/>
                    <w:spacing w:before="0" w:beforeAutospacing="0" w:after="0" w:afterAutospacing="0"/>
                    <w:ind w:left="0" w:right="0" w:firstLine="210" w:firstLineChars="100"/>
                    <w:jc w:val="center"/>
                    <w:rPr>
                      <w:rFonts w:hint="default" w:ascii="Times New Roman" w:hAnsi="Times New Roman" w:eastAsia="宋体" w:cs="Times New Roman"/>
                      <w:kern w:val="2"/>
                      <w:sz w:val="21"/>
                      <w:szCs w:val="21"/>
                      <w:lang w:val="en-US" w:eastAsia="zh-CN" w:bidi="ar-SA"/>
                    </w:rPr>
                  </w:pPr>
                </w:p>
              </w:tc>
            </w:tr>
          </w:tbl>
          <w:p>
            <w:pPr>
              <w:keepNext w:val="0"/>
              <w:keepLines w:val="0"/>
              <w:suppressLineNumbers w:val="0"/>
              <w:spacing w:before="0" w:beforeAutospacing="0" w:after="0" w:afterAutospacing="0" w:line="360" w:lineRule="auto"/>
              <w:ind w:left="0" w:right="420" w:firstLine="480"/>
              <w:jc w:val="left"/>
              <w:rPr>
                <w:rFonts w:hint="default" w:ascii="Times New Roman" w:hAnsi="Times New Roman" w:eastAsia="宋体" w:cs="Times New Roman"/>
                <w:b/>
              </w:rPr>
            </w:pPr>
            <w:bookmarkStart w:id="9" w:name="OLE_LINK11"/>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 2 \* GB3 </w:instrText>
            </w:r>
            <w:r>
              <w:rPr>
                <w:rFonts w:hint="default" w:ascii="Times New Roman" w:hAnsi="Times New Roman" w:eastAsia="宋体" w:cs="Times New Roman"/>
                <w:sz w:val="24"/>
              </w:rPr>
              <w:fldChar w:fldCharType="separate"/>
            </w:r>
            <w:r>
              <w:rPr>
                <w:rFonts w:hint="eastAsia" w:ascii="宋体" w:hAnsi="宋体" w:eastAsia="宋体" w:cs="宋体"/>
                <w:sz w:val="24"/>
              </w:rPr>
              <w:t>②</w:t>
            </w:r>
            <w:r>
              <w:rPr>
                <w:rFonts w:hint="default" w:ascii="Times New Roman" w:hAnsi="Times New Roman" w:eastAsia="宋体" w:cs="Times New Roman"/>
                <w:sz w:val="24"/>
              </w:rPr>
              <w:fldChar w:fldCharType="end"/>
            </w:r>
            <w:bookmarkEnd w:id="9"/>
            <w:r>
              <w:rPr>
                <w:rFonts w:hint="eastAsia" w:ascii="Times New Roman" w:hAnsi="Times New Roman" w:eastAsia="宋体" w:cs="Times New Roman"/>
                <w:sz w:val="24"/>
              </w:rPr>
              <w:t>地表水监测统计结果</w:t>
            </w:r>
          </w:p>
          <w:p>
            <w:pPr>
              <w:keepNext w:val="0"/>
              <w:keepLines w:val="0"/>
              <w:suppressLineNumbers w:val="0"/>
              <w:spacing w:before="0" w:beforeAutospacing="0" w:after="0" w:afterAutospacing="0"/>
              <w:ind w:left="0" w:right="420"/>
              <w:jc w:val="center"/>
              <w:rPr>
                <w:rFonts w:hint="default" w:ascii="Times New Roman" w:hAnsi="Times New Roman" w:eastAsia="宋体" w:cs="Times New Roman"/>
                <w:b/>
              </w:rPr>
            </w:pPr>
            <w:r>
              <w:rPr>
                <w:rFonts w:hint="default" w:ascii="Times New Roman" w:hAnsi="Times New Roman" w:eastAsia="宋体" w:cs="Times New Roman"/>
                <w:b/>
              </w:rPr>
              <w:t xml:space="preserve">  </w:t>
            </w:r>
            <w:r>
              <w:rPr>
                <w:rFonts w:hint="eastAsia" w:ascii="Times New Roman" w:hAnsi="Times New Roman" w:eastAsia="宋体" w:cs="Times New Roman"/>
                <w:b/>
              </w:rPr>
              <w:t>表</w:t>
            </w:r>
            <w:r>
              <w:rPr>
                <w:rFonts w:hint="default" w:ascii="Times New Roman" w:hAnsi="Times New Roman" w:eastAsia="宋体" w:cs="Times New Roman"/>
                <w:b/>
              </w:rPr>
              <w:t xml:space="preserve">3-4     </w:t>
            </w:r>
            <w:r>
              <w:rPr>
                <w:rFonts w:hint="eastAsia" w:ascii="Times New Roman" w:hAnsi="Times New Roman" w:eastAsia="宋体" w:cs="Times New Roman"/>
                <w:b/>
              </w:rPr>
              <w:t>水质监测数据统计结果</w:t>
            </w:r>
            <w:r>
              <w:rPr>
                <w:rFonts w:hint="default" w:ascii="Times New Roman" w:hAnsi="Times New Roman" w:eastAsia="宋体" w:cs="Times New Roman"/>
                <w:b/>
              </w:rPr>
              <w:t xml:space="preserve">   </w:t>
            </w:r>
            <w:r>
              <w:rPr>
                <w:rFonts w:hint="eastAsia" w:ascii="Times New Roman" w:hAnsi="Times New Roman" w:eastAsia="宋体" w:cs="Times New Roman"/>
                <w:b/>
              </w:rPr>
              <w:t>单位：</w:t>
            </w:r>
            <w:r>
              <w:rPr>
                <w:rFonts w:hint="default" w:ascii="Times New Roman" w:hAnsi="Times New Roman" w:eastAsia="宋体" w:cs="Times New Roman"/>
                <w:b/>
              </w:rPr>
              <w:t>mg/L</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1072"/>
              <w:gridCol w:w="1618"/>
              <w:gridCol w:w="987"/>
              <w:gridCol w:w="1015"/>
              <w:gridCol w:w="1082"/>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26" w:type="pct"/>
                  <w:tcBorders>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断面</w:t>
                  </w:r>
                </w:p>
              </w:tc>
              <w:tc>
                <w:tcPr>
                  <w:tcW w:w="642" w:type="pct"/>
                  <w:tcBorders>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项目</w:t>
                  </w:r>
                </w:p>
              </w:tc>
              <w:tc>
                <w:tcPr>
                  <w:tcW w:w="969" w:type="pct"/>
                  <w:tcBorders>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浓度范围</w:t>
                  </w:r>
                </w:p>
              </w:tc>
              <w:tc>
                <w:tcPr>
                  <w:tcW w:w="591" w:type="pct"/>
                  <w:tcBorders>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标准</w:t>
                  </w:r>
                </w:p>
              </w:tc>
              <w:tc>
                <w:tcPr>
                  <w:tcW w:w="608" w:type="pct"/>
                  <w:tcBorders>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超标率</w:t>
                  </w:r>
                </w:p>
              </w:tc>
              <w:tc>
                <w:tcPr>
                  <w:tcW w:w="648" w:type="pct"/>
                  <w:tcBorders>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最大超标倍数</w:t>
                  </w:r>
                </w:p>
              </w:tc>
              <w:tc>
                <w:tcPr>
                  <w:tcW w:w="714" w:type="pct"/>
                  <w:tcBorders>
                    <w:left w:val="single" w:color="auto" w:sz="4" w:space="0"/>
                    <w:bottom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26" w:type="pct"/>
                  <w:vMerge w:val="restart"/>
                  <w:tcBorders>
                    <w:top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W1生产区东北侧上游500m无名小溪</w:t>
                  </w:r>
                </w:p>
              </w:tc>
              <w:tc>
                <w:tcPr>
                  <w:tcW w:w="642"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pH</w:t>
                  </w:r>
                </w:p>
              </w:tc>
              <w:tc>
                <w:tcPr>
                  <w:tcW w:w="969"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7.28-7.36</w:t>
                  </w:r>
                </w:p>
              </w:tc>
              <w:tc>
                <w:tcPr>
                  <w:tcW w:w="591"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w:t>
                  </w:r>
                </w:p>
              </w:tc>
              <w:tc>
                <w:tcPr>
                  <w:tcW w:w="60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64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714" w:type="pct"/>
                  <w:tcBorders>
                    <w:top w:val="single" w:color="auto" w:sz="4" w:space="0"/>
                    <w:left w:val="single" w:color="auto" w:sz="4" w:space="0"/>
                    <w:bottom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6" w:hRule="atLeast"/>
                <w:jc w:val="center"/>
              </w:trPr>
              <w:tc>
                <w:tcPr>
                  <w:tcW w:w="826" w:type="pct"/>
                  <w:vMerge w:val="continue"/>
                  <w:tcBorders>
                    <w:top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p>
              </w:tc>
              <w:tc>
                <w:tcPr>
                  <w:tcW w:w="642"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COD</w:t>
                  </w:r>
                </w:p>
              </w:tc>
              <w:tc>
                <w:tcPr>
                  <w:tcW w:w="969"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11-14</w:t>
                  </w:r>
                </w:p>
              </w:tc>
              <w:tc>
                <w:tcPr>
                  <w:tcW w:w="591"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w:t>
                  </w:r>
                </w:p>
              </w:tc>
              <w:tc>
                <w:tcPr>
                  <w:tcW w:w="60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64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714" w:type="pct"/>
                  <w:tcBorders>
                    <w:top w:val="single" w:color="auto" w:sz="4" w:space="0"/>
                    <w:left w:val="single" w:color="auto" w:sz="4" w:space="0"/>
                    <w:bottom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26" w:type="pct"/>
                  <w:vMerge w:val="continue"/>
                  <w:tcBorders>
                    <w:top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p>
              </w:tc>
              <w:tc>
                <w:tcPr>
                  <w:tcW w:w="642"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BOD</w:t>
                  </w:r>
                  <w:r>
                    <w:rPr>
                      <w:rFonts w:hint="default" w:ascii="Times New Roman" w:hAnsi="Times New Roman" w:cs="Times New Roman" w:eastAsiaTheme="minorEastAsia"/>
                      <w:sz w:val="21"/>
                      <w:szCs w:val="21"/>
                      <w:vertAlign w:val="subscript"/>
                    </w:rPr>
                    <w:t>5</w:t>
                  </w:r>
                </w:p>
              </w:tc>
              <w:tc>
                <w:tcPr>
                  <w:tcW w:w="969"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1.4-2.1</w:t>
                  </w:r>
                </w:p>
              </w:tc>
              <w:tc>
                <w:tcPr>
                  <w:tcW w:w="591"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60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64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714" w:type="pct"/>
                  <w:tcBorders>
                    <w:top w:val="single" w:color="auto" w:sz="4" w:space="0"/>
                    <w:left w:val="single" w:color="auto" w:sz="4" w:space="0"/>
                    <w:bottom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26" w:type="pct"/>
                  <w:vMerge w:val="continue"/>
                  <w:tcBorders>
                    <w:top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p>
              </w:tc>
              <w:tc>
                <w:tcPr>
                  <w:tcW w:w="642"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氨氮</w:t>
                  </w:r>
                </w:p>
              </w:tc>
              <w:tc>
                <w:tcPr>
                  <w:tcW w:w="969"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0.195-0.215</w:t>
                  </w:r>
                </w:p>
              </w:tc>
              <w:tc>
                <w:tcPr>
                  <w:tcW w:w="591"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w:t>
                  </w:r>
                </w:p>
              </w:tc>
              <w:tc>
                <w:tcPr>
                  <w:tcW w:w="60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64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714" w:type="pct"/>
                  <w:tcBorders>
                    <w:top w:val="single" w:color="auto" w:sz="4" w:space="0"/>
                    <w:left w:val="single" w:color="auto" w:sz="4" w:space="0"/>
                    <w:bottom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26" w:type="pct"/>
                  <w:vMerge w:val="continue"/>
                  <w:tcBorders>
                    <w:top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p>
              </w:tc>
              <w:tc>
                <w:tcPr>
                  <w:tcW w:w="642"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悬浮物</w:t>
                  </w:r>
                </w:p>
              </w:tc>
              <w:tc>
                <w:tcPr>
                  <w:tcW w:w="969"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13-16</w:t>
                  </w:r>
                </w:p>
              </w:tc>
              <w:tc>
                <w:tcPr>
                  <w:tcW w:w="591"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60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64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714" w:type="pct"/>
                  <w:tcBorders>
                    <w:top w:val="single" w:color="auto" w:sz="4" w:space="0"/>
                    <w:left w:val="single" w:color="auto" w:sz="4" w:space="0"/>
                    <w:bottom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jc w:val="center"/>
              </w:trPr>
              <w:tc>
                <w:tcPr>
                  <w:tcW w:w="826" w:type="pct"/>
                  <w:vMerge w:val="continue"/>
                  <w:tcBorders>
                    <w:top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p>
              </w:tc>
              <w:tc>
                <w:tcPr>
                  <w:tcW w:w="642"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石油类</w:t>
                  </w:r>
                </w:p>
              </w:tc>
              <w:tc>
                <w:tcPr>
                  <w:tcW w:w="969"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0.04</w:t>
                  </w:r>
                </w:p>
              </w:tc>
              <w:tc>
                <w:tcPr>
                  <w:tcW w:w="591"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≤0.05</w:t>
                  </w:r>
                </w:p>
              </w:tc>
              <w:tc>
                <w:tcPr>
                  <w:tcW w:w="60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64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714" w:type="pct"/>
                  <w:tcBorders>
                    <w:top w:val="single" w:color="auto" w:sz="4" w:space="0"/>
                    <w:left w:val="single" w:color="auto" w:sz="4" w:space="0"/>
                    <w:bottom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jc w:val="center"/>
              </w:trPr>
              <w:tc>
                <w:tcPr>
                  <w:tcW w:w="826" w:type="pct"/>
                  <w:vMerge w:val="continue"/>
                  <w:tcBorders>
                    <w:top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p>
              </w:tc>
              <w:tc>
                <w:tcPr>
                  <w:tcW w:w="642"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动植物油</w:t>
                  </w:r>
                </w:p>
              </w:tc>
              <w:tc>
                <w:tcPr>
                  <w:tcW w:w="969"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0.04-0.07</w:t>
                  </w:r>
                </w:p>
              </w:tc>
              <w:tc>
                <w:tcPr>
                  <w:tcW w:w="591"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60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64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714" w:type="pct"/>
                  <w:tcBorders>
                    <w:top w:val="single" w:color="auto" w:sz="4" w:space="0"/>
                    <w:left w:val="single" w:color="auto" w:sz="4" w:space="0"/>
                    <w:bottom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26" w:type="pct"/>
                  <w:vMerge w:val="restart"/>
                  <w:tcBorders>
                    <w:top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W2生产区东南侧下游1400m无名小溪</w:t>
                  </w:r>
                </w:p>
              </w:tc>
              <w:tc>
                <w:tcPr>
                  <w:tcW w:w="642"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pH</w:t>
                  </w:r>
                </w:p>
              </w:tc>
              <w:tc>
                <w:tcPr>
                  <w:tcW w:w="969"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7.25-7.41</w:t>
                  </w:r>
                </w:p>
              </w:tc>
              <w:tc>
                <w:tcPr>
                  <w:tcW w:w="591"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w:t>
                  </w:r>
                </w:p>
              </w:tc>
              <w:tc>
                <w:tcPr>
                  <w:tcW w:w="60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64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714" w:type="pct"/>
                  <w:tcBorders>
                    <w:top w:val="single" w:color="auto" w:sz="4" w:space="0"/>
                    <w:left w:val="single" w:color="auto" w:sz="4" w:space="0"/>
                    <w:bottom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jc w:val="center"/>
              </w:trPr>
              <w:tc>
                <w:tcPr>
                  <w:tcW w:w="826" w:type="pct"/>
                  <w:vMerge w:val="continue"/>
                  <w:tcBorders>
                    <w:top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p>
              </w:tc>
              <w:tc>
                <w:tcPr>
                  <w:tcW w:w="642"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COD</w:t>
                  </w:r>
                </w:p>
              </w:tc>
              <w:tc>
                <w:tcPr>
                  <w:tcW w:w="969"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10-11</w:t>
                  </w:r>
                </w:p>
              </w:tc>
              <w:tc>
                <w:tcPr>
                  <w:tcW w:w="591"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w:t>
                  </w:r>
                </w:p>
              </w:tc>
              <w:tc>
                <w:tcPr>
                  <w:tcW w:w="60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64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714" w:type="pct"/>
                  <w:tcBorders>
                    <w:top w:val="single" w:color="auto" w:sz="4" w:space="0"/>
                    <w:left w:val="single" w:color="auto" w:sz="4" w:space="0"/>
                    <w:bottom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26" w:type="pct"/>
                  <w:vMerge w:val="continue"/>
                  <w:tcBorders>
                    <w:top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p>
              </w:tc>
              <w:tc>
                <w:tcPr>
                  <w:tcW w:w="642"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BOD</w:t>
                  </w:r>
                  <w:r>
                    <w:rPr>
                      <w:rFonts w:hint="default" w:ascii="Times New Roman" w:hAnsi="Times New Roman" w:cs="Times New Roman" w:eastAsiaTheme="minorEastAsia"/>
                      <w:sz w:val="21"/>
                      <w:szCs w:val="21"/>
                      <w:vertAlign w:val="subscript"/>
                    </w:rPr>
                    <w:t>5</w:t>
                  </w:r>
                </w:p>
              </w:tc>
              <w:tc>
                <w:tcPr>
                  <w:tcW w:w="969"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1.1-1.5</w:t>
                  </w:r>
                </w:p>
              </w:tc>
              <w:tc>
                <w:tcPr>
                  <w:tcW w:w="591"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60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64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714" w:type="pct"/>
                  <w:tcBorders>
                    <w:top w:val="single" w:color="auto" w:sz="4" w:space="0"/>
                    <w:left w:val="single" w:color="auto" w:sz="4" w:space="0"/>
                    <w:bottom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26" w:type="pct"/>
                  <w:vMerge w:val="continue"/>
                  <w:tcBorders>
                    <w:top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p>
              </w:tc>
              <w:tc>
                <w:tcPr>
                  <w:tcW w:w="642"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氨氮</w:t>
                  </w:r>
                </w:p>
              </w:tc>
              <w:tc>
                <w:tcPr>
                  <w:tcW w:w="969"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0.185-0.192</w:t>
                  </w:r>
                </w:p>
              </w:tc>
              <w:tc>
                <w:tcPr>
                  <w:tcW w:w="591"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w:t>
                  </w:r>
                </w:p>
              </w:tc>
              <w:tc>
                <w:tcPr>
                  <w:tcW w:w="60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64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714" w:type="pct"/>
                  <w:tcBorders>
                    <w:top w:val="single" w:color="auto" w:sz="4" w:space="0"/>
                    <w:left w:val="single" w:color="auto" w:sz="4" w:space="0"/>
                    <w:bottom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26" w:type="pct"/>
                  <w:vMerge w:val="continue"/>
                  <w:tcBorders>
                    <w:top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p>
              </w:tc>
              <w:tc>
                <w:tcPr>
                  <w:tcW w:w="642"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悬浮物</w:t>
                  </w:r>
                </w:p>
              </w:tc>
              <w:tc>
                <w:tcPr>
                  <w:tcW w:w="969"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13-15</w:t>
                  </w:r>
                </w:p>
              </w:tc>
              <w:tc>
                <w:tcPr>
                  <w:tcW w:w="591"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60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64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714" w:type="pct"/>
                  <w:tcBorders>
                    <w:top w:val="single" w:color="auto" w:sz="4" w:space="0"/>
                    <w:left w:val="single" w:color="auto" w:sz="4" w:space="0"/>
                    <w:bottom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26" w:type="pct"/>
                  <w:vMerge w:val="continue"/>
                  <w:tcBorders>
                    <w:top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p>
              </w:tc>
              <w:tc>
                <w:tcPr>
                  <w:tcW w:w="642"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石油类</w:t>
                  </w:r>
                </w:p>
              </w:tc>
              <w:tc>
                <w:tcPr>
                  <w:tcW w:w="969"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0.04</w:t>
                  </w:r>
                </w:p>
              </w:tc>
              <w:tc>
                <w:tcPr>
                  <w:tcW w:w="591"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≤0.05</w:t>
                  </w:r>
                </w:p>
              </w:tc>
              <w:tc>
                <w:tcPr>
                  <w:tcW w:w="60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648" w:type="pct"/>
                  <w:tcBorders>
                    <w:top w:val="single" w:color="auto" w:sz="4" w:space="0"/>
                    <w:left w:val="single" w:color="auto" w:sz="4" w:space="0"/>
                    <w:bottom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714" w:type="pct"/>
                  <w:tcBorders>
                    <w:top w:val="single" w:color="auto" w:sz="4" w:space="0"/>
                    <w:left w:val="single" w:color="auto" w:sz="4" w:space="0"/>
                    <w:bottom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26" w:type="pct"/>
                  <w:vMerge w:val="continue"/>
                  <w:tcBorders>
                    <w:top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p>
              </w:tc>
              <w:tc>
                <w:tcPr>
                  <w:tcW w:w="642" w:type="pct"/>
                  <w:tcBorders>
                    <w:top w:val="single" w:color="auto" w:sz="4" w:space="0"/>
                    <w:left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动植物油</w:t>
                  </w:r>
                </w:p>
              </w:tc>
              <w:tc>
                <w:tcPr>
                  <w:tcW w:w="969" w:type="pct"/>
                  <w:tcBorders>
                    <w:top w:val="single" w:color="auto" w:sz="4" w:space="0"/>
                    <w:left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0.05-0.06</w:t>
                  </w:r>
                </w:p>
              </w:tc>
              <w:tc>
                <w:tcPr>
                  <w:tcW w:w="591" w:type="pct"/>
                  <w:tcBorders>
                    <w:top w:val="single" w:color="auto" w:sz="4" w:space="0"/>
                    <w:left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608" w:type="pct"/>
                  <w:tcBorders>
                    <w:top w:val="single" w:color="auto" w:sz="4" w:space="0"/>
                    <w:left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648" w:type="pct"/>
                  <w:tcBorders>
                    <w:top w:val="single" w:color="auto" w:sz="4" w:space="0"/>
                    <w:left w:val="single" w:color="auto" w:sz="4" w:space="0"/>
                    <w:righ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w:t>
                  </w:r>
                </w:p>
              </w:tc>
              <w:tc>
                <w:tcPr>
                  <w:tcW w:w="714" w:type="pct"/>
                  <w:tcBorders>
                    <w:top w:val="single" w:color="auto" w:sz="4" w:space="0"/>
                    <w:left w:val="single" w:color="auto" w:sz="4" w:space="0"/>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bl>
          <w:p>
            <w:pPr>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sz w:val="24"/>
                <w:szCs w:val="24"/>
              </w:rPr>
              <w:t>监测结果表明，项目W1、W2断面均能满足《地表水环境质量标准》(GB3838-2002)Ⅲ类水质标准要求，SS满足《地表水资源质量标准》（SL63-94）中</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themeColor="text1"/>
                <w:sz w:val="24"/>
                <w:szCs w:val="24"/>
                <w14:textFill>
                  <w14:solidFill>
                    <w14:schemeClr w14:val="tx1"/>
                  </w14:solidFill>
                </w14:textFill>
              </w:rPr>
              <w:t>悬浮物</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标准。</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jc w:val="both"/>
              <w:outlineLvl w:val="2"/>
              <w:rPr>
                <w:rFonts w:hint="default" w:ascii="Times New Roman" w:hAnsi="Times New Roman" w:eastAsia="宋体" w:cs="Times New Roman"/>
                <w:b/>
                <w:bCs/>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2"/>
                <w:lang w:val="en-US" w:eastAsia="zh-CN" w:bidi="ar-SA"/>
                <w14:textFill>
                  <w14:solidFill>
                    <w14:schemeClr w14:val="tx1"/>
                  </w14:solidFill>
                </w14:textFill>
              </w:rPr>
              <w:t>3、声环境质量现状</w:t>
            </w:r>
            <w:bookmarkEnd w:id="6"/>
          </w:p>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为了解项目区声环境现状情况，本项目委托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郴州力方检测技术</w:t>
            </w:r>
            <w:r>
              <w:rPr>
                <w:rFonts w:hint="default" w:ascii="Times New Roman" w:hAnsi="Times New Roman" w:eastAsia="宋体" w:cs="Times New Roman"/>
                <w:color w:val="000000" w:themeColor="text1"/>
                <w:sz w:val="24"/>
                <w:szCs w:val="24"/>
                <w14:textFill>
                  <w14:solidFill>
                    <w14:schemeClr w14:val="tx1"/>
                  </w14:solidFill>
                </w14:textFill>
              </w:rPr>
              <w:t>有限公司对厂界四周进行了昼夜间噪声现状布点监测，监测时间为2020年</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17</w:t>
            </w:r>
            <w:r>
              <w:rPr>
                <w:rFonts w:hint="default"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14:textFill>
                  <w14:solidFill>
                    <w14:schemeClr w14:val="tx1"/>
                  </w14:solidFill>
                </w14:textFill>
              </w:rPr>
              <w:t>日</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此次监测共布设4个监测点，分别设置在本项目东西南北厂界外1m。</w:t>
            </w:r>
            <w:r>
              <w:rPr>
                <w:rFonts w:hint="default" w:ascii="Times New Roman" w:hAnsi="Times New Roman" w:eastAsia="宋体" w:cs="Times New Roman"/>
                <w:bCs/>
                <w:color w:val="000000" w:themeColor="text1"/>
                <w:sz w:val="24"/>
                <w:szCs w:val="24"/>
                <w14:textFill>
                  <w14:solidFill>
                    <w14:schemeClr w14:val="tx1"/>
                  </w14:solidFill>
                </w14:textFill>
              </w:rPr>
              <w:t>监测结果见表3-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4"/>
                <w14:textFill>
                  <w14:solidFill>
                    <w14:schemeClr w14:val="tx1"/>
                  </w14:solidFill>
                </w14:textFill>
              </w:rPr>
              <w:t>。</w:t>
            </w:r>
          </w:p>
          <w:p>
            <w:pPr>
              <w:widowControl/>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表3-4  噪声现状监测结果一览表   单位：dB(A)</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676"/>
              <w:gridCol w:w="979"/>
              <w:gridCol w:w="745"/>
              <w:gridCol w:w="767"/>
              <w:gridCol w:w="710"/>
              <w:gridCol w:w="637"/>
              <w:gridCol w:w="734"/>
              <w:gridCol w:w="649"/>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42" w:type="dxa"/>
                  <w:vMerge w:val="restart"/>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编号</w:t>
                  </w:r>
                </w:p>
              </w:tc>
              <w:tc>
                <w:tcPr>
                  <w:tcW w:w="1676" w:type="dxa"/>
                  <w:vMerge w:val="restart"/>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监测点位</w:t>
                  </w:r>
                </w:p>
              </w:tc>
              <w:tc>
                <w:tcPr>
                  <w:tcW w:w="1724" w:type="dxa"/>
                  <w:gridSpan w:val="2"/>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监测值（</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月</w:t>
                  </w:r>
                  <w:r>
                    <w:rPr>
                      <w:rFonts w:hint="eastAsia" w:ascii="Times New Roman" w:hAnsi="Times New Roman" w:cs="Times New Roman"/>
                      <w:color w:val="000000" w:themeColor="text1"/>
                      <w:sz w:val="21"/>
                      <w:szCs w:val="21"/>
                      <w:lang w:val="en-US" w:eastAsia="zh-CN"/>
                      <w14:textFill>
                        <w14:solidFill>
                          <w14:schemeClr w14:val="tx1"/>
                        </w14:solidFill>
                      </w14:textFill>
                    </w:rPr>
                    <w:t>17</w:t>
                  </w:r>
                  <w:r>
                    <w:rPr>
                      <w:rFonts w:hint="default" w:ascii="Times New Roman" w:hAnsi="Times New Roman" w:eastAsia="宋体" w:cs="Times New Roman"/>
                      <w:color w:val="000000" w:themeColor="text1"/>
                      <w:sz w:val="21"/>
                      <w:szCs w:val="21"/>
                      <w14:textFill>
                        <w14:solidFill>
                          <w14:schemeClr w14:val="tx1"/>
                        </w14:solidFill>
                      </w14:textFill>
                    </w:rPr>
                    <w:t>日）</w:t>
                  </w:r>
                </w:p>
              </w:tc>
              <w:tc>
                <w:tcPr>
                  <w:tcW w:w="1477" w:type="dxa"/>
                  <w:gridSpan w:val="2"/>
                  <w:tcBorders>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监测值（</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月</w:t>
                  </w:r>
                  <w:r>
                    <w:rPr>
                      <w:rFonts w:hint="eastAsia" w:ascii="Times New Roman" w:hAnsi="Times New Roman" w:cs="Times New Roman"/>
                      <w:color w:val="000000" w:themeColor="text1"/>
                      <w:sz w:val="21"/>
                      <w:szCs w:val="21"/>
                      <w:lang w:val="en-US" w:eastAsia="zh-CN"/>
                      <w14:textFill>
                        <w14:solidFill>
                          <w14:schemeClr w14:val="tx1"/>
                        </w14:solidFill>
                      </w14:textFill>
                    </w:rPr>
                    <w:t>18</w:t>
                  </w:r>
                  <w:r>
                    <w:rPr>
                      <w:rFonts w:hint="default" w:ascii="Times New Roman" w:hAnsi="Times New Roman" w:eastAsia="宋体" w:cs="Times New Roman"/>
                      <w:color w:val="000000" w:themeColor="text1"/>
                      <w:sz w:val="21"/>
                      <w:szCs w:val="21"/>
                      <w14:textFill>
                        <w14:solidFill>
                          <w14:schemeClr w14:val="tx1"/>
                        </w14:solidFill>
                      </w14:textFill>
                    </w:rPr>
                    <w:t>日）</w:t>
                  </w:r>
                </w:p>
              </w:tc>
              <w:tc>
                <w:tcPr>
                  <w:tcW w:w="1371" w:type="dxa"/>
                  <w:gridSpan w:val="2"/>
                  <w:tcBorders>
                    <w:left w:val="single" w:color="000000" w:sz="4" w:space="0"/>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1303" w:type="dxa"/>
                  <w:gridSpan w:val="2"/>
                  <w:tcBorders>
                    <w:lef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42" w:type="dxa"/>
                  <w:vMerge w:val="continue"/>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76" w:type="dxa"/>
                  <w:vMerge w:val="continue"/>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79" w:type="dxa"/>
                  <w:tcBorders>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745" w:type="dxa"/>
                  <w:tcBorders>
                    <w:lef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w:t>
                  </w:r>
                </w:p>
              </w:tc>
              <w:tc>
                <w:tcPr>
                  <w:tcW w:w="767" w:type="dxa"/>
                  <w:tcBorders>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710" w:type="dxa"/>
                  <w:tcBorders>
                    <w:left w:val="single" w:color="000000" w:sz="4" w:space="0"/>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w:t>
                  </w:r>
                </w:p>
              </w:tc>
              <w:tc>
                <w:tcPr>
                  <w:tcW w:w="637" w:type="dxa"/>
                  <w:tcBorders>
                    <w:lef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734" w:type="dxa"/>
                  <w:tcBorders>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w:t>
                  </w:r>
                </w:p>
              </w:tc>
              <w:tc>
                <w:tcPr>
                  <w:tcW w:w="649" w:type="dxa"/>
                  <w:tcBorders>
                    <w:left w:val="single" w:color="000000" w:sz="4" w:space="0"/>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654" w:type="dxa"/>
                  <w:tcBorders>
                    <w:lef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jc w:val="center"/>
              </w:trPr>
              <w:tc>
                <w:tcPr>
                  <w:tcW w:w="742"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N1</w:t>
                  </w:r>
                </w:p>
              </w:tc>
              <w:tc>
                <w:tcPr>
                  <w:tcW w:w="1676"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厂界东侧外1m</w:t>
                  </w:r>
                </w:p>
              </w:tc>
              <w:tc>
                <w:tcPr>
                  <w:tcW w:w="979" w:type="dxa"/>
                  <w:tcBorders>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56.2</w:t>
                  </w:r>
                </w:p>
              </w:tc>
              <w:tc>
                <w:tcPr>
                  <w:tcW w:w="745" w:type="dxa"/>
                  <w:tcBorders>
                    <w:lef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46.2</w:t>
                  </w:r>
                </w:p>
              </w:tc>
              <w:tc>
                <w:tcPr>
                  <w:tcW w:w="767" w:type="dxa"/>
                  <w:tcBorders>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55.3</w:t>
                  </w:r>
                </w:p>
              </w:tc>
              <w:tc>
                <w:tcPr>
                  <w:tcW w:w="710" w:type="dxa"/>
                  <w:tcBorders>
                    <w:left w:val="single" w:color="000000" w:sz="4" w:space="0"/>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44.4</w:t>
                  </w:r>
                </w:p>
              </w:tc>
              <w:tc>
                <w:tcPr>
                  <w:tcW w:w="637" w:type="dxa"/>
                  <w:tcBorders>
                    <w:lef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734" w:type="dxa"/>
                  <w:tcBorders>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649" w:type="dxa"/>
                  <w:tcBorders>
                    <w:left w:val="single" w:color="000000" w:sz="4" w:space="0"/>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c>
                <w:tcPr>
                  <w:tcW w:w="654" w:type="dxa"/>
                  <w:tcBorders>
                    <w:lef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blHeader/>
                <w:jc w:val="center"/>
              </w:trPr>
              <w:tc>
                <w:tcPr>
                  <w:tcW w:w="742"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N2</w:t>
                  </w:r>
                </w:p>
              </w:tc>
              <w:tc>
                <w:tcPr>
                  <w:tcW w:w="1676"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厂界南侧外1m</w:t>
                  </w:r>
                </w:p>
              </w:tc>
              <w:tc>
                <w:tcPr>
                  <w:tcW w:w="979"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55.7</w:t>
                  </w:r>
                </w:p>
              </w:tc>
              <w:tc>
                <w:tcPr>
                  <w:tcW w:w="745"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45.7</w:t>
                  </w:r>
                </w:p>
              </w:tc>
              <w:tc>
                <w:tcPr>
                  <w:tcW w:w="767" w:type="dxa"/>
                  <w:tcBorders>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53.7</w:t>
                  </w:r>
                </w:p>
              </w:tc>
              <w:tc>
                <w:tcPr>
                  <w:tcW w:w="710" w:type="dxa"/>
                  <w:tcBorders>
                    <w:left w:val="single" w:color="000000" w:sz="4" w:space="0"/>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45.1</w:t>
                  </w:r>
                </w:p>
              </w:tc>
              <w:tc>
                <w:tcPr>
                  <w:tcW w:w="637" w:type="dxa"/>
                  <w:tcBorders>
                    <w:lef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734" w:type="dxa"/>
                  <w:tcBorders>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649" w:type="dxa"/>
                  <w:tcBorders>
                    <w:left w:val="single" w:color="000000" w:sz="4" w:space="0"/>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c>
                <w:tcPr>
                  <w:tcW w:w="654" w:type="dxa"/>
                  <w:tcBorders>
                    <w:lef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742"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N3</w:t>
                  </w:r>
                </w:p>
              </w:tc>
              <w:tc>
                <w:tcPr>
                  <w:tcW w:w="1676"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厂界西侧外1m</w:t>
                  </w:r>
                </w:p>
              </w:tc>
              <w:tc>
                <w:tcPr>
                  <w:tcW w:w="979"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55.4</w:t>
                  </w:r>
                </w:p>
              </w:tc>
              <w:tc>
                <w:tcPr>
                  <w:tcW w:w="745"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w:t>
                  </w: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767" w:type="dxa"/>
                  <w:tcBorders>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55.9</w:t>
                  </w:r>
                </w:p>
              </w:tc>
              <w:tc>
                <w:tcPr>
                  <w:tcW w:w="710" w:type="dxa"/>
                  <w:tcBorders>
                    <w:left w:val="single" w:color="000000" w:sz="4" w:space="0"/>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43.9</w:t>
                  </w:r>
                </w:p>
              </w:tc>
              <w:tc>
                <w:tcPr>
                  <w:tcW w:w="637" w:type="dxa"/>
                  <w:tcBorders>
                    <w:lef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734" w:type="dxa"/>
                  <w:tcBorders>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649" w:type="dxa"/>
                  <w:tcBorders>
                    <w:left w:val="single" w:color="000000" w:sz="4" w:space="0"/>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c>
                <w:tcPr>
                  <w:tcW w:w="654" w:type="dxa"/>
                  <w:tcBorders>
                    <w:lef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blHeader/>
                <w:jc w:val="center"/>
              </w:trPr>
              <w:tc>
                <w:tcPr>
                  <w:tcW w:w="742"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N4</w:t>
                  </w:r>
                </w:p>
              </w:tc>
              <w:tc>
                <w:tcPr>
                  <w:tcW w:w="1676"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厂界北侧外1m</w:t>
                  </w:r>
                </w:p>
              </w:tc>
              <w:tc>
                <w:tcPr>
                  <w:tcW w:w="979"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55.5</w:t>
                  </w:r>
                </w:p>
              </w:tc>
              <w:tc>
                <w:tcPr>
                  <w:tcW w:w="745"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45.4</w:t>
                  </w:r>
                </w:p>
              </w:tc>
              <w:tc>
                <w:tcPr>
                  <w:tcW w:w="767" w:type="dxa"/>
                  <w:tcBorders>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56.1</w:t>
                  </w:r>
                </w:p>
              </w:tc>
              <w:tc>
                <w:tcPr>
                  <w:tcW w:w="710" w:type="dxa"/>
                  <w:tcBorders>
                    <w:left w:val="single" w:color="000000" w:sz="4" w:space="0"/>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43.8</w:t>
                  </w:r>
                </w:p>
              </w:tc>
              <w:tc>
                <w:tcPr>
                  <w:tcW w:w="637" w:type="dxa"/>
                  <w:tcBorders>
                    <w:lef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734" w:type="dxa"/>
                  <w:tcBorders>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649" w:type="dxa"/>
                  <w:tcBorders>
                    <w:left w:val="single" w:color="000000" w:sz="4" w:space="0"/>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c>
                <w:tcPr>
                  <w:tcW w:w="654" w:type="dxa"/>
                  <w:tcBorders>
                    <w:lef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blHeader/>
                <w:jc w:val="center"/>
              </w:trPr>
              <w:tc>
                <w:tcPr>
                  <w:tcW w:w="742"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N5</w:t>
                  </w:r>
                </w:p>
              </w:tc>
              <w:tc>
                <w:tcPr>
                  <w:tcW w:w="1676"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西北侧133m处居民点</w:t>
                  </w:r>
                </w:p>
              </w:tc>
              <w:tc>
                <w:tcPr>
                  <w:tcW w:w="979"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56.5</w:t>
                  </w:r>
                </w:p>
              </w:tc>
              <w:tc>
                <w:tcPr>
                  <w:tcW w:w="745" w:type="dxa"/>
                  <w:noWrap w:val="0"/>
                  <w:vAlign w:val="center"/>
                </w:tcPr>
                <w:p>
                  <w:pPr>
                    <w:adjustRightInd w:val="0"/>
                    <w:snapToGrid w:val="0"/>
                    <w:spacing w:line="360" w:lineRule="atLeast"/>
                    <w:ind w:firstLine="0" w:firstLineChars="0"/>
                    <w:jc w:val="center"/>
                    <w:textAlignment w:val="baseline"/>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45.0</w:t>
                  </w:r>
                </w:p>
              </w:tc>
              <w:tc>
                <w:tcPr>
                  <w:tcW w:w="767" w:type="dxa"/>
                  <w:tcBorders>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56.3</w:t>
                  </w:r>
                </w:p>
              </w:tc>
              <w:tc>
                <w:tcPr>
                  <w:tcW w:w="710" w:type="dxa"/>
                  <w:tcBorders>
                    <w:left w:val="single" w:color="000000" w:sz="4" w:space="0"/>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45.1</w:t>
                  </w:r>
                </w:p>
              </w:tc>
              <w:tc>
                <w:tcPr>
                  <w:tcW w:w="637" w:type="dxa"/>
                  <w:tcBorders>
                    <w:lef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734" w:type="dxa"/>
                  <w:tcBorders>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649" w:type="dxa"/>
                  <w:tcBorders>
                    <w:left w:val="single" w:color="000000" w:sz="4" w:space="0"/>
                    <w:righ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c>
                <w:tcPr>
                  <w:tcW w:w="654" w:type="dxa"/>
                  <w:tcBorders>
                    <w:left w:val="single" w:color="000000" w:sz="4" w:space="0"/>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bl>
          <w:p>
            <w:pPr>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由表3-4声环境质量现状监测结果分析可知，项目东、西、南、北侧</w:t>
            </w:r>
            <w:r>
              <w:rPr>
                <w:rFonts w:hint="eastAsia" w:ascii="Times New Roman" w:hAnsi="Times New Roman" w:cs="Times New Roman"/>
                <w:color w:val="000000" w:themeColor="text1"/>
                <w:sz w:val="24"/>
                <w:szCs w:val="24"/>
                <w:lang w:val="en-US" w:eastAsia="zh-CN"/>
                <w14:textFill>
                  <w14:solidFill>
                    <w14:schemeClr w14:val="tx1"/>
                  </w14:solidFill>
                </w14:textFill>
              </w:rPr>
              <w:t>及西北侧133m居民点</w:t>
            </w:r>
            <w:r>
              <w:rPr>
                <w:rFonts w:hint="default" w:ascii="Times New Roman" w:hAnsi="Times New Roman" w:eastAsia="宋体" w:cs="Times New Roman"/>
                <w:color w:val="000000" w:themeColor="text1"/>
                <w:sz w:val="24"/>
                <w:szCs w:val="24"/>
                <w14:textFill>
                  <w14:solidFill>
                    <w14:schemeClr w14:val="tx1"/>
                  </w14:solidFill>
                </w14:textFill>
              </w:rPr>
              <w:t>环境质量能满足《声环境质量标准》（GB3096-2008）中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类标准。</w:t>
            </w:r>
          </w:p>
          <w:p>
            <w:pPr>
              <w:keepNext/>
              <w:keepLines/>
              <w:pageBreakBefore w:val="0"/>
              <w:widowControl w:val="0"/>
              <w:numPr>
                <w:ilvl w:val="0"/>
                <w:numId w:val="0"/>
              </w:numPr>
              <w:kinsoku/>
              <w:wordWrap/>
              <w:overflowPunct/>
              <w:topLinePunct w:val="0"/>
              <w:autoSpaceDE/>
              <w:autoSpaceDN/>
              <w:bidi w:val="0"/>
              <w:adjustRightInd w:val="0"/>
              <w:snapToGrid w:val="0"/>
              <w:spacing w:after="0" w:line="360" w:lineRule="auto"/>
              <w:jc w:val="both"/>
              <w:outlineLvl w:val="2"/>
              <w:rPr>
                <w:rFonts w:hint="default" w:ascii="Times New Roman" w:hAnsi="Times New Roman" w:eastAsia="宋体" w:cs="Times New Roman"/>
                <w:b/>
                <w:bCs/>
                <w:color w:val="000000"/>
                <w:kern w:val="2"/>
                <w:sz w:val="24"/>
                <w:szCs w:val="22"/>
                <w:lang w:val="en-US" w:eastAsia="zh-CN" w:bidi="ar-SA"/>
              </w:rPr>
            </w:pPr>
            <w:r>
              <w:rPr>
                <w:rFonts w:hint="default" w:ascii="Times New Roman" w:hAnsi="Times New Roman" w:eastAsia="宋体" w:cs="Times New Roman"/>
                <w:b/>
                <w:bCs/>
                <w:color w:val="000000"/>
                <w:kern w:val="2"/>
                <w:sz w:val="24"/>
                <w:szCs w:val="22"/>
                <w:lang w:val="en-US" w:eastAsia="zh-CN" w:bidi="ar-SA"/>
              </w:rPr>
              <w:t>4、地下水环境</w:t>
            </w:r>
          </w:p>
          <w:p>
            <w:pPr>
              <w:pageBreakBefore w:val="0"/>
              <w:widowControl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依据《环境影响评价技术导则 地下水环境》（HJ610-2016）的规定，评价工作等级的划分应依据建设项目行业分类和地下水环境敏感程度分级进行判定，划分为一、二、三级。</w:t>
            </w:r>
          </w:p>
          <w:p>
            <w:pPr>
              <w:pageBreakBefore w:val="0"/>
              <w:widowControl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 xml:space="preserve">根据建设项目对地下水环境影响的程度，结合《建设项目环境影响评价分类管理名录》将建设项目分为四类，详见 </w:t>
            </w:r>
            <w:r>
              <w:rPr>
                <w:rFonts w:hint="eastAsia" w:ascii="Times New Roman" w:hAnsi="Times New Roman" w:eastAsia="宋体" w:cs="Times New Roman"/>
                <w:color w:val="000000"/>
                <w:sz w:val="24"/>
                <w:szCs w:val="22"/>
                <w:lang w:eastAsia="zh-CN"/>
              </w:rPr>
              <w:t>《</w:t>
            </w:r>
            <w:r>
              <w:rPr>
                <w:rFonts w:hint="eastAsia" w:ascii="Times New Roman" w:hAnsi="Times New Roman" w:eastAsia="宋体" w:cs="Times New Roman"/>
                <w:color w:val="000000"/>
                <w:sz w:val="24"/>
                <w:szCs w:val="22"/>
                <w:lang w:val="en-US" w:eastAsia="zh-CN"/>
              </w:rPr>
              <w:t>环境影响评价技术导则-地下水</w:t>
            </w:r>
            <w:r>
              <w:rPr>
                <w:rFonts w:hint="eastAsia" w:ascii="Times New Roman" w:hAnsi="Times New Roman" w:eastAsia="宋体" w:cs="Times New Roman"/>
                <w:color w:val="000000"/>
                <w:sz w:val="24"/>
                <w:szCs w:val="22"/>
                <w:lang w:eastAsia="zh-CN"/>
              </w:rPr>
              <w:t>》（</w:t>
            </w:r>
            <w:r>
              <w:rPr>
                <w:rFonts w:hint="default" w:ascii="Times New Roman" w:hAnsi="Times New Roman" w:eastAsia="宋体" w:cs="Times New Roman"/>
                <w:color w:val="000000"/>
                <w:sz w:val="24"/>
                <w:szCs w:val="22"/>
              </w:rPr>
              <w:t>HJ610-2016</w:t>
            </w:r>
            <w:r>
              <w:rPr>
                <w:rFonts w:hint="eastAsia" w:ascii="Times New Roman" w:hAnsi="Times New Roman" w:eastAsia="宋体" w:cs="Times New Roman"/>
                <w:color w:val="000000"/>
                <w:sz w:val="24"/>
                <w:szCs w:val="22"/>
                <w:lang w:eastAsia="zh-CN"/>
              </w:rPr>
              <w:t>）</w:t>
            </w:r>
            <w:r>
              <w:rPr>
                <w:rFonts w:hint="default" w:ascii="Times New Roman" w:hAnsi="Times New Roman" w:eastAsia="宋体" w:cs="Times New Roman"/>
                <w:color w:val="000000"/>
                <w:sz w:val="24"/>
                <w:szCs w:val="22"/>
              </w:rPr>
              <w:t>的附录A。Ⅰ、Ⅱ、Ⅲ类建设项目的地下水进行环境影响评价，Ⅳ类项目不开展地下水环境影响评价。根据附录A确定建设项目所属的地下水环境影响评价项目类别</w:t>
            </w:r>
            <w:r>
              <w:rPr>
                <w:rFonts w:hint="eastAsia" w:ascii="Times New Roman" w:hAnsi="Times New Roman" w:eastAsia="宋体" w:cs="Times New Roman"/>
                <w:color w:val="000000"/>
                <w:sz w:val="24"/>
                <w:szCs w:val="22"/>
                <w:lang w:eastAsia="zh-CN"/>
              </w:rPr>
              <w:t>，</w:t>
            </w:r>
            <w:r>
              <w:rPr>
                <w:rFonts w:hint="default" w:ascii="Times New Roman" w:hAnsi="Times New Roman" w:eastAsia="宋体" w:cs="Times New Roman"/>
                <w:color w:val="000000"/>
                <w:sz w:val="24"/>
                <w:szCs w:val="22"/>
              </w:rPr>
              <w:t>项目属于</w:t>
            </w:r>
            <w:r>
              <w:rPr>
                <w:rFonts w:hint="eastAsia" w:ascii="Times New Roman" w:hAnsi="Times New Roman" w:eastAsia="宋体" w:cs="Times New Roman"/>
                <w:color w:val="000000"/>
                <w:sz w:val="24"/>
                <w:szCs w:val="22"/>
                <w:lang w:eastAsia="zh-CN"/>
              </w:rPr>
              <w:t>“</w:t>
            </w:r>
            <w:r>
              <w:rPr>
                <w:rFonts w:hint="eastAsia" w:ascii="Times New Roman" w:hAnsi="Times New Roman" w:eastAsia="宋体" w:cs="Times New Roman"/>
                <w:color w:val="000000"/>
                <w:sz w:val="24"/>
                <w:szCs w:val="22"/>
                <w:lang w:val="en-US" w:eastAsia="zh-CN"/>
              </w:rPr>
              <w:t>N轻工107其他食品制造</w:t>
            </w:r>
            <w:r>
              <w:rPr>
                <w:rFonts w:hint="eastAsia" w:ascii="Times New Roman" w:hAnsi="Times New Roman" w:eastAsia="宋体" w:cs="Times New Roman"/>
                <w:color w:val="000000"/>
                <w:sz w:val="24"/>
                <w:szCs w:val="22"/>
                <w:lang w:eastAsia="zh-CN"/>
              </w:rPr>
              <w:t>”</w:t>
            </w:r>
            <w:r>
              <w:rPr>
                <w:rFonts w:hint="default" w:ascii="Times New Roman" w:hAnsi="Times New Roman" w:eastAsia="宋体" w:cs="Times New Roman"/>
                <w:color w:val="000000"/>
                <w:sz w:val="24"/>
                <w:szCs w:val="22"/>
              </w:rPr>
              <w:t>，地下水环境影响评价项目类别属于</w:t>
            </w:r>
            <w:r>
              <w:rPr>
                <w:rFonts w:hint="eastAsia" w:ascii="Times New Roman" w:hAnsi="Times New Roman" w:eastAsia="宋体" w:cs="Times New Roman"/>
                <w:color w:val="000000"/>
                <w:sz w:val="24"/>
                <w:szCs w:val="22"/>
                <w:lang w:eastAsia="zh-CN"/>
              </w:rPr>
              <w:t>“</w:t>
            </w:r>
            <w:r>
              <w:rPr>
                <w:rFonts w:hint="default" w:ascii="Times New Roman" w:hAnsi="Times New Roman" w:eastAsia="宋体" w:cs="Times New Roman"/>
                <w:color w:val="000000"/>
                <w:sz w:val="24"/>
                <w:szCs w:val="22"/>
              </w:rPr>
              <w:t>报告表的Ⅳ类</w:t>
            </w:r>
            <w:r>
              <w:rPr>
                <w:rFonts w:hint="eastAsia" w:ascii="Times New Roman" w:hAnsi="Times New Roman" w:eastAsia="宋体" w:cs="Times New Roman"/>
                <w:color w:val="000000"/>
                <w:sz w:val="24"/>
                <w:szCs w:val="22"/>
                <w:lang w:eastAsia="zh-CN"/>
              </w:rPr>
              <w:t>”</w:t>
            </w:r>
            <w:r>
              <w:rPr>
                <w:rFonts w:hint="default" w:ascii="Times New Roman" w:hAnsi="Times New Roman" w:eastAsia="宋体" w:cs="Times New Roman"/>
                <w:color w:val="000000"/>
                <w:sz w:val="24"/>
                <w:szCs w:val="22"/>
              </w:rPr>
              <w:t>，不开展地下水环境影响评价。</w:t>
            </w:r>
          </w:p>
          <w:p>
            <w:pPr>
              <w:keepNext/>
              <w:keepLines/>
              <w:pageBreakBefore w:val="0"/>
              <w:widowControl w:val="0"/>
              <w:numPr>
                <w:ilvl w:val="0"/>
                <w:numId w:val="0"/>
              </w:numPr>
              <w:kinsoku/>
              <w:wordWrap/>
              <w:overflowPunct/>
              <w:topLinePunct w:val="0"/>
              <w:autoSpaceDE/>
              <w:autoSpaceDN/>
              <w:bidi w:val="0"/>
              <w:adjustRightInd w:val="0"/>
              <w:snapToGrid w:val="0"/>
              <w:spacing w:after="0" w:line="360" w:lineRule="auto"/>
              <w:jc w:val="both"/>
              <w:outlineLvl w:val="2"/>
              <w:rPr>
                <w:rFonts w:hint="default" w:ascii="Times New Roman" w:hAnsi="Times New Roman" w:eastAsia="宋体" w:cs="Times New Roman"/>
                <w:b/>
                <w:bCs/>
                <w:color w:val="000000"/>
                <w:kern w:val="2"/>
                <w:sz w:val="24"/>
                <w:szCs w:val="22"/>
                <w:lang w:val="en-US" w:eastAsia="zh-CN" w:bidi="ar-SA"/>
              </w:rPr>
            </w:pPr>
            <w:r>
              <w:rPr>
                <w:rFonts w:hint="default" w:ascii="Times New Roman" w:hAnsi="Times New Roman" w:eastAsia="宋体" w:cs="Times New Roman"/>
                <w:b/>
                <w:bCs/>
                <w:color w:val="000000"/>
                <w:kern w:val="2"/>
                <w:sz w:val="24"/>
                <w:szCs w:val="22"/>
                <w:lang w:val="en-US" w:eastAsia="zh-CN" w:bidi="ar-SA"/>
              </w:rPr>
              <w:t>5、土壤环境</w:t>
            </w:r>
          </w:p>
          <w:p>
            <w:pPr>
              <w:pageBreakBefore w:val="0"/>
              <w:widowControl w:val="0"/>
              <w:kinsoku/>
              <w:wordWrap/>
              <w:overflowPunct/>
              <w:topLinePunct w:val="0"/>
              <w:autoSpaceDE/>
              <w:autoSpaceDN/>
              <w:bidi w:val="0"/>
              <w:adjustRightInd w:val="0"/>
              <w:snapToGrid w:val="0"/>
              <w:spacing w:after="0" w:line="360" w:lineRule="auto"/>
              <w:ind w:firstLine="480" w:firstLineChars="200"/>
              <w:jc w:val="both"/>
              <w:rPr>
                <w:rFonts w:hint="default" w:ascii="Times New Roman" w:hAnsi="Times New Roman" w:eastAsia="宋体" w:cs="Times New Roman"/>
                <w:b/>
                <w:bCs/>
                <w:color w:val="000000"/>
                <w:kern w:val="2"/>
                <w:sz w:val="24"/>
                <w:szCs w:val="22"/>
                <w:lang w:val="en-US" w:eastAsia="zh-CN" w:bidi="ar-SA"/>
              </w:rPr>
            </w:pPr>
            <w:r>
              <w:rPr>
                <w:rFonts w:hint="default" w:ascii="Times New Roman" w:hAnsi="Times New Roman" w:eastAsia="宋体" w:cs="Times New Roman"/>
                <w:color w:val="000000"/>
                <w:kern w:val="2"/>
                <w:sz w:val="24"/>
                <w:szCs w:val="22"/>
                <w:lang w:val="en-US" w:eastAsia="zh-CN" w:bidi="ar-SA"/>
              </w:rPr>
              <w:t>根据《环境影响评价技术导则-土壤环境（试行）》（HJ 964-2018）附录A，本项目土壤环境影响评价项目类别为其他行业，全部属于Ⅳ类建设项目，不开展土壤环境影响评价。</w:t>
            </w:r>
          </w:p>
          <w:p>
            <w:pPr>
              <w:keepNext/>
              <w:keepLines/>
              <w:pageBreakBefore w:val="0"/>
              <w:widowControl w:val="0"/>
              <w:numPr>
                <w:ilvl w:val="0"/>
                <w:numId w:val="0"/>
              </w:numPr>
              <w:kinsoku/>
              <w:wordWrap/>
              <w:overflowPunct/>
              <w:topLinePunct w:val="0"/>
              <w:autoSpaceDE/>
              <w:autoSpaceDN/>
              <w:bidi w:val="0"/>
              <w:adjustRightInd w:val="0"/>
              <w:snapToGrid w:val="0"/>
              <w:spacing w:after="0" w:line="360" w:lineRule="auto"/>
              <w:jc w:val="both"/>
              <w:outlineLvl w:val="2"/>
              <w:rPr>
                <w:rFonts w:hint="default" w:ascii="Times New Roman" w:hAnsi="Times New Roman" w:eastAsia="宋体" w:cs="Times New Roman"/>
                <w:b/>
                <w:bCs/>
                <w:color w:val="000000"/>
                <w:kern w:val="2"/>
                <w:sz w:val="24"/>
                <w:szCs w:val="22"/>
                <w:lang w:val="en-US" w:eastAsia="zh-CN" w:bidi="ar-SA"/>
              </w:rPr>
            </w:pPr>
            <w:r>
              <w:rPr>
                <w:rFonts w:hint="default" w:ascii="Times New Roman" w:hAnsi="Times New Roman" w:eastAsia="宋体" w:cs="Times New Roman"/>
                <w:b/>
                <w:bCs/>
                <w:color w:val="000000"/>
                <w:kern w:val="2"/>
                <w:sz w:val="24"/>
                <w:szCs w:val="22"/>
                <w:lang w:val="en-US" w:eastAsia="zh-CN" w:bidi="ar-SA"/>
              </w:rPr>
              <w:t>6、生态环境质量现状</w:t>
            </w:r>
            <w:bookmarkEnd w:id="5"/>
          </w:p>
          <w:bookmarkEnd w:id="7"/>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eastAsia="宋体" w:cs="Times New Roman"/>
                <w:color w:val="000000"/>
                <w:kern w:val="2"/>
                <w:sz w:val="24"/>
                <w:szCs w:val="22"/>
                <w:lang w:val="en-US" w:eastAsia="zh-CN" w:bidi="ar-SA"/>
              </w:rPr>
              <w:t>项目所在区域及附近区域无自然保护区、世界文化和自然遗产及等需要特殊保护的生态敏感区，无风景名胜区、森林公园、地质公园、重要湿地等重要生态敏感区；植被类型主要为灌木、杂草，植被覆盖率较高；由于人类活动的影响较大，该区动物种类及数量较少，并未发现珍稀动物、植物，区域内也没有发现大型野生动物，仅有如蛇类、鸟类，鼠类等小型动物出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bidi w:val="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环境保护目标</w:t>
            </w:r>
          </w:p>
        </w:tc>
        <w:tc>
          <w:tcPr>
            <w:tcW w:w="8566" w:type="dxa"/>
            <w:vAlign w:val="center"/>
          </w:tcPr>
          <w:p>
            <w:pPr>
              <w:widowControl w:val="0"/>
              <w:adjustRightInd w:val="0"/>
              <w:snapToGrid w:val="0"/>
              <w:spacing w:line="360" w:lineRule="auto"/>
              <w:ind w:left="0" w:leftChars="0" w:right="318" w:firstLine="0" w:firstLineChars="0"/>
              <w:jc w:val="both"/>
              <w:rPr>
                <w:rFonts w:hint="default" w:ascii="Times New Roman" w:hAnsi="Times New Roman" w:eastAsia="宋体" w:cs="Times New Roman"/>
                <w:b/>
                <w:color w:val="auto"/>
                <w:spacing w:val="0"/>
                <w:kern w:val="21"/>
                <w:sz w:val="24"/>
                <w:szCs w:val="21"/>
                <w:lang w:val="en-US" w:eastAsia="zh-CN" w:bidi="ar-SA"/>
              </w:rPr>
            </w:pPr>
            <w:bookmarkStart w:id="10" w:name="_Toc411767826"/>
            <w:r>
              <w:rPr>
                <w:rFonts w:hint="default" w:ascii="Times New Roman" w:hAnsi="Times New Roman" w:eastAsia="宋体" w:cs="Times New Roman"/>
                <w:b/>
                <w:color w:val="auto"/>
                <w:spacing w:val="0"/>
                <w:kern w:val="21"/>
                <w:sz w:val="24"/>
                <w:szCs w:val="21"/>
                <w:lang w:val="en-US" w:eastAsia="zh-CN" w:bidi="ar-SA"/>
              </w:rPr>
              <w:t>主要环境保护目标（列出名单及保护级别）</w:t>
            </w:r>
            <w:bookmarkEnd w:id="1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根据现场调查，区域内无自然保护区、饮用水水源保护区、珍稀动植物保护物种、无历史文物古迹等需要特殊保护的环境敏感点。本项目主要环保目标见表3-</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所示，环保目标分布见附图</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sz w:val="24"/>
                <w:szCs w:val="24"/>
                <w:lang w:val="en-US" w:eastAsia="zh-CN"/>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3-5</w:t>
            </w:r>
            <w:r>
              <w:rPr>
                <w:rFonts w:hint="default" w:ascii="Times New Roman" w:hAnsi="Times New Roman" w:eastAsia="宋体" w:cs="Times New Roman"/>
                <w:b/>
                <w:bCs/>
                <w:sz w:val="21"/>
                <w:szCs w:val="21"/>
              </w:rPr>
              <w:t xml:space="preserve">  主要环境保护目标</w:t>
            </w:r>
          </w:p>
          <w:tbl>
            <w:tblPr>
              <w:tblStyle w:val="20"/>
              <w:tblW w:w="496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05"/>
              <w:gridCol w:w="1040"/>
              <w:gridCol w:w="1558"/>
              <w:gridCol w:w="1988"/>
              <w:gridCol w:w="1161"/>
              <w:gridCol w:w="183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40" w:hRule="atLeast"/>
                <w:jc w:val="center"/>
              </w:trPr>
              <w:tc>
                <w:tcPr>
                  <w:tcW w:w="436"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环境要素</w:t>
                  </w:r>
                </w:p>
              </w:tc>
              <w:tc>
                <w:tcPr>
                  <w:tcW w:w="638"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敏感点名称</w:t>
                  </w:r>
                </w:p>
              </w:tc>
              <w:tc>
                <w:tcPr>
                  <w:tcW w:w="897"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相对项目的最近距离</w:t>
                  </w:r>
                </w:p>
              </w:tc>
              <w:tc>
                <w:tcPr>
                  <w:tcW w:w="1209"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坐标</w:t>
                  </w:r>
                </w:p>
              </w:tc>
              <w:tc>
                <w:tcPr>
                  <w:tcW w:w="710"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功能及规模</w:t>
                  </w:r>
                </w:p>
              </w:tc>
              <w:tc>
                <w:tcPr>
                  <w:tcW w:w="1108"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环境功</w:t>
                  </w:r>
                  <w:r>
                    <w:rPr>
                      <w:rFonts w:hint="default" w:ascii="Times New Roman" w:hAnsi="Times New Roman" w:eastAsia="宋体" w:cs="Times New Roman"/>
                      <w:color w:val="000000"/>
                      <w:sz w:val="21"/>
                      <w:szCs w:val="21"/>
                      <w:lang w:eastAsia="zh-CN"/>
                    </w:rPr>
                    <w:cr/>
                  </w:r>
                  <w:r>
                    <w:rPr>
                      <w:rFonts w:hint="default" w:ascii="Times New Roman" w:hAnsi="Times New Roman" w:eastAsia="宋体" w:cs="Times New Roman"/>
                      <w:color w:val="000000"/>
                      <w:sz w:val="21"/>
                      <w:szCs w:val="21"/>
                      <w:lang w:eastAsia="zh-CN"/>
                    </w:rPr>
                    <w:t>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36" w:type="pct"/>
                  <w:vMerge w:val="restar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环境空气</w:t>
                  </w:r>
                </w:p>
              </w:tc>
              <w:tc>
                <w:tcPr>
                  <w:tcW w:w="638"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项目西南侧</w:t>
                  </w:r>
                  <w:r>
                    <w:rPr>
                      <w:rFonts w:hint="eastAsia" w:ascii="Times New Roman" w:hAnsi="Times New Roman" w:cs="Times New Roman"/>
                      <w:color w:val="000000"/>
                      <w:sz w:val="21"/>
                      <w:szCs w:val="21"/>
                      <w:lang w:val="en-US" w:eastAsia="zh-CN"/>
                    </w:rPr>
                    <w:t>大山仁村</w:t>
                  </w:r>
                  <w:r>
                    <w:rPr>
                      <w:rFonts w:hint="default" w:ascii="Times New Roman" w:hAnsi="Times New Roman" w:eastAsia="宋体" w:cs="Times New Roman"/>
                      <w:color w:val="000000"/>
                      <w:sz w:val="21"/>
                      <w:szCs w:val="21"/>
                      <w:lang w:val="en-US" w:eastAsia="zh-CN"/>
                    </w:rPr>
                    <w:t>散户居民</w:t>
                  </w:r>
                </w:p>
              </w:tc>
              <w:tc>
                <w:tcPr>
                  <w:tcW w:w="897"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WS</w:t>
                  </w:r>
                  <w:r>
                    <w:rPr>
                      <w:rFonts w:hint="eastAsia" w:ascii="Times New Roman" w:hAnsi="Times New Roman" w:cs="Times New Roman"/>
                      <w:color w:val="000000"/>
                      <w:sz w:val="21"/>
                      <w:szCs w:val="21"/>
                      <w:lang w:val="en-US" w:eastAsia="zh-CN"/>
                    </w:rPr>
                    <w:t>213</w:t>
                  </w:r>
                  <w:r>
                    <w:rPr>
                      <w:rFonts w:hint="default" w:ascii="Times New Roman" w:hAnsi="Times New Roman" w:eastAsia="宋体" w:cs="Times New Roman"/>
                      <w:color w:val="000000"/>
                      <w:sz w:val="21"/>
                      <w:szCs w:val="21"/>
                      <w:lang w:val="en-US" w:eastAsia="zh-CN"/>
                    </w:rPr>
                    <w:t>m-500m</w:t>
                  </w:r>
                </w:p>
              </w:tc>
              <w:tc>
                <w:tcPr>
                  <w:tcW w:w="1209"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经度：112°20′18.01421″</w:t>
                  </w:r>
                </w:p>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纬度：25°50′47.02922″</w:t>
                  </w:r>
                </w:p>
              </w:tc>
              <w:tc>
                <w:tcPr>
                  <w:tcW w:w="710"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约</w:t>
                  </w:r>
                  <w:r>
                    <w:rPr>
                      <w:rFonts w:hint="eastAsia" w:ascii="Times New Roman" w:hAnsi="Times New Roman" w:cs="Times New Roman"/>
                      <w:color w:val="000000"/>
                      <w:sz w:val="21"/>
                      <w:szCs w:val="21"/>
                      <w:lang w:val="en-US" w:eastAsia="zh-CN"/>
                    </w:rPr>
                    <w:t>10</w:t>
                  </w:r>
                  <w:r>
                    <w:rPr>
                      <w:rFonts w:hint="default" w:ascii="Times New Roman" w:hAnsi="Times New Roman" w:eastAsia="宋体" w:cs="Times New Roman"/>
                      <w:color w:val="000000"/>
                      <w:sz w:val="21"/>
                      <w:szCs w:val="21"/>
                      <w:lang w:eastAsia="zh-CN"/>
                    </w:rPr>
                    <w:t>户，</w:t>
                  </w:r>
                  <w:r>
                    <w:rPr>
                      <w:rFonts w:hint="eastAsia" w:ascii="Times New Roman" w:hAnsi="Times New Roman" w:cs="Times New Roman"/>
                      <w:color w:val="000000"/>
                      <w:sz w:val="21"/>
                      <w:szCs w:val="21"/>
                      <w:lang w:val="en-US" w:eastAsia="zh-CN"/>
                    </w:rPr>
                    <w:t>400</w:t>
                  </w:r>
                  <w:r>
                    <w:rPr>
                      <w:rFonts w:hint="default" w:ascii="Times New Roman" w:hAnsi="Times New Roman" w:eastAsia="宋体" w:cs="Times New Roman"/>
                      <w:color w:val="000000"/>
                      <w:sz w:val="21"/>
                      <w:szCs w:val="21"/>
                      <w:lang w:eastAsia="zh-CN"/>
                    </w:rPr>
                    <w:t>人</w:t>
                  </w:r>
                </w:p>
              </w:tc>
              <w:tc>
                <w:tcPr>
                  <w:tcW w:w="1108" w:type="pct"/>
                  <w:vMerge w:val="restar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环境空气质量标准》（GB3095-2012）二级标准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36" w:type="pct"/>
                  <w:vMerge w:val="continue"/>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eastAsia="zh-CN"/>
                    </w:rPr>
                  </w:pPr>
                </w:p>
              </w:tc>
              <w:tc>
                <w:tcPr>
                  <w:tcW w:w="638"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项目西南侧</w:t>
                  </w:r>
                  <w:r>
                    <w:rPr>
                      <w:rFonts w:hint="eastAsia" w:ascii="Times New Roman" w:hAnsi="Times New Roman" w:cs="Times New Roman"/>
                      <w:color w:val="000000"/>
                      <w:sz w:val="21"/>
                      <w:szCs w:val="21"/>
                      <w:lang w:val="en-US" w:eastAsia="zh-CN"/>
                    </w:rPr>
                    <w:t>大山仁村</w:t>
                  </w:r>
                  <w:r>
                    <w:rPr>
                      <w:rFonts w:hint="default" w:ascii="Times New Roman" w:hAnsi="Times New Roman" w:eastAsia="宋体" w:cs="Times New Roman"/>
                      <w:color w:val="000000"/>
                      <w:sz w:val="21"/>
                      <w:szCs w:val="21"/>
                      <w:lang w:val="en-US" w:eastAsia="zh-CN"/>
                    </w:rPr>
                    <w:t>散户居民</w:t>
                  </w:r>
                </w:p>
              </w:tc>
              <w:tc>
                <w:tcPr>
                  <w:tcW w:w="897"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WS</w:t>
                  </w:r>
                  <w:r>
                    <w:rPr>
                      <w:rFonts w:hint="eastAsia" w:ascii="Times New Roman" w:hAnsi="Times New Roman" w:cs="Times New Roman"/>
                      <w:color w:val="000000"/>
                      <w:sz w:val="21"/>
                      <w:szCs w:val="21"/>
                      <w:lang w:val="en-US" w:eastAsia="zh-CN"/>
                    </w:rPr>
                    <w:t>280</w:t>
                  </w:r>
                  <w:r>
                    <w:rPr>
                      <w:rFonts w:hint="default" w:ascii="Times New Roman" w:hAnsi="Times New Roman" w:eastAsia="宋体" w:cs="Times New Roman"/>
                      <w:color w:val="000000"/>
                      <w:sz w:val="21"/>
                      <w:szCs w:val="21"/>
                      <w:lang w:val="en-US" w:eastAsia="zh-CN"/>
                    </w:rPr>
                    <w:t>m-500m</w:t>
                  </w:r>
                </w:p>
              </w:tc>
              <w:tc>
                <w:tcPr>
                  <w:tcW w:w="1209"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经度：112°20′9.79529″</w:t>
                  </w:r>
                </w:p>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纬度：25°23′35.03792″</w:t>
                  </w:r>
                </w:p>
              </w:tc>
              <w:tc>
                <w:tcPr>
                  <w:tcW w:w="710"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约</w:t>
                  </w:r>
                  <w:r>
                    <w:rPr>
                      <w:rFonts w:hint="eastAsia" w:ascii="Times New Roman" w:hAnsi="Times New Roman" w:cs="Times New Roman"/>
                      <w:color w:val="000000"/>
                      <w:sz w:val="21"/>
                      <w:szCs w:val="21"/>
                      <w:lang w:val="en-US" w:eastAsia="zh-CN"/>
                    </w:rPr>
                    <w:t>5</w:t>
                  </w:r>
                  <w:r>
                    <w:rPr>
                      <w:rFonts w:hint="default" w:ascii="Times New Roman" w:hAnsi="Times New Roman" w:eastAsia="宋体" w:cs="Times New Roman"/>
                      <w:color w:val="000000"/>
                      <w:sz w:val="21"/>
                      <w:szCs w:val="21"/>
                      <w:lang w:eastAsia="zh-CN"/>
                    </w:rPr>
                    <w:t>户，</w:t>
                  </w:r>
                  <w:r>
                    <w:rPr>
                      <w:rFonts w:hint="eastAsia" w:ascii="Times New Roman" w:hAnsi="Times New Roman" w:cs="Times New Roman"/>
                      <w:color w:val="000000"/>
                      <w:sz w:val="21"/>
                      <w:szCs w:val="21"/>
                      <w:lang w:val="en-US" w:eastAsia="zh-CN"/>
                    </w:rPr>
                    <w:t>32</w:t>
                  </w:r>
                  <w:r>
                    <w:rPr>
                      <w:rFonts w:hint="default" w:ascii="Times New Roman" w:hAnsi="Times New Roman" w:eastAsia="宋体" w:cs="Times New Roman"/>
                      <w:color w:val="000000"/>
                      <w:sz w:val="21"/>
                      <w:szCs w:val="21"/>
                      <w:lang w:eastAsia="zh-CN"/>
                    </w:rPr>
                    <w:t>人</w:t>
                  </w:r>
                </w:p>
              </w:tc>
              <w:tc>
                <w:tcPr>
                  <w:tcW w:w="1108" w:type="pct"/>
                  <w:vMerge w:val="continue"/>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36"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地表水</w:t>
                  </w:r>
                </w:p>
              </w:tc>
              <w:tc>
                <w:tcPr>
                  <w:tcW w:w="638"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周边地</w:t>
                  </w:r>
                  <w:r>
                    <w:rPr>
                      <w:rFonts w:hint="eastAsia" w:ascii="Times New Roman" w:hAnsi="Times New Roman" w:cs="Times New Roman"/>
                      <w:color w:val="000000"/>
                      <w:sz w:val="21"/>
                      <w:szCs w:val="21"/>
                      <w:lang w:val="en-US" w:eastAsia="zh-CN"/>
                    </w:rPr>
                    <w:t>表水</w:t>
                  </w:r>
                </w:p>
              </w:tc>
              <w:tc>
                <w:tcPr>
                  <w:tcW w:w="897"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东侧小溪</w:t>
                  </w:r>
                </w:p>
              </w:tc>
              <w:tc>
                <w:tcPr>
                  <w:tcW w:w="1209"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经度：112°20′16.85549″</w:t>
                  </w:r>
                </w:p>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纬度：25°50′51.50958″</w:t>
                  </w:r>
                </w:p>
              </w:tc>
              <w:tc>
                <w:tcPr>
                  <w:tcW w:w="710"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w:t>
                  </w:r>
                </w:p>
              </w:tc>
              <w:tc>
                <w:tcPr>
                  <w:tcW w:w="1108"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《地表水环境质量标准》(GB3838-2002)Ⅲ类</w:t>
                  </w:r>
                </w:p>
              </w:tc>
            </w:tr>
          </w:tbl>
          <w:p>
            <w:pPr>
              <w:pStyle w:val="16"/>
              <w:ind w:left="0" w:leftChars="0" w:firstLine="0" w:firstLineChars="0"/>
              <w:jc w:val="both"/>
              <w:rPr>
                <w:rFonts w:hint="eastAsia" w:ascii="Times New Roman" w:hAnsi="Times New Roman" w:cs="Times New Roman"/>
                <w:sz w:val="24"/>
                <w:szCs w:val="24"/>
                <w:lang w:val="en-US" w:eastAsia="zh-CN"/>
              </w:rPr>
            </w:pPr>
          </w:p>
          <w:p>
            <w:pPr>
              <w:pStyle w:val="16"/>
              <w:ind w:left="0" w:leftChars="0" w:firstLine="0" w:firstLineChars="0"/>
              <w:jc w:val="both"/>
              <w:rPr>
                <w:rFonts w:hint="eastAsia" w:ascii="Times New Roman" w:hAnsi="Times New Roman" w:cs="Times New Roman"/>
                <w:sz w:val="24"/>
                <w:szCs w:val="24"/>
                <w:lang w:val="en-US" w:eastAsia="zh-CN"/>
              </w:rPr>
            </w:pPr>
          </w:p>
          <w:p>
            <w:pPr>
              <w:pStyle w:val="16"/>
              <w:ind w:left="0" w:leftChars="0" w:firstLine="0" w:firstLineChars="0"/>
              <w:jc w:val="both"/>
              <w:rPr>
                <w:rFonts w:hint="eastAsia" w:ascii="Times New Roman" w:hAnsi="Times New Roman" w:cs="Times New Roman"/>
                <w:sz w:val="24"/>
                <w:szCs w:val="24"/>
                <w:lang w:val="en-US" w:eastAsia="zh-CN"/>
              </w:rPr>
            </w:pPr>
          </w:p>
          <w:p>
            <w:pPr>
              <w:pStyle w:val="16"/>
              <w:ind w:left="0" w:leftChars="0" w:firstLine="0" w:firstLineChars="0"/>
              <w:jc w:val="both"/>
              <w:rPr>
                <w:rFonts w:hint="eastAsia" w:ascii="Times New Roman" w:hAnsi="Times New Roman" w:cs="Times New Roman"/>
                <w:sz w:val="24"/>
                <w:szCs w:val="24"/>
                <w:lang w:val="en-US" w:eastAsia="zh-CN"/>
              </w:rPr>
            </w:pPr>
          </w:p>
          <w:p>
            <w:pPr>
              <w:pStyle w:val="16"/>
              <w:ind w:left="0" w:leftChars="0" w:firstLine="0" w:firstLineChars="0"/>
              <w:jc w:val="both"/>
              <w:rPr>
                <w:rFonts w:hint="default" w:ascii="Times New Roman" w:hAnsi="Times New Roman"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bidi w:val="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污染物排放控制标准</w:t>
            </w:r>
          </w:p>
        </w:tc>
        <w:tc>
          <w:tcPr>
            <w:tcW w:w="8566" w:type="dxa"/>
            <w:vAlign w:val="center"/>
          </w:tcPr>
          <w:p>
            <w:pPr>
              <w:spacing w:line="360" w:lineRule="auto"/>
              <w:ind w:firstLine="480"/>
              <w:jc w:val="left"/>
              <w:rPr>
                <w:rFonts w:ascii="Times New Roman" w:hAnsi="Times New Roman" w:eastAsia="宋体" w:cs="Times New Roman"/>
                <w:b/>
                <w:bCs/>
                <w:color w:val="000000" w:themeColor="text1"/>
                <w:sz w:val="24"/>
                <w:szCs w:val="24"/>
                <w:u w:val="none"/>
                <w14:textFill>
                  <w14:solidFill>
                    <w14:schemeClr w14:val="tx1"/>
                  </w14:solidFill>
                </w14:textFill>
              </w:rPr>
            </w:pPr>
            <w:r>
              <w:rPr>
                <w:rFonts w:hint="eastAsia" w:ascii="Times New Roman" w:hAnsi="Times New Roman" w:eastAsia="宋体" w:cs="Times New Roman"/>
                <w:b/>
                <w:bCs/>
                <w:color w:val="000000" w:themeColor="text1"/>
                <w:sz w:val="24"/>
                <w:szCs w:val="24"/>
                <w:u w:val="none"/>
                <w14:textFill>
                  <w14:solidFill>
                    <w14:schemeClr w14:val="tx1"/>
                  </w14:solidFill>
                </w14:textFill>
              </w:rPr>
              <w:t>1、废水</w:t>
            </w:r>
          </w:p>
          <w:p>
            <w:pPr>
              <w:widowControl w:val="0"/>
              <w:spacing w:line="360" w:lineRule="auto"/>
              <w:ind w:firstLine="480" w:firstLineChars="200"/>
              <w:jc w:val="both"/>
              <w:rPr>
                <w:rFonts w:hint="default"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生产废水经污水处理站处理</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后用于用于</w:t>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农</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田施</w:t>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肥不外排；生活污水经化粪池处理后</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用于</w:t>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农</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田施</w:t>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肥不外排</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；锅炉排污水和软水制备设备排污水为清净下水，用于周边绿化浇洒不外排。</w:t>
            </w:r>
          </w:p>
          <w:p>
            <w:pPr>
              <w:spacing w:line="360" w:lineRule="auto"/>
              <w:ind w:firstLine="482" w:firstLineChars="200"/>
              <w:rPr>
                <w:rFonts w:ascii="Times New Roman" w:hAnsi="Times New Roman" w:eastAsia="宋体" w:cs="Times New Roman"/>
                <w:color w:val="000000" w:themeColor="text1"/>
                <w:sz w:val="24"/>
                <w:szCs w:val="24"/>
                <w:u w:val="none"/>
                <w14:textFill>
                  <w14:solidFill>
                    <w14:schemeClr w14:val="tx1"/>
                  </w14:solidFill>
                </w14:textFill>
              </w:rPr>
            </w:pPr>
            <w:r>
              <w:rPr>
                <w:rFonts w:ascii="Times New Roman" w:hAnsi="Times New Roman" w:eastAsia="宋体" w:cs="Times New Roman"/>
                <w:b/>
                <w:bCs/>
                <w:color w:val="000000" w:themeColor="text1"/>
                <w:sz w:val="24"/>
                <w:szCs w:val="24"/>
                <w:u w:val="none"/>
                <w14:textFill>
                  <w14:solidFill>
                    <w14:schemeClr w14:val="tx1"/>
                  </w14:solidFill>
                </w14:textFill>
              </w:rPr>
              <w:t>2、废气</w:t>
            </w:r>
          </w:p>
          <w:p>
            <w:pPr>
              <w:spacing w:line="360" w:lineRule="auto"/>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本项目生产车间内气味和污水处理站恶臭执行《恶臭污染物排放标准》（GB14554-93）中新扩改建项目的二级标准；燃烧生物质的蒸汽锅炉参照执行《锅炉大气污染物排放标准》（GB13271-2014）中表2燃</w:t>
            </w:r>
            <w:r>
              <w:rPr>
                <w:rFonts w:hint="eastAsia" w:ascii="Times New Roman" w:hAnsi="Times New Roman" w:cs="Times New Roman"/>
                <w:color w:val="000000" w:themeColor="text1"/>
                <w:sz w:val="24"/>
                <w:szCs w:val="24"/>
                <w:u w:val="none"/>
                <w:lang w:val="en-US" w:eastAsia="zh-CN"/>
                <w14:textFill>
                  <w14:solidFill>
                    <w14:schemeClr w14:val="tx1"/>
                  </w14:solidFill>
                </w14:textFill>
              </w:rPr>
              <w:t>气</w:t>
            </w: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锅炉排放控制要求，项目锅炉房设置1台2t/h（备用）和1台10t/h的生物质蒸汽锅炉，装机容量共12t/h，根据下表3-8烟囱最低设置高度要求，本项目锅炉房应设置40m高烟囱；滚筒式炒锅燃烧烟气参照执行</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《大气污染物综合排放标准》（GB16297-1996）</w:t>
            </w:r>
            <w:r>
              <w:rPr>
                <w:rFonts w:hint="eastAsia" w:ascii="Times New Roman" w:hAnsi="Times New Roman" w:cs="Times New Roman"/>
                <w:color w:val="000000" w:themeColor="text1"/>
                <w:sz w:val="24"/>
                <w:szCs w:val="24"/>
                <w:u w:val="none"/>
                <w:lang w:val="en-US" w:eastAsia="zh-CN"/>
                <w14:textFill>
                  <w14:solidFill>
                    <w14:schemeClr w14:val="tx1"/>
                  </w14:solidFill>
                </w14:textFill>
              </w:rPr>
              <w:t>表2中二级标准限值</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脱壳粉尘排放执行</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执行《大气污染物综</w:t>
            </w:r>
            <w:r>
              <w:rPr>
                <w:rFonts w:hint="default" w:ascii="Times New Roman" w:hAnsi="Times New Roman" w:eastAsia="新宋体" w:cs="Times New Roman"/>
                <w:color w:val="auto"/>
                <w:sz w:val="24"/>
                <w:szCs w:val="24"/>
              </w:rPr>
              <w:t>合排放标准》（GB16297-1996）</w:t>
            </w:r>
            <w:r>
              <w:rPr>
                <w:rFonts w:hint="default" w:ascii="Times New Roman" w:hAnsi="Times New Roman" w:eastAsia="宋体" w:cs="Times New Roman"/>
                <w:color w:val="000000"/>
                <w:kern w:val="2"/>
                <w:sz w:val="24"/>
                <w:szCs w:val="24"/>
                <w:lang w:val="en-US" w:eastAsia="zh-CN" w:bidi="ar-SA"/>
              </w:rPr>
              <w:t>无组织排放监控浓度限值要求</w:t>
            </w:r>
            <w:r>
              <w:rPr>
                <w:rFonts w:hint="eastAsia" w:ascii="Times New Roman" w:hAnsi="Times New Roman" w:eastAsia="宋体" w:cs="Times New Roman"/>
                <w:color w:val="000000"/>
                <w:kern w:val="2"/>
                <w:sz w:val="24"/>
                <w:szCs w:val="24"/>
                <w:lang w:val="en-US" w:eastAsia="zh-CN" w:bidi="ar-SA"/>
              </w:rPr>
              <w:t>；</w:t>
            </w:r>
            <w:r>
              <w:rPr>
                <w:rFonts w:hint="default" w:ascii="Times New Roman" w:hAnsi="Times New Roman" w:eastAsia="新宋体" w:cs="Times New Roman"/>
                <w:color w:val="auto"/>
                <w:sz w:val="24"/>
                <w:szCs w:val="24"/>
                <w:lang w:val="zh-CN"/>
              </w:rPr>
              <w:t>餐饮厨房油烟执行《饮食业油烟排放标准（试行）》（GB18483-2001）中最高允许排放浓度</w:t>
            </w:r>
            <w:r>
              <w:rPr>
                <w:rFonts w:hint="eastAsia" w:ascii="Times New Roman" w:hAnsi="Times New Roman" w:eastAsia="新宋体" w:cs="Times New Roman"/>
                <w:color w:val="auto"/>
                <w:sz w:val="24"/>
                <w:szCs w:val="24"/>
                <w:lang w:val="zh-CN"/>
              </w:rPr>
              <w:t>（</w:t>
            </w:r>
            <w:r>
              <w:rPr>
                <w:rFonts w:hint="eastAsia" w:ascii="Times New Roman" w:hAnsi="Times New Roman" w:eastAsia="新宋体" w:cs="Times New Roman"/>
                <w:color w:val="auto"/>
                <w:sz w:val="24"/>
                <w:szCs w:val="24"/>
                <w:lang w:val="en-US" w:eastAsia="zh-CN"/>
              </w:rPr>
              <w:t>2.0</w:t>
            </w: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eastAsia="新宋体" w:cs="Times New Roman"/>
                <w:color w:val="auto"/>
                <w:sz w:val="24"/>
                <w:szCs w:val="24"/>
                <w:lang w:val="zh-CN"/>
              </w:rPr>
              <w:t>）</w:t>
            </w:r>
            <w:r>
              <w:rPr>
                <w:rFonts w:hint="default" w:ascii="Times New Roman" w:hAnsi="Times New Roman" w:eastAsia="新宋体" w:cs="Times New Roman"/>
                <w:color w:val="auto"/>
                <w:sz w:val="24"/>
                <w:szCs w:val="24"/>
                <w:lang w:val="zh-CN"/>
              </w:rPr>
              <w:t>；</w:t>
            </w:r>
          </w:p>
          <w:p>
            <w:pPr>
              <w:bidi w:val="0"/>
              <w:adjustRightInd w:val="0"/>
              <w:spacing w:line="360" w:lineRule="atLeast"/>
              <w:jc w:val="center"/>
              <w:textAlignment w:val="baseline"/>
              <w:rPr>
                <w:rFonts w:hint="default" w:ascii="Times New Roman" w:hAnsi="Times New Roman" w:eastAsia="新宋体" w:cs="Times New Roman"/>
                <w:b/>
                <w:bCs/>
                <w:sz w:val="21"/>
                <w:szCs w:val="21"/>
                <w:lang w:val="en-US" w:eastAsia="zh-CN"/>
              </w:rPr>
            </w:pPr>
            <w:r>
              <w:rPr>
                <w:rFonts w:hint="default" w:ascii="Times New Roman" w:hAnsi="Times New Roman" w:eastAsia="新宋体" w:cs="Times New Roman"/>
                <w:b/>
                <w:bCs/>
                <w:sz w:val="21"/>
                <w:szCs w:val="21"/>
                <w:lang w:val="en-US" w:eastAsia="zh-CN"/>
              </w:rPr>
              <w:t>表</w:t>
            </w:r>
            <w:r>
              <w:rPr>
                <w:rFonts w:hint="eastAsia" w:ascii="Times New Roman" w:hAnsi="Times New Roman" w:eastAsia="新宋体" w:cs="Times New Roman"/>
                <w:b/>
                <w:bCs/>
                <w:sz w:val="21"/>
                <w:szCs w:val="21"/>
                <w:lang w:val="en-US" w:eastAsia="zh-CN"/>
              </w:rPr>
              <w:t>3</w:t>
            </w:r>
            <w:r>
              <w:rPr>
                <w:rFonts w:hint="default" w:ascii="Times New Roman" w:hAnsi="Times New Roman" w:eastAsia="新宋体" w:cs="Times New Roman"/>
                <w:b/>
                <w:bCs/>
                <w:sz w:val="21"/>
                <w:szCs w:val="21"/>
                <w:lang w:val="en-US" w:eastAsia="zh-CN"/>
              </w:rPr>
              <w:t>-</w:t>
            </w:r>
            <w:r>
              <w:rPr>
                <w:rFonts w:hint="eastAsia" w:ascii="Times New Roman" w:hAnsi="Times New Roman" w:eastAsia="新宋体" w:cs="Times New Roman"/>
                <w:b/>
                <w:bCs/>
                <w:sz w:val="21"/>
                <w:szCs w:val="21"/>
                <w:lang w:val="en-US" w:eastAsia="zh-CN"/>
              </w:rPr>
              <w:t>6</w:t>
            </w:r>
            <w:r>
              <w:rPr>
                <w:rFonts w:hint="default" w:ascii="Times New Roman" w:hAnsi="Times New Roman" w:eastAsia="新宋体" w:cs="Times New Roman"/>
                <w:b/>
                <w:bCs/>
                <w:sz w:val="21"/>
                <w:szCs w:val="21"/>
                <w:lang w:val="en-US" w:eastAsia="zh-CN"/>
              </w:rPr>
              <w:t xml:space="preserve"> </w:t>
            </w:r>
            <w:r>
              <w:rPr>
                <w:rFonts w:hint="eastAsia" w:ascii="Times New Roman" w:hAnsi="Times New Roman" w:eastAsia="新宋体" w:cs="Times New Roman"/>
                <w:b/>
                <w:bCs/>
                <w:sz w:val="21"/>
                <w:szCs w:val="21"/>
                <w:lang w:val="en-US" w:eastAsia="zh-CN"/>
              </w:rPr>
              <w:t>《恶臭污染物排放标准》（GB14554-93）</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2087"/>
              <w:gridCol w:w="2087"/>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eastAsia="新宋体" w:cs="Times New Roman"/>
                      <w:sz w:val="21"/>
                      <w:szCs w:val="21"/>
                    </w:rPr>
                    <w:t>污染源</w:t>
                  </w:r>
                </w:p>
              </w:tc>
              <w:tc>
                <w:tcPr>
                  <w:tcW w:w="2087"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控制项目</w:t>
                  </w:r>
                </w:p>
              </w:tc>
              <w:tc>
                <w:tcPr>
                  <w:tcW w:w="2087"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单位</w:t>
                  </w:r>
                </w:p>
              </w:tc>
              <w:tc>
                <w:tcPr>
                  <w:tcW w:w="2088"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087"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087"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088"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新</w:t>
                  </w:r>
                  <w:r>
                    <w:rPr>
                      <w:rFonts w:hint="eastAsia" w:ascii="Times New Roman" w:hAnsi="Times New Roman" w:cs="Times New Roman" w:eastAsiaTheme="minorEastAsia"/>
                      <w:sz w:val="21"/>
                      <w:szCs w:val="21"/>
                      <w:lang w:val="en-US" w:eastAsia="zh-CN"/>
                    </w:rPr>
                    <w:t>扩改</w:t>
                  </w:r>
                  <w:r>
                    <w:rPr>
                      <w:rFonts w:hint="default" w:ascii="Times New Roman" w:hAnsi="Times New Roman" w:cs="Times New Roman" w:eastAsiaTheme="minorEastAsia"/>
                      <w:sz w:val="21"/>
                      <w:szCs w:val="21"/>
                      <w:lang w:val="en-US"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生产车间和污水处理站</w:t>
                  </w:r>
                </w:p>
              </w:tc>
              <w:tc>
                <w:tcPr>
                  <w:tcW w:w="2087"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氨</w:t>
                  </w:r>
                </w:p>
              </w:tc>
              <w:tc>
                <w:tcPr>
                  <w:tcW w:w="2087"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208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087"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硫化氢</w:t>
                  </w:r>
                </w:p>
              </w:tc>
              <w:tc>
                <w:tcPr>
                  <w:tcW w:w="2087"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208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087"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臭气浓度</w:t>
                  </w:r>
                </w:p>
              </w:tc>
              <w:tc>
                <w:tcPr>
                  <w:tcW w:w="2087"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无量纲</w:t>
                  </w:r>
                </w:p>
              </w:tc>
              <w:tc>
                <w:tcPr>
                  <w:tcW w:w="208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r>
          </w:tbl>
          <w:p>
            <w:pPr>
              <w:bidi w:val="0"/>
              <w:adjustRightInd w:val="0"/>
              <w:spacing w:line="360" w:lineRule="atLeast"/>
              <w:jc w:val="center"/>
              <w:textAlignment w:val="baseline"/>
              <w:rPr>
                <w:rFonts w:hint="default" w:ascii="Times New Roman" w:hAnsi="Times New Roman" w:eastAsia="新宋体" w:cs="Times New Roman"/>
                <w:b/>
                <w:bCs/>
                <w:sz w:val="21"/>
                <w:szCs w:val="21"/>
                <w:lang w:val="en-US" w:eastAsia="zh-CN"/>
              </w:rPr>
            </w:pPr>
            <w:r>
              <w:rPr>
                <w:rFonts w:hint="default" w:ascii="Times New Roman" w:hAnsi="Times New Roman" w:eastAsia="新宋体" w:cs="Times New Roman"/>
                <w:b/>
                <w:bCs/>
                <w:sz w:val="21"/>
                <w:szCs w:val="21"/>
                <w:lang w:val="en-US" w:eastAsia="zh-CN"/>
              </w:rPr>
              <w:t>表</w:t>
            </w:r>
            <w:r>
              <w:rPr>
                <w:rFonts w:hint="eastAsia" w:ascii="Times New Roman" w:hAnsi="Times New Roman" w:eastAsia="新宋体" w:cs="Times New Roman"/>
                <w:b/>
                <w:bCs/>
                <w:sz w:val="21"/>
                <w:szCs w:val="21"/>
                <w:lang w:val="en-US" w:eastAsia="zh-CN"/>
              </w:rPr>
              <w:t>3</w:t>
            </w:r>
            <w:r>
              <w:rPr>
                <w:rFonts w:hint="default" w:ascii="Times New Roman" w:hAnsi="Times New Roman" w:eastAsia="新宋体" w:cs="Times New Roman"/>
                <w:b/>
                <w:bCs/>
                <w:sz w:val="21"/>
                <w:szCs w:val="21"/>
                <w:lang w:val="en-US" w:eastAsia="zh-CN"/>
              </w:rPr>
              <w:t>-</w:t>
            </w:r>
            <w:r>
              <w:rPr>
                <w:rFonts w:hint="eastAsia" w:ascii="Times New Roman" w:hAnsi="Times New Roman" w:eastAsia="新宋体" w:cs="Times New Roman"/>
                <w:b/>
                <w:bCs/>
                <w:sz w:val="21"/>
                <w:szCs w:val="21"/>
                <w:lang w:val="en-US" w:eastAsia="zh-CN"/>
              </w:rPr>
              <w:t>7</w:t>
            </w:r>
            <w:r>
              <w:rPr>
                <w:rFonts w:hint="default" w:ascii="Times New Roman" w:hAnsi="Times New Roman" w:eastAsia="新宋体" w:cs="Times New Roman"/>
                <w:b/>
                <w:bCs/>
                <w:sz w:val="21"/>
                <w:szCs w:val="21"/>
                <w:lang w:val="en-US" w:eastAsia="zh-CN"/>
              </w:rPr>
              <w:t xml:space="preserve"> 《大气污染物综合排放标准》（GB16297-1996）</w:t>
            </w:r>
            <w:r>
              <w:rPr>
                <w:rFonts w:hint="eastAsia" w:ascii="Times New Roman" w:hAnsi="Times New Roman" w:eastAsia="新宋体" w:cs="Times New Roman"/>
                <w:b/>
                <w:bCs/>
                <w:sz w:val="21"/>
                <w:szCs w:val="21"/>
                <w:lang w:val="en-US" w:eastAsia="zh-CN"/>
              </w:rPr>
              <w:t xml:space="preserve">    单位:</w:t>
            </w:r>
            <w:r>
              <w:rPr>
                <w:rFonts w:hint="default" w:ascii="Times New Roman" w:hAnsi="Times New Roman" w:eastAsia="新宋体" w:cs="Times New Roman"/>
                <w:b/>
                <w:bCs/>
                <w:sz w:val="21"/>
                <w:szCs w:val="21"/>
              </w:rPr>
              <w:t>（</w:t>
            </w:r>
            <w:r>
              <w:rPr>
                <w:rFonts w:hint="eastAsia" w:ascii="Times New Roman" w:hAnsi="Times New Roman" w:eastAsia="新宋体" w:cs="Times New Roman"/>
                <w:b/>
                <w:bCs/>
                <w:sz w:val="21"/>
                <w:szCs w:val="21"/>
                <w:lang w:val="en-US" w:eastAsia="zh-CN"/>
              </w:rPr>
              <w:t>mg/m</w:t>
            </w:r>
            <w:r>
              <w:rPr>
                <w:rFonts w:hint="eastAsia" w:ascii="Times New Roman" w:hAnsi="Times New Roman" w:eastAsia="新宋体" w:cs="Times New Roman"/>
                <w:b/>
                <w:bCs/>
                <w:sz w:val="21"/>
                <w:szCs w:val="21"/>
                <w:vertAlign w:val="superscript"/>
                <w:lang w:val="en-US" w:eastAsia="zh-CN"/>
              </w:rPr>
              <w:t>3</w:t>
            </w:r>
            <w:r>
              <w:rPr>
                <w:rFonts w:hint="default" w:ascii="Times New Roman" w:hAnsi="Times New Roman" w:eastAsia="新宋体" w:cs="Times New Roman"/>
                <w:b/>
                <w:bCs/>
                <w:sz w:val="21"/>
                <w:szCs w:val="21"/>
              </w:rPr>
              <w:t>）</w:t>
            </w:r>
          </w:p>
          <w:tbl>
            <w:tblPr>
              <w:tblStyle w:val="21"/>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2087"/>
              <w:gridCol w:w="2087"/>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Merge w:val="restart"/>
                  <w:vAlign w:val="center"/>
                </w:tcPr>
                <w:p>
                  <w:pPr>
                    <w:bidi w:val="0"/>
                    <w:jc w:val="center"/>
                    <w:rPr>
                      <w:rFonts w:hint="default" w:ascii="Times New Roman" w:hAnsi="Times New Roman" w:cs="Times New Roman" w:eastAsiaTheme="minorEastAsia"/>
                      <w:vertAlign w:val="baseline"/>
                      <w:lang w:val="en-US" w:eastAsia="zh-CN"/>
                    </w:rPr>
                  </w:pPr>
                  <w:r>
                    <w:rPr>
                      <w:rFonts w:hint="eastAsia" w:ascii="Times New Roman" w:hAnsi="Times New Roman" w:cs="Times New Roman" w:eastAsiaTheme="minorEastAsia"/>
                      <w:vertAlign w:val="baseline"/>
                      <w:lang w:val="en-US" w:eastAsia="zh-CN"/>
                    </w:rPr>
                    <w:t>污染源</w:t>
                  </w:r>
                </w:p>
              </w:tc>
              <w:tc>
                <w:tcPr>
                  <w:tcW w:w="2087" w:type="dxa"/>
                  <w:vMerge w:val="restart"/>
                  <w:vAlign w:val="center"/>
                </w:tcPr>
                <w:p>
                  <w:pPr>
                    <w:bidi w:val="0"/>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污染物项目</w:t>
                  </w:r>
                </w:p>
              </w:tc>
              <w:tc>
                <w:tcPr>
                  <w:tcW w:w="2087" w:type="dxa"/>
                  <w:vAlign w:val="center"/>
                </w:tcPr>
                <w:p>
                  <w:pPr>
                    <w:bidi w:val="0"/>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限值</w:t>
                  </w:r>
                </w:p>
              </w:tc>
              <w:tc>
                <w:tcPr>
                  <w:tcW w:w="2088" w:type="dxa"/>
                  <w:vMerge w:val="restart"/>
                  <w:vAlign w:val="center"/>
                </w:tcPr>
                <w:p>
                  <w:pPr>
                    <w:bidi w:val="0"/>
                    <w:jc w:val="center"/>
                    <w:rPr>
                      <w:rFonts w:hint="default" w:ascii="Times New Roman" w:hAnsi="Times New Roman" w:cs="Times New Roman" w:eastAsiaTheme="minorEastAsia"/>
                      <w:vertAlign w:val="baseline"/>
                      <w:lang w:val="en-US" w:eastAsia="zh-CN"/>
                    </w:rPr>
                  </w:pPr>
                  <w:r>
                    <w:rPr>
                      <w:rFonts w:hint="eastAsia" w:ascii="Times New Roman" w:hAnsi="Times New Roman" w:cs="Times New Roman" w:eastAsiaTheme="minorEastAsia"/>
                      <w:vertAlign w:val="baseline"/>
                      <w:lang w:val="en-US" w:eastAsia="zh-CN"/>
                    </w:rPr>
                    <w:t>污染物排放位置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Merge w:val="continue"/>
                  <w:vAlign w:val="center"/>
                </w:tcPr>
                <w:p>
                  <w:pPr>
                    <w:bidi w:val="0"/>
                    <w:jc w:val="center"/>
                    <w:rPr>
                      <w:rFonts w:hint="default" w:ascii="Times New Roman" w:hAnsi="Times New Roman" w:cs="Times New Roman" w:eastAsiaTheme="minorEastAsia"/>
                      <w:vertAlign w:val="baseline"/>
                      <w:lang w:val="en-US" w:eastAsia="zh-CN"/>
                    </w:rPr>
                  </w:pPr>
                </w:p>
              </w:tc>
              <w:tc>
                <w:tcPr>
                  <w:tcW w:w="2087" w:type="dxa"/>
                  <w:vMerge w:val="continue"/>
                  <w:vAlign w:val="center"/>
                </w:tcPr>
                <w:p>
                  <w:pPr>
                    <w:bidi w:val="0"/>
                    <w:jc w:val="center"/>
                    <w:rPr>
                      <w:rFonts w:hint="default" w:ascii="Times New Roman" w:hAnsi="Times New Roman" w:cs="Times New Roman" w:eastAsiaTheme="minorEastAsia"/>
                      <w:vertAlign w:val="baseline"/>
                      <w:lang w:val="en-US" w:eastAsia="zh-CN"/>
                    </w:rPr>
                  </w:pPr>
                </w:p>
              </w:tc>
              <w:tc>
                <w:tcPr>
                  <w:tcW w:w="2087" w:type="dxa"/>
                  <w:vAlign w:val="center"/>
                </w:tcPr>
                <w:p>
                  <w:pPr>
                    <w:bidi w:val="0"/>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燃煤锅炉</w:t>
                  </w:r>
                </w:p>
              </w:tc>
              <w:tc>
                <w:tcPr>
                  <w:tcW w:w="2088" w:type="dxa"/>
                  <w:vMerge w:val="continue"/>
                  <w:vAlign w:val="center"/>
                </w:tcPr>
                <w:p>
                  <w:pPr>
                    <w:bidi w:val="0"/>
                    <w:jc w:val="center"/>
                    <w:rPr>
                      <w:rFonts w:hint="default" w:ascii="Times New Roman" w:hAnsi="Times New Roman" w:cs="Times New Roman" w:eastAsiaTheme="minor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Merge w:val="restart"/>
                  <w:vAlign w:val="center"/>
                </w:tcPr>
                <w:p>
                  <w:pPr>
                    <w:bidi w:val="0"/>
                    <w:jc w:val="center"/>
                    <w:rPr>
                      <w:rFonts w:hint="default" w:ascii="Times New Roman" w:hAnsi="Times New Roman" w:cs="Times New Roman" w:eastAsiaTheme="minorEastAsia"/>
                      <w:vertAlign w:val="baseline"/>
                      <w:lang w:val="en-US" w:eastAsia="zh-CN"/>
                    </w:rPr>
                  </w:pPr>
                  <w:r>
                    <w:rPr>
                      <w:rFonts w:hint="eastAsia" w:ascii="Times New Roman" w:hAnsi="Times New Roman" w:cs="Times New Roman" w:eastAsiaTheme="minorEastAsia"/>
                      <w:vertAlign w:val="baseline"/>
                      <w:lang w:val="en-US" w:eastAsia="zh-CN"/>
                    </w:rPr>
                    <w:t>生物质锅炉</w:t>
                  </w:r>
                </w:p>
              </w:tc>
              <w:tc>
                <w:tcPr>
                  <w:tcW w:w="2087" w:type="dxa"/>
                  <w:vAlign w:val="center"/>
                </w:tcPr>
                <w:p>
                  <w:pPr>
                    <w:bidi w:val="0"/>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颗粒物</w:t>
                  </w:r>
                </w:p>
              </w:tc>
              <w:tc>
                <w:tcPr>
                  <w:tcW w:w="2087" w:type="dxa"/>
                  <w:vAlign w:val="center"/>
                </w:tcPr>
                <w:p>
                  <w:pPr>
                    <w:bidi w:val="0"/>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50</w:t>
                  </w:r>
                </w:p>
              </w:tc>
              <w:tc>
                <w:tcPr>
                  <w:tcW w:w="2088" w:type="dxa"/>
                  <w:vMerge w:val="restart"/>
                  <w:vAlign w:val="center"/>
                </w:tcPr>
                <w:p>
                  <w:pPr>
                    <w:bidi w:val="0"/>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烟囱或烟道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Merge w:val="continue"/>
                  <w:vAlign w:val="center"/>
                </w:tcPr>
                <w:p>
                  <w:pPr>
                    <w:bidi w:val="0"/>
                    <w:jc w:val="center"/>
                    <w:rPr>
                      <w:rFonts w:hint="default" w:ascii="Times New Roman" w:hAnsi="Times New Roman" w:cs="Times New Roman" w:eastAsiaTheme="minorEastAsia"/>
                      <w:vertAlign w:val="baseline"/>
                      <w:lang w:val="en-US" w:eastAsia="zh-CN"/>
                    </w:rPr>
                  </w:pPr>
                </w:p>
              </w:tc>
              <w:tc>
                <w:tcPr>
                  <w:tcW w:w="2087" w:type="dxa"/>
                  <w:vAlign w:val="center"/>
                </w:tcPr>
                <w:p>
                  <w:pPr>
                    <w:bidi w:val="0"/>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二氧化硫</w:t>
                  </w:r>
                </w:p>
              </w:tc>
              <w:tc>
                <w:tcPr>
                  <w:tcW w:w="2087" w:type="dxa"/>
                  <w:vAlign w:val="center"/>
                </w:tcPr>
                <w:p>
                  <w:pPr>
                    <w:bidi w:val="0"/>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300</w:t>
                  </w:r>
                </w:p>
              </w:tc>
              <w:tc>
                <w:tcPr>
                  <w:tcW w:w="2088" w:type="dxa"/>
                  <w:vMerge w:val="continue"/>
                  <w:vAlign w:val="center"/>
                </w:tcPr>
                <w:p>
                  <w:pPr>
                    <w:bidi w:val="0"/>
                    <w:jc w:val="center"/>
                    <w:rPr>
                      <w:rFonts w:hint="default" w:ascii="Times New Roman" w:hAnsi="Times New Roman" w:cs="Times New Roman" w:eastAsiaTheme="minor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Merge w:val="continue"/>
                  <w:vAlign w:val="center"/>
                </w:tcPr>
                <w:p>
                  <w:pPr>
                    <w:bidi w:val="0"/>
                    <w:jc w:val="center"/>
                    <w:rPr>
                      <w:rFonts w:hint="default" w:ascii="Times New Roman" w:hAnsi="Times New Roman" w:cs="Times New Roman" w:eastAsiaTheme="minorEastAsia"/>
                      <w:vertAlign w:val="baseline"/>
                      <w:lang w:val="en-US" w:eastAsia="zh-CN"/>
                    </w:rPr>
                  </w:pPr>
                </w:p>
              </w:tc>
              <w:tc>
                <w:tcPr>
                  <w:tcW w:w="2087" w:type="dxa"/>
                  <w:vAlign w:val="center"/>
                </w:tcPr>
                <w:p>
                  <w:pPr>
                    <w:bidi w:val="0"/>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氮氧化物</w:t>
                  </w:r>
                </w:p>
              </w:tc>
              <w:tc>
                <w:tcPr>
                  <w:tcW w:w="2087" w:type="dxa"/>
                  <w:vAlign w:val="center"/>
                </w:tcPr>
                <w:p>
                  <w:pPr>
                    <w:bidi w:val="0"/>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300</w:t>
                  </w:r>
                </w:p>
              </w:tc>
              <w:tc>
                <w:tcPr>
                  <w:tcW w:w="2088" w:type="dxa"/>
                  <w:vMerge w:val="continue"/>
                  <w:vAlign w:val="center"/>
                </w:tcPr>
                <w:p>
                  <w:pPr>
                    <w:bidi w:val="0"/>
                    <w:jc w:val="center"/>
                    <w:rPr>
                      <w:rFonts w:hint="default" w:ascii="Times New Roman" w:hAnsi="Times New Roman" w:cs="Times New Roman" w:eastAsiaTheme="minor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Merge w:val="continue"/>
                  <w:vAlign w:val="center"/>
                </w:tcPr>
                <w:p>
                  <w:pPr>
                    <w:bidi w:val="0"/>
                    <w:jc w:val="center"/>
                    <w:rPr>
                      <w:rFonts w:hint="default" w:ascii="Times New Roman" w:hAnsi="Times New Roman" w:cs="Times New Roman" w:eastAsiaTheme="minorEastAsia"/>
                      <w:vertAlign w:val="baseline"/>
                      <w:lang w:val="en-US" w:eastAsia="zh-CN"/>
                    </w:rPr>
                  </w:pPr>
                </w:p>
              </w:tc>
              <w:tc>
                <w:tcPr>
                  <w:tcW w:w="2087" w:type="dxa"/>
                  <w:vAlign w:val="center"/>
                </w:tcPr>
                <w:p>
                  <w:pPr>
                    <w:bidi w:val="0"/>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汞及其化合物</w:t>
                  </w:r>
                </w:p>
              </w:tc>
              <w:tc>
                <w:tcPr>
                  <w:tcW w:w="2087" w:type="dxa"/>
                  <w:vAlign w:val="center"/>
                </w:tcPr>
                <w:p>
                  <w:pPr>
                    <w:bidi w:val="0"/>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0.05</w:t>
                  </w:r>
                </w:p>
              </w:tc>
              <w:tc>
                <w:tcPr>
                  <w:tcW w:w="2088" w:type="dxa"/>
                  <w:vMerge w:val="continue"/>
                  <w:vAlign w:val="center"/>
                </w:tcPr>
                <w:p>
                  <w:pPr>
                    <w:bidi w:val="0"/>
                    <w:jc w:val="center"/>
                    <w:rPr>
                      <w:rFonts w:hint="default" w:ascii="Times New Roman" w:hAnsi="Times New Roman" w:cs="Times New Roman" w:eastAsiaTheme="minor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Merge w:val="continue"/>
                  <w:vAlign w:val="center"/>
                </w:tcPr>
                <w:p>
                  <w:pPr>
                    <w:bidi w:val="0"/>
                    <w:jc w:val="center"/>
                    <w:rPr>
                      <w:rFonts w:hint="default" w:ascii="Times New Roman" w:hAnsi="Times New Roman" w:cs="Times New Roman" w:eastAsiaTheme="minorEastAsia"/>
                      <w:vertAlign w:val="baseline"/>
                      <w:lang w:val="en-US" w:eastAsia="zh-CN"/>
                    </w:rPr>
                  </w:pPr>
                </w:p>
              </w:tc>
              <w:tc>
                <w:tcPr>
                  <w:tcW w:w="2087" w:type="dxa"/>
                  <w:vAlign w:val="center"/>
                </w:tcPr>
                <w:p>
                  <w:pPr>
                    <w:bidi w:val="0"/>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烟气黑度（格林曼黑度，级）</w:t>
                  </w:r>
                </w:p>
              </w:tc>
              <w:tc>
                <w:tcPr>
                  <w:tcW w:w="2087" w:type="dxa"/>
                  <w:vAlign w:val="center"/>
                </w:tcPr>
                <w:p>
                  <w:pPr>
                    <w:bidi w:val="0"/>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≤1</w:t>
                  </w:r>
                </w:p>
              </w:tc>
              <w:tc>
                <w:tcPr>
                  <w:tcW w:w="2088" w:type="dxa"/>
                  <w:vAlign w:val="center"/>
                </w:tcPr>
                <w:p>
                  <w:pPr>
                    <w:bidi w:val="0"/>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烟囱排放口</w:t>
                  </w:r>
                </w:p>
              </w:tc>
            </w:tr>
          </w:tbl>
          <w:p>
            <w:pPr>
              <w:bidi w:val="0"/>
              <w:adjustRightInd w:val="0"/>
              <w:spacing w:line="360" w:lineRule="atLeast"/>
              <w:jc w:val="center"/>
              <w:textAlignment w:val="baseline"/>
              <w:rPr>
                <w:rFonts w:hint="eastAsia" w:ascii="Times New Roman" w:hAnsi="Times New Roman" w:eastAsia="新宋体" w:cs="Times New Roman"/>
                <w:b/>
                <w:bCs/>
                <w:sz w:val="21"/>
                <w:szCs w:val="21"/>
                <w:lang w:val="en-US" w:eastAsia="zh-CN"/>
              </w:rPr>
            </w:pPr>
          </w:p>
          <w:p>
            <w:pPr>
              <w:bidi w:val="0"/>
              <w:adjustRightInd w:val="0"/>
              <w:spacing w:line="360" w:lineRule="atLeast"/>
              <w:jc w:val="center"/>
              <w:textAlignment w:val="baseline"/>
              <w:rPr>
                <w:rFonts w:hint="eastAsia" w:ascii="Times New Roman" w:hAnsi="Times New Roman" w:eastAsia="新宋体" w:cs="Times New Roman"/>
                <w:b/>
                <w:bCs/>
                <w:sz w:val="21"/>
                <w:szCs w:val="21"/>
                <w:lang w:val="en-US" w:eastAsia="zh-CN"/>
              </w:rPr>
            </w:pPr>
          </w:p>
          <w:p>
            <w:pPr>
              <w:bidi w:val="0"/>
              <w:adjustRightInd w:val="0"/>
              <w:spacing w:line="360" w:lineRule="atLeast"/>
              <w:jc w:val="center"/>
              <w:textAlignment w:val="baseline"/>
              <w:rPr>
                <w:rFonts w:hint="eastAsia" w:ascii="Times New Roman" w:hAnsi="Times New Roman" w:eastAsia="新宋体" w:cs="Times New Roman"/>
                <w:b/>
                <w:bCs/>
                <w:sz w:val="21"/>
                <w:szCs w:val="21"/>
                <w:lang w:val="en-US" w:eastAsia="zh-CN"/>
              </w:rPr>
            </w:pPr>
          </w:p>
          <w:p>
            <w:pPr>
              <w:bidi w:val="0"/>
              <w:adjustRightInd w:val="0"/>
              <w:spacing w:line="360" w:lineRule="atLeast"/>
              <w:jc w:val="center"/>
              <w:textAlignment w:val="baseline"/>
              <w:rPr>
                <w:rFonts w:hint="eastAsia" w:ascii="Times New Roman" w:hAnsi="Times New Roman" w:eastAsia="新宋体" w:cs="Times New Roman"/>
                <w:b/>
                <w:bCs/>
                <w:sz w:val="21"/>
                <w:szCs w:val="21"/>
                <w:lang w:val="en-US" w:eastAsia="zh-CN"/>
              </w:rPr>
            </w:pPr>
          </w:p>
          <w:p>
            <w:pPr>
              <w:bidi w:val="0"/>
              <w:adjustRightInd w:val="0"/>
              <w:spacing w:line="360" w:lineRule="atLeast"/>
              <w:jc w:val="center"/>
              <w:textAlignment w:val="baseline"/>
              <w:rPr>
                <w:rFonts w:hint="eastAsia" w:ascii="Times New Roman" w:hAnsi="Times New Roman" w:eastAsia="新宋体" w:cs="Times New Roman"/>
                <w:b/>
                <w:bCs/>
                <w:sz w:val="21"/>
                <w:szCs w:val="21"/>
                <w:lang w:val="en-US" w:eastAsia="zh-CN"/>
              </w:rPr>
            </w:pPr>
            <w:r>
              <w:rPr>
                <w:rFonts w:hint="eastAsia" w:ascii="Times New Roman" w:hAnsi="Times New Roman" w:eastAsia="新宋体" w:cs="Times New Roman"/>
                <w:b/>
                <w:bCs/>
                <w:sz w:val="21"/>
                <w:szCs w:val="21"/>
                <w:lang w:val="en-US" w:eastAsia="zh-CN"/>
              </w:rPr>
              <w:t>表3-8 燃煤锅炉房烟囱最低允许高度</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786"/>
              <w:gridCol w:w="879"/>
              <w:gridCol w:w="1155"/>
              <w:gridCol w:w="1098"/>
              <w:gridCol w:w="1044"/>
              <w:gridCol w:w="1044"/>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restart"/>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锅炉房装机总容量</w:t>
                  </w:r>
                </w:p>
              </w:tc>
              <w:tc>
                <w:tcPr>
                  <w:tcW w:w="786"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MW</w:t>
                  </w:r>
                </w:p>
              </w:tc>
              <w:tc>
                <w:tcPr>
                  <w:tcW w:w="879"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＜0.7</w:t>
                  </w:r>
                </w:p>
              </w:tc>
              <w:tc>
                <w:tcPr>
                  <w:tcW w:w="1155"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0.7~＜1.4</w:t>
                  </w:r>
                </w:p>
              </w:tc>
              <w:tc>
                <w:tcPr>
                  <w:tcW w:w="1098"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1.4~＜2.8</w:t>
                  </w:r>
                </w:p>
              </w:tc>
              <w:tc>
                <w:tcPr>
                  <w:tcW w:w="1044"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2.8~＜7</w:t>
                  </w:r>
                </w:p>
              </w:tc>
              <w:tc>
                <w:tcPr>
                  <w:tcW w:w="1044"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7~＜14</w:t>
                  </w:r>
                </w:p>
              </w:tc>
              <w:tc>
                <w:tcPr>
                  <w:tcW w:w="1044"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continue"/>
                  <w:vAlign w:val="center"/>
                </w:tcPr>
                <w:p>
                  <w:pPr>
                    <w:pStyle w:val="24"/>
                    <w:jc w:val="center"/>
                    <w:rPr>
                      <w:rFonts w:hint="default" w:ascii="Times New Roman" w:hAnsi="Times New Roman" w:cs="Times New Roman" w:eastAsiaTheme="minorEastAsia"/>
                      <w:sz w:val="21"/>
                      <w:szCs w:val="21"/>
                      <w:vertAlign w:val="baseline"/>
                      <w:lang w:val="en-US" w:eastAsia="zh-CN"/>
                    </w:rPr>
                  </w:pPr>
                </w:p>
              </w:tc>
              <w:tc>
                <w:tcPr>
                  <w:tcW w:w="786"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t/h</w:t>
                  </w:r>
                </w:p>
              </w:tc>
              <w:tc>
                <w:tcPr>
                  <w:tcW w:w="879"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w:t>
                  </w:r>
                </w:p>
              </w:tc>
              <w:tc>
                <w:tcPr>
                  <w:tcW w:w="1155"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1~＜2</w:t>
                  </w:r>
                </w:p>
              </w:tc>
              <w:tc>
                <w:tcPr>
                  <w:tcW w:w="1098"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2~＜4</w:t>
                  </w:r>
                </w:p>
              </w:tc>
              <w:tc>
                <w:tcPr>
                  <w:tcW w:w="1044"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4~＜10</w:t>
                  </w:r>
                </w:p>
              </w:tc>
              <w:tc>
                <w:tcPr>
                  <w:tcW w:w="1044"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10~＜20</w:t>
                  </w:r>
                </w:p>
              </w:tc>
              <w:tc>
                <w:tcPr>
                  <w:tcW w:w="1044"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烟囱最低允许高度</w:t>
                  </w:r>
                </w:p>
              </w:tc>
              <w:tc>
                <w:tcPr>
                  <w:tcW w:w="786"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m</w:t>
                  </w:r>
                </w:p>
              </w:tc>
              <w:tc>
                <w:tcPr>
                  <w:tcW w:w="879"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w:t>
                  </w:r>
                </w:p>
              </w:tc>
              <w:tc>
                <w:tcPr>
                  <w:tcW w:w="1155"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25</w:t>
                  </w:r>
                </w:p>
              </w:tc>
              <w:tc>
                <w:tcPr>
                  <w:tcW w:w="1098"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30</w:t>
                  </w:r>
                </w:p>
              </w:tc>
              <w:tc>
                <w:tcPr>
                  <w:tcW w:w="1044"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35</w:t>
                  </w:r>
                </w:p>
              </w:tc>
              <w:tc>
                <w:tcPr>
                  <w:tcW w:w="1044"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40</w:t>
                  </w:r>
                </w:p>
              </w:tc>
              <w:tc>
                <w:tcPr>
                  <w:tcW w:w="1044" w:type="dxa"/>
                  <w:vAlign w:val="center"/>
                </w:tcPr>
                <w:p>
                  <w:pPr>
                    <w:pStyle w:val="24"/>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45</w:t>
                  </w:r>
                </w:p>
              </w:tc>
            </w:tr>
          </w:tbl>
          <w:p>
            <w:pPr>
              <w:bidi w:val="0"/>
              <w:adjustRightInd w:val="0"/>
              <w:spacing w:line="360" w:lineRule="atLeast"/>
              <w:ind w:firstLine="211" w:firstLineChars="100"/>
              <w:jc w:val="center"/>
              <w:textAlignment w:val="baseline"/>
              <w:rPr>
                <w:rFonts w:hint="default" w:ascii="Times New Roman" w:hAnsi="Times New Roman" w:eastAsia="新宋体" w:cs="Times New Roman"/>
                <w:b/>
                <w:bCs/>
                <w:sz w:val="21"/>
                <w:szCs w:val="21"/>
                <w:lang w:val="en-US" w:eastAsia="zh-CN"/>
              </w:rPr>
            </w:pPr>
            <w:r>
              <w:rPr>
                <w:rFonts w:hint="default" w:ascii="Times New Roman" w:hAnsi="Times New Roman" w:eastAsia="新宋体" w:cs="Times New Roman"/>
                <w:b/>
                <w:bCs/>
                <w:sz w:val="21"/>
                <w:szCs w:val="21"/>
                <w:lang w:val="en-US" w:eastAsia="zh-CN"/>
              </w:rPr>
              <w:t>表</w:t>
            </w:r>
            <w:r>
              <w:rPr>
                <w:rFonts w:hint="eastAsia" w:ascii="Times New Roman" w:hAnsi="Times New Roman" w:eastAsia="新宋体" w:cs="Times New Roman"/>
                <w:b/>
                <w:bCs/>
                <w:sz w:val="21"/>
                <w:szCs w:val="21"/>
                <w:lang w:val="en-US" w:eastAsia="zh-CN"/>
              </w:rPr>
              <w:t>3</w:t>
            </w:r>
            <w:r>
              <w:rPr>
                <w:rFonts w:hint="default" w:ascii="Times New Roman" w:hAnsi="Times New Roman" w:eastAsia="新宋体" w:cs="Times New Roman"/>
                <w:b/>
                <w:bCs/>
                <w:sz w:val="21"/>
                <w:szCs w:val="21"/>
                <w:lang w:val="en-US" w:eastAsia="zh-CN"/>
              </w:rPr>
              <w:t>-</w:t>
            </w:r>
            <w:r>
              <w:rPr>
                <w:rFonts w:hint="eastAsia" w:ascii="Times New Roman" w:hAnsi="Times New Roman" w:eastAsia="新宋体" w:cs="Times New Roman"/>
                <w:b/>
                <w:bCs/>
                <w:sz w:val="21"/>
                <w:szCs w:val="21"/>
                <w:lang w:val="en-US" w:eastAsia="zh-CN"/>
              </w:rPr>
              <w:t>9</w:t>
            </w:r>
            <w:r>
              <w:rPr>
                <w:rFonts w:hint="default" w:ascii="Times New Roman" w:hAnsi="Times New Roman" w:eastAsia="新宋体" w:cs="Times New Roman"/>
                <w:b/>
                <w:bCs/>
                <w:sz w:val="21"/>
                <w:szCs w:val="21"/>
                <w:lang w:val="en-US" w:eastAsia="zh-CN"/>
              </w:rPr>
              <w:t xml:space="preserve"> 《大气污染物综合排放标准》（GB16297-1996）</w:t>
            </w:r>
          </w:p>
          <w:tbl>
            <w:tblPr>
              <w:tblStyle w:val="20"/>
              <w:tblW w:w="4996"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528"/>
              <w:gridCol w:w="1035"/>
              <w:gridCol w:w="1406"/>
              <w:gridCol w:w="1874"/>
              <w:gridCol w:w="1561"/>
              <w:gridCol w:w="194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31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污染源</w:t>
                  </w:r>
                </w:p>
              </w:tc>
              <w:tc>
                <w:tcPr>
                  <w:tcW w:w="62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污染物</w:t>
                  </w:r>
                </w:p>
              </w:tc>
              <w:tc>
                <w:tcPr>
                  <w:tcW w:w="2899"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排 放 标 准</w:t>
                  </w:r>
                </w:p>
              </w:tc>
              <w:tc>
                <w:tcPr>
                  <w:tcW w:w="116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类别</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3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p>
              </w:tc>
              <w:tc>
                <w:tcPr>
                  <w:tcW w:w="6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p>
              </w:tc>
              <w:tc>
                <w:tcPr>
                  <w:tcW w:w="842"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最高允许</w:t>
                  </w:r>
                  <w:r>
                    <w:rPr>
                      <w:rFonts w:hint="default" w:ascii="Times New Roman" w:hAnsi="Times New Roman" w:eastAsia="新宋体" w:cs="Times New Roman"/>
                      <w:sz w:val="21"/>
                      <w:szCs w:val="21"/>
                    </w:rPr>
                    <w:t>排放浓度限</w:t>
                  </w:r>
                  <w:r>
                    <w:rPr>
                      <w:rFonts w:hint="default" w:ascii="Times New Roman" w:hAnsi="Times New Roman" w:eastAsia="新宋体" w:cs="Times New Roman"/>
                      <w:sz w:val="21"/>
                      <w:szCs w:val="21"/>
                      <w:lang w:eastAsia="zh-CN"/>
                    </w:rPr>
                    <w:t>值</w:t>
                  </w:r>
                  <w:r>
                    <w:rPr>
                      <w:rFonts w:hint="default" w:ascii="Times New Roman" w:hAnsi="Times New Roman" w:eastAsia="新宋体" w:cs="Times New Roman"/>
                      <w:sz w:val="21"/>
                      <w:szCs w:val="21"/>
                    </w:rPr>
                    <w:t>（mg/m</w:t>
                  </w:r>
                  <w:r>
                    <w:rPr>
                      <w:rFonts w:hint="default" w:ascii="Times New Roman" w:hAnsi="Times New Roman" w:eastAsia="新宋体" w:cs="Times New Roman"/>
                      <w:sz w:val="21"/>
                      <w:szCs w:val="21"/>
                      <w:vertAlign w:val="superscript"/>
                    </w:rPr>
                    <w:t>3</w:t>
                  </w:r>
                  <w:r>
                    <w:rPr>
                      <w:rFonts w:hint="default" w:ascii="Times New Roman" w:hAnsi="Times New Roman" w:eastAsia="新宋体" w:cs="Times New Roman"/>
                      <w:sz w:val="21"/>
                      <w:szCs w:val="21"/>
                    </w:rPr>
                    <w:t>）</w:t>
                  </w:r>
                </w:p>
              </w:tc>
              <w:tc>
                <w:tcPr>
                  <w:tcW w:w="11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排气筒（m）</w:t>
                  </w:r>
                </w:p>
              </w:tc>
              <w:tc>
                <w:tcPr>
                  <w:tcW w:w="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最高允许排放速率（kg/h）</w:t>
                  </w:r>
                </w:p>
              </w:tc>
              <w:tc>
                <w:tcPr>
                  <w:tcW w:w="116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31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滚筒式炒锅</w:t>
                  </w:r>
                </w:p>
              </w:tc>
              <w:tc>
                <w:tcPr>
                  <w:tcW w:w="6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SO</w:t>
                  </w:r>
                  <w:r>
                    <w:rPr>
                      <w:rFonts w:hint="default" w:ascii="Times New Roman" w:hAnsi="Times New Roman" w:eastAsia="新宋体" w:cs="Times New Roman"/>
                      <w:sz w:val="21"/>
                      <w:szCs w:val="21"/>
                      <w:vertAlign w:val="subscript"/>
                    </w:rPr>
                    <w:t>2</w:t>
                  </w:r>
                </w:p>
              </w:tc>
              <w:tc>
                <w:tcPr>
                  <w:tcW w:w="8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550</w:t>
                  </w:r>
                </w:p>
              </w:tc>
              <w:tc>
                <w:tcPr>
                  <w:tcW w:w="112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15</w:t>
                  </w:r>
                </w:p>
              </w:tc>
              <w:tc>
                <w:tcPr>
                  <w:tcW w:w="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2.6</w:t>
                  </w:r>
                </w:p>
              </w:tc>
              <w:tc>
                <w:tcPr>
                  <w:tcW w:w="116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rPr>
                  </w:pPr>
                  <w:r>
                    <w:rPr>
                      <w:rFonts w:hint="default" w:ascii="Times New Roman" w:hAnsi="Times New Roman" w:eastAsia="新宋体" w:cs="Times New Roman"/>
                      <w:b w:val="0"/>
                      <w:bCs w:val="0"/>
                      <w:sz w:val="21"/>
                      <w:szCs w:val="21"/>
                      <w:lang w:val="en-US" w:eastAsia="zh-CN"/>
                    </w:rPr>
                    <w:t>《大气污染物综合排放标准》（GB16297-1996）</w:t>
                  </w:r>
                  <w:r>
                    <w:rPr>
                      <w:rFonts w:hint="eastAsia" w:ascii="Times New Roman" w:hAnsi="Times New Roman" w:eastAsia="新宋体" w:cs="Times New Roman"/>
                      <w:b w:val="0"/>
                      <w:bCs w:val="0"/>
                      <w:sz w:val="21"/>
                      <w:szCs w:val="21"/>
                      <w:lang w:val="en-US" w:eastAsia="zh-CN"/>
                    </w:rPr>
                    <w:t>中表2二级标准限值</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56" w:hRule="atLeast"/>
                <w:jc w:val="center"/>
              </w:trPr>
              <w:tc>
                <w:tcPr>
                  <w:tcW w:w="3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p>
              </w:tc>
              <w:tc>
                <w:tcPr>
                  <w:tcW w:w="6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烟尘</w:t>
                  </w:r>
                </w:p>
              </w:tc>
              <w:tc>
                <w:tcPr>
                  <w:tcW w:w="8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120</w:t>
                  </w:r>
                </w:p>
              </w:tc>
              <w:tc>
                <w:tcPr>
                  <w:tcW w:w="112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新宋体" w:cs="Times New Roman"/>
                      <w:sz w:val="21"/>
                      <w:szCs w:val="21"/>
                      <w:lang w:val="en-US" w:eastAsia="zh-CN"/>
                    </w:rPr>
                  </w:pPr>
                </w:p>
              </w:tc>
              <w:tc>
                <w:tcPr>
                  <w:tcW w:w="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3.5</w:t>
                  </w:r>
                </w:p>
              </w:tc>
              <w:tc>
                <w:tcPr>
                  <w:tcW w:w="116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56" w:hRule="atLeast"/>
                <w:jc w:val="center"/>
              </w:trPr>
              <w:tc>
                <w:tcPr>
                  <w:tcW w:w="3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p>
              </w:tc>
              <w:tc>
                <w:tcPr>
                  <w:tcW w:w="6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color w:val="auto"/>
                      <w:sz w:val="21"/>
                      <w:szCs w:val="21"/>
                      <w:lang w:val="en-US" w:eastAsia="zh-CN"/>
                    </w:rPr>
                    <w:t>氮氧化物</w:t>
                  </w:r>
                </w:p>
              </w:tc>
              <w:tc>
                <w:tcPr>
                  <w:tcW w:w="8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240</w:t>
                  </w:r>
                </w:p>
              </w:tc>
              <w:tc>
                <w:tcPr>
                  <w:tcW w:w="112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新宋体" w:cs="Times New Roman"/>
                      <w:sz w:val="21"/>
                      <w:szCs w:val="21"/>
                      <w:lang w:val="en-US" w:eastAsia="zh-CN"/>
                    </w:rPr>
                  </w:pPr>
                </w:p>
              </w:tc>
              <w:tc>
                <w:tcPr>
                  <w:tcW w:w="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0.77</w:t>
                  </w:r>
                </w:p>
              </w:tc>
              <w:tc>
                <w:tcPr>
                  <w:tcW w:w="116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p>
              </w:tc>
            </w:tr>
          </w:tbl>
          <w:p>
            <w:pPr>
              <w:bidi w:val="0"/>
              <w:adjustRightInd w:val="0"/>
              <w:spacing w:line="360" w:lineRule="atLeast"/>
              <w:jc w:val="center"/>
              <w:textAlignment w:val="baseline"/>
              <w:rPr>
                <w:rFonts w:hint="default" w:ascii="Times New Roman" w:hAnsi="Times New Roman" w:eastAsia="新宋体" w:cs="Times New Roman"/>
                <w:b/>
                <w:bCs/>
                <w:sz w:val="21"/>
                <w:szCs w:val="21"/>
                <w:lang w:val="en-US" w:eastAsia="zh-CN"/>
              </w:rPr>
            </w:pPr>
            <w:r>
              <w:rPr>
                <w:rFonts w:hint="default" w:ascii="Times New Roman" w:hAnsi="Times New Roman" w:eastAsia="新宋体" w:cs="Times New Roman"/>
                <w:b/>
                <w:bCs/>
                <w:sz w:val="21"/>
                <w:szCs w:val="21"/>
                <w:lang w:val="en-US" w:eastAsia="zh-CN"/>
              </w:rPr>
              <w:t>表</w:t>
            </w:r>
            <w:r>
              <w:rPr>
                <w:rFonts w:hint="eastAsia" w:ascii="Times New Roman" w:hAnsi="Times New Roman" w:eastAsia="新宋体" w:cs="Times New Roman"/>
                <w:b/>
                <w:bCs/>
                <w:sz w:val="21"/>
                <w:szCs w:val="21"/>
                <w:lang w:val="en-US" w:eastAsia="zh-CN"/>
              </w:rPr>
              <w:t>3</w:t>
            </w:r>
            <w:r>
              <w:rPr>
                <w:rFonts w:hint="default" w:ascii="Times New Roman" w:hAnsi="Times New Roman" w:eastAsia="新宋体" w:cs="Times New Roman"/>
                <w:b/>
                <w:bCs/>
                <w:sz w:val="21"/>
                <w:szCs w:val="21"/>
                <w:lang w:val="en-US" w:eastAsia="zh-CN"/>
              </w:rPr>
              <w:t>-</w:t>
            </w:r>
            <w:r>
              <w:rPr>
                <w:rFonts w:hint="eastAsia" w:ascii="Times New Roman" w:hAnsi="Times New Roman" w:eastAsia="新宋体" w:cs="Times New Roman"/>
                <w:b/>
                <w:bCs/>
                <w:sz w:val="21"/>
                <w:szCs w:val="21"/>
                <w:lang w:val="en-US" w:eastAsia="zh-CN"/>
              </w:rPr>
              <w:t>10</w:t>
            </w:r>
            <w:r>
              <w:rPr>
                <w:rFonts w:hint="default" w:ascii="Times New Roman" w:hAnsi="Times New Roman" w:eastAsia="新宋体" w:cs="Times New Roman"/>
                <w:b/>
                <w:bCs/>
                <w:sz w:val="21"/>
                <w:szCs w:val="21"/>
                <w:lang w:val="en-US" w:eastAsia="zh-CN"/>
              </w:rPr>
              <w:t xml:space="preserve"> 《大气污染物综合排放标准》（GB16297-1996）</w:t>
            </w:r>
          </w:p>
          <w:tbl>
            <w:tblPr>
              <w:tblStyle w:val="20"/>
              <w:tblW w:w="4985"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1007"/>
              <w:gridCol w:w="910"/>
              <w:gridCol w:w="1210"/>
              <w:gridCol w:w="1386"/>
              <w:gridCol w:w="1625"/>
              <w:gridCol w:w="2191"/>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60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污染源</w:t>
                  </w:r>
                </w:p>
              </w:tc>
              <w:tc>
                <w:tcPr>
                  <w:tcW w:w="54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污染物</w:t>
                  </w:r>
                </w:p>
              </w:tc>
              <w:tc>
                <w:tcPr>
                  <w:tcW w:w="726" w:type="pct"/>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最高允许排放浓度（mg/m</w:t>
                  </w:r>
                  <w:r>
                    <w:rPr>
                      <w:rFonts w:hint="eastAsia" w:ascii="Times New Roman" w:hAnsi="Times New Roman" w:eastAsia="新宋体" w:cs="Times New Roman"/>
                      <w:sz w:val="21"/>
                      <w:szCs w:val="21"/>
                      <w:vertAlign w:val="superscript"/>
                      <w:lang w:val="en-US" w:eastAsia="zh-CN"/>
                    </w:rPr>
                    <w:t>3</w:t>
                  </w:r>
                  <w:r>
                    <w:rPr>
                      <w:rFonts w:hint="eastAsia" w:ascii="Times New Roman" w:hAnsi="Times New Roman" w:eastAsia="新宋体" w:cs="Times New Roman"/>
                      <w:sz w:val="21"/>
                      <w:szCs w:val="21"/>
                      <w:lang w:val="en-US" w:eastAsia="zh-CN"/>
                    </w:rPr>
                    <w:t>）</w:t>
                  </w:r>
                </w:p>
              </w:tc>
              <w:tc>
                <w:tcPr>
                  <w:tcW w:w="1807" w:type="pct"/>
                  <w:gridSpan w:val="2"/>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无组织排放监控浓度限值</w:t>
                  </w:r>
                </w:p>
              </w:tc>
              <w:tc>
                <w:tcPr>
                  <w:tcW w:w="131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类别</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156" w:hRule="atLeast"/>
                <w:jc w:val="center"/>
              </w:trPr>
              <w:tc>
                <w:tcPr>
                  <w:tcW w:w="604" w:type="pct"/>
                  <w:vMerge w:val="continue"/>
                  <w:tcBorders>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p>
              </w:tc>
              <w:tc>
                <w:tcPr>
                  <w:tcW w:w="546" w:type="pct"/>
                  <w:vMerge w:val="continue"/>
                  <w:tcBorders>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p>
              </w:tc>
              <w:tc>
                <w:tcPr>
                  <w:tcW w:w="726"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p>
              </w:tc>
              <w:tc>
                <w:tcPr>
                  <w:tcW w:w="83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监控点</w:t>
                  </w:r>
                </w:p>
              </w:tc>
              <w:tc>
                <w:tcPr>
                  <w:tcW w:w="974" w:type="pct"/>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浓度</w:t>
                  </w:r>
                  <w:r>
                    <w:rPr>
                      <w:rFonts w:hint="default" w:ascii="Times New Roman" w:hAnsi="Times New Roman" w:eastAsia="新宋体" w:cs="Times New Roman"/>
                      <w:sz w:val="21"/>
                      <w:szCs w:val="21"/>
                    </w:rPr>
                    <w:t>（</w:t>
                  </w:r>
                  <w:r>
                    <w:rPr>
                      <w:rFonts w:hint="eastAsia" w:ascii="Times New Roman" w:hAnsi="Times New Roman" w:eastAsia="新宋体" w:cs="Times New Roman"/>
                      <w:sz w:val="21"/>
                      <w:szCs w:val="21"/>
                      <w:lang w:val="en-US" w:eastAsia="zh-CN"/>
                    </w:rPr>
                    <w:t>mg/m</w:t>
                  </w:r>
                  <w:r>
                    <w:rPr>
                      <w:rFonts w:hint="eastAsia" w:ascii="Times New Roman" w:hAnsi="Times New Roman" w:eastAsia="新宋体" w:cs="Times New Roman"/>
                      <w:sz w:val="21"/>
                      <w:szCs w:val="21"/>
                      <w:vertAlign w:val="superscript"/>
                      <w:lang w:val="en-US" w:eastAsia="zh-CN"/>
                    </w:rPr>
                    <w:t>3</w:t>
                  </w:r>
                  <w:r>
                    <w:rPr>
                      <w:rFonts w:hint="default" w:ascii="Times New Roman" w:hAnsi="Times New Roman" w:eastAsia="新宋体" w:cs="Times New Roman"/>
                      <w:sz w:val="21"/>
                      <w:szCs w:val="21"/>
                    </w:rPr>
                    <w:t>）</w:t>
                  </w:r>
                </w:p>
              </w:tc>
              <w:tc>
                <w:tcPr>
                  <w:tcW w:w="1315" w:type="pct"/>
                  <w:vMerge w:val="continue"/>
                  <w:tcBorders>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56" w:hRule="atLeast"/>
                <w:jc w:val="center"/>
              </w:trPr>
              <w:tc>
                <w:tcPr>
                  <w:tcW w:w="604"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脱壳工序和搅拌工序</w:t>
                  </w:r>
                </w:p>
              </w:tc>
              <w:tc>
                <w:tcPr>
                  <w:tcW w:w="546"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eastAsia="zh-CN"/>
                    </w:rPr>
                  </w:pPr>
                  <w:r>
                    <w:rPr>
                      <w:rFonts w:hint="default" w:ascii="Times New Roman" w:hAnsi="Times New Roman" w:eastAsia="新宋体" w:cs="Times New Roman"/>
                      <w:sz w:val="21"/>
                      <w:szCs w:val="21"/>
                      <w:lang w:eastAsia="zh-CN"/>
                    </w:rPr>
                    <w:t>颗粒物</w:t>
                  </w:r>
                </w:p>
              </w:tc>
              <w:tc>
                <w:tcPr>
                  <w:tcW w:w="7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150</w:t>
                  </w:r>
                </w:p>
              </w:tc>
              <w:tc>
                <w:tcPr>
                  <w:tcW w:w="832"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无组织排放源上风向设参照点，下风向设监控点</w:t>
                  </w:r>
                </w:p>
              </w:tc>
              <w:tc>
                <w:tcPr>
                  <w:tcW w:w="974"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5.0（监控点与参照点的浓度差值）</w:t>
                  </w:r>
                </w:p>
              </w:tc>
              <w:tc>
                <w:tcPr>
                  <w:tcW w:w="1315" w:type="pct"/>
                  <w:tcBorders>
                    <w:top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b/>
                      <w:bCs/>
                      <w:sz w:val="21"/>
                      <w:szCs w:val="21"/>
                      <w:lang w:val="en-US" w:eastAsia="zh-CN"/>
                    </w:rPr>
                    <w:t xml:space="preserve"> </w:t>
                  </w:r>
                  <w:r>
                    <w:rPr>
                      <w:rFonts w:hint="default" w:ascii="Times New Roman" w:hAnsi="Times New Roman" w:eastAsia="新宋体" w:cs="Times New Roman"/>
                      <w:b w:val="0"/>
                      <w:bCs w:val="0"/>
                      <w:sz w:val="21"/>
                      <w:szCs w:val="21"/>
                      <w:lang w:val="en-US" w:eastAsia="zh-CN"/>
                    </w:rPr>
                    <w:t>《大气污染物综合排放标准》（GB16297-1996）</w:t>
                  </w:r>
                  <w:r>
                    <w:rPr>
                      <w:rFonts w:hint="eastAsia" w:ascii="Times New Roman" w:hAnsi="Times New Roman" w:eastAsia="新宋体" w:cs="Times New Roman"/>
                      <w:b w:val="0"/>
                      <w:bCs w:val="0"/>
                      <w:sz w:val="21"/>
                      <w:szCs w:val="21"/>
                      <w:lang w:val="en-US" w:eastAsia="zh-CN"/>
                    </w:rPr>
                    <w:t>中无组织排放浓度监控限值</w:t>
                  </w:r>
                </w:p>
              </w:tc>
            </w:tr>
          </w:tbl>
          <w:p>
            <w:pPr>
              <w:spacing w:line="360" w:lineRule="auto"/>
              <w:ind w:firstLine="482" w:firstLineChars="200"/>
              <w:rPr>
                <w:rFonts w:ascii="Times New Roman" w:hAnsi="Times New Roman" w:eastAsia="宋体" w:cs="Times New Roman"/>
                <w:b/>
                <w:bCs/>
                <w:color w:val="000000" w:themeColor="text1"/>
                <w:sz w:val="24"/>
                <w:szCs w:val="24"/>
                <w:u w:val="none"/>
                <w14:textFill>
                  <w14:solidFill>
                    <w14:schemeClr w14:val="tx1"/>
                  </w14:solidFill>
                </w14:textFill>
              </w:rPr>
            </w:pPr>
            <w:r>
              <w:rPr>
                <w:rFonts w:ascii="Times New Roman" w:hAnsi="Times New Roman" w:eastAsia="宋体" w:cs="Times New Roman"/>
                <w:b/>
                <w:bCs/>
                <w:color w:val="000000" w:themeColor="text1"/>
                <w:sz w:val="24"/>
                <w:szCs w:val="24"/>
                <w:u w:val="none"/>
                <w14:textFill>
                  <w14:solidFill>
                    <w14:schemeClr w14:val="tx1"/>
                  </w14:solidFill>
                </w14:textFill>
              </w:rPr>
              <w:t>3、噪声</w:t>
            </w:r>
          </w:p>
          <w:p>
            <w:pPr>
              <w:spacing w:line="360" w:lineRule="auto"/>
              <w:ind w:firstLine="480"/>
              <w:rPr>
                <w:rFonts w:hint="default" w:ascii="Times New Roman" w:hAnsi="Times New Roman" w:eastAsia="新宋体" w:cs="Times New Roman"/>
                <w:b/>
                <w:bCs/>
                <w:sz w:val="21"/>
                <w:szCs w:val="21"/>
              </w:rPr>
            </w:pPr>
            <w:r>
              <w:rPr>
                <w:rFonts w:hint="eastAsia" w:ascii="Times New Roman" w:hAnsi="Times New Roman" w:eastAsia="宋体" w:cs="Times New Roman"/>
                <w:color w:val="000000" w:themeColor="text1"/>
                <w:sz w:val="24"/>
                <w:szCs w:val="24"/>
                <w:u w:val="none"/>
                <w14:textFill>
                  <w14:solidFill>
                    <w14:schemeClr w14:val="tx1"/>
                  </w14:solidFill>
                </w14:textFill>
              </w:rPr>
              <w:t>施工期噪声执行《建筑施工场界环境噪声排放标准》（GB12523-2011）；运营期噪声</w:t>
            </w:r>
            <w:r>
              <w:rPr>
                <w:rFonts w:ascii="Times New Roman" w:hAnsi="Times New Roman" w:eastAsia="宋体" w:cs="Times New Roman"/>
                <w:color w:val="000000" w:themeColor="text1"/>
                <w:sz w:val="24"/>
                <w:szCs w:val="24"/>
                <w:u w:val="none"/>
                <w14:textFill>
                  <w14:solidFill>
                    <w14:schemeClr w14:val="tx1"/>
                  </w14:solidFill>
                </w14:textFill>
              </w:rPr>
              <w:t>执行《工业企业厂界环境噪声排放标准》</w:t>
            </w:r>
            <w:r>
              <w:rPr>
                <w:rFonts w:hint="eastAsia" w:ascii="Times New Roman" w:hAnsi="Times New Roman" w:eastAsia="宋体" w:cs="Times New Roman"/>
                <w:color w:val="000000" w:themeColor="text1"/>
                <w:sz w:val="24"/>
                <w:szCs w:val="24"/>
                <w:u w:val="none"/>
                <w14:textFill>
                  <w14:solidFill>
                    <w14:schemeClr w14:val="tx1"/>
                  </w14:solidFill>
                </w14:textFill>
              </w:rPr>
              <w:t>（</w:t>
            </w:r>
            <w:r>
              <w:rPr>
                <w:rFonts w:ascii="Times New Roman" w:hAnsi="Times New Roman" w:eastAsia="宋体" w:cs="Times New Roman"/>
                <w:color w:val="000000" w:themeColor="text1"/>
                <w:sz w:val="24"/>
                <w:szCs w:val="24"/>
                <w:u w:val="none"/>
                <w14:textFill>
                  <w14:solidFill>
                    <w14:schemeClr w14:val="tx1"/>
                  </w14:solidFill>
                </w14:textFill>
              </w:rPr>
              <w:t>GB12348-2008</w:t>
            </w:r>
            <w:r>
              <w:rPr>
                <w:rFonts w:hint="eastAsia" w:ascii="Times New Roman" w:hAnsi="Times New Roman" w:eastAsia="宋体" w:cs="Times New Roman"/>
                <w:color w:val="000000" w:themeColor="text1"/>
                <w:sz w:val="24"/>
                <w:szCs w:val="24"/>
                <w:u w:val="none"/>
                <w14:textFill>
                  <w14:solidFill>
                    <w14:schemeClr w14:val="tx1"/>
                  </w14:solidFill>
                </w14:textFill>
              </w:rPr>
              <w:t>）2</w:t>
            </w:r>
            <w:r>
              <w:rPr>
                <w:rFonts w:ascii="Times New Roman" w:hAnsi="Times New Roman" w:eastAsia="宋体" w:cs="Times New Roman"/>
                <w:color w:val="000000" w:themeColor="text1"/>
                <w:sz w:val="24"/>
                <w:szCs w:val="24"/>
                <w:u w:val="none"/>
                <w14:textFill>
                  <w14:solidFill>
                    <w14:schemeClr w14:val="tx1"/>
                  </w14:solidFill>
                </w14:textFill>
              </w:rPr>
              <w:t>类标准</w:t>
            </w:r>
            <w:r>
              <w:rPr>
                <w:rFonts w:hint="eastAsia" w:ascii="Times New Roman" w:hAnsi="Times New Roman" w:eastAsia="宋体" w:cs="Times New Roman"/>
                <w:color w:val="000000" w:themeColor="text1"/>
                <w:sz w:val="24"/>
                <w:szCs w:val="24"/>
                <w:u w:val="none"/>
                <w14:textFill>
                  <w14:solidFill>
                    <w14:schemeClr w14:val="tx1"/>
                  </w14:solidFill>
                </w14:textFill>
              </w:rPr>
              <w:t>（昼间60</w:t>
            </w:r>
            <w:r>
              <w:rPr>
                <w:rFonts w:ascii="Times New Roman" w:hAnsi="Times New Roman" w:eastAsia="宋体" w:cs="Times New Roman"/>
                <w:color w:val="000000" w:themeColor="text1"/>
                <w:sz w:val="21"/>
                <w:szCs w:val="21"/>
                <w:u w:val="none"/>
                <w14:textFill>
                  <w14:solidFill>
                    <w14:schemeClr w14:val="tx1"/>
                  </w14:solidFill>
                </w14:textFill>
              </w:rPr>
              <w:t>dB（A）</w:t>
            </w:r>
            <w:r>
              <w:rPr>
                <w:rFonts w:hint="eastAsia" w:ascii="Times New Roman" w:hAnsi="Times New Roman" w:eastAsia="宋体" w:cs="Times New Roman"/>
                <w:color w:val="000000" w:themeColor="text1"/>
                <w:sz w:val="24"/>
                <w:szCs w:val="24"/>
                <w:u w:val="none"/>
                <w14:textFill>
                  <w14:solidFill>
                    <w14:schemeClr w14:val="tx1"/>
                  </w14:solidFill>
                </w14:textFill>
              </w:rPr>
              <w:t>、夜间50</w:t>
            </w:r>
            <w:r>
              <w:rPr>
                <w:rFonts w:ascii="Times New Roman" w:hAnsi="Times New Roman" w:eastAsia="宋体" w:cs="Times New Roman"/>
                <w:color w:val="000000" w:themeColor="text1"/>
                <w:sz w:val="21"/>
                <w:szCs w:val="21"/>
                <w:u w:val="none"/>
                <w14:textFill>
                  <w14:solidFill>
                    <w14:schemeClr w14:val="tx1"/>
                  </w14:solidFill>
                </w14:textFill>
              </w:rPr>
              <w:t>dB（A）</w:t>
            </w:r>
            <w:r>
              <w:rPr>
                <w:rFonts w:hint="eastAsia" w:ascii="Times New Roman" w:hAnsi="Times New Roman" w:eastAsia="宋体" w:cs="Times New Roman"/>
                <w:color w:val="000000" w:themeColor="text1"/>
                <w:sz w:val="24"/>
                <w:szCs w:val="24"/>
                <w:u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baseline"/>
              <w:rPr>
                <w:rFonts w:hint="default" w:ascii="Times New Roman" w:hAnsi="Times New Roman" w:eastAsia="新宋体" w:cs="Times New Roman"/>
                <w:b/>
                <w:bCs/>
                <w:sz w:val="21"/>
                <w:szCs w:val="21"/>
              </w:rPr>
            </w:pPr>
            <w:r>
              <w:rPr>
                <w:rFonts w:hint="default" w:ascii="Times New Roman" w:hAnsi="Times New Roman" w:eastAsia="新宋体" w:cs="Times New Roman"/>
                <w:b/>
                <w:bCs/>
                <w:sz w:val="21"/>
                <w:szCs w:val="21"/>
              </w:rPr>
              <w:t>表</w:t>
            </w:r>
            <w:r>
              <w:rPr>
                <w:rFonts w:hint="eastAsia" w:ascii="Times New Roman" w:hAnsi="Times New Roman" w:eastAsia="新宋体" w:cs="Times New Roman"/>
                <w:b/>
                <w:bCs/>
                <w:sz w:val="21"/>
                <w:szCs w:val="21"/>
                <w:lang w:val="en-US" w:eastAsia="zh-CN"/>
              </w:rPr>
              <w:t>3</w:t>
            </w:r>
            <w:r>
              <w:rPr>
                <w:rFonts w:hint="default" w:ascii="Times New Roman" w:hAnsi="Times New Roman" w:eastAsia="新宋体" w:cs="Times New Roman"/>
                <w:b/>
                <w:bCs/>
                <w:sz w:val="21"/>
                <w:szCs w:val="21"/>
              </w:rPr>
              <w:t>-</w:t>
            </w:r>
            <w:r>
              <w:rPr>
                <w:rFonts w:hint="eastAsia" w:ascii="Times New Roman" w:hAnsi="Times New Roman" w:eastAsia="新宋体" w:cs="Times New Roman"/>
                <w:b/>
                <w:bCs/>
                <w:sz w:val="21"/>
                <w:szCs w:val="21"/>
                <w:lang w:val="en-US" w:eastAsia="zh-CN"/>
              </w:rPr>
              <w:t>11</w:t>
            </w:r>
            <w:r>
              <w:rPr>
                <w:rFonts w:hint="default" w:ascii="Times New Roman" w:hAnsi="Times New Roman" w:eastAsia="新宋体" w:cs="Times New Roman"/>
                <w:b/>
                <w:bCs/>
                <w:sz w:val="21"/>
                <w:szCs w:val="21"/>
              </w:rPr>
              <w:t xml:space="preserve"> 建筑施工场界环境噪声排放执行标准值 单位：dB(A)</w:t>
            </w:r>
          </w:p>
          <w:tbl>
            <w:tblPr>
              <w:tblStyle w:val="20"/>
              <w:tblW w:w="4997"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4579"/>
              <w:gridCol w:w="377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423" w:hRule="atLeast"/>
                <w:jc w:val="center"/>
              </w:trPr>
              <w:tc>
                <w:tcPr>
                  <w:tcW w:w="27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昼间</w:t>
                  </w:r>
                </w:p>
              </w:tc>
              <w:tc>
                <w:tcPr>
                  <w:tcW w:w="2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夜间</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423" w:hRule="atLeast"/>
                <w:jc w:val="center"/>
              </w:trPr>
              <w:tc>
                <w:tcPr>
                  <w:tcW w:w="27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70</w:t>
                  </w:r>
                </w:p>
              </w:tc>
              <w:tc>
                <w:tcPr>
                  <w:tcW w:w="2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55</w:t>
                  </w:r>
                </w:p>
              </w:tc>
            </w:tr>
          </w:tbl>
          <w:p>
            <w:pPr>
              <w:bidi w:val="0"/>
              <w:adjustRightInd w:val="0"/>
              <w:spacing w:line="360" w:lineRule="atLeast"/>
              <w:jc w:val="center"/>
              <w:textAlignment w:val="baseline"/>
              <w:rPr>
                <w:rFonts w:hint="default" w:ascii="Times New Roman" w:hAnsi="Times New Roman" w:eastAsia="新宋体" w:cs="Times New Roman"/>
                <w:b/>
                <w:bCs/>
                <w:sz w:val="21"/>
                <w:szCs w:val="21"/>
              </w:rPr>
            </w:pPr>
            <w:r>
              <w:rPr>
                <w:rFonts w:hint="default" w:ascii="Times New Roman" w:hAnsi="Times New Roman" w:eastAsia="新宋体" w:cs="Times New Roman"/>
                <w:b/>
                <w:bCs/>
                <w:sz w:val="21"/>
                <w:szCs w:val="21"/>
              </w:rPr>
              <w:t>表</w:t>
            </w:r>
            <w:r>
              <w:rPr>
                <w:rFonts w:hint="eastAsia" w:ascii="Times New Roman" w:hAnsi="Times New Roman" w:eastAsia="新宋体" w:cs="Times New Roman"/>
                <w:b/>
                <w:bCs/>
                <w:sz w:val="21"/>
                <w:szCs w:val="21"/>
                <w:lang w:val="en-US" w:eastAsia="zh-CN"/>
              </w:rPr>
              <w:t>3</w:t>
            </w:r>
            <w:r>
              <w:rPr>
                <w:rFonts w:hint="default" w:ascii="Times New Roman" w:hAnsi="Times New Roman" w:eastAsia="新宋体" w:cs="Times New Roman"/>
                <w:b/>
                <w:bCs/>
                <w:sz w:val="21"/>
                <w:szCs w:val="21"/>
              </w:rPr>
              <w:t>-</w:t>
            </w:r>
            <w:r>
              <w:rPr>
                <w:rFonts w:hint="eastAsia" w:ascii="Times New Roman" w:hAnsi="Times New Roman" w:eastAsia="新宋体" w:cs="Times New Roman"/>
                <w:b/>
                <w:bCs/>
                <w:sz w:val="21"/>
                <w:szCs w:val="21"/>
                <w:lang w:val="en-US" w:eastAsia="zh-CN"/>
              </w:rPr>
              <w:t>12</w:t>
            </w:r>
            <w:r>
              <w:rPr>
                <w:rFonts w:hint="default" w:ascii="Times New Roman" w:hAnsi="Times New Roman" w:eastAsia="新宋体" w:cs="Times New Roman"/>
                <w:b/>
                <w:bCs/>
                <w:sz w:val="21"/>
                <w:szCs w:val="21"/>
                <w:lang w:val="en-US" w:eastAsia="zh-CN"/>
              </w:rPr>
              <w:t xml:space="preserve"> </w:t>
            </w:r>
            <w:r>
              <w:rPr>
                <w:rFonts w:hint="default" w:ascii="Times New Roman" w:hAnsi="Times New Roman" w:eastAsia="新宋体" w:cs="Times New Roman"/>
                <w:b/>
                <w:bCs/>
                <w:sz w:val="21"/>
                <w:szCs w:val="21"/>
              </w:rPr>
              <w:t>工业企业厂界环境噪声排放标准 单位：dB(A)</w:t>
            </w:r>
          </w:p>
          <w:tbl>
            <w:tblPr>
              <w:tblStyle w:val="20"/>
              <w:tblW w:w="4999"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28" w:type="dxa"/>
                <w:bottom w:w="0" w:type="dxa"/>
                <w:right w:w="28" w:type="dxa"/>
              </w:tblCellMar>
            </w:tblPr>
            <w:tblGrid>
              <w:gridCol w:w="3955"/>
              <w:gridCol w:w="665"/>
              <w:gridCol w:w="1740"/>
              <w:gridCol w:w="199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340" w:hRule="atLeast"/>
                <w:jc w:val="center"/>
              </w:trPr>
              <w:tc>
                <w:tcPr>
                  <w:tcW w:w="276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color w:val="auto"/>
                      <w:sz w:val="21"/>
                      <w:szCs w:val="21"/>
                      <w:lang w:val="zh-CN"/>
                    </w:rPr>
                  </w:pPr>
                  <w:r>
                    <w:rPr>
                      <w:rFonts w:hint="default" w:ascii="Times New Roman" w:hAnsi="Times New Roman" w:eastAsia="新宋体" w:cs="Times New Roman"/>
                      <w:color w:val="auto"/>
                      <w:sz w:val="21"/>
                      <w:szCs w:val="21"/>
                      <w:lang w:val="zh-CN"/>
                    </w:rPr>
                    <w:t>标 准 名 称</w:t>
                  </w:r>
                </w:p>
              </w:tc>
              <w:tc>
                <w:tcPr>
                  <w:tcW w:w="10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color w:val="auto"/>
                      <w:sz w:val="21"/>
                      <w:szCs w:val="21"/>
                      <w:lang w:val="zh-CN"/>
                    </w:rPr>
                  </w:pPr>
                  <w:r>
                    <w:rPr>
                      <w:rFonts w:hint="default" w:ascii="Times New Roman" w:hAnsi="Times New Roman" w:eastAsia="新宋体" w:cs="Times New Roman"/>
                      <w:color w:val="auto"/>
                      <w:sz w:val="21"/>
                      <w:szCs w:val="21"/>
                      <w:lang w:val="zh-CN"/>
                    </w:rPr>
                    <w:t>昼间</w:t>
                  </w:r>
                </w:p>
              </w:tc>
              <w:tc>
                <w:tcPr>
                  <w:tcW w:w="119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color w:val="auto"/>
                      <w:sz w:val="21"/>
                      <w:szCs w:val="21"/>
                      <w:lang w:val="zh-CN"/>
                    </w:rPr>
                  </w:pPr>
                  <w:r>
                    <w:rPr>
                      <w:rFonts w:hint="default" w:ascii="Times New Roman" w:hAnsi="Times New Roman" w:eastAsia="新宋体" w:cs="Times New Roman"/>
                      <w:color w:val="auto"/>
                      <w:sz w:val="21"/>
                      <w:szCs w:val="21"/>
                      <w:lang w:val="zh-CN"/>
                    </w:rPr>
                    <w:t>夜间</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733" w:hRule="atLeast"/>
                <w:jc w:val="center"/>
              </w:trPr>
              <w:tc>
                <w:tcPr>
                  <w:tcW w:w="2367"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color w:val="auto"/>
                      <w:sz w:val="21"/>
                      <w:szCs w:val="21"/>
                      <w:lang w:val="zh-CN"/>
                    </w:rPr>
                  </w:pPr>
                  <w:r>
                    <w:rPr>
                      <w:rFonts w:hint="default" w:ascii="Times New Roman" w:hAnsi="Times New Roman" w:eastAsia="新宋体" w:cs="Times New Roman"/>
                      <w:color w:val="auto"/>
                      <w:sz w:val="21"/>
                      <w:szCs w:val="21"/>
                      <w:lang w:val="zh-CN"/>
                    </w:rPr>
                    <w:t>《工业企业厂界环境噪声排放标准》（GB12348-2008）</w:t>
                  </w:r>
                </w:p>
              </w:tc>
              <w:tc>
                <w:tcPr>
                  <w:tcW w:w="39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color w:val="auto"/>
                      <w:sz w:val="21"/>
                      <w:szCs w:val="21"/>
                      <w:lang w:val="zh-CN"/>
                    </w:rPr>
                  </w:pPr>
                  <w:r>
                    <w:rPr>
                      <w:rFonts w:hint="eastAsia" w:ascii="Times New Roman" w:hAnsi="Times New Roman" w:eastAsia="新宋体" w:cs="Times New Roman"/>
                      <w:color w:val="auto"/>
                      <w:sz w:val="21"/>
                      <w:szCs w:val="21"/>
                      <w:lang w:val="en-US" w:eastAsia="zh-CN"/>
                    </w:rPr>
                    <w:t>2</w:t>
                  </w:r>
                  <w:r>
                    <w:rPr>
                      <w:rFonts w:hint="default" w:ascii="Times New Roman" w:hAnsi="Times New Roman" w:eastAsia="新宋体" w:cs="Times New Roman"/>
                      <w:color w:val="auto"/>
                      <w:sz w:val="21"/>
                      <w:szCs w:val="21"/>
                      <w:lang w:val="zh-CN"/>
                    </w:rPr>
                    <w:t>类</w:t>
                  </w:r>
                </w:p>
              </w:tc>
              <w:tc>
                <w:tcPr>
                  <w:tcW w:w="10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color w:val="auto"/>
                      <w:sz w:val="21"/>
                      <w:szCs w:val="21"/>
                      <w:lang w:val="en-US" w:eastAsia="zh-CN"/>
                    </w:rPr>
                  </w:pPr>
                  <w:r>
                    <w:rPr>
                      <w:rFonts w:hint="eastAsia" w:ascii="Times New Roman" w:hAnsi="Times New Roman" w:eastAsia="新宋体" w:cs="Times New Roman"/>
                      <w:color w:val="auto"/>
                      <w:sz w:val="21"/>
                      <w:szCs w:val="21"/>
                      <w:lang w:val="en-US" w:eastAsia="zh-CN"/>
                    </w:rPr>
                    <w:t>60</w:t>
                  </w:r>
                </w:p>
              </w:tc>
              <w:tc>
                <w:tcPr>
                  <w:tcW w:w="119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color w:val="auto"/>
                      <w:sz w:val="21"/>
                      <w:szCs w:val="21"/>
                      <w:lang w:val="en-US" w:eastAsia="zh-CN"/>
                    </w:rPr>
                  </w:pPr>
                  <w:r>
                    <w:rPr>
                      <w:rFonts w:hint="eastAsia" w:ascii="Times New Roman" w:hAnsi="Times New Roman" w:eastAsia="新宋体" w:cs="Times New Roman"/>
                      <w:color w:val="auto"/>
                      <w:sz w:val="21"/>
                      <w:szCs w:val="21"/>
                      <w:lang w:val="en-US" w:eastAsia="zh-CN"/>
                    </w:rPr>
                    <w:t>50</w:t>
                  </w:r>
                </w:p>
              </w:tc>
            </w:tr>
          </w:tbl>
          <w:p>
            <w:pPr>
              <w:spacing w:line="360" w:lineRule="auto"/>
              <w:ind w:firstLine="480"/>
              <w:rPr>
                <w:rFonts w:ascii="Times New Roman" w:hAnsi="Times New Roman" w:eastAsia="宋体" w:cs="Times New Roman"/>
                <w:color w:val="000000" w:themeColor="text1"/>
                <w:sz w:val="24"/>
                <w:szCs w:val="24"/>
                <w:u w:val="none"/>
                <w14:textFill>
                  <w14:solidFill>
                    <w14:schemeClr w14:val="tx1"/>
                  </w14:solidFill>
                </w14:textFill>
              </w:rPr>
            </w:pPr>
            <w:r>
              <w:rPr>
                <w:rFonts w:hint="eastAsia" w:ascii="Times New Roman" w:hAnsi="Times New Roman" w:eastAsia="宋体" w:cs="Times New Roman"/>
                <w:b/>
                <w:bCs/>
                <w:color w:val="000000" w:themeColor="text1"/>
                <w:sz w:val="24"/>
                <w:szCs w:val="24"/>
                <w:u w:val="none"/>
                <w14:textFill>
                  <w14:solidFill>
                    <w14:schemeClr w14:val="tx1"/>
                  </w14:solidFill>
                </w14:textFill>
              </w:rPr>
              <w:t>4、固体废物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cs="Times New Roman"/>
                <w:sz w:val="24"/>
                <w:szCs w:val="24"/>
                <w:lang w:val="en-US" w:eastAsia="zh-CN"/>
              </w:rPr>
            </w:pPr>
            <w:r>
              <w:rPr>
                <w:rFonts w:ascii="Times New Roman" w:hAnsi="Times New Roman" w:eastAsia="宋体" w:cs="Times New Roman"/>
                <w:color w:val="000000" w:themeColor="text1"/>
                <w:spacing w:val="4"/>
                <w:sz w:val="24"/>
                <w:szCs w:val="24"/>
                <w:u w:val="none"/>
                <w14:textFill>
                  <w14:solidFill>
                    <w14:schemeClr w14:val="tx1"/>
                  </w14:solidFill>
                </w14:textFill>
              </w:rPr>
              <w:t>一般固体废物执行《一般工业废物储存、处置场污染控制标准》（GB18599-2001）</w:t>
            </w:r>
            <w:r>
              <w:rPr>
                <w:rFonts w:hint="eastAsia" w:ascii="Times New Roman" w:hAnsi="Times New Roman" w:eastAsia="宋体" w:cs="Times New Roman"/>
                <w:color w:val="000000" w:themeColor="text1"/>
                <w:spacing w:val="4"/>
                <w:sz w:val="24"/>
                <w:szCs w:val="24"/>
                <w:u w:val="none"/>
                <w14:textFill>
                  <w14:solidFill>
                    <w14:schemeClr w14:val="tx1"/>
                  </w14:solidFill>
                </w14:textFill>
              </w:rPr>
              <w:t>及2013年修改单</w:t>
            </w:r>
            <w:r>
              <w:rPr>
                <w:rFonts w:ascii="Times New Roman" w:hAnsi="Times New Roman" w:eastAsia="宋体" w:cs="Times New Roman"/>
                <w:color w:val="000000" w:themeColor="text1"/>
                <w:spacing w:val="4"/>
                <w:sz w:val="24"/>
                <w:szCs w:val="24"/>
                <w:u w:val="none"/>
                <w14:textFill>
                  <w14:solidFill>
                    <w14:schemeClr w14:val="tx1"/>
                  </w14:solidFill>
                </w14:textFill>
              </w:rPr>
              <w:t>；生活垃圾执行《生活垃圾填埋场污染控制标准》（GB16889-2008）</w:t>
            </w:r>
            <w:r>
              <w:rPr>
                <w:rFonts w:hint="eastAsia" w:ascii="Times New Roman" w:hAnsi="Times New Roman" w:cs="Times New Roman"/>
                <w:color w:val="000000" w:themeColor="text1"/>
                <w:spacing w:val="4"/>
                <w:sz w:val="24"/>
                <w:szCs w:val="24"/>
                <w:u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bidi w:val="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总量控制指标</w:t>
            </w:r>
          </w:p>
        </w:tc>
        <w:tc>
          <w:tcPr>
            <w:tcW w:w="856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szCs w:val="22"/>
                <w14:textFill>
                  <w14:solidFill>
                    <w14:schemeClr w14:val="tx1"/>
                  </w14:solidFill>
                </w14:textFill>
              </w:rPr>
            </w:pPr>
            <w:r>
              <w:rPr>
                <w:rFonts w:hint="default" w:ascii="Times New Roman" w:hAnsi="Times New Roman" w:eastAsia="宋体" w:cs="Times New Roman"/>
                <w:b/>
                <w:bCs/>
                <w:color w:val="000000" w:themeColor="text1"/>
                <w:sz w:val="24"/>
                <w:szCs w:val="22"/>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2"/>
                <w14:textFill>
                  <w14:solidFill>
                    <w14:schemeClr w14:val="tx1"/>
                  </w14:solidFill>
                </w14:textFill>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本项目</w:t>
            </w:r>
            <w:r>
              <w:rPr>
                <w:rFonts w:hint="default" w:ascii="Times New Roman" w:hAnsi="Times New Roman" w:eastAsia="宋体" w:cs="Times New Roman"/>
                <w:color w:val="000000" w:themeColor="text1"/>
                <w:kern w:val="21"/>
                <w:sz w:val="24"/>
                <w:szCs w:val="22"/>
                <w14:textFill>
                  <w14:solidFill>
                    <w14:schemeClr w14:val="tx1"/>
                  </w14:solidFill>
                </w14:textFill>
              </w:rPr>
              <w:t>废气建议总量控制指标见表</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w:t>
            </w:r>
            <w:r>
              <w:rPr>
                <w:rFonts w:hint="eastAsia" w:ascii="Times New Roman" w:hAnsi="Times New Roman" w:cs="Times New Roman"/>
                <w:color w:val="000000" w:themeColor="text1"/>
                <w:sz w:val="24"/>
                <w:szCs w:val="22"/>
                <w:lang w:val="en-US" w:eastAsia="zh-CN"/>
                <w14:textFill>
                  <w14:solidFill>
                    <w14:schemeClr w14:val="tx1"/>
                  </w14:solidFill>
                </w14:textFill>
              </w:rPr>
              <w:t>13</w:t>
            </w:r>
            <w:r>
              <w:rPr>
                <w:rFonts w:hint="default" w:ascii="Times New Roman" w:hAnsi="Times New Roman" w:eastAsia="宋体" w:cs="Times New Roman"/>
                <w:color w:val="000000" w:themeColor="text1"/>
                <w:sz w:val="24"/>
                <w:szCs w:val="2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w:t>
            </w:r>
            <w:r>
              <w:rPr>
                <w:rFonts w:hint="eastAsia" w:ascii="Times New Roman" w:hAnsi="Times New Roman" w:cs="Times New Roman"/>
                <w:b/>
                <w:color w:val="000000" w:themeColor="text1"/>
                <w:sz w:val="21"/>
                <w:szCs w:val="21"/>
                <w:lang w:val="en-US" w:eastAsia="zh-CN"/>
                <w14:textFill>
                  <w14:solidFill>
                    <w14:schemeClr w14:val="tx1"/>
                  </w14:solidFill>
                </w14:textFill>
              </w:rPr>
              <w:t>13</w:t>
            </w:r>
            <w:r>
              <w:rPr>
                <w:rFonts w:hint="default" w:ascii="Times New Roman" w:hAnsi="Times New Roman" w:eastAsia="宋体" w:cs="Times New Roman"/>
                <w:b/>
                <w:color w:val="000000" w:themeColor="text1"/>
                <w:sz w:val="21"/>
                <w:szCs w:val="21"/>
                <w14:textFill>
                  <w14:solidFill>
                    <w14:schemeClr w14:val="tx1"/>
                  </w14:solidFill>
                </w14:textFill>
              </w:rPr>
              <w:t xml:space="preserve">  项目总量控制指标汇总表   单位：t/a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248"/>
              <w:gridCol w:w="2420"/>
              <w:gridCol w:w="1677"/>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47"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w:t>
                  </w:r>
                </w:p>
              </w:tc>
              <w:tc>
                <w:tcPr>
                  <w:tcW w:w="747"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w:t>
                  </w:r>
                </w:p>
              </w:tc>
              <w:tc>
                <w:tcPr>
                  <w:tcW w:w="1449"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详细测算依据</w:t>
                  </w:r>
                </w:p>
              </w:tc>
              <w:tc>
                <w:tcPr>
                  <w:tcW w:w="1004"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本项目排放量</w:t>
                  </w:r>
                </w:p>
              </w:tc>
              <w:tc>
                <w:tcPr>
                  <w:tcW w:w="1052"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建议总量指标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47" w:type="pct"/>
                  <w:vMerge w:val="restart"/>
                  <w:tcBorders>
                    <w:top w:val="single" w:color="auto" w:sz="4" w:space="0"/>
                    <w:left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废气</w:t>
                  </w:r>
                </w:p>
              </w:tc>
              <w:tc>
                <w:tcPr>
                  <w:tcW w:w="747"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SO</w:t>
                  </w:r>
                  <w:r>
                    <w:rPr>
                      <w:rFonts w:hint="eastAsia" w:ascii="Times New Roman" w:hAnsi="Times New Roman" w:cs="Times New Roman"/>
                      <w:color w:val="000000" w:themeColor="text1"/>
                      <w:kern w:val="0"/>
                      <w:sz w:val="21"/>
                      <w:szCs w:val="21"/>
                      <w:vertAlign w:val="subscript"/>
                      <w:lang w:val="en-US" w:eastAsia="zh-CN"/>
                      <w14:textFill>
                        <w14:solidFill>
                          <w14:schemeClr w14:val="tx1"/>
                        </w14:solidFill>
                      </w14:textFill>
                    </w:rPr>
                    <w:t>2</w:t>
                  </w:r>
                </w:p>
              </w:tc>
              <w:tc>
                <w:tcPr>
                  <w:tcW w:w="1449"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工程分析</w:t>
                  </w:r>
                </w:p>
              </w:tc>
              <w:tc>
                <w:tcPr>
                  <w:tcW w:w="1004"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0.695</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0.682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47" w:type="pct"/>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47"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NOx</w:t>
                  </w:r>
                </w:p>
              </w:tc>
              <w:tc>
                <w:tcPr>
                  <w:tcW w:w="1449"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工程分析</w:t>
                  </w:r>
                </w:p>
              </w:tc>
              <w:tc>
                <w:tcPr>
                  <w:tcW w:w="1004"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6.212</w:t>
                  </w:r>
                </w:p>
              </w:tc>
              <w:tc>
                <w:tcPr>
                  <w:tcW w:w="17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6.212</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sz w:val="24"/>
                <w:szCs w:val="22"/>
              </w:rPr>
            </w:pPr>
            <w:r>
              <w:rPr>
                <w:rFonts w:hint="default" w:ascii="Times New Roman" w:hAnsi="Times New Roman" w:eastAsia="宋体" w:cs="Times New Roman"/>
                <w:b/>
                <w:bCs/>
                <w:color w:val="000000"/>
                <w:sz w:val="24"/>
                <w:szCs w:val="22"/>
                <w:lang w:val="en-US" w:eastAsia="zh-CN"/>
              </w:rPr>
              <w:t>2、</w:t>
            </w:r>
            <w:r>
              <w:rPr>
                <w:rFonts w:hint="default" w:ascii="Times New Roman" w:hAnsi="Times New Roman" w:eastAsia="宋体" w:cs="Times New Roman"/>
                <w:b/>
                <w:bCs/>
                <w:color w:val="000000"/>
                <w:sz w:val="24"/>
                <w:szCs w:val="22"/>
              </w:rPr>
              <w:t>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2"/>
                <w:lang w:eastAsia="zh-CN"/>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生活污水经</w:t>
            </w:r>
            <w:r>
              <w:rPr>
                <w:rFonts w:hint="eastAsia" w:ascii="Times New Roman" w:hAnsi="Times New Roman" w:cs="Times New Roman"/>
                <w:color w:val="000000" w:themeColor="text1"/>
                <w:sz w:val="24"/>
                <w:szCs w:val="22"/>
                <w:lang w:val="en-US" w:eastAsia="zh-CN"/>
                <w14:textFill>
                  <w14:solidFill>
                    <w14:schemeClr w14:val="tx1"/>
                  </w14:solidFill>
                </w14:textFill>
              </w:rPr>
              <w:t>化粪池</w:t>
            </w:r>
            <w:r>
              <w:rPr>
                <w:rFonts w:hint="default" w:ascii="Times New Roman" w:hAnsi="Times New Roman" w:eastAsia="宋体" w:cs="Times New Roman"/>
                <w:color w:val="000000" w:themeColor="text1"/>
                <w:sz w:val="24"/>
                <w:szCs w:val="22"/>
                <w14:textFill>
                  <w14:solidFill>
                    <w14:schemeClr w14:val="tx1"/>
                  </w14:solidFill>
                </w14:textFill>
              </w:rPr>
              <w:t>处理后</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用于</w:t>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农</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田施</w:t>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肥，不外排</w:t>
            </w:r>
            <w:r>
              <w:rPr>
                <w:rFonts w:hint="eastAsia" w:ascii="Times New Roman" w:hAnsi="Times New Roman" w:cs="Times New Roman"/>
                <w:color w:val="000000" w:themeColor="text1"/>
                <w:sz w:val="24"/>
                <w:szCs w:val="22"/>
                <w:lang w:eastAsia="zh-CN"/>
                <w14:textFill>
                  <w14:solidFill>
                    <w14:schemeClr w14:val="tx1"/>
                  </w14:solidFill>
                </w14:textFill>
              </w:rPr>
              <w:t>；</w:t>
            </w:r>
            <w:r>
              <w:rPr>
                <w:rFonts w:hint="eastAsia" w:ascii="Times New Roman" w:hAnsi="Times New Roman" w:cs="Times New Roman"/>
                <w:color w:val="000000" w:themeColor="text1"/>
                <w:sz w:val="24"/>
                <w:szCs w:val="22"/>
                <w:lang w:val="en-US" w:eastAsia="zh-CN"/>
                <w14:textFill>
                  <w14:solidFill>
                    <w14:schemeClr w14:val="tx1"/>
                  </w14:solidFill>
                </w14:textFill>
              </w:rPr>
              <w:t>生产废水经厂区污水处理站处理后</w:t>
            </w: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用于菜地灌溉</w:t>
            </w:r>
            <w:r>
              <w:rPr>
                <w:rFonts w:hint="default" w:ascii="Times New Roman" w:hAnsi="Times New Roman" w:eastAsia="宋体" w:cs="Times New Roman"/>
                <w:color w:val="000000" w:themeColor="text1"/>
                <w:sz w:val="24"/>
                <w:szCs w:val="22"/>
                <w14:textFill>
                  <w14:solidFill>
                    <w14:schemeClr w14:val="tx1"/>
                  </w14:solidFill>
                </w14:textFill>
              </w:rPr>
              <w:t>，</w:t>
            </w:r>
            <w:r>
              <w:rPr>
                <w:rFonts w:hint="eastAsia" w:ascii="Times New Roman" w:hAnsi="Times New Roman" w:cs="Times New Roman"/>
                <w:color w:val="000000" w:themeColor="text1"/>
                <w:sz w:val="24"/>
                <w:szCs w:val="22"/>
                <w:lang w:val="en-US" w:eastAsia="zh-CN"/>
                <w14:textFill>
                  <w14:solidFill>
                    <w14:schemeClr w14:val="tx1"/>
                  </w14:solidFill>
                </w14:textFill>
              </w:rPr>
              <w:t>不外排，</w:t>
            </w:r>
            <w:r>
              <w:rPr>
                <w:rFonts w:hint="default" w:ascii="Times New Roman" w:hAnsi="Times New Roman" w:eastAsia="宋体" w:cs="Times New Roman"/>
                <w:color w:val="000000" w:themeColor="text1"/>
                <w:sz w:val="24"/>
                <w:szCs w:val="22"/>
                <w14:textFill>
                  <w14:solidFill>
                    <w14:schemeClr w14:val="tx1"/>
                  </w14:solidFill>
                </w14:textFill>
              </w:rPr>
              <w:t>本项目不设置总量控制指标</w:t>
            </w:r>
            <w:r>
              <w:rPr>
                <w:rFonts w:hint="eastAsia" w:ascii="Times New Roman" w:hAnsi="Times New Roman" w:cs="Times New Roman"/>
                <w:color w:val="000000" w:themeColor="text1"/>
                <w:sz w:val="24"/>
                <w:szCs w:val="2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FF0000"/>
                <w:sz w:val="24"/>
                <w:szCs w:val="22"/>
                <w:lang w:val="en-US" w:eastAsia="zh-CN"/>
              </w:rPr>
            </w:pPr>
          </w:p>
          <w:p>
            <w:pPr>
              <w:pStyle w:val="16"/>
              <w:ind w:left="0" w:leftChars="0" w:firstLine="0" w:firstLineChars="0"/>
              <w:jc w:val="both"/>
              <w:rPr>
                <w:rFonts w:hint="default" w:ascii="Times New Roman" w:hAnsi="Times New Roman" w:cs="Times New Roman"/>
                <w:sz w:val="24"/>
                <w:szCs w:val="24"/>
                <w:lang w:val="en-US" w:eastAsia="zh-CN"/>
              </w:rPr>
            </w:pPr>
          </w:p>
        </w:tc>
      </w:tr>
    </w:tbl>
    <w:p>
      <w:pPr>
        <w:pStyle w:val="16"/>
        <w:rPr>
          <w:rFonts w:hint="eastAsia"/>
          <w:lang w:val="en-US" w:eastAsia="zh-CN"/>
        </w:rPr>
        <w:sectPr>
          <w:pgSz w:w="11906" w:h="16838"/>
          <w:pgMar w:top="1803" w:right="1440" w:bottom="1803" w:left="1440" w:header="851" w:footer="992" w:gutter="0"/>
          <w:pgNumType w:fmt="decimal"/>
          <w:cols w:space="425" w:num="1"/>
          <w:docGrid w:type="lines" w:linePitch="31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eastAsia"/>
          <w:lang w:val="en-US" w:eastAsia="zh-CN"/>
        </w:rPr>
      </w:pPr>
      <w:bookmarkStart w:id="11" w:name="_Toc13828"/>
      <w:r>
        <w:rPr>
          <w:rFonts w:hint="eastAsia"/>
          <w:b/>
          <w:sz w:val="36"/>
          <w:szCs w:val="36"/>
          <w:lang w:val="en-US" w:eastAsia="zh-CN"/>
        </w:rPr>
        <w:t>四、主要环境影响和保护措施</w:t>
      </w:r>
      <w:bookmarkEnd w:id="11"/>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8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bidi w:val="0"/>
              <w:jc w:val="center"/>
              <w:rPr>
                <w:rFonts w:hint="default"/>
                <w:sz w:val="24"/>
                <w:szCs w:val="24"/>
                <w:lang w:val="en-US" w:eastAsia="zh-CN"/>
              </w:rPr>
            </w:pPr>
            <w:r>
              <w:rPr>
                <w:rFonts w:hint="eastAsia"/>
                <w:sz w:val="24"/>
                <w:szCs w:val="24"/>
                <w:lang w:val="en-US" w:eastAsia="zh-CN"/>
              </w:rPr>
              <w:t>施工期环境保护措施</w:t>
            </w:r>
          </w:p>
        </w:tc>
        <w:tc>
          <w:tcPr>
            <w:tcW w:w="8491" w:type="dxa"/>
            <w:vAlign w:val="center"/>
          </w:tcPr>
          <w:p>
            <w:pPr>
              <w:pageBreakBefore w:val="0"/>
              <w:widowControl w:val="0"/>
              <w:kinsoku/>
              <w:wordWrap/>
              <w:overflowPunct/>
              <w:topLinePunct w:val="0"/>
              <w:autoSpaceDE/>
              <w:autoSpaceDN/>
              <w:bidi w:val="0"/>
              <w:adjustRightInd w:val="0"/>
              <w:snapToGrid w:val="0"/>
              <w:spacing w:line="360" w:lineRule="auto"/>
              <w:ind w:left="0" w:leftChars="0" w:right="0" w:firstLine="0" w:firstLineChars="0"/>
              <w:jc w:val="both"/>
              <w:textAlignment w:val="auto"/>
              <w:rPr>
                <w:rFonts w:hint="default" w:ascii="Times New Roman" w:hAnsi="Times New Roman" w:eastAsia="宋体" w:cs="Times New Roman"/>
                <w:b/>
                <w:color w:val="auto"/>
                <w:spacing w:val="0"/>
                <w:kern w:val="21"/>
                <w:sz w:val="28"/>
                <w:szCs w:val="28"/>
                <w:lang w:val="en-US" w:eastAsia="zh-CN" w:bidi="ar-SA"/>
              </w:rPr>
            </w:pPr>
            <w:r>
              <w:rPr>
                <w:rFonts w:hint="eastAsia" w:ascii="Times New Roman" w:hAnsi="Times New Roman" w:eastAsia="宋体" w:cs="Times New Roman"/>
                <w:b/>
                <w:color w:val="auto"/>
                <w:spacing w:val="0"/>
                <w:kern w:val="21"/>
                <w:sz w:val="28"/>
                <w:szCs w:val="28"/>
                <w:lang w:val="en-US" w:eastAsia="zh-CN" w:bidi="ar-SA"/>
              </w:rPr>
              <w:t>1、</w:t>
            </w:r>
            <w:r>
              <w:rPr>
                <w:rFonts w:hint="default" w:ascii="Times New Roman" w:hAnsi="Times New Roman" w:eastAsia="宋体" w:cs="Times New Roman"/>
                <w:b/>
                <w:color w:val="auto"/>
                <w:spacing w:val="0"/>
                <w:kern w:val="21"/>
                <w:sz w:val="28"/>
                <w:szCs w:val="28"/>
                <w:lang w:val="en-US" w:eastAsia="zh-CN" w:bidi="ar-SA"/>
              </w:rPr>
              <w:t>施工期</w:t>
            </w:r>
            <w:r>
              <w:rPr>
                <w:rFonts w:hint="eastAsia" w:ascii="Times New Roman" w:hAnsi="Times New Roman" w:cs="Times New Roman"/>
                <w:b/>
                <w:color w:val="auto"/>
                <w:spacing w:val="0"/>
                <w:kern w:val="21"/>
                <w:sz w:val="28"/>
                <w:szCs w:val="28"/>
                <w:lang w:val="en-US" w:eastAsia="zh-CN" w:bidi="ar-SA"/>
              </w:rPr>
              <w:t>环境保护措施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bCs/>
                <w:color w:val="000000"/>
                <w:sz w:val="24"/>
                <w:szCs w:val="24"/>
                <w:u w:val="none"/>
              </w:rPr>
            </w:pPr>
            <w:r>
              <w:rPr>
                <w:rFonts w:hint="eastAsia" w:ascii="Times New Roman" w:hAnsi="Times New Roman" w:eastAsia="宋体" w:cs="Times New Roman"/>
                <w:b/>
                <w:bCs/>
                <w:color w:val="000000"/>
                <w:sz w:val="24"/>
                <w:szCs w:val="24"/>
                <w:u w:val="none"/>
                <w:lang w:val="en-US" w:eastAsia="zh-CN"/>
              </w:rPr>
              <w:t>1.1</w:t>
            </w:r>
            <w:r>
              <w:rPr>
                <w:rFonts w:ascii="Times New Roman" w:hAnsi="Times New Roman" w:eastAsia="宋体" w:cs="Times New Roman"/>
                <w:b/>
                <w:bCs/>
                <w:color w:val="000000"/>
                <w:sz w:val="24"/>
                <w:szCs w:val="24"/>
                <w:u w:val="none"/>
              </w:rPr>
              <w:t>扬尘污染防治措施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u w:val="none"/>
              </w:rPr>
            </w:pPr>
            <w:r>
              <w:rPr>
                <w:rFonts w:ascii="Times New Roman" w:hAnsi="Times New Roman" w:eastAsia="宋体" w:cs="Times New Roman"/>
                <w:color w:val="000000"/>
                <w:sz w:val="24"/>
                <w:szCs w:val="24"/>
                <w:u w:val="none"/>
              </w:rPr>
              <w:t>①整个施工期必须设置不少于1名的专职保洁员。根据施工期、阶段和进度明确建设方、施工方扬尘控制责任人员数量、名单、联系电话和责任范围。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u w:val="none"/>
              </w:rPr>
            </w:pPr>
            <w:r>
              <w:rPr>
                <w:rFonts w:ascii="Times New Roman" w:hAnsi="Times New Roman" w:eastAsia="宋体" w:cs="Times New Roman"/>
                <w:color w:val="000000"/>
                <w:sz w:val="24"/>
                <w:szCs w:val="24"/>
                <w:u w:val="none"/>
              </w:rPr>
              <w:t>②晴天或无降雨时，对施工场地易产生二次扬尘的作业面（点）、道路进行洒水，对进出车辆限速以减少二次扬尘。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u w:val="none"/>
              </w:rPr>
            </w:pPr>
            <w:r>
              <w:rPr>
                <w:rFonts w:ascii="Times New Roman" w:hAnsi="Times New Roman" w:eastAsia="宋体" w:cs="Times New Roman"/>
                <w:color w:val="000000"/>
                <w:sz w:val="24"/>
                <w:szCs w:val="24"/>
                <w:u w:val="none"/>
              </w:rPr>
              <w:t>③在不影响施工的前提下，尽量降低设备出料的落差。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u w:val="none"/>
              </w:rPr>
            </w:pPr>
            <w:r>
              <w:rPr>
                <w:rFonts w:ascii="Times New Roman" w:hAnsi="Times New Roman" w:eastAsia="宋体" w:cs="Times New Roman"/>
                <w:color w:val="000000"/>
                <w:sz w:val="24"/>
                <w:szCs w:val="24"/>
                <w:u w:val="none"/>
              </w:rPr>
              <w:t>④加强物料转运、使用的管理，合理装卸、规范操作。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u w:val="none"/>
              </w:rPr>
            </w:pPr>
            <w:r>
              <w:rPr>
                <w:rFonts w:ascii="Times New Roman" w:hAnsi="Times New Roman" w:eastAsia="宋体" w:cs="Times New Roman"/>
                <w:color w:val="000000"/>
                <w:sz w:val="24"/>
                <w:szCs w:val="24"/>
                <w:u w:val="none"/>
              </w:rPr>
              <w:t>⑤定期清理施工场地内道路、物料堆置场院地的尘埃及杂物并外运。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u w:val="none"/>
              </w:rPr>
            </w:pPr>
            <w:r>
              <w:rPr>
                <w:rFonts w:ascii="Times New Roman" w:hAnsi="Times New Roman" w:eastAsia="宋体" w:cs="Times New Roman"/>
                <w:color w:val="000000"/>
                <w:sz w:val="24"/>
                <w:szCs w:val="24"/>
                <w:u w:val="none"/>
              </w:rPr>
              <w:t>⑥设置施工屏障或砖砌篱笆围墙，在施工现场周围应按规定修筑防护墙及安装遮挡</w:t>
            </w:r>
            <w:r>
              <w:rPr>
                <w:rFonts w:hint="default" w:ascii="Times New Roman" w:hAnsi="Times New Roman" w:eastAsia="宋体" w:cs="Times New Roman"/>
                <w:color w:val="000000"/>
                <w:sz w:val="24"/>
                <w:szCs w:val="24"/>
                <w:u w:val="none"/>
              </w:rPr>
              <w:t>设施，实行封闭式施工。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⑦对各类扬尘，分别采取车辆清洗、路面铺装、洒水、清扫、设防尘网、覆盖防尘网（布）或喷洒化学抑尘剂等措施。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⑧施工过程应做到</w:t>
            </w:r>
            <w:r>
              <w:rPr>
                <w:rFonts w:hint="eastAsia"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六个不开工</w:t>
            </w:r>
            <w:r>
              <w:rPr>
                <w:rFonts w:hint="eastAsia"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w:t>
            </w:r>
            <w:r>
              <w:rPr>
                <w:rFonts w:hint="eastAsia"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七个100%</w:t>
            </w:r>
            <w:r>
              <w:rPr>
                <w:rFonts w:hint="eastAsia"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w:t>
            </w:r>
            <w:r>
              <w:rPr>
                <w:rFonts w:hint="eastAsia"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八个必须</w:t>
            </w:r>
            <w:r>
              <w:rPr>
                <w:rFonts w:hint="eastAsia"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w:t>
            </w:r>
            <w:r>
              <w:rPr>
                <w:rFonts w:hint="eastAsia"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六不开工</w:t>
            </w:r>
            <w:r>
              <w:rPr>
                <w:rFonts w:hint="eastAsia"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未领取施工许可证不开工、围挡不合要求不开工、地面硬化不达标不开工、冲洗排放设备不到位不开工、保洁人员不到位不开工、不签订《市容环境卫生责任书》不开工</w:t>
            </w:r>
            <w:r>
              <w:rPr>
                <w:rFonts w:hint="eastAsia"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w:t>
            </w:r>
            <w:r>
              <w:rPr>
                <w:rFonts w:hint="eastAsia"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七个100%</w:t>
            </w:r>
            <w:r>
              <w:rPr>
                <w:rFonts w:hint="eastAsia"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（建筑工地100%标准化围挡、工地砂土不用时100%覆盖、工地路面100%硬化、拆除工程100%洒水压尘、出工地车辆100%冲净车轮车身、施工现场长期裸露土100%覆盖或绿化、现场监管100%到位）。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⑨运送散装物料的车辆要用篷布遮盖，防止物料飞扬。对运送砂石、土料的车辆，应限制超载，不得沿途撒漏。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bCs/>
                <w:color w:val="000000"/>
                <w:sz w:val="24"/>
                <w:szCs w:val="24"/>
                <w:u w:val="none"/>
              </w:rPr>
            </w:pPr>
            <w:r>
              <w:rPr>
                <w:rFonts w:hint="eastAsia" w:ascii="Times New Roman" w:hAnsi="Times New Roman" w:eastAsia="宋体" w:cs="Times New Roman"/>
                <w:b/>
                <w:bCs/>
                <w:color w:val="000000"/>
                <w:sz w:val="24"/>
                <w:szCs w:val="24"/>
                <w:u w:val="none"/>
                <w:lang w:val="en-US" w:eastAsia="zh-CN"/>
              </w:rPr>
              <w:t>1.2</w:t>
            </w:r>
            <w:r>
              <w:rPr>
                <w:rFonts w:ascii="Times New Roman" w:hAnsi="Times New Roman" w:eastAsia="宋体" w:cs="Times New Roman"/>
                <w:b/>
                <w:bCs/>
                <w:color w:val="000000"/>
                <w:sz w:val="24"/>
                <w:szCs w:val="24"/>
                <w:u w:val="none"/>
              </w:rPr>
              <w:t>废水污染防治措施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u w:val="none"/>
              </w:rPr>
            </w:pPr>
            <w:r>
              <w:rPr>
                <w:rFonts w:ascii="Times New Roman" w:hAnsi="Times New Roman" w:eastAsia="宋体" w:cs="Times New Roman"/>
                <w:color w:val="000000"/>
                <w:sz w:val="24"/>
                <w:szCs w:val="24"/>
                <w:u w:val="none"/>
              </w:rPr>
              <w:t>施工过程产生的废水主要包括施工生产废水和施工人员产生的生活污水。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u w:val="none"/>
              </w:rPr>
            </w:pPr>
            <w:r>
              <w:rPr>
                <w:rFonts w:ascii="Times New Roman" w:hAnsi="Times New Roman" w:eastAsia="宋体" w:cs="Times New Roman"/>
                <w:color w:val="000000"/>
                <w:sz w:val="24"/>
                <w:szCs w:val="24"/>
                <w:u w:val="none"/>
              </w:rPr>
              <w:t>施工生产过程产生的施工生产废水采用沉淀池澄清后上清液用于施工场地洒水降尘，不外排；施工人员产生的生活污水经化粪池处理后，全部用于</w:t>
            </w:r>
            <w:r>
              <w:rPr>
                <w:rFonts w:ascii="Times New Roman" w:hAnsi="Times New Roman" w:eastAsia="宋体" w:cs="Times New Roman"/>
                <w:color w:val="000000"/>
                <w:kern w:val="0"/>
                <w:sz w:val="24"/>
                <w:szCs w:val="24"/>
                <w:u w:val="none"/>
              </w:rPr>
              <w:t>周边农地浇灌，不外排</w:t>
            </w:r>
            <w:r>
              <w:rPr>
                <w:rFonts w:ascii="Times New Roman" w:hAnsi="Times New Roman" w:eastAsia="宋体" w:cs="Times New Roman"/>
                <w:color w:val="000000"/>
                <w:sz w:val="24"/>
                <w:szCs w:val="24"/>
                <w:u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bCs/>
                <w:color w:val="000000"/>
                <w:sz w:val="24"/>
                <w:szCs w:val="24"/>
                <w:u w:val="none"/>
              </w:rPr>
            </w:pPr>
            <w:r>
              <w:rPr>
                <w:rFonts w:hint="eastAsia" w:ascii="Times New Roman" w:hAnsi="Times New Roman" w:cs="Times New Roman"/>
                <w:b/>
                <w:bCs/>
                <w:color w:val="000000"/>
                <w:kern w:val="2"/>
                <w:sz w:val="24"/>
                <w:szCs w:val="22"/>
                <w:u w:val="none"/>
                <w:lang w:val="en-US" w:eastAsia="zh-CN" w:bidi="ar-SA"/>
              </w:rPr>
              <w:t>1.3</w:t>
            </w:r>
            <w:r>
              <w:rPr>
                <w:rFonts w:ascii="Times New Roman" w:hAnsi="Times New Roman" w:eastAsia="宋体" w:cs="Times New Roman"/>
                <w:b/>
                <w:bCs/>
                <w:color w:val="000000"/>
                <w:sz w:val="24"/>
                <w:szCs w:val="24"/>
                <w:u w:val="none"/>
              </w:rPr>
              <w:t>噪声及振动污染防治措施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u w:val="none"/>
              </w:rPr>
            </w:pPr>
            <w:r>
              <w:rPr>
                <w:rFonts w:hint="eastAsia" w:ascii="Times New Roman" w:hAnsi="Times New Roman" w:eastAsia="宋体" w:cs="Times New Roman"/>
                <w:color w:val="000000"/>
                <w:sz w:val="24"/>
                <w:szCs w:val="24"/>
                <w:u w:val="none"/>
              </w:rPr>
              <w:t>施工噪声主要产生于各类施工设备及运输车辆，评价要求施工过程中采取以下降噪减振措施：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u w:val="none"/>
              </w:rPr>
            </w:pPr>
            <w:r>
              <w:rPr>
                <w:rFonts w:ascii="Times New Roman" w:hAnsi="Times New Roman" w:eastAsia="宋体" w:cs="Times New Roman"/>
                <w:color w:val="000000"/>
                <w:sz w:val="24"/>
                <w:szCs w:val="24"/>
                <w:u w:val="none"/>
              </w:rPr>
              <w:t>①建筑施工单位应选用先进的低噪声施工设备和技术；动力机械设备应进行定期的维修、养护，以保证其在正常工况下工作。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u w:val="none"/>
              </w:rPr>
            </w:pPr>
            <w:r>
              <w:rPr>
                <w:rFonts w:ascii="Times New Roman" w:hAnsi="Times New Roman" w:eastAsia="宋体" w:cs="Times New Roman"/>
                <w:color w:val="000000"/>
                <w:sz w:val="24"/>
                <w:szCs w:val="24"/>
                <w:u w:val="none"/>
              </w:rPr>
              <w:t>②严格控制和管理产生噪声的设备的使用时间，尽可能避免在同一区段安排大量强噪声设备同时施工。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u w:val="none"/>
              </w:rPr>
            </w:pPr>
            <w:r>
              <w:rPr>
                <w:rFonts w:ascii="Times New Roman" w:hAnsi="Times New Roman" w:eastAsia="宋体" w:cs="Times New Roman"/>
                <w:color w:val="000000"/>
                <w:sz w:val="24"/>
                <w:szCs w:val="24"/>
                <w:u w:val="none"/>
              </w:rPr>
              <w:t>③施工期应按照《建筑施工场界环境噪声排放标准》（GB12523-2011）进行控制，合理安排施工时间，除工程必须外，严禁在22：00～次日6：00期间、中午12：00～14：00期间施工。如确因工艺需要须夜间连续施工时，必须有相关主管部门的证明，并向周围居民进行公示，做好解释说明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u w:val="none"/>
              </w:rPr>
            </w:pPr>
            <w:r>
              <w:rPr>
                <w:rFonts w:ascii="Times New Roman" w:hAnsi="Times New Roman" w:eastAsia="宋体" w:cs="Times New Roman"/>
                <w:color w:val="000000"/>
                <w:sz w:val="24"/>
                <w:szCs w:val="24"/>
                <w:u w:val="none"/>
              </w:rPr>
              <w:t>④合理布局施工现场，以避免局部声级过高，尽可能将施工阶段的噪声影响减至最小，使高噪声施工机械尽量远离敏感点或对高噪声设备设局部围挡。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u w:val="none"/>
              </w:rPr>
            </w:pPr>
            <w:r>
              <w:rPr>
                <w:rFonts w:ascii="Times New Roman" w:hAnsi="Times New Roman" w:eastAsia="宋体" w:cs="Times New Roman"/>
                <w:color w:val="000000"/>
                <w:sz w:val="24"/>
                <w:szCs w:val="24"/>
                <w:u w:val="none"/>
              </w:rPr>
              <w:t>⑤减少交通噪声，大型载重车辆在进出施工场地时应限速15km/h，施工现场出入口及设置警示牌、减速带、提醒过往车辆减速慢行、禁止鸣笛等措施；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sz w:val="24"/>
                <w:szCs w:val="24"/>
                <w:u w:val="none"/>
                <w:lang w:val="en-US" w:eastAsia="zh-CN"/>
              </w:rPr>
            </w:pPr>
            <w:r>
              <w:rPr>
                <w:rFonts w:hint="eastAsia" w:ascii="Times New Roman" w:hAnsi="Times New Roman" w:eastAsia="宋体" w:cs="Times New Roman"/>
                <w:b/>
                <w:bCs/>
                <w:color w:val="000000"/>
                <w:sz w:val="24"/>
                <w:szCs w:val="24"/>
                <w:u w:val="none"/>
                <w:lang w:val="en-US" w:eastAsia="zh-CN"/>
              </w:rPr>
              <w:t>1.</w:t>
            </w:r>
            <w:r>
              <w:rPr>
                <w:rFonts w:hint="eastAsia" w:ascii="Times New Roman" w:hAnsi="Times New Roman" w:cs="Times New Roman"/>
                <w:b/>
                <w:bCs/>
                <w:color w:val="000000"/>
                <w:sz w:val="24"/>
                <w:szCs w:val="24"/>
                <w:u w:val="none"/>
                <w:lang w:val="en-US" w:eastAsia="zh-CN"/>
              </w:rPr>
              <w:t>4</w:t>
            </w:r>
            <w:r>
              <w:rPr>
                <w:rFonts w:hint="default" w:ascii="Times New Roman" w:hAnsi="Times New Roman" w:eastAsia="宋体" w:cs="Times New Roman"/>
                <w:b/>
                <w:bCs/>
                <w:color w:val="000000"/>
                <w:sz w:val="24"/>
                <w:szCs w:val="24"/>
                <w:u w:val="none"/>
                <w:lang w:val="en-US" w:eastAsia="zh-CN"/>
              </w:rPr>
              <w:t>施工期噪声影响分析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在施工过程中，由于各种施工机械设备的运转和各类车辆的运行，不可避免地将产生噪声污染。为了减轻本工程施工期噪声的环境影响，项目在施工期必须采取以下控制措施：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①加强施工管理，合理安排施工作业时间，禁止夜间进行高噪声施工作业，严禁晚间22:00～6:00时段施工。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②降低施工设备噪声：尽量采用低噪声设备；对动力机械、设备加强定期检修、养护。</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sz w:val="24"/>
                <w:szCs w:val="22"/>
                <w:u w:val="none"/>
              </w:rPr>
            </w:pPr>
            <w:r>
              <w:rPr>
                <w:rFonts w:hint="default" w:ascii="Times New Roman" w:hAnsi="Times New Roman" w:eastAsia="宋体" w:cs="Times New Roman"/>
                <w:color w:val="000000"/>
                <w:sz w:val="24"/>
                <w:szCs w:val="22"/>
                <w:u w:val="none"/>
              </w:rPr>
              <w:t>③降低人为噪声：按规定操作机械设备，模板、支架装卸过程中，尽量减少碰撞声音；</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sz w:val="24"/>
                <w:szCs w:val="22"/>
                <w:u w:val="none"/>
              </w:rPr>
            </w:pPr>
            <w:r>
              <w:rPr>
                <w:rFonts w:hint="default" w:ascii="Times New Roman" w:hAnsi="Times New Roman" w:eastAsia="宋体" w:cs="Times New Roman"/>
                <w:color w:val="000000"/>
                <w:sz w:val="24"/>
                <w:szCs w:val="22"/>
                <w:u w:val="none"/>
              </w:rPr>
              <w:t>④建立临时声障：对位置相对固定的机械设备，能于室内操作的尽量进入操作间，不能入操作间的，可适当建立声障；</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sz w:val="24"/>
                <w:szCs w:val="22"/>
                <w:u w:val="none"/>
              </w:rPr>
            </w:pPr>
            <w:r>
              <w:rPr>
                <w:rFonts w:hint="default" w:ascii="Times New Roman" w:hAnsi="Times New Roman" w:eastAsia="宋体" w:cs="Times New Roman"/>
                <w:color w:val="000000"/>
                <w:sz w:val="24"/>
                <w:szCs w:val="22"/>
                <w:u w:val="none"/>
              </w:rPr>
              <w:t>⑤控制汽车鸣笛；</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sz w:val="24"/>
                <w:szCs w:val="22"/>
                <w:u w:val="none"/>
              </w:rPr>
            </w:pPr>
            <w:r>
              <w:rPr>
                <w:rFonts w:hint="default" w:ascii="Times New Roman" w:hAnsi="Times New Roman" w:eastAsia="宋体" w:cs="Times New Roman"/>
                <w:color w:val="000000"/>
                <w:sz w:val="24"/>
                <w:szCs w:val="22"/>
                <w:u w:val="none"/>
              </w:rPr>
              <w:t>⑥如果确须夜间施工，须到环保部门办理夜间施工审批手续。</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sz w:val="24"/>
                <w:szCs w:val="22"/>
                <w:u w:val="none"/>
              </w:rPr>
            </w:pPr>
            <w:r>
              <w:rPr>
                <w:rFonts w:hint="default" w:ascii="Times New Roman" w:hAnsi="Times New Roman" w:eastAsia="宋体" w:cs="Times New Roman"/>
                <w:color w:val="000000"/>
                <w:sz w:val="24"/>
                <w:szCs w:val="22"/>
                <w:u w:val="none"/>
              </w:rPr>
              <w:t>随着施工建设期的结束，项目产生的噪声和扬尘对周围环境的影响也将逐渐消失。</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eastAsia="宋体" w:cs="Times New Roman"/>
                <w:b/>
                <w:bCs/>
                <w:i w:val="0"/>
                <w:iCs w:val="0"/>
                <w:color w:val="000000"/>
                <w:sz w:val="24"/>
                <w:szCs w:val="22"/>
                <w:u w:val="none"/>
              </w:rPr>
            </w:pPr>
            <w:r>
              <w:rPr>
                <w:rFonts w:hint="eastAsia" w:ascii="Times New Roman" w:hAnsi="Times New Roman" w:eastAsia="宋体" w:cs="Times New Roman"/>
                <w:b/>
                <w:bCs/>
                <w:i w:val="0"/>
                <w:iCs w:val="0"/>
                <w:color w:val="000000"/>
                <w:sz w:val="24"/>
                <w:szCs w:val="22"/>
                <w:u w:val="none"/>
                <w:lang w:val="en-US" w:eastAsia="zh-CN"/>
              </w:rPr>
              <w:t>1.</w:t>
            </w:r>
            <w:r>
              <w:rPr>
                <w:rFonts w:hint="eastAsia" w:ascii="Times New Roman" w:hAnsi="Times New Roman" w:cs="Times New Roman"/>
                <w:b/>
                <w:bCs/>
                <w:i w:val="0"/>
                <w:iCs w:val="0"/>
                <w:color w:val="000000"/>
                <w:sz w:val="24"/>
                <w:szCs w:val="22"/>
                <w:u w:val="none"/>
                <w:lang w:val="en-US" w:eastAsia="zh-CN"/>
              </w:rPr>
              <w:t>5</w:t>
            </w:r>
            <w:r>
              <w:rPr>
                <w:rFonts w:hint="default" w:ascii="Times New Roman" w:hAnsi="Times New Roman" w:eastAsia="宋体" w:cs="Times New Roman"/>
                <w:b/>
                <w:bCs/>
                <w:i w:val="0"/>
                <w:iCs w:val="0"/>
                <w:color w:val="000000"/>
                <w:sz w:val="24"/>
                <w:szCs w:val="22"/>
                <w:u w:val="none"/>
              </w:rPr>
              <w:t>固废污染防治措施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sz w:val="24"/>
                <w:szCs w:val="22"/>
                <w:u w:val="none"/>
              </w:rPr>
            </w:pPr>
            <w:r>
              <w:rPr>
                <w:rFonts w:hint="default" w:ascii="Times New Roman" w:hAnsi="Times New Roman" w:eastAsia="宋体" w:cs="Times New Roman"/>
                <w:color w:val="000000"/>
                <w:sz w:val="24"/>
                <w:szCs w:val="22"/>
                <w:u w:val="none"/>
              </w:rPr>
              <w:t>施工期的产生的固体废物主要为建筑垃圾和生活垃圾。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color w:val="000000"/>
                <w:sz w:val="24"/>
                <w:szCs w:val="22"/>
                <w:u w:val="none"/>
                <w:lang w:val="en-US" w:eastAsia="zh-CN"/>
              </w:rPr>
            </w:pPr>
            <w:r>
              <w:rPr>
                <w:rFonts w:hint="default" w:ascii="Times New Roman" w:hAnsi="Times New Roman" w:eastAsia="宋体" w:cs="Times New Roman"/>
                <w:color w:val="000000"/>
                <w:sz w:val="24"/>
                <w:szCs w:val="22"/>
                <w:u w:val="none"/>
              </w:rPr>
              <w:t>施工期产生的建筑垃圾，主要为砂石、石块、碎砖瓦、废木料、废金属、废钢筋等杂物。此部分建筑垃圾分类收集，并临时堆放于工地内指定地点，可回收利用部分定期出售处置，不可回收利用的建筑垃圾统一委托市政渣土部门统一外运处理；施工期产生的生活垃圾</w:t>
            </w:r>
            <w:r>
              <w:rPr>
                <w:rFonts w:hint="eastAsia" w:ascii="Times New Roman" w:hAnsi="Times New Roman" w:eastAsia="宋体" w:cs="Times New Roman"/>
                <w:color w:val="000000"/>
                <w:sz w:val="24"/>
                <w:szCs w:val="22"/>
                <w:u w:val="none"/>
              </w:rPr>
              <w:t>经垃圾桶收集后，统一</w:t>
            </w:r>
            <w:r>
              <w:rPr>
                <w:rFonts w:hint="default" w:ascii="Times New Roman" w:hAnsi="Times New Roman" w:eastAsia="宋体" w:cs="Times New Roman"/>
                <w:color w:val="000000"/>
                <w:sz w:val="24"/>
                <w:szCs w:val="22"/>
                <w:u w:val="none"/>
              </w:rPr>
              <w:t>交由环卫部门统一清运处置</w:t>
            </w:r>
            <w:r>
              <w:rPr>
                <w:rFonts w:hint="eastAsia" w:ascii="Times New Roman" w:hAnsi="Times New Roman" w:eastAsia="宋体" w:cs="Times New Roman"/>
                <w:color w:val="000000"/>
                <w:sz w:val="24"/>
                <w:szCs w:val="22"/>
                <w:u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eastAsia="宋体" w:cs="Times New Roman"/>
                <w:b/>
                <w:bCs/>
                <w:color w:val="000000"/>
                <w:sz w:val="24"/>
                <w:szCs w:val="22"/>
                <w:u w:val="none"/>
                <w:lang w:val="en-US" w:eastAsia="zh-CN"/>
              </w:rPr>
            </w:pPr>
            <w:r>
              <w:rPr>
                <w:rFonts w:hint="eastAsia" w:ascii="Times New Roman" w:hAnsi="Times New Roman" w:eastAsia="宋体" w:cs="Times New Roman"/>
                <w:b/>
                <w:bCs/>
                <w:color w:val="000000"/>
                <w:sz w:val="24"/>
                <w:szCs w:val="22"/>
                <w:u w:val="none"/>
                <w:lang w:val="en-US" w:eastAsia="zh-CN"/>
              </w:rPr>
              <w:t>1.</w:t>
            </w:r>
            <w:r>
              <w:rPr>
                <w:rFonts w:hint="eastAsia" w:ascii="Times New Roman" w:hAnsi="Times New Roman" w:cs="Times New Roman"/>
                <w:b/>
                <w:bCs/>
                <w:color w:val="000000"/>
                <w:sz w:val="24"/>
                <w:szCs w:val="22"/>
                <w:u w:val="none"/>
                <w:lang w:val="en-US" w:eastAsia="zh-CN"/>
              </w:rPr>
              <w:t>6</w:t>
            </w:r>
            <w:r>
              <w:rPr>
                <w:rFonts w:hint="eastAsia" w:ascii="Times New Roman" w:hAnsi="Times New Roman" w:eastAsia="宋体" w:cs="Times New Roman"/>
                <w:b/>
                <w:bCs/>
                <w:color w:val="000000"/>
                <w:sz w:val="24"/>
                <w:szCs w:val="22"/>
                <w:u w:val="none"/>
                <w:lang w:val="en-US" w:eastAsia="zh-CN"/>
              </w:rPr>
              <w:t>水土流失</w:t>
            </w:r>
            <w:r>
              <w:rPr>
                <w:rFonts w:hint="eastAsia" w:ascii="Times New Roman" w:hAnsi="Times New Roman" w:cs="Times New Roman"/>
                <w:b/>
                <w:bCs/>
                <w:color w:val="000000"/>
                <w:sz w:val="24"/>
                <w:szCs w:val="22"/>
                <w:u w:val="none"/>
                <w:lang w:val="en-US" w:eastAsia="zh-CN"/>
              </w:rPr>
              <w:t>的</w:t>
            </w:r>
            <w:r>
              <w:rPr>
                <w:rFonts w:hint="eastAsia" w:ascii="Times New Roman" w:hAnsi="Times New Roman" w:eastAsia="宋体" w:cs="Times New Roman"/>
                <w:b/>
                <w:bCs/>
                <w:color w:val="000000"/>
                <w:sz w:val="24"/>
                <w:szCs w:val="22"/>
                <w:u w:val="none"/>
                <w:lang w:val="en-US" w:eastAsia="zh-CN"/>
              </w:rPr>
              <w:t>生态影响</w:t>
            </w:r>
            <w:r>
              <w:rPr>
                <w:rFonts w:hint="eastAsia" w:ascii="Times New Roman" w:hAnsi="Times New Roman" w:cs="Times New Roman"/>
                <w:b/>
                <w:bCs/>
                <w:color w:val="000000"/>
                <w:sz w:val="24"/>
                <w:szCs w:val="22"/>
                <w:u w:val="none"/>
                <w:lang w:val="en-US" w:eastAsia="zh-CN"/>
              </w:rPr>
              <w:t>及措施</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cs="Times New Roman"/>
                <w:sz w:val="24"/>
                <w:szCs w:val="24"/>
                <w:u w:val="none"/>
                <w:lang w:val="en-US" w:eastAsia="zh-CN"/>
              </w:rPr>
            </w:pPr>
            <w:r>
              <w:rPr>
                <w:rFonts w:hint="eastAsia" w:ascii="Times New Roman" w:hAnsi="Times New Roman" w:eastAsia="宋体" w:cs="Times New Roman"/>
                <w:color w:val="000000"/>
                <w:sz w:val="24"/>
                <w:szCs w:val="22"/>
                <w:u w:val="none"/>
                <w:lang w:val="en-US" w:eastAsia="zh-CN"/>
              </w:rPr>
              <w:t>由工程分析可知，在无</w:t>
            </w:r>
            <w:r>
              <w:rPr>
                <w:rFonts w:hint="eastAsia" w:cs="Times New Roman"/>
                <w:sz w:val="24"/>
                <w:szCs w:val="24"/>
                <w:u w:val="none"/>
                <w:lang w:val="en-US" w:eastAsia="zh-CN"/>
              </w:rPr>
              <w:t>水土保持措施的情况下，项目施工过程将造成一定量的水土流失。建议采取以下措施减少水土流失量：</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cs="Times New Roman"/>
                <w:sz w:val="24"/>
                <w:szCs w:val="24"/>
                <w:u w:val="none"/>
                <w:lang w:val="en-US" w:eastAsia="zh-CN"/>
              </w:rPr>
            </w:pPr>
            <w:r>
              <w:rPr>
                <w:rFonts w:hint="eastAsia" w:cs="Times New Roman"/>
                <w:sz w:val="24"/>
                <w:szCs w:val="24"/>
                <w:u w:val="none"/>
                <w:lang w:val="en-US" w:eastAsia="zh-CN"/>
              </w:rPr>
              <w:t>① 避免雨天进行土方挖填作业。</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cs="Times New Roman"/>
                <w:sz w:val="24"/>
                <w:szCs w:val="24"/>
                <w:u w:val="none"/>
                <w:lang w:val="en-US" w:eastAsia="zh-CN"/>
              </w:rPr>
            </w:pPr>
            <w:r>
              <w:rPr>
                <w:rFonts w:hint="eastAsia" w:cs="Times New Roman"/>
                <w:sz w:val="24"/>
                <w:szCs w:val="24"/>
                <w:u w:val="none"/>
                <w:lang w:val="en-US" w:eastAsia="zh-CN"/>
              </w:rPr>
              <w:t>② 开挖土方规范堆放，修建围堰，并及时清运处理。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cs="Times New Roman"/>
                <w:sz w:val="24"/>
                <w:szCs w:val="24"/>
                <w:u w:val="none"/>
                <w:lang w:val="en-US" w:eastAsia="zh-CN"/>
              </w:rPr>
            </w:pPr>
            <w:r>
              <w:rPr>
                <w:rFonts w:hint="eastAsia" w:cs="Times New Roman"/>
                <w:sz w:val="24"/>
                <w:szCs w:val="24"/>
                <w:u w:val="none"/>
                <w:lang w:val="en-US" w:eastAsia="zh-CN"/>
              </w:rPr>
              <w:t>③ 主体工程施工结束后，应对裸露地表进行适当绿化，种植当地易生耐活乔灌物种。</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cs="Times New Roman"/>
                <w:sz w:val="24"/>
                <w:szCs w:val="24"/>
                <w:u w:val="none"/>
                <w:lang w:val="en-US" w:eastAsia="zh-CN"/>
              </w:rPr>
            </w:pPr>
            <w:r>
              <w:rPr>
                <w:rFonts w:hint="eastAsia" w:cs="Times New Roman"/>
                <w:sz w:val="24"/>
                <w:szCs w:val="24"/>
                <w:u w:val="none"/>
                <w:lang w:val="en-US" w:eastAsia="zh-CN"/>
              </w:rPr>
              <w:t>项目位于工业园内，采取以上措施后，不会对区域生态构成影响。</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Times New Roman"/>
                <w:bCs/>
                <w:color w:val="000000"/>
                <w:kern w:val="2"/>
                <w:sz w:val="24"/>
                <w:szCs w:val="24"/>
                <w:lang w:val="en-US" w:eastAsia="zh-CN" w:bidi="ar-SA"/>
              </w:rPr>
            </w:pP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Times New Roman"/>
                <w:bCs/>
                <w:color w:val="000000"/>
                <w:kern w:val="2"/>
                <w:sz w:val="24"/>
                <w:szCs w:val="24"/>
                <w:lang w:val="en-US" w:eastAsia="zh-CN" w:bidi="ar-SA"/>
              </w:rPr>
            </w:pP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Times New Roman"/>
                <w:bCs/>
                <w:color w:val="000000"/>
                <w:kern w:val="2"/>
                <w:sz w:val="24"/>
                <w:szCs w:val="24"/>
                <w:lang w:val="en-US" w:eastAsia="zh-CN" w:bidi="ar-SA"/>
              </w:rPr>
            </w:pP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Times New Roman"/>
                <w:bCs/>
                <w:color w:val="000000"/>
                <w:kern w:val="2"/>
                <w:sz w:val="24"/>
                <w:szCs w:val="24"/>
                <w:lang w:val="en-US" w:eastAsia="zh-CN" w:bidi="ar-SA"/>
              </w:rPr>
            </w:pP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Times New Roman"/>
                <w:bCs/>
                <w:color w:val="000000"/>
                <w:kern w:val="2"/>
                <w:sz w:val="24"/>
                <w:szCs w:val="24"/>
                <w:lang w:val="en-US" w:eastAsia="zh-CN" w:bidi="ar-SA"/>
              </w:rPr>
            </w:pP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Times New Roman"/>
                <w:bCs/>
                <w:color w:val="000000"/>
                <w:kern w:val="2"/>
                <w:sz w:val="24"/>
                <w:szCs w:val="24"/>
                <w:lang w:val="en-US" w:eastAsia="zh-CN" w:bidi="ar-SA"/>
              </w:rPr>
            </w:pP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000000"/>
                <w:kern w:val="2"/>
                <w:sz w:val="24"/>
                <w:szCs w:val="24"/>
                <w:lang w:val="en-US" w:eastAsia="zh-CN" w:bidi="ar-SA"/>
              </w:rPr>
            </w:pP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Times New Roman"/>
                <w:bCs/>
                <w:color w:val="000000"/>
                <w:kern w:val="2"/>
                <w:sz w:val="24"/>
                <w:szCs w:val="24"/>
                <w:lang w:val="en-US" w:eastAsia="zh-CN" w:bidi="ar-SA"/>
              </w:rPr>
            </w:pP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Times New Roman"/>
                <w:bCs/>
                <w:color w:val="000000"/>
                <w:kern w:val="2"/>
                <w:sz w:val="24"/>
                <w:szCs w:val="24"/>
                <w:lang w:val="en-US" w:eastAsia="zh-CN" w:bidi="ar-SA"/>
              </w:rPr>
            </w:pP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Times New Roman"/>
                <w:bCs/>
                <w:color w:val="000000"/>
                <w:kern w:val="2"/>
                <w:sz w:val="24"/>
                <w:szCs w:val="24"/>
                <w:lang w:val="en-US" w:eastAsia="zh-CN" w:bidi="ar-SA"/>
              </w:rPr>
            </w:pPr>
          </w:p>
          <w:p>
            <w:pPr>
              <w:pageBreakBefore w:val="0"/>
              <w:widowControl w:val="0"/>
              <w:kinsoku/>
              <w:wordWrap/>
              <w:overflowPunct/>
              <w:topLinePunct w:val="0"/>
              <w:autoSpaceDE/>
              <w:autoSpaceDN/>
              <w:bidi w:val="0"/>
              <w:adjustRightInd w:val="0"/>
              <w:snapToGrid w:val="0"/>
              <w:spacing w:line="360" w:lineRule="auto"/>
              <w:textAlignment w:val="auto"/>
              <w:rPr>
                <w:rFonts w:hint="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1" w:hRule="atLeast"/>
        </w:trPr>
        <w:tc>
          <w:tcPr>
            <w:tcW w:w="751" w:type="dxa"/>
            <w:vAlign w:val="center"/>
          </w:tcPr>
          <w:p>
            <w:pPr>
              <w:bidi w:val="0"/>
              <w:jc w:val="center"/>
              <w:rPr>
                <w:rFonts w:hint="default"/>
                <w:sz w:val="24"/>
                <w:szCs w:val="24"/>
                <w:lang w:val="en-US" w:eastAsia="zh-CN"/>
              </w:rPr>
            </w:pPr>
            <w:r>
              <w:rPr>
                <w:rFonts w:hint="eastAsia"/>
                <w:sz w:val="24"/>
                <w:szCs w:val="24"/>
                <w:lang w:val="en-US" w:eastAsia="zh-CN"/>
              </w:rPr>
              <w:t>运营期环境影响和保护措施</w:t>
            </w:r>
          </w:p>
        </w:tc>
        <w:tc>
          <w:tcPr>
            <w:tcW w:w="8491" w:type="dxa"/>
            <w:vAlign w:val="center"/>
          </w:tcPr>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both"/>
              <w:textAlignment w:val="auto"/>
              <w:outlineLvl w:val="1"/>
              <w:rPr>
                <w:rFonts w:hint="default" w:ascii="Times New Roman" w:hAnsi="Times New Roman" w:eastAsia="宋体" w:cs="Times New Roman"/>
                <w:b/>
                <w:bCs/>
                <w:color w:val="000000"/>
                <w:kern w:val="2"/>
                <w:sz w:val="28"/>
                <w:szCs w:val="32"/>
                <w:lang w:val="en-US" w:eastAsia="zh-CN" w:bidi="ar-SA"/>
              </w:rPr>
            </w:pPr>
            <w:r>
              <w:rPr>
                <w:rFonts w:hint="eastAsia" w:ascii="Times New Roman" w:hAnsi="Times New Roman" w:cs="Times New Roman"/>
                <w:b/>
                <w:bCs/>
                <w:color w:val="000000"/>
                <w:kern w:val="2"/>
                <w:sz w:val="28"/>
                <w:szCs w:val="32"/>
                <w:lang w:val="en-US" w:eastAsia="zh-CN" w:bidi="ar-SA"/>
              </w:rPr>
              <w:t>1</w:t>
            </w:r>
            <w:r>
              <w:rPr>
                <w:rFonts w:hint="eastAsia" w:ascii="Times New Roman" w:hAnsi="Times New Roman" w:eastAsia="宋体" w:cs="Times New Roman"/>
                <w:b/>
                <w:bCs/>
                <w:color w:val="000000"/>
                <w:kern w:val="2"/>
                <w:sz w:val="28"/>
                <w:szCs w:val="32"/>
                <w:lang w:val="en-US" w:eastAsia="zh-CN" w:bidi="ar-SA"/>
              </w:rPr>
              <w:t>、</w:t>
            </w:r>
            <w:r>
              <w:rPr>
                <w:rFonts w:hint="default" w:ascii="Times New Roman" w:hAnsi="Times New Roman" w:eastAsia="宋体" w:cs="Times New Roman"/>
                <w:b/>
                <w:bCs/>
                <w:color w:val="000000"/>
                <w:kern w:val="2"/>
                <w:sz w:val="28"/>
                <w:szCs w:val="32"/>
                <w:lang w:val="en-US" w:eastAsia="zh-CN" w:bidi="ar-SA"/>
              </w:rPr>
              <w:t>营运期的环境影响分析</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eastAsia="宋体" w:cs="Times New Roman"/>
                <w:b/>
                <w:bCs/>
                <w:color w:val="000000"/>
                <w:kern w:val="2"/>
                <w:sz w:val="24"/>
                <w:szCs w:val="22"/>
                <w:lang w:val="en-US" w:eastAsia="zh-CN" w:bidi="ar-SA"/>
              </w:rPr>
            </w:pPr>
            <w:r>
              <w:rPr>
                <w:rFonts w:hint="eastAsia" w:ascii="Times New Roman" w:hAnsi="Times New Roman" w:eastAsia="宋体" w:cs="Times New Roman"/>
                <w:b/>
                <w:bCs/>
                <w:color w:val="000000"/>
                <w:kern w:val="2"/>
                <w:sz w:val="24"/>
                <w:szCs w:val="22"/>
                <w:lang w:val="en-US" w:eastAsia="zh-CN" w:bidi="ar-SA"/>
              </w:rPr>
              <w:t>1.1</w:t>
            </w:r>
            <w:r>
              <w:rPr>
                <w:rFonts w:hint="default" w:ascii="Times New Roman" w:hAnsi="Times New Roman" w:eastAsia="宋体" w:cs="Times New Roman"/>
                <w:b/>
                <w:bCs/>
                <w:color w:val="000000"/>
                <w:kern w:val="2"/>
                <w:sz w:val="24"/>
                <w:szCs w:val="22"/>
                <w:lang w:val="en-US" w:eastAsia="zh-CN" w:bidi="ar-SA"/>
              </w:rPr>
              <w:t>环境空气影响分析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000000"/>
                <w:kern w:val="2"/>
                <w:sz w:val="24"/>
                <w:szCs w:val="24"/>
                <w:lang w:val="en-US" w:eastAsia="zh-CN" w:bidi="ar-SA"/>
              </w:rPr>
            </w:pPr>
            <w:r>
              <w:rPr>
                <w:rFonts w:hint="eastAsia" w:ascii="Times New Roman" w:hAnsi="Times New Roman" w:cs="Times New Roman"/>
                <w:color w:val="000000"/>
                <w:kern w:val="2"/>
                <w:sz w:val="24"/>
                <w:szCs w:val="24"/>
                <w:lang w:val="en-US" w:eastAsia="zh-CN" w:bidi="ar-SA"/>
              </w:rPr>
              <w:t>（1）废气源强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项目大豆煮浆、提皮、烘干和回润过程需要用到蒸汽，项目设置1台10t/h和1台2t/h（备用）的生物质蒸汽锅炉，以生物质为燃料，会产生锅炉废气；腐竹生产烘豆工序使用的</w:t>
            </w:r>
            <w:r>
              <w:rPr>
                <w:rFonts w:hint="eastAsia" w:ascii="Times New Roman" w:hAnsi="Times New Roman" w:eastAsia="新宋体" w:cs="Times New Roman"/>
                <w:snapToGrid w:val="0"/>
                <w:sz w:val="24"/>
                <w:szCs w:val="24"/>
                <w:lang w:val="en-US" w:eastAsia="zh-CN"/>
              </w:rPr>
              <w:t>滚筒式炒锅</w:t>
            </w:r>
            <w:r>
              <w:rPr>
                <w:rFonts w:hint="eastAsia" w:ascii="Times New Roman" w:hAnsi="Times New Roman" w:eastAsia="宋体" w:cs="Times New Roman"/>
                <w:color w:val="000000"/>
                <w:kern w:val="2"/>
                <w:sz w:val="24"/>
                <w:szCs w:val="24"/>
                <w:lang w:val="en-US" w:eastAsia="zh-CN" w:bidi="ar-SA"/>
              </w:rPr>
              <w:t>用木材作为燃</w:t>
            </w:r>
            <w:r>
              <w:rPr>
                <w:rFonts w:hint="eastAsia" w:ascii="Times New Roman" w:hAnsi="Times New Roman" w:cs="Times New Roman"/>
                <w:color w:val="000000"/>
                <w:kern w:val="2"/>
                <w:sz w:val="24"/>
                <w:szCs w:val="24"/>
                <w:lang w:val="en-US" w:eastAsia="zh-CN" w:bidi="ar-SA"/>
              </w:rPr>
              <w:t>料燃烧</w:t>
            </w:r>
            <w:r>
              <w:rPr>
                <w:rFonts w:hint="eastAsia" w:ascii="Times New Roman" w:hAnsi="Times New Roman" w:eastAsia="宋体" w:cs="Times New Roman"/>
                <w:color w:val="000000"/>
                <w:kern w:val="2"/>
                <w:sz w:val="24"/>
                <w:szCs w:val="24"/>
                <w:lang w:val="en-US" w:eastAsia="zh-CN" w:bidi="ar-SA"/>
              </w:rPr>
              <w:t>烘干，燃烧会产生烟气；脱皮和筛分工序产生少量脱壳粉尘；生产车间腐竹和豆皮加工过程产生的气味以及污水处理站产生的恶臭气体；</w:t>
            </w:r>
            <w:r>
              <w:rPr>
                <w:rFonts w:hint="eastAsia" w:ascii="Times New Roman" w:hAnsi="Times New Roman" w:cs="Times New Roman"/>
                <w:color w:val="000000"/>
                <w:kern w:val="2"/>
                <w:sz w:val="24"/>
                <w:szCs w:val="24"/>
                <w:lang w:val="en-US" w:eastAsia="zh-CN" w:bidi="ar-SA"/>
              </w:rPr>
              <w:t>豆皮制作在加入豆粕粉混合搅拌过程中产生少量投料粉尘；</w:t>
            </w:r>
            <w:r>
              <w:rPr>
                <w:rFonts w:hint="eastAsia" w:ascii="Times New Roman" w:hAnsi="Times New Roman" w:eastAsia="宋体" w:cs="Times New Roman"/>
                <w:color w:val="000000"/>
                <w:kern w:val="2"/>
                <w:sz w:val="24"/>
                <w:szCs w:val="24"/>
                <w:lang w:val="en-US" w:eastAsia="zh-CN" w:bidi="ar-SA"/>
              </w:rPr>
              <w:t>食堂油烟废气。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eastAsia="宋体" w:cs="Times New Roman"/>
                <w:color w:val="000000"/>
                <w:kern w:val="0"/>
                <w:sz w:val="24"/>
                <w:szCs w:val="21"/>
              </w:rPr>
            </w:pPr>
            <w:r>
              <w:rPr>
                <w:rFonts w:hint="eastAsia" w:ascii="宋体" w:hAnsi="宋体" w:eastAsia="宋体" w:cs="宋体"/>
                <w:color w:val="000000"/>
                <w:kern w:val="0"/>
                <w:sz w:val="24"/>
                <w:szCs w:val="21"/>
              </w:rPr>
              <w:t>①</w:t>
            </w:r>
            <w:r>
              <w:rPr>
                <w:rFonts w:hint="eastAsia" w:ascii="Times New Roman" w:hAnsi="Times New Roman" w:eastAsia="宋体" w:cs="Times New Roman"/>
                <w:color w:val="000000"/>
                <w:kern w:val="0"/>
                <w:sz w:val="24"/>
                <w:szCs w:val="21"/>
              </w:rPr>
              <w:t>锅炉废气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项目设立1台10t/h和1台2t/h（备用）的生物质蒸汽锅炉，使用生物质成型颗粒作为燃料。根据业主提供资料，生物质颗粒燃料消耗量为</w:t>
            </w:r>
            <w:r>
              <w:rPr>
                <w:rFonts w:hint="eastAsia" w:ascii="Times New Roman" w:hAnsi="Times New Roman" w:cs="Times New Roman"/>
                <w:color w:val="000000"/>
                <w:kern w:val="2"/>
                <w:sz w:val="24"/>
                <w:szCs w:val="24"/>
                <w:lang w:val="en-US" w:eastAsia="zh-CN" w:bidi="ar-SA"/>
              </w:rPr>
              <w:t>10000</w:t>
            </w:r>
            <w:r>
              <w:rPr>
                <w:rFonts w:hint="eastAsia" w:ascii="Times New Roman" w:hAnsi="Times New Roman" w:eastAsia="宋体" w:cs="Times New Roman"/>
                <w:color w:val="000000"/>
                <w:kern w:val="2"/>
                <w:sz w:val="24"/>
                <w:szCs w:val="24"/>
                <w:lang w:val="en-US" w:eastAsia="zh-CN" w:bidi="ar-SA"/>
              </w:rPr>
              <w:t>t/a。燃烧生物质成型燃料产生的大气污染物主要为SO</w:t>
            </w:r>
            <w:r>
              <w:rPr>
                <w:rFonts w:hint="eastAsia" w:ascii="Times New Roman" w:hAnsi="Times New Roman" w:eastAsia="宋体" w:cs="Times New Roman"/>
                <w:color w:val="000000"/>
                <w:kern w:val="2"/>
                <w:sz w:val="24"/>
                <w:szCs w:val="24"/>
                <w:vertAlign w:val="subscript"/>
                <w:lang w:val="en-US" w:eastAsia="zh-CN" w:bidi="ar-SA"/>
              </w:rPr>
              <w:t>2</w:t>
            </w:r>
            <w:r>
              <w:rPr>
                <w:rFonts w:hint="eastAsia" w:ascii="Times New Roman" w:hAnsi="Times New Roman" w:eastAsia="宋体" w:cs="Times New Roman"/>
                <w:color w:val="000000"/>
                <w:kern w:val="2"/>
                <w:sz w:val="24"/>
                <w:szCs w:val="24"/>
                <w:lang w:val="en-US" w:eastAsia="zh-CN" w:bidi="ar-SA"/>
              </w:rPr>
              <w:t>、NOx和烟尘。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根据《第一次全国污染源普查工业污染源产排污系数手册》（第十册）生物质锅炉的产排污系数，本项目生物质锅炉污染物产生情况如下表：</w:t>
            </w:r>
          </w:p>
          <w:p>
            <w:pPr>
              <w:spacing w:line="240" w:lineRule="auto"/>
              <w:jc w:val="center"/>
              <w:rPr>
                <w:rFonts w:hint="default" w:ascii="Times New Roman" w:hAnsi="Times New Roman" w:eastAsia="宋体" w:cs="Times New Roman"/>
                <w:b/>
                <w:color w:val="000000"/>
                <w:sz w:val="21"/>
                <w:szCs w:val="21"/>
                <w:lang w:val="en-US" w:eastAsia="zh-CN"/>
              </w:rPr>
            </w:pPr>
            <w:r>
              <w:rPr>
                <w:rFonts w:hint="eastAsia" w:ascii="Times New Roman" w:hAnsi="Times New Roman" w:eastAsia="宋体" w:cs="Times New Roman"/>
                <w:b/>
                <w:color w:val="000000"/>
                <w:sz w:val="21"/>
                <w:szCs w:val="21"/>
              </w:rPr>
              <w:t>表</w:t>
            </w:r>
            <w:r>
              <w:rPr>
                <w:rFonts w:hint="eastAsia" w:ascii="Times New Roman" w:hAnsi="Times New Roman" w:cs="Times New Roman"/>
                <w:b/>
                <w:color w:val="000000"/>
                <w:sz w:val="21"/>
                <w:szCs w:val="21"/>
                <w:lang w:val="en-US" w:eastAsia="zh-CN"/>
              </w:rPr>
              <w:t>4</w:t>
            </w:r>
            <w:r>
              <w:rPr>
                <w:rFonts w:hint="eastAsia" w:ascii="Times New Roman" w:hAnsi="Times New Roman" w:eastAsia="宋体" w:cs="Times New Roman"/>
                <w:b/>
                <w:color w:val="000000"/>
                <w:sz w:val="21"/>
                <w:szCs w:val="21"/>
              </w:rPr>
              <w:t>-</w:t>
            </w:r>
            <w:r>
              <w:rPr>
                <w:rFonts w:hint="eastAsia" w:ascii="Times New Roman" w:hAnsi="Times New Roman" w:cs="Times New Roman"/>
                <w:b/>
                <w:color w:val="000000"/>
                <w:sz w:val="21"/>
                <w:szCs w:val="21"/>
                <w:lang w:val="en-US" w:eastAsia="zh-CN"/>
              </w:rPr>
              <w:t>1</w:t>
            </w:r>
            <w:r>
              <w:rPr>
                <w:rFonts w:hint="eastAsia" w:ascii="Times New Roman" w:hAnsi="Times New Roman" w:eastAsia="宋体" w:cs="Times New Roman"/>
                <w:b/>
                <w:color w:val="000000"/>
                <w:sz w:val="21"/>
                <w:szCs w:val="21"/>
              </w:rPr>
              <w:t xml:space="preserve"> 污染物产</w:t>
            </w:r>
            <w:r>
              <w:rPr>
                <w:rFonts w:hint="eastAsia" w:ascii="Times New Roman" w:hAnsi="Times New Roman" w:eastAsia="宋体" w:cs="Times New Roman"/>
                <w:b/>
                <w:color w:val="000000"/>
                <w:sz w:val="21"/>
                <w:szCs w:val="21"/>
                <w:lang w:val="en-US" w:eastAsia="zh-CN"/>
              </w:rPr>
              <w:t>污系数表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2414"/>
              <w:gridCol w:w="2290"/>
              <w:gridCol w:w="2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主要污染物</w:t>
                  </w:r>
                </w:p>
              </w:tc>
              <w:tc>
                <w:tcPr>
                  <w:tcW w:w="1461"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产生系数</w:t>
                  </w:r>
                </w:p>
              </w:tc>
              <w:tc>
                <w:tcPr>
                  <w:tcW w:w="138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燃料用量</w:t>
                  </w:r>
                </w:p>
              </w:tc>
              <w:tc>
                <w:tcPr>
                  <w:tcW w:w="1215"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工业废气量</w:t>
                  </w:r>
                </w:p>
              </w:tc>
              <w:tc>
                <w:tcPr>
                  <w:tcW w:w="1461"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6240.28m</w:t>
                  </w:r>
                  <w:r>
                    <w:rPr>
                      <w:rFonts w:hint="eastAsia" w:ascii="Times New Roman" w:hAnsi="Times New Roman" w:eastAsia="宋体" w:cs="Times New Roman"/>
                      <w:color w:val="000000"/>
                      <w:kern w:val="2"/>
                      <w:sz w:val="21"/>
                      <w:szCs w:val="21"/>
                      <w:vertAlign w:val="superscript"/>
                      <w:lang w:val="en-US" w:eastAsia="zh-CN" w:bidi="ar-SA"/>
                    </w:rPr>
                    <w:t>3</w:t>
                  </w:r>
                  <w:r>
                    <w:rPr>
                      <w:rFonts w:hint="eastAsia" w:ascii="Times New Roman" w:hAnsi="Times New Roman" w:eastAsia="宋体" w:cs="Times New Roman"/>
                      <w:color w:val="000000"/>
                      <w:kern w:val="2"/>
                      <w:sz w:val="21"/>
                      <w:szCs w:val="21"/>
                      <w:lang w:val="en-US" w:eastAsia="zh-CN" w:bidi="ar-SA"/>
                    </w:rPr>
                    <w:t>/t-原料</w:t>
                  </w:r>
                </w:p>
              </w:tc>
              <w:tc>
                <w:tcPr>
                  <w:tcW w:w="138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10000</w:t>
                  </w:r>
                  <w:r>
                    <w:rPr>
                      <w:rFonts w:hint="eastAsia" w:ascii="Times New Roman" w:hAnsi="Times New Roman" w:eastAsia="宋体" w:cs="Times New Roman"/>
                      <w:color w:val="000000"/>
                      <w:kern w:val="2"/>
                      <w:sz w:val="21"/>
                      <w:szCs w:val="21"/>
                      <w:lang w:val="en-US" w:eastAsia="zh-CN" w:bidi="ar-SA"/>
                    </w:rPr>
                    <w:t>t/a</w:t>
                  </w:r>
                </w:p>
              </w:tc>
              <w:tc>
                <w:tcPr>
                  <w:tcW w:w="1215"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6240.28</w:t>
                  </w:r>
                  <w:r>
                    <w:rPr>
                      <w:rFonts w:hint="eastAsia" w:ascii="Times New Roman" w:hAnsi="Times New Roman" w:eastAsia="宋体" w:cs="Times New Roman"/>
                      <w:color w:val="000000"/>
                      <w:kern w:val="2"/>
                      <w:sz w:val="21"/>
                      <w:szCs w:val="21"/>
                      <w:lang w:val="en-US" w:eastAsia="zh-CN" w:bidi="ar-SA"/>
                    </w:rPr>
                    <w:t>万m</w:t>
                  </w:r>
                  <w:r>
                    <w:rPr>
                      <w:rFonts w:hint="eastAsia" w:ascii="Times New Roman" w:hAnsi="Times New Roman" w:eastAsia="宋体" w:cs="Times New Roman"/>
                      <w:color w:val="000000"/>
                      <w:kern w:val="2"/>
                      <w:sz w:val="21"/>
                      <w:szCs w:val="21"/>
                      <w:vertAlign w:val="superscript"/>
                      <w:lang w:val="en-US" w:eastAsia="zh-CN" w:bidi="ar-SA"/>
                    </w:rPr>
                    <w:t>3</w:t>
                  </w:r>
                  <w:r>
                    <w:rPr>
                      <w:rFonts w:hint="eastAsia" w:ascii="Times New Roman" w:hAnsi="Times New Roman" w:eastAsia="宋体" w:cs="Times New Roman"/>
                      <w:color w:val="000000"/>
                      <w:kern w:val="2"/>
                      <w:sz w:val="21"/>
                      <w:szCs w:val="21"/>
                      <w:lang w:val="en-US" w:eastAsia="zh-CN" w:bidi="ar-S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SO</w:t>
                  </w:r>
                  <w:r>
                    <w:rPr>
                      <w:rFonts w:hint="eastAsia" w:ascii="Times New Roman" w:hAnsi="Times New Roman" w:eastAsia="宋体" w:cs="Times New Roman"/>
                      <w:color w:val="000000"/>
                      <w:kern w:val="2"/>
                      <w:sz w:val="21"/>
                      <w:szCs w:val="21"/>
                      <w:vertAlign w:val="subscript"/>
                      <w:lang w:val="en-US" w:eastAsia="zh-CN" w:bidi="ar-SA"/>
                    </w:rPr>
                    <w:t>2</w:t>
                  </w:r>
                </w:p>
              </w:tc>
              <w:tc>
                <w:tcPr>
                  <w:tcW w:w="1461"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17S kg/t-原料</w:t>
                  </w:r>
                </w:p>
              </w:tc>
              <w:tc>
                <w:tcPr>
                  <w:tcW w:w="138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10000</w:t>
                  </w:r>
                  <w:r>
                    <w:rPr>
                      <w:rFonts w:hint="eastAsia" w:ascii="Times New Roman" w:hAnsi="Times New Roman" w:eastAsia="宋体" w:cs="Times New Roman"/>
                      <w:color w:val="000000"/>
                      <w:kern w:val="2"/>
                      <w:sz w:val="21"/>
                      <w:szCs w:val="21"/>
                      <w:lang w:val="en-US" w:eastAsia="zh-CN" w:bidi="ar-SA"/>
                    </w:rPr>
                    <w:t>t/a</w:t>
                  </w:r>
                </w:p>
              </w:tc>
              <w:tc>
                <w:tcPr>
                  <w:tcW w:w="20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NOx</w:t>
                  </w:r>
                </w:p>
              </w:tc>
              <w:tc>
                <w:tcPr>
                  <w:tcW w:w="1461"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1.02 kg/t-原料</w:t>
                  </w:r>
                </w:p>
              </w:tc>
              <w:tc>
                <w:tcPr>
                  <w:tcW w:w="138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10000</w:t>
                  </w:r>
                  <w:r>
                    <w:rPr>
                      <w:rFonts w:hint="eastAsia" w:ascii="Times New Roman" w:hAnsi="Times New Roman" w:eastAsia="宋体" w:cs="Times New Roman"/>
                      <w:color w:val="000000"/>
                      <w:kern w:val="2"/>
                      <w:sz w:val="21"/>
                      <w:szCs w:val="21"/>
                      <w:lang w:val="en-US" w:eastAsia="zh-CN" w:bidi="ar-SA"/>
                    </w:rPr>
                    <w:t>t/a</w:t>
                  </w:r>
                </w:p>
              </w:tc>
              <w:tc>
                <w:tcPr>
                  <w:tcW w:w="20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烟尘</w:t>
                  </w:r>
                </w:p>
              </w:tc>
              <w:tc>
                <w:tcPr>
                  <w:tcW w:w="1461"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0.5 kg/t-原料</w:t>
                  </w:r>
                </w:p>
              </w:tc>
              <w:tc>
                <w:tcPr>
                  <w:tcW w:w="138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10000</w:t>
                  </w:r>
                  <w:r>
                    <w:rPr>
                      <w:rFonts w:hint="eastAsia" w:ascii="Times New Roman" w:hAnsi="Times New Roman" w:eastAsia="宋体" w:cs="Times New Roman"/>
                      <w:color w:val="000000"/>
                      <w:kern w:val="2"/>
                      <w:sz w:val="21"/>
                      <w:szCs w:val="21"/>
                      <w:lang w:val="en-US" w:eastAsia="zh-CN" w:bidi="ar-SA"/>
                    </w:rPr>
                    <w:t>t/a</w:t>
                  </w:r>
                </w:p>
              </w:tc>
              <w:tc>
                <w:tcPr>
                  <w:tcW w:w="20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0"/>
                  <w:vAlign w:val="center"/>
                </w:tcPr>
                <w:p>
                  <w:pPr>
                    <w:widowControl w:val="0"/>
                    <w:spacing w:line="240" w:lineRule="auto"/>
                    <w:jc w:val="left"/>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注：产排污系数取自《工业污染源产排污系数手册》（2010 修订），其中成型生物质燃料的含硫率S取0.01</w:t>
                  </w:r>
                </w:p>
              </w:tc>
            </w:tr>
          </w:tbl>
          <w:p>
            <w:pPr>
              <w:widowControl w:val="0"/>
              <w:spacing w:line="360" w:lineRule="auto"/>
              <w:ind w:firstLine="480" w:firstLineChars="200"/>
              <w:jc w:val="both"/>
              <w:rPr>
                <w:rFonts w:hint="eastAsia" w:ascii="Times New Roman" w:hAnsi="Times New Roman" w:eastAsia="宋体" w:cs="Times New Roman"/>
                <w:color w:val="000000"/>
                <w:kern w:val="2"/>
                <w:sz w:val="24"/>
                <w:szCs w:val="24"/>
                <w:u w:val="none"/>
                <w:lang w:val="en-US" w:eastAsia="zh-CN" w:bidi="ar-SA"/>
              </w:rPr>
            </w:pPr>
            <w:r>
              <w:rPr>
                <w:rFonts w:hint="eastAsia" w:ascii="Times New Roman" w:hAnsi="Times New Roman" w:eastAsia="宋体" w:cs="Times New Roman"/>
                <w:color w:val="000000"/>
                <w:kern w:val="2"/>
                <w:sz w:val="24"/>
                <w:szCs w:val="24"/>
                <w:u w:val="none"/>
                <w:lang w:val="en-US" w:eastAsia="zh-CN" w:bidi="ar-SA"/>
              </w:rPr>
              <w:t>本项目在运营期间产生的锅炉废气通过碱液喷淋除尘脱硫处理后，再由</w:t>
            </w:r>
            <w:r>
              <w:rPr>
                <w:rFonts w:hint="eastAsia" w:ascii="Times New Roman" w:hAnsi="Times New Roman" w:cs="Times New Roman"/>
                <w:color w:val="000000"/>
                <w:kern w:val="2"/>
                <w:sz w:val="24"/>
                <w:szCs w:val="24"/>
                <w:u w:val="none"/>
                <w:lang w:val="en-US" w:eastAsia="zh-CN" w:bidi="ar-SA"/>
              </w:rPr>
              <w:t>40</w:t>
            </w:r>
            <w:r>
              <w:rPr>
                <w:rFonts w:hint="eastAsia" w:ascii="Times New Roman" w:hAnsi="Times New Roman" w:eastAsia="宋体" w:cs="Times New Roman"/>
                <w:color w:val="000000"/>
                <w:kern w:val="2"/>
                <w:sz w:val="24"/>
                <w:szCs w:val="24"/>
                <w:u w:val="none"/>
                <w:lang w:val="en-US" w:eastAsia="zh-CN" w:bidi="ar-SA"/>
              </w:rPr>
              <w:t>米高的</w:t>
            </w:r>
            <w:r>
              <w:rPr>
                <w:rFonts w:hint="eastAsia" w:ascii="Times New Roman" w:hAnsi="Times New Roman" w:cs="Times New Roman"/>
                <w:color w:val="000000"/>
                <w:kern w:val="2"/>
                <w:sz w:val="24"/>
                <w:szCs w:val="24"/>
                <w:u w:val="none"/>
                <w:lang w:val="en-US" w:eastAsia="zh-CN" w:bidi="ar-SA"/>
              </w:rPr>
              <w:t>烟囱</w:t>
            </w:r>
            <w:r>
              <w:rPr>
                <w:rFonts w:hint="eastAsia" w:ascii="Times New Roman" w:hAnsi="Times New Roman" w:eastAsia="宋体" w:cs="Times New Roman"/>
                <w:color w:val="000000"/>
                <w:kern w:val="2"/>
                <w:sz w:val="24"/>
                <w:szCs w:val="24"/>
                <w:u w:val="none"/>
                <w:lang w:val="en-US" w:eastAsia="zh-CN" w:bidi="ar-SA"/>
              </w:rPr>
              <w:t>外排。其中碱液喷淋除尘脱硫装置对烟尘、</w:t>
            </w:r>
            <w:r>
              <w:rPr>
                <w:rFonts w:ascii="Times New Roman" w:hAnsi="Times New Roman" w:eastAsia="宋体" w:cs="Times New Roman"/>
                <w:color w:val="000000"/>
                <w:kern w:val="2"/>
                <w:sz w:val="24"/>
                <w:szCs w:val="24"/>
                <w:u w:val="none"/>
                <w:lang w:val="en-US" w:eastAsia="zh-CN" w:bidi="ar-SA"/>
              </w:rPr>
              <w:t>SO</w:t>
            </w:r>
            <w:r>
              <w:rPr>
                <w:rFonts w:hint="eastAsia" w:ascii="Times New Roman" w:hAnsi="Times New Roman" w:eastAsia="宋体" w:cs="Times New Roman"/>
                <w:color w:val="000000"/>
                <w:kern w:val="2"/>
                <w:sz w:val="24"/>
                <w:szCs w:val="24"/>
                <w:u w:val="none"/>
                <w:vertAlign w:val="subscript"/>
                <w:lang w:val="en-US" w:eastAsia="zh-CN" w:bidi="ar-SA"/>
              </w:rPr>
              <w:t>2</w:t>
            </w:r>
            <w:r>
              <w:rPr>
                <w:rFonts w:hint="eastAsia" w:ascii="Times New Roman" w:hAnsi="Times New Roman" w:eastAsia="宋体" w:cs="Times New Roman"/>
                <w:color w:val="000000"/>
                <w:kern w:val="2"/>
                <w:sz w:val="24"/>
                <w:szCs w:val="24"/>
                <w:u w:val="none"/>
                <w:lang w:val="en-US" w:eastAsia="zh-CN" w:bidi="ar-SA"/>
              </w:rPr>
              <w:t>、</w:t>
            </w:r>
            <w:r>
              <w:rPr>
                <w:rFonts w:ascii="Times New Roman" w:hAnsi="Times New Roman" w:eastAsia="宋体" w:cs="Times New Roman"/>
                <w:color w:val="000000"/>
                <w:kern w:val="2"/>
                <w:sz w:val="24"/>
                <w:szCs w:val="24"/>
                <w:u w:val="none"/>
                <w:lang w:val="en-US" w:eastAsia="zh-CN" w:bidi="ar-SA"/>
              </w:rPr>
              <w:t>NOx</w:t>
            </w:r>
            <w:r>
              <w:rPr>
                <w:rFonts w:hint="eastAsia" w:ascii="Times New Roman" w:hAnsi="Times New Roman" w:eastAsia="宋体" w:cs="Times New Roman"/>
                <w:color w:val="000000"/>
                <w:kern w:val="2"/>
                <w:sz w:val="24"/>
                <w:szCs w:val="24"/>
                <w:u w:val="none"/>
                <w:lang w:val="en-US" w:eastAsia="zh-CN" w:bidi="ar-SA"/>
              </w:rPr>
              <w:t>的去除率分别为90%、60%、</w:t>
            </w:r>
            <w:r>
              <w:rPr>
                <w:rFonts w:hint="eastAsia" w:ascii="Times New Roman" w:hAnsi="Times New Roman" w:cs="Times New Roman"/>
                <w:color w:val="000000"/>
                <w:kern w:val="2"/>
                <w:sz w:val="24"/>
                <w:szCs w:val="24"/>
                <w:u w:val="none"/>
                <w:lang w:val="en-US" w:eastAsia="zh-CN" w:bidi="ar-SA"/>
              </w:rPr>
              <w:t>40</w:t>
            </w:r>
            <w:r>
              <w:rPr>
                <w:rFonts w:hint="eastAsia" w:ascii="Times New Roman" w:hAnsi="Times New Roman" w:eastAsia="宋体" w:cs="Times New Roman"/>
                <w:color w:val="000000"/>
                <w:kern w:val="2"/>
                <w:sz w:val="24"/>
                <w:szCs w:val="24"/>
                <w:u w:val="none"/>
                <w:lang w:val="en-US" w:eastAsia="zh-CN" w:bidi="ar-SA"/>
              </w:rPr>
              <w:t>%，本项目产生的锅炉废气经碱液喷淋除尘脱硫处理后其产生量详见下表：</w:t>
            </w:r>
          </w:p>
          <w:p>
            <w:pPr>
              <w:spacing w:line="240" w:lineRule="auto"/>
              <w:jc w:val="center"/>
              <w:rPr>
                <w:rFonts w:hint="eastAsia" w:ascii="Times New Roman" w:hAnsi="Times New Roman" w:eastAsia="宋体" w:cs="Times New Roman"/>
                <w:b/>
                <w:color w:val="000000"/>
                <w:sz w:val="21"/>
                <w:szCs w:val="21"/>
                <w:u w:val="none"/>
              </w:rPr>
            </w:pPr>
          </w:p>
          <w:p>
            <w:pPr>
              <w:spacing w:line="240" w:lineRule="auto"/>
              <w:jc w:val="center"/>
              <w:rPr>
                <w:rFonts w:hint="eastAsia" w:ascii="Times New Roman" w:hAnsi="Times New Roman" w:eastAsia="宋体" w:cs="Times New Roman"/>
                <w:b/>
                <w:color w:val="000000"/>
                <w:sz w:val="21"/>
                <w:szCs w:val="21"/>
                <w:u w:val="none"/>
              </w:rPr>
            </w:pPr>
          </w:p>
          <w:p>
            <w:pPr>
              <w:spacing w:line="240" w:lineRule="auto"/>
              <w:jc w:val="center"/>
              <w:rPr>
                <w:rFonts w:hint="eastAsia" w:ascii="Times New Roman" w:hAnsi="Times New Roman" w:eastAsia="宋体" w:cs="Times New Roman"/>
                <w:b/>
                <w:color w:val="000000"/>
                <w:sz w:val="21"/>
                <w:szCs w:val="21"/>
                <w:u w:val="none"/>
              </w:rPr>
            </w:pPr>
          </w:p>
          <w:p>
            <w:pPr>
              <w:spacing w:line="240" w:lineRule="auto"/>
              <w:jc w:val="center"/>
              <w:rPr>
                <w:rFonts w:hint="eastAsia" w:ascii="Times New Roman" w:hAnsi="Times New Roman" w:eastAsia="宋体" w:cs="Times New Roman"/>
                <w:b/>
                <w:color w:val="000000"/>
                <w:sz w:val="21"/>
                <w:szCs w:val="21"/>
                <w:u w:val="none"/>
              </w:rPr>
            </w:pPr>
          </w:p>
          <w:p>
            <w:pPr>
              <w:spacing w:line="240" w:lineRule="auto"/>
              <w:jc w:val="center"/>
              <w:rPr>
                <w:rFonts w:hint="eastAsia" w:ascii="Times New Roman" w:hAnsi="Times New Roman" w:eastAsia="宋体" w:cs="Times New Roman"/>
                <w:b/>
                <w:color w:val="000000"/>
                <w:sz w:val="21"/>
                <w:szCs w:val="21"/>
                <w:u w:val="none"/>
              </w:rPr>
            </w:pPr>
          </w:p>
          <w:p>
            <w:pPr>
              <w:spacing w:line="240" w:lineRule="auto"/>
              <w:jc w:val="center"/>
              <w:rPr>
                <w:rFonts w:hint="eastAsia" w:ascii="Times New Roman" w:hAnsi="Times New Roman" w:eastAsia="宋体" w:cs="Times New Roman"/>
                <w:b/>
                <w:color w:val="000000"/>
                <w:sz w:val="21"/>
                <w:szCs w:val="21"/>
                <w:u w:val="none"/>
              </w:rPr>
            </w:pPr>
            <w:r>
              <w:rPr>
                <w:rFonts w:hint="eastAsia" w:ascii="Times New Roman" w:hAnsi="Times New Roman" w:eastAsia="宋体" w:cs="Times New Roman"/>
                <w:b/>
                <w:color w:val="000000"/>
                <w:sz w:val="21"/>
                <w:szCs w:val="21"/>
                <w:u w:val="none"/>
              </w:rPr>
              <w:t>表</w:t>
            </w:r>
            <w:r>
              <w:rPr>
                <w:rFonts w:hint="eastAsia" w:ascii="Times New Roman" w:hAnsi="Times New Roman" w:cs="Times New Roman"/>
                <w:b/>
                <w:color w:val="000000"/>
                <w:sz w:val="21"/>
                <w:szCs w:val="21"/>
                <w:u w:val="none"/>
                <w:lang w:val="en-US" w:eastAsia="zh-CN"/>
              </w:rPr>
              <w:t>4</w:t>
            </w:r>
            <w:r>
              <w:rPr>
                <w:rFonts w:hint="eastAsia" w:ascii="Times New Roman" w:hAnsi="Times New Roman" w:eastAsia="宋体" w:cs="Times New Roman"/>
                <w:b/>
                <w:color w:val="000000"/>
                <w:sz w:val="21"/>
                <w:szCs w:val="21"/>
                <w:u w:val="none"/>
              </w:rPr>
              <w:t>-</w:t>
            </w:r>
            <w:r>
              <w:rPr>
                <w:rFonts w:hint="eastAsia" w:ascii="Times New Roman" w:hAnsi="Times New Roman" w:cs="Times New Roman"/>
                <w:b/>
                <w:color w:val="000000"/>
                <w:sz w:val="21"/>
                <w:szCs w:val="21"/>
                <w:u w:val="none"/>
                <w:lang w:val="en-US" w:eastAsia="zh-CN"/>
              </w:rPr>
              <w:t>2</w:t>
            </w:r>
            <w:r>
              <w:rPr>
                <w:rFonts w:hint="eastAsia" w:ascii="Times New Roman" w:hAnsi="Times New Roman" w:eastAsia="宋体" w:cs="Times New Roman"/>
                <w:b/>
                <w:color w:val="000000"/>
                <w:sz w:val="21"/>
                <w:szCs w:val="21"/>
                <w:u w:val="none"/>
              </w:rPr>
              <w:t xml:space="preserve">  污染物产</w:t>
            </w:r>
            <w:r>
              <w:rPr>
                <w:rFonts w:hint="eastAsia" w:ascii="Times New Roman" w:hAnsi="Times New Roman" w:eastAsia="宋体" w:cs="Times New Roman"/>
                <w:b/>
                <w:color w:val="000000"/>
                <w:sz w:val="21"/>
                <w:szCs w:val="21"/>
                <w:u w:val="none"/>
                <w:lang w:val="en-US" w:eastAsia="zh-CN"/>
              </w:rPr>
              <w:t>排</w:t>
            </w:r>
            <w:r>
              <w:rPr>
                <w:rFonts w:hint="eastAsia" w:ascii="Times New Roman" w:hAnsi="Times New Roman" w:eastAsia="宋体" w:cs="Times New Roman"/>
                <w:b/>
                <w:color w:val="000000"/>
                <w:sz w:val="21"/>
                <w:szCs w:val="21"/>
                <w:u w:val="none"/>
              </w:rPr>
              <w:t>情况一览表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440"/>
              <w:gridCol w:w="667"/>
              <w:gridCol w:w="840"/>
              <w:gridCol w:w="797"/>
              <w:gridCol w:w="1095"/>
              <w:gridCol w:w="1087"/>
              <w:gridCol w:w="697"/>
              <w:gridCol w:w="776"/>
              <w:gridCol w:w="913"/>
              <w:gridCol w:w="95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96" w:hRule="atLeast"/>
              </w:trPr>
              <w:tc>
                <w:tcPr>
                  <w:tcW w:w="266" w:type="pct"/>
                  <w:noWrap w:val="0"/>
                  <w:vAlign w:val="center"/>
                </w:tcPr>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污染源</w:t>
                  </w:r>
                </w:p>
              </w:tc>
              <w:tc>
                <w:tcPr>
                  <w:tcW w:w="403" w:type="pct"/>
                  <w:noWrap w:val="0"/>
                  <w:vAlign w:val="center"/>
                </w:tcPr>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污染物名称</w:t>
                  </w:r>
                </w:p>
              </w:tc>
              <w:tc>
                <w:tcPr>
                  <w:tcW w:w="508" w:type="pct"/>
                  <w:noWrap w:val="0"/>
                  <w:vAlign w:val="center"/>
                </w:tcPr>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烟气量（Nm</w:t>
                  </w:r>
                  <w:r>
                    <w:rPr>
                      <w:rFonts w:hint="default" w:ascii="Times New Roman" w:hAnsi="Times New Roman" w:cs="Times New Roman" w:eastAsiaTheme="minorEastAsia"/>
                      <w:color w:val="000000"/>
                      <w:kern w:val="2"/>
                      <w:sz w:val="21"/>
                      <w:szCs w:val="21"/>
                      <w:u w:val="none"/>
                      <w:vertAlign w:val="superscript"/>
                      <w:lang w:val="en-US" w:eastAsia="zh-CN" w:bidi="ar-SA"/>
                    </w:rPr>
                    <w:t>3</w:t>
                  </w:r>
                  <w:r>
                    <w:rPr>
                      <w:rFonts w:hint="default" w:ascii="Times New Roman" w:hAnsi="Times New Roman" w:cs="Times New Roman" w:eastAsiaTheme="minorEastAsia"/>
                      <w:color w:val="000000"/>
                      <w:kern w:val="2"/>
                      <w:sz w:val="21"/>
                      <w:szCs w:val="21"/>
                      <w:u w:val="none"/>
                      <w:lang w:val="en-US" w:eastAsia="zh-CN" w:bidi="ar-SA"/>
                    </w:rPr>
                    <w:t>/h）</w:t>
                  </w:r>
                </w:p>
              </w:tc>
              <w:tc>
                <w:tcPr>
                  <w:tcW w:w="482" w:type="pct"/>
                  <w:noWrap w:val="0"/>
                  <w:vAlign w:val="center"/>
                </w:tcPr>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产生量(t/a)</w:t>
                  </w:r>
                </w:p>
              </w:tc>
              <w:tc>
                <w:tcPr>
                  <w:tcW w:w="662" w:type="pct"/>
                  <w:noWrap w:val="0"/>
                  <w:vAlign w:val="center"/>
                </w:tcPr>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产生速率（kg/h）</w:t>
                  </w:r>
                </w:p>
              </w:tc>
              <w:tc>
                <w:tcPr>
                  <w:tcW w:w="657" w:type="pct"/>
                  <w:noWrap w:val="0"/>
                  <w:vAlign w:val="center"/>
                </w:tcPr>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产生浓度（mg/m</w:t>
                  </w:r>
                  <w:r>
                    <w:rPr>
                      <w:rFonts w:hint="default" w:ascii="Times New Roman" w:hAnsi="Times New Roman" w:cs="Times New Roman" w:eastAsiaTheme="minorEastAsia"/>
                      <w:color w:val="000000"/>
                      <w:kern w:val="2"/>
                      <w:sz w:val="21"/>
                      <w:szCs w:val="21"/>
                      <w:u w:val="none"/>
                      <w:vertAlign w:val="superscript"/>
                      <w:lang w:val="en-US" w:eastAsia="zh-CN" w:bidi="ar-SA"/>
                    </w:rPr>
                    <w:t>3</w:t>
                  </w:r>
                  <w:r>
                    <w:rPr>
                      <w:rFonts w:hint="default" w:ascii="Times New Roman" w:hAnsi="Times New Roman" w:cs="Times New Roman" w:eastAsiaTheme="minorEastAsia"/>
                      <w:color w:val="000000"/>
                      <w:kern w:val="2"/>
                      <w:sz w:val="21"/>
                      <w:szCs w:val="21"/>
                      <w:u w:val="none"/>
                      <w:lang w:val="en-US" w:eastAsia="zh-CN" w:bidi="ar-SA"/>
                    </w:rPr>
                    <w:t>）</w:t>
                  </w:r>
                </w:p>
              </w:tc>
              <w:tc>
                <w:tcPr>
                  <w:tcW w:w="421" w:type="pct"/>
                  <w:noWrap w:val="0"/>
                  <w:vAlign w:val="center"/>
                </w:tcPr>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去除效率</w:t>
                  </w:r>
                </w:p>
              </w:tc>
              <w:tc>
                <w:tcPr>
                  <w:tcW w:w="469" w:type="pct"/>
                  <w:noWrap w:val="0"/>
                  <w:vAlign w:val="center"/>
                </w:tcPr>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排放量(t/a)</w:t>
                  </w:r>
                </w:p>
              </w:tc>
              <w:tc>
                <w:tcPr>
                  <w:tcW w:w="552" w:type="pct"/>
                  <w:noWrap w:val="0"/>
                  <w:vAlign w:val="center"/>
                </w:tcPr>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排放速率（kg/h）</w:t>
                  </w:r>
                </w:p>
              </w:tc>
              <w:tc>
                <w:tcPr>
                  <w:tcW w:w="574" w:type="pct"/>
                  <w:noWrap w:val="0"/>
                  <w:vAlign w:val="center"/>
                </w:tcPr>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排放浓度（mg/m</w:t>
                  </w:r>
                  <w:r>
                    <w:rPr>
                      <w:rFonts w:hint="default" w:ascii="Times New Roman" w:hAnsi="Times New Roman" w:cs="Times New Roman" w:eastAsiaTheme="minorEastAsia"/>
                      <w:color w:val="000000"/>
                      <w:kern w:val="2"/>
                      <w:sz w:val="21"/>
                      <w:szCs w:val="21"/>
                      <w:u w:val="none"/>
                      <w:vertAlign w:val="superscript"/>
                      <w:lang w:val="en-US" w:eastAsia="zh-CN" w:bidi="ar-SA"/>
                    </w:rPr>
                    <w:t>3</w:t>
                  </w:r>
                  <w:r>
                    <w:rPr>
                      <w:rFonts w:hint="default" w:ascii="Times New Roman" w:hAnsi="Times New Roman" w:cs="Times New Roman" w:eastAsiaTheme="minorEastAsia"/>
                      <w:color w:val="000000"/>
                      <w:kern w:val="2"/>
                      <w:sz w:val="21"/>
                      <w:szCs w:val="21"/>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266" w:type="pct"/>
                  <w:vMerge w:val="restart"/>
                  <w:noWrap w:val="0"/>
                  <w:vAlign w:val="center"/>
                </w:tcPr>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锅炉</w:t>
                  </w:r>
                </w:p>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烟气</w:t>
                  </w:r>
                </w:p>
              </w:tc>
              <w:tc>
                <w:tcPr>
                  <w:tcW w:w="403" w:type="pct"/>
                  <w:noWrap w:val="0"/>
                  <w:vAlign w:val="center"/>
                </w:tcPr>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SO</w:t>
                  </w:r>
                  <w:r>
                    <w:rPr>
                      <w:rFonts w:hint="default" w:ascii="Times New Roman" w:hAnsi="Times New Roman" w:cs="Times New Roman" w:eastAsiaTheme="minorEastAsia"/>
                      <w:color w:val="000000"/>
                      <w:kern w:val="2"/>
                      <w:sz w:val="21"/>
                      <w:szCs w:val="21"/>
                      <w:u w:val="none"/>
                      <w:vertAlign w:val="subscript"/>
                      <w:lang w:val="en-US" w:eastAsia="zh-CN" w:bidi="ar-SA"/>
                    </w:rPr>
                    <w:t>2</w:t>
                  </w:r>
                </w:p>
              </w:tc>
              <w:tc>
                <w:tcPr>
                  <w:tcW w:w="508" w:type="pct"/>
                  <w:vMerge w:val="restar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eastAsia" w:ascii="Times New Roman" w:hAnsi="Times New Roman" w:cs="Times New Roman" w:eastAsiaTheme="minorEastAsia"/>
                      <w:i w:val="0"/>
                      <w:iCs w:val="0"/>
                      <w:color w:val="000000"/>
                      <w:kern w:val="0"/>
                      <w:sz w:val="21"/>
                      <w:szCs w:val="21"/>
                      <w:u w:val="none"/>
                      <w:lang w:val="en-US" w:eastAsia="zh-CN" w:bidi="ar"/>
                    </w:rPr>
                    <w:t>13000</w:t>
                  </w:r>
                  <w:r>
                    <w:rPr>
                      <w:rFonts w:hint="default" w:ascii="Times New Roman" w:hAnsi="Times New Roman" w:cs="Times New Roman" w:eastAsiaTheme="minorEastAsia"/>
                      <w:i w:val="0"/>
                      <w:iCs w:val="0"/>
                      <w:color w:val="000000"/>
                      <w:kern w:val="0"/>
                      <w:sz w:val="21"/>
                      <w:szCs w:val="21"/>
                      <w:u w:val="none"/>
                      <w:lang w:val="en-US" w:eastAsia="zh-CN" w:bidi="ar"/>
                    </w:rPr>
                    <w:t>.</w:t>
                  </w:r>
                  <w:r>
                    <w:rPr>
                      <w:rFonts w:hint="eastAsia" w:ascii="Times New Roman" w:hAnsi="Times New Roman" w:cs="Times New Roman" w:eastAsiaTheme="minorEastAsia"/>
                      <w:i w:val="0"/>
                      <w:iCs w:val="0"/>
                      <w:color w:val="000000"/>
                      <w:kern w:val="0"/>
                      <w:sz w:val="21"/>
                      <w:szCs w:val="21"/>
                      <w:u w:val="none"/>
                      <w:lang w:val="en-US" w:eastAsia="zh-CN" w:bidi="ar"/>
                    </w:rPr>
                    <w:t>583</w:t>
                  </w: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662"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w:t>
                  </w:r>
                  <w:r>
                    <w:rPr>
                      <w:rFonts w:hint="eastAsia" w:ascii="Times New Roman" w:hAnsi="Times New Roman" w:cs="Times New Roman"/>
                      <w:i w:val="0"/>
                      <w:iCs w:val="0"/>
                      <w:color w:val="000000"/>
                      <w:kern w:val="0"/>
                      <w:sz w:val="21"/>
                      <w:szCs w:val="21"/>
                      <w:u w:val="none"/>
                      <w:lang w:val="en-US" w:eastAsia="zh-CN" w:bidi="ar"/>
                    </w:rPr>
                    <w:t>2</w:t>
                  </w:r>
                </w:p>
              </w:tc>
              <w:tc>
                <w:tcPr>
                  <w:tcW w:w="657"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24.2</w:t>
                  </w:r>
                  <w:r>
                    <w:rPr>
                      <w:rFonts w:hint="default" w:ascii="Times New Roman" w:hAnsi="Times New Roman" w:cs="Times New Roman"/>
                      <w:i w:val="0"/>
                      <w:iCs w:val="0"/>
                      <w:color w:val="000000"/>
                      <w:kern w:val="0"/>
                      <w:sz w:val="21"/>
                      <w:szCs w:val="21"/>
                      <w:u w:val="none"/>
                      <w:lang w:val="en-US" w:eastAsia="zh-CN" w:bidi="ar"/>
                    </w:rPr>
                    <w:t>2</w:t>
                  </w:r>
                </w:p>
              </w:tc>
              <w:tc>
                <w:tcPr>
                  <w:tcW w:w="4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60%</w:t>
                  </w:r>
                </w:p>
              </w:tc>
              <w:tc>
                <w:tcPr>
                  <w:tcW w:w="469"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0.68</w:t>
                  </w:r>
                </w:p>
              </w:tc>
              <w:tc>
                <w:tcPr>
                  <w:tcW w:w="552"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r>
                    <w:rPr>
                      <w:rFonts w:hint="eastAsia" w:ascii="Times New Roman" w:hAnsi="Times New Roman" w:cs="Times New Roman"/>
                      <w:i w:val="0"/>
                      <w:iCs w:val="0"/>
                      <w:color w:val="000000"/>
                      <w:kern w:val="0"/>
                      <w:sz w:val="21"/>
                      <w:szCs w:val="21"/>
                      <w:u w:val="none"/>
                      <w:lang w:val="en-US" w:eastAsia="zh-CN" w:bidi="ar"/>
                    </w:rPr>
                    <w:t>3</w:t>
                  </w:r>
                </w:p>
              </w:tc>
              <w:tc>
                <w:tcPr>
                  <w:tcW w:w="57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9.6</w:t>
                  </w:r>
                  <w:r>
                    <w:rPr>
                      <w:rFonts w:hint="eastAsia" w:ascii="Times New Roman" w:hAnsi="Times New Roman" w:cs="Times New Roman"/>
                      <w:i w:val="0"/>
                      <w:iCs w:val="0"/>
                      <w:color w:val="000000"/>
                      <w:kern w:val="0"/>
                      <w:sz w:val="21"/>
                      <w:szCs w:val="21"/>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c>
                <w:tcPr>
                  <w:tcW w:w="266" w:type="pct"/>
                  <w:vMerge w:val="continue"/>
                  <w:noWrap w:val="0"/>
                  <w:vAlign w:val="center"/>
                </w:tcPr>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p>
              </w:tc>
              <w:tc>
                <w:tcPr>
                  <w:tcW w:w="403" w:type="pct"/>
                  <w:noWrap w:val="0"/>
                  <w:vAlign w:val="center"/>
                </w:tcPr>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NOx</w:t>
                  </w:r>
                </w:p>
              </w:tc>
              <w:tc>
                <w:tcPr>
                  <w:tcW w:w="508" w:type="pct"/>
                  <w:vMerge w:val="continue"/>
                  <w:noWrap w:val="0"/>
                  <w:vAlign w:val="center"/>
                </w:tcPr>
                <w:p>
                  <w:pPr>
                    <w:jc w:val="center"/>
                    <w:rPr>
                      <w:rFonts w:hint="default" w:ascii="Times New Roman" w:hAnsi="Times New Roman" w:cs="Times New Roman" w:eastAsiaTheme="minorEastAsia"/>
                      <w:color w:val="000000"/>
                      <w:kern w:val="2"/>
                      <w:sz w:val="21"/>
                      <w:szCs w:val="21"/>
                      <w:u w:val="none"/>
                      <w:lang w:val="en-US" w:eastAsia="zh-CN" w:bidi="ar-SA"/>
                    </w:rPr>
                  </w:pP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662"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w:t>
                  </w:r>
                  <w:r>
                    <w:rPr>
                      <w:rFonts w:hint="eastAsia" w:ascii="Times New Roman" w:hAnsi="Times New Roman" w:cs="Times New Roman"/>
                      <w:i w:val="0"/>
                      <w:iCs w:val="0"/>
                      <w:color w:val="000000"/>
                      <w:kern w:val="0"/>
                      <w:sz w:val="21"/>
                      <w:szCs w:val="21"/>
                      <w:u w:val="none"/>
                      <w:lang w:val="en-US" w:eastAsia="zh-CN" w:bidi="ar"/>
                    </w:rPr>
                    <w:t>9</w:t>
                  </w:r>
                </w:p>
              </w:tc>
              <w:tc>
                <w:tcPr>
                  <w:tcW w:w="657"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145.29</w:t>
                  </w:r>
                </w:p>
              </w:tc>
              <w:tc>
                <w:tcPr>
                  <w:tcW w:w="4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40%</w:t>
                  </w:r>
                </w:p>
              </w:tc>
              <w:tc>
                <w:tcPr>
                  <w:tcW w:w="469"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6.12</w:t>
                  </w:r>
                </w:p>
              </w:tc>
              <w:tc>
                <w:tcPr>
                  <w:tcW w:w="552"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57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87.1</w:t>
                  </w:r>
                  <w:r>
                    <w:rPr>
                      <w:rFonts w:hint="eastAsia" w:ascii="Times New Roman" w:hAnsi="Times New Roman" w:cs="Times New Roman"/>
                      <w:i w:val="0"/>
                      <w:iCs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266" w:type="pct"/>
                  <w:vMerge w:val="continue"/>
                  <w:noWrap w:val="0"/>
                  <w:vAlign w:val="center"/>
                </w:tcPr>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p>
              </w:tc>
              <w:tc>
                <w:tcPr>
                  <w:tcW w:w="403" w:type="pct"/>
                  <w:noWrap w:val="0"/>
                  <w:vAlign w:val="center"/>
                </w:tcPr>
                <w:p>
                  <w:pPr>
                    <w:widowControl w:val="0"/>
                    <w:spacing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烟尘</w:t>
                  </w:r>
                </w:p>
              </w:tc>
              <w:tc>
                <w:tcPr>
                  <w:tcW w:w="508" w:type="pct"/>
                  <w:vMerge w:val="continue"/>
                  <w:noWrap w:val="0"/>
                  <w:vAlign w:val="center"/>
                </w:tcPr>
                <w:p>
                  <w:pPr>
                    <w:jc w:val="center"/>
                    <w:rPr>
                      <w:rFonts w:hint="default" w:ascii="Times New Roman" w:hAnsi="Times New Roman" w:cs="Times New Roman" w:eastAsiaTheme="minorEastAsia"/>
                      <w:color w:val="000000"/>
                      <w:kern w:val="2"/>
                      <w:sz w:val="21"/>
                      <w:szCs w:val="21"/>
                      <w:u w:val="none"/>
                      <w:lang w:val="en-US" w:eastAsia="zh-CN" w:bidi="ar-SA"/>
                    </w:rPr>
                  </w:pPr>
                </w:p>
              </w:tc>
              <w:tc>
                <w:tcPr>
                  <w:tcW w:w="482"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62"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w:t>
                  </w:r>
                  <w:r>
                    <w:rPr>
                      <w:rFonts w:hint="eastAsia" w:ascii="Times New Roman" w:hAnsi="Times New Roman" w:cs="Times New Roman"/>
                      <w:i w:val="0"/>
                      <w:iCs w:val="0"/>
                      <w:color w:val="000000"/>
                      <w:kern w:val="0"/>
                      <w:sz w:val="21"/>
                      <w:szCs w:val="21"/>
                      <w:u w:val="none"/>
                      <w:lang w:val="en-US" w:eastAsia="zh-CN" w:bidi="ar"/>
                    </w:rPr>
                    <w:t>3</w:t>
                  </w:r>
                </w:p>
              </w:tc>
              <w:tc>
                <w:tcPr>
                  <w:tcW w:w="657"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71.22</w:t>
                  </w:r>
                </w:p>
              </w:tc>
              <w:tc>
                <w:tcPr>
                  <w:tcW w:w="4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90%</w:t>
                  </w:r>
                </w:p>
              </w:tc>
              <w:tc>
                <w:tcPr>
                  <w:tcW w:w="469"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552"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57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7.12</w:t>
                  </w:r>
                </w:p>
              </w:tc>
            </w:tr>
          </w:tbl>
          <w:p>
            <w:pPr>
              <w:bidi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w:t>
            </w:r>
            <w:r>
              <w:rPr>
                <w:rFonts w:hint="eastAsia" w:ascii="Times New Roman" w:hAnsi="Times New Roman" w:cs="Times New Roman"/>
                <w:color w:val="000000"/>
                <w:kern w:val="2"/>
                <w:sz w:val="24"/>
                <w:szCs w:val="24"/>
                <w:lang w:val="en-US" w:eastAsia="zh-CN" w:bidi="ar-SA"/>
              </w:rPr>
              <w:t>滚筒式炒锅燃料燃烧</w:t>
            </w:r>
            <w:r>
              <w:rPr>
                <w:rFonts w:hint="eastAsia" w:ascii="Times New Roman" w:hAnsi="Times New Roman" w:eastAsia="宋体" w:cs="Times New Roman"/>
                <w:color w:val="000000"/>
                <w:kern w:val="2"/>
                <w:sz w:val="24"/>
                <w:szCs w:val="24"/>
                <w:lang w:val="en-US" w:eastAsia="zh-CN" w:bidi="ar-SA"/>
              </w:rPr>
              <w:t>烟气</w:t>
            </w:r>
          </w:p>
          <w:p>
            <w:pPr>
              <w:spacing w:line="360" w:lineRule="auto"/>
              <w:ind w:firstLine="480" w:firstLineChars="200"/>
              <w:rPr>
                <w:rFonts w:hint="eastAsia" w:ascii="Times New Roman" w:hAnsi="Times New Roman" w:eastAsia="宋体" w:cs="Times New Roman"/>
                <w:b/>
                <w:color w:val="000000"/>
                <w:sz w:val="21"/>
                <w:szCs w:val="21"/>
              </w:rPr>
            </w:pPr>
            <w:r>
              <w:rPr>
                <w:rFonts w:hint="eastAsia" w:ascii="Times New Roman" w:hAnsi="Times New Roman" w:cs="Times New Roman"/>
                <w:color w:val="000000"/>
                <w:kern w:val="2"/>
                <w:sz w:val="24"/>
                <w:szCs w:val="24"/>
                <w:lang w:val="en-US" w:eastAsia="zh-CN" w:bidi="ar-SA"/>
              </w:rPr>
              <w:t>滚筒式炒锅</w:t>
            </w:r>
            <w:r>
              <w:rPr>
                <w:rFonts w:hint="eastAsia" w:ascii="Times New Roman" w:hAnsi="Times New Roman" w:eastAsia="宋体" w:cs="Times New Roman"/>
                <w:color w:val="000000"/>
                <w:kern w:val="2"/>
                <w:sz w:val="24"/>
                <w:szCs w:val="24"/>
                <w:lang w:val="en-US" w:eastAsia="zh-CN" w:bidi="ar-SA"/>
              </w:rPr>
              <w:t>采用木材作为燃料，年消耗量约为</w:t>
            </w:r>
            <w:r>
              <w:rPr>
                <w:rFonts w:hint="eastAsia" w:ascii="Times New Roman" w:hAnsi="Times New Roman" w:cs="Times New Roman"/>
                <w:color w:val="000000"/>
                <w:kern w:val="2"/>
                <w:sz w:val="24"/>
                <w:szCs w:val="24"/>
                <w:lang w:val="en-US" w:eastAsia="zh-CN" w:bidi="ar-SA"/>
              </w:rPr>
              <w:t>90</w:t>
            </w:r>
            <w:r>
              <w:rPr>
                <w:rFonts w:hint="eastAsia" w:ascii="Times New Roman" w:hAnsi="Times New Roman" w:eastAsia="宋体" w:cs="Times New Roman"/>
                <w:color w:val="000000"/>
                <w:kern w:val="2"/>
                <w:sz w:val="24"/>
                <w:szCs w:val="24"/>
                <w:lang w:val="en-US" w:eastAsia="zh-CN" w:bidi="ar-SA"/>
              </w:rPr>
              <w:t>吨，烟气中的主要污染物是SO</w:t>
            </w:r>
            <w:r>
              <w:rPr>
                <w:rFonts w:hint="eastAsia" w:ascii="Times New Roman" w:hAnsi="Times New Roman" w:eastAsia="宋体" w:cs="Times New Roman"/>
                <w:color w:val="000000"/>
                <w:kern w:val="2"/>
                <w:sz w:val="24"/>
                <w:szCs w:val="24"/>
                <w:vertAlign w:val="subscript"/>
                <w:lang w:val="en-US" w:eastAsia="zh-CN" w:bidi="ar-SA"/>
              </w:rPr>
              <w:t>2</w:t>
            </w:r>
            <w:r>
              <w:rPr>
                <w:rFonts w:hint="eastAsia" w:ascii="Times New Roman" w:hAnsi="Times New Roman" w:eastAsia="宋体" w:cs="Times New Roman"/>
                <w:color w:val="000000"/>
                <w:kern w:val="2"/>
                <w:sz w:val="24"/>
                <w:szCs w:val="24"/>
                <w:lang w:val="en-US" w:eastAsia="zh-CN" w:bidi="ar-SA"/>
              </w:rPr>
              <w:t>、烟（粉）尘和NOx，根据</w:t>
            </w:r>
            <w:r>
              <w:rPr>
                <w:rFonts w:hint="eastAsia" w:ascii="Times New Roman" w:hAnsi="Times New Roman" w:eastAsia="宋体" w:cs="Times New Roman"/>
                <w:color w:val="000000"/>
                <w:sz w:val="24"/>
                <w:szCs w:val="24"/>
              </w:rPr>
              <w:t>《第一次全国污染源普查工业污染源产排污系数手册》（第十册）生物质锅炉的产排污系数，本项目生物质锅炉污染物产生情况如下表：</w:t>
            </w:r>
          </w:p>
          <w:p>
            <w:pPr>
              <w:spacing w:line="240" w:lineRule="auto"/>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表</w:t>
            </w:r>
            <w:r>
              <w:rPr>
                <w:rFonts w:hint="eastAsia" w:ascii="Times New Roman" w:hAnsi="Times New Roman" w:cs="Times New Roman"/>
                <w:b/>
                <w:color w:val="000000"/>
                <w:sz w:val="21"/>
                <w:szCs w:val="21"/>
                <w:lang w:val="en-US" w:eastAsia="zh-CN"/>
              </w:rPr>
              <w:t>4</w:t>
            </w:r>
            <w:r>
              <w:rPr>
                <w:rFonts w:hint="eastAsia" w:ascii="Times New Roman" w:hAnsi="Times New Roman" w:eastAsia="宋体" w:cs="Times New Roman"/>
                <w:b/>
                <w:color w:val="000000"/>
                <w:sz w:val="21"/>
                <w:szCs w:val="21"/>
              </w:rPr>
              <w:t>-</w:t>
            </w:r>
            <w:r>
              <w:rPr>
                <w:rFonts w:hint="eastAsia" w:ascii="Times New Roman" w:hAnsi="Times New Roman" w:cs="Times New Roman"/>
                <w:b/>
                <w:color w:val="000000"/>
                <w:sz w:val="21"/>
                <w:szCs w:val="21"/>
                <w:lang w:val="en-US" w:eastAsia="zh-CN"/>
              </w:rPr>
              <w:t>3</w:t>
            </w:r>
            <w:r>
              <w:rPr>
                <w:rFonts w:hint="eastAsia" w:ascii="Times New Roman" w:hAnsi="Times New Roman" w:eastAsia="宋体" w:cs="Times New Roman"/>
                <w:b/>
                <w:color w:val="000000"/>
                <w:sz w:val="21"/>
                <w:szCs w:val="21"/>
              </w:rPr>
              <w:t xml:space="preserve"> 污染物产</w:t>
            </w:r>
            <w:r>
              <w:rPr>
                <w:rFonts w:hint="eastAsia" w:ascii="Times New Roman" w:hAnsi="Times New Roman" w:eastAsia="宋体" w:cs="Times New Roman"/>
                <w:b/>
                <w:color w:val="000000"/>
                <w:sz w:val="21"/>
                <w:szCs w:val="21"/>
                <w:lang w:val="en-US" w:eastAsia="zh-CN"/>
              </w:rPr>
              <w:t>污系数表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852"/>
              <w:gridCol w:w="536"/>
              <w:gridCol w:w="741"/>
              <w:gridCol w:w="1084"/>
              <w:gridCol w:w="827"/>
              <w:gridCol w:w="972"/>
              <w:gridCol w:w="698"/>
              <w:gridCol w:w="827"/>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8"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主要污染物</w:t>
                  </w:r>
                </w:p>
              </w:tc>
              <w:tc>
                <w:tcPr>
                  <w:tcW w:w="51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产生系数</w:t>
                  </w:r>
                </w:p>
              </w:tc>
              <w:tc>
                <w:tcPr>
                  <w:tcW w:w="324"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燃料用量</w:t>
                  </w:r>
                </w:p>
              </w:tc>
              <w:tc>
                <w:tcPr>
                  <w:tcW w:w="448"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产生量（t/a）</w:t>
                  </w:r>
                </w:p>
              </w:tc>
              <w:tc>
                <w:tcPr>
                  <w:tcW w:w="65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烟气量（Nm</w:t>
                  </w:r>
                  <w:r>
                    <w:rPr>
                      <w:rFonts w:hint="default" w:ascii="Times New Roman" w:hAnsi="Times New Roman" w:cs="Times New Roman" w:eastAsiaTheme="minorEastAsia"/>
                      <w:color w:val="000000"/>
                      <w:kern w:val="2"/>
                      <w:sz w:val="21"/>
                      <w:szCs w:val="21"/>
                      <w:u w:val="none"/>
                      <w:vertAlign w:val="superscript"/>
                      <w:lang w:val="en-US" w:eastAsia="zh-CN" w:bidi="ar-SA"/>
                    </w:rPr>
                    <w:t>3</w:t>
                  </w:r>
                  <w:r>
                    <w:rPr>
                      <w:rFonts w:hint="default" w:ascii="Times New Roman" w:hAnsi="Times New Roman" w:cs="Times New Roman" w:eastAsiaTheme="minorEastAsia"/>
                      <w:color w:val="000000"/>
                      <w:kern w:val="2"/>
                      <w:sz w:val="21"/>
                      <w:szCs w:val="21"/>
                      <w:u w:val="none"/>
                      <w:lang w:val="en-US" w:eastAsia="zh-CN" w:bidi="ar-SA"/>
                    </w:rPr>
                    <w:t>/h）</w:t>
                  </w:r>
                </w:p>
              </w:tc>
              <w:tc>
                <w:tcPr>
                  <w:tcW w:w="500"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cs="Times New Roman" w:eastAsiaTheme="minorEastAsia"/>
                      <w:color w:val="000000"/>
                      <w:kern w:val="2"/>
                      <w:sz w:val="21"/>
                      <w:szCs w:val="21"/>
                      <w:u w:val="none"/>
                      <w:lang w:val="en-US" w:eastAsia="zh-CN" w:bidi="ar-SA"/>
                    </w:rPr>
                    <w:t>产生速率（kg/h）</w:t>
                  </w:r>
                </w:p>
              </w:tc>
              <w:tc>
                <w:tcPr>
                  <w:tcW w:w="58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产生浓度（mg/m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p>
              </w:tc>
              <w:tc>
                <w:tcPr>
                  <w:tcW w:w="42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color w:val="000000"/>
                      <w:kern w:val="2"/>
                      <w:sz w:val="21"/>
                      <w:szCs w:val="21"/>
                      <w:lang w:val="en-US" w:eastAsia="zh-CN" w:bidi="ar-SA"/>
                    </w:rPr>
                    <w:t>排放</w:t>
                  </w:r>
                  <w:r>
                    <w:rPr>
                      <w:rFonts w:hint="eastAsia" w:ascii="Times New Roman" w:hAnsi="Times New Roman" w:eastAsia="宋体" w:cs="Times New Roman"/>
                      <w:color w:val="000000"/>
                      <w:kern w:val="2"/>
                      <w:sz w:val="21"/>
                      <w:szCs w:val="21"/>
                      <w:lang w:val="en-US" w:eastAsia="zh-CN" w:bidi="ar-SA"/>
                    </w:rPr>
                    <w:t>量（t/a）</w:t>
                  </w:r>
                </w:p>
              </w:tc>
              <w:tc>
                <w:tcPr>
                  <w:tcW w:w="500" w:type="pct"/>
                  <w:noWrap w:val="0"/>
                  <w:vAlign w:val="center"/>
                </w:tcPr>
                <w:p>
                  <w:pPr>
                    <w:widowControl w:val="0"/>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排放</w:t>
                  </w:r>
                  <w:r>
                    <w:rPr>
                      <w:rFonts w:hint="default" w:ascii="Times New Roman" w:hAnsi="Times New Roman" w:cs="Times New Roman" w:eastAsiaTheme="minorEastAsia"/>
                      <w:color w:val="000000"/>
                      <w:kern w:val="2"/>
                      <w:sz w:val="21"/>
                      <w:szCs w:val="21"/>
                      <w:u w:val="none"/>
                      <w:lang w:val="en-US" w:eastAsia="zh-CN" w:bidi="ar-SA"/>
                    </w:rPr>
                    <w:t>速率（kg/h）</w:t>
                  </w:r>
                </w:p>
              </w:tc>
              <w:tc>
                <w:tcPr>
                  <w:tcW w:w="59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color w:val="000000"/>
                      <w:kern w:val="2"/>
                      <w:sz w:val="21"/>
                      <w:szCs w:val="21"/>
                      <w:lang w:val="en-US" w:eastAsia="zh-CN" w:bidi="ar-SA"/>
                    </w:rPr>
                    <w:t>排放</w:t>
                  </w:r>
                  <w:r>
                    <w:rPr>
                      <w:rFonts w:hint="default" w:ascii="Times New Roman" w:hAnsi="Times New Roman" w:eastAsia="宋体" w:cs="Times New Roman"/>
                      <w:i w:val="0"/>
                      <w:iCs w:val="0"/>
                      <w:color w:val="000000"/>
                      <w:kern w:val="0"/>
                      <w:sz w:val="21"/>
                      <w:szCs w:val="21"/>
                      <w:u w:val="none"/>
                      <w:lang w:val="en-US" w:eastAsia="zh-CN" w:bidi="ar"/>
                    </w:rPr>
                    <w:t>浓度（mg/m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8"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工业废气量</w:t>
                  </w:r>
                </w:p>
              </w:tc>
              <w:tc>
                <w:tcPr>
                  <w:tcW w:w="51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6240.28m</w:t>
                  </w:r>
                  <w:r>
                    <w:rPr>
                      <w:rFonts w:hint="eastAsia" w:ascii="Times New Roman" w:hAnsi="Times New Roman" w:eastAsia="宋体" w:cs="Times New Roman"/>
                      <w:color w:val="000000"/>
                      <w:kern w:val="2"/>
                      <w:sz w:val="21"/>
                      <w:szCs w:val="21"/>
                      <w:vertAlign w:val="superscript"/>
                      <w:lang w:val="en-US" w:eastAsia="zh-CN" w:bidi="ar-SA"/>
                    </w:rPr>
                    <w:t>3</w:t>
                  </w:r>
                  <w:r>
                    <w:rPr>
                      <w:rFonts w:hint="eastAsia" w:ascii="Times New Roman" w:hAnsi="Times New Roman" w:eastAsia="宋体" w:cs="Times New Roman"/>
                      <w:color w:val="000000"/>
                      <w:kern w:val="2"/>
                      <w:sz w:val="21"/>
                      <w:szCs w:val="21"/>
                      <w:lang w:val="en-US" w:eastAsia="zh-CN" w:bidi="ar-SA"/>
                    </w:rPr>
                    <w:t>/t-原料</w:t>
                  </w:r>
                </w:p>
              </w:tc>
              <w:tc>
                <w:tcPr>
                  <w:tcW w:w="324"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90</w:t>
                  </w:r>
                  <w:r>
                    <w:rPr>
                      <w:rFonts w:hint="eastAsia" w:ascii="Times New Roman" w:hAnsi="Times New Roman" w:eastAsia="宋体" w:cs="Times New Roman"/>
                      <w:color w:val="000000"/>
                      <w:kern w:val="2"/>
                      <w:sz w:val="21"/>
                      <w:szCs w:val="21"/>
                      <w:lang w:val="en-US" w:eastAsia="zh-CN" w:bidi="ar-SA"/>
                    </w:rPr>
                    <w:t>t/a</w:t>
                  </w:r>
                </w:p>
              </w:tc>
              <w:tc>
                <w:tcPr>
                  <w:tcW w:w="44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i w:val="0"/>
                      <w:iCs w:val="0"/>
                      <w:color w:val="000000"/>
                      <w:kern w:val="0"/>
                      <w:sz w:val="21"/>
                      <w:szCs w:val="21"/>
                      <w:u w:val="none"/>
                      <w:lang w:val="en-US" w:eastAsia="zh-CN" w:bidi="ar"/>
                    </w:rPr>
                    <w:t>56.1625</w:t>
                  </w:r>
                  <w:r>
                    <w:rPr>
                      <w:rFonts w:hint="eastAsia" w:ascii="Times New Roman" w:hAnsi="Times New Roman" w:eastAsia="宋体" w:cs="Times New Roman"/>
                      <w:color w:val="000000"/>
                      <w:kern w:val="2"/>
                      <w:sz w:val="21"/>
                      <w:szCs w:val="21"/>
                      <w:lang w:val="en-US" w:eastAsia="zh-CN" w:bidi="ar-SA"/>
                    </w:rPr>
                    <w:t>万m</w:t>
                  </w:r>
                  <w:r>
                    <w:rPr>
                      <w:rFonts w:hint="eastAsia" w:ascii="Times New Roman" w:hAnsi="Times New Roman" w:eastAsia="宋体" w:cs="Times New Roman"/>
                      <w:color w:val="000000"/>
                      <w:kern w:val="2"/>
                      <w:sz w:val="21"/>
                      <w:szCs w:val="21"/>
                      <w:vertAlign w:val="superscript"/>
                      <w:lang w:val="en-US" w:eastAsia="zh-CN" w:bidi="ar-SA"/>
                    </w:rPr>
                    <w:t>3</w:t>
                  </w:r>
                  <w:r>
                    <w:rPr>
                      <w:rFonts w:hint="eastAsia" w:ascii="Times New Roman" w:hAnsi="Times New Roman" w:eastAsia="宋体" w:cs="Times New Roman"/>
                      <w:color w:val="000000"/>
                      <w:kern w:val="2"/>
                      <w:sz w:val="21"/>
                      <w:szCs w:val="21"/>
                      <w:lang w:val="en-US" w:eastAsia="zh-CN" w:bidi="ar-SA"/>
                    </w:rPr>
                    <w:t>/a</w:t>
                  </w:r>
                </w:p>
              </w:tc>
              <w:tc>
                <w:tcPr>
                  <w:tcW w:w="656" w:type="pct"/>
                  <w:noWrap w:val="0"/>
                  <w:vAlign w:val="center"/>
                </w:tcPr>
                <w:p>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eastAsiaTheme="minorEastAsia"/>
                      <w:color w:val="000000"/>
                      <w:kern w:val="2"/>
                      <w:sz w:val="21"/>
                      <w:szCs w:val="21"/>
                      <w:u w:val="none"/>
                      <w:lang w:val="en-US" w:eastAsia="zh-CN" w:bidi="ar-SA"/>
                    </w:rPr>
                    <w:t>234.01</w:t>
                  </w:r>
                  <w:r>
                    <w:rPr>
                      <w:rFonts w:hint="default" w:ascii="Times New Roman" w:hAnsi="Times New Roman" w:cs="Times New Roman" w:eastAsiaTheme="minorEastAsia"/>
                      <w:color w:val="000000"/>
                      <w:kern w:val="2"/>
                      <w:sz w:val="21"/>
                      <w:szCs w:val="21"/>
                      <w:u w:val="none"/>
                      <w:lang w:val="en-US" w:eastAsia="zh-CN" w:bidi="ar-SA"/>
                    </w:rPr>
                    <w:t>Nm</w:t>
                  </w:r>
                  <w:r>
                    <w:rPr>
                      <w:rFonts w:hint="default" w:ascii="Times New Roman" w:hAnsi="Times New Roman" w:cs="Times New Roman" w:eastAsiaTheme="minorEastAsia"/>
                      <w:color w:val="000000"/>
                      <w:kern w:val="2"/>
                      <w:sz w:val="21"/>
                      <w:szCs w:val="21"/>
                      <w:u w:val="none"/>
                      <w:vertAlign w:val="superscript"/>
                      <w:lang w:val="en-US" w:eastAsia="zh-CN" w:bidi="ar-SA"/>
                    </w:rPr>
                    <w:t>3</w:t>
                  </w:r>
                  <w:r>
                    <w:rPr>
                      <w:rFonts w:hint="default" w:ascii="Times New Roman" w:hAnsi="Times New Roman" w:cs="Times New Roman" w:eastAsiaTheme="minorEastAsia"/>
                      <w:color w:val="000000"/>
                      <w:kern w:val="2"/>
                      <w:sz w:val="21"/>
                      <w:szCs w:val="21"/>
                      <w:u w:val="none"/>
                      <w:lang w:val="en-US" w:eastAsia="zh-CN" w:bidi="ar-SA"/>
                    </w:rPr>
                    <w:t>/h</w:t>
                  </w:r>
                </w:p>
              </w:tc>
              <w:tc>
                <w:tcPr>
                  <w:tcW w:w="500" w:type="pct"/>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588" w:type="pct"/>
                  <w:noWrap w:val="0"/>
                  <w:vAlign w:val="center"/>
                </w:tcPr>
                <w:p>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422" w:type="pct"/>
                  <w:noWrap w:val="0"/>
                  <w:vAlign w:val="center"/>
                </w:tcPr>
                <w:p>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500" w:type="pct"/>
                  <w:noWrap w:val="0"/>
                  <w:vAlign w:val="center"/>
                </w:tcPr>
                <w:p>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592" w:type="pct"/>
                  <w:noWrap w:val="0"/>
                  <w:vAlign w:val="center"/>
                </w:tcPr>
                <w:p>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8"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SO</w:t>
                  </w:r>
                  <w:r>
                    <w:rPr>
                      <w:rFonts w:hint="eastAsia" w:ascii="Times New Roman" w:hAnsi="Times New Roman" w:eastAsia="宋体" w:cs="Times New Roman"/>
                      <w:color w:val="000000"/>
                      <w:kern w:val="2"/>
                      <w:sz w:val="21"/>
                      <w:szCs w:val="21"/>
                      <w:vertAlign w:val="subscript"/>
                      <w:lang w:val="en-US" w:eastAsia="zh-CN" w:bidi="ar-SA"/>
                    </w:rPr>
                    <w:t>2</w:t>
                  </w:r>
                </w:p>
              </w:tc>
              <w:tc>
                <w:tcPr>
                  <w:tcW w:w="51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17S kg/t-原料</w:t>
                  </w:r>
                </w:p>
              </w:tc>
              <w:tc>
                <w:tcPr>
                  <w:tcW w:w="324"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90</w:t>
                  </w:r>
                  <w:r>
                    <w:rPr>
                      <w:rFonts w:hint="eastAsia" w:ascii="Times New Roman" w:hAnsi="Times New Roman" w:eastAsia="宋体" w:cs="Times New Roman"/>
                      <w:color w:val="000000"/>
                      <w:kern w:val="2"/>
                      <w:sz w:val="21"/>
                      <w:szCs w:val="21"/>
                      <w:lang w:val="en-US" w:eastAsia="zh-CN" w:bidi="ar-SA"/>
                    </w:rPr>
                    <w:t>t/a</w:t>
                  </w:r>
                </w:p>
              </w:tc>
              <w:tc>
                <w:tcPr>
                  <w:tcW w:w="44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0.015</w:t>
                  </w:r>
                </w:p>
              </w:tc>
              <w:tc>
                <w:tcPr>
                  <w:tcW w:w="6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5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0.006</w:t>
                  </w:r>
                  <w:r>
                    <w:rPr>
                      <w:rFonts w:hint="eastAsia" w:ascii="Times New Roman" w:hAnsi="Times New Roman" w:cs="Times New Roman"/>
                      <w:i w:val="0"/>
                      <w:iCs w:val="0"/>
                      <w:color w:val="000000"/>
                      <w:kern w:val="0"/>
                      <w:sz w:val="21"/>
                      <w:szCs w:val="21"/>
                      <w:u w:val="none"/>
                      <w:lang w:val="en-US" w:eastAsia="zh-CN" w:bidi="ar"/>
                    </w:rPr>
                    <w:t>4</w:t>
                  </w:r>
                </w:p>
              </w:tc>
              <w:tc>
                <w:tcPr>
                  <w:tcW w:w="5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27.24</w:t>
                  </w:r>
                </w:p>
              </w:tc>
              <w:tc>
                <w:tcPr>
                  <w:tcW w:w="42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0.015</w:t>
                  </w:r>
                </w:p>
              </w:tc>
              <w:tc>
                <w:tcPr>
                  <w:tcW w:w="5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0.006</w:t>
                  </w:r>
                  <w:r>
                    <w:rPr>
                      <w:rFonts w:hint="eastAsia" w:ascii="Times New Roman" w:hAnsi="Times New Roman" w:cs="Times New Roman"/>
                      <w:i w:val="0"/>
                      <w:iCs w:val="0"/>
                      <w:color w:val="000000"/>
                      <w:kern w:val="0"/>
                      <w:sz w:val="21"/>
                      <w:szCs w:val="21"/>
                      <w:u w:val="none"/>
                      <w:lang w:val="en-US" w:eastAsia="zh-CN" w:bidi="ar"/>
                    </w:rPr>
                    <w:t>4</w:t>
                  </w:r>
                </w:p>
              </w:tc>
              <w:tc>
                <w:tcPr>
                  <w:tcW w:w="98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8"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NOx</w:t>
                  </w:r>
                </w:p>
              </w:tc>
              <w:tc>
                <w:tcPr>
                  <w:tcW w:w="51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1.02 kg/t-原料</w:t>
                  </w:r>
                </w:p>
              </w:tc>
              <w:tc>
                <w:tcPr>
                  <w:tcW w:w="324"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90</w:t>
                  </w:r>
                  <w:r>
                    <w:rPr>
                      <w:rFonts w:hint="eastAsia" w:ascii="Times New Roman" w:hAnsi="Times New Roman" w:eastAsia="宋体" w:cs="Times New Roman"/>
                      <w:color w:val="000000"/>
                      <w:kern w:val="2"/>
                      <w:sz w:val="21"/>
                      <w:szCs w:val="21"/>
                      <w:lang w:val="en-US" w:eastAsia="zh-CN" w:bidi="ar-SA"/>
                    </w:rPr>
                    <w:t>t/a</w:t>
                  </w:r>
                </w:p>
              </w:tc>
              <w:tc>
                <w:tcPr>
                  <w:tcW w:w="44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r>
                    <w:rPr>
                      <w:rFonts w:hint="eastAsia" w:ascii="Times New Roman" w:hAnsi="Times New Roman" w:cs="Times New Roman"/>
                      <w:i w:val="0"/>
                      <w:iCs w:val="0"/>
                      <w:color w:val="000000"/>
                      <w:kern w:val="0"/>
                      <w:sz w:val="21"/>
                      <w:szCs w:val="21"/>
                      <w:u w:val="none"/>
                      <w:lang w:val="en-US" w:eastAsia="zh-CN" w:bidi="ar"/>
                    </w:rPr>
                    <w:t>2</w:t>
                  </w:r>
                </w:p>
              </w:tc>
              <w:tc>
                <w:tcPr>
                  <w:tcW w:w="6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5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0.038</w:t>
                  </w:r>
                </w:p>
              </w:tc>
              <w:tc>
                <w:tcPr>
                  <w:tcW w:w="5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163.45</w:t>
                  </w:r>
                </w:p>
              </w:tc>
              <w:tc>
                <w:tcPr>
                  <w:tcW w:w="42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0.09</w:t>
                  </w:r>
                  <w:r>
                    <w:rPr>
                      <w:rFonts w:hint="eastAsia" w:ascii="Times New Roman" w:hAnsi="Times New Roman" w:cs="Times New Roman"/>
                      <w:i w:val="0"/>
                      <w:iCs w:val="0"/>
                      <w:color w:val="000000"/>
                      <w:kern w:val="0"/>
                      <w:sz w:val="21"/>
                      <w:szCs w:val="21"/>
                      <w:u w:val="none"/>
                      <w:lang w:val="en-US" w:eastAsia="zh-CN" w:bidi="ar"/>
                    </w:rPr>
                    <w:t>2</w:t>
                  </w:r>
                </w:p>
              </w:tc>
              <w:tc>
                <w:tcPr>
                  <w:tcW w:w="50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0.038</w:t>
                  </w:r>
                </w:p>
              </w:tc>
              <w:tc>
                <w:tcPr>
                  <w:tcW w:w="98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8"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烟尘</w:t>
                  </w:r>
                </w:p>
              </w:tc>
              <w:tc>
                <w:tcPr>
                  <w:tcW w:w="51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0.5 kg/t-原料</w:t>
                  </w:r>
                </w:p>
              </w:tc>
              <w:tc>
                <w:tcPr>
                  <w:tcW w:w="324"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90</w:t>
                  </w:r>
                  <w:r>
                    <w:rPr>
                      <w:rFonts w:hint="eastAsia" w:ascii="Times New Roman" w:hAnsi="Times New Roman" w:eastAsia="宋体" w:cs="Times New Roman"/>
                      <w:color w:val="000000"/>
                      <w:kern w:val="2"/>
                      <w:sz w:val="21"/>
                      <w:szCs w:val="21"/>
                      <w:lang w:val="en-US" w:eastAsia="zh-CN" w:bidi="ar-SA"/>
                    </w:rPr>
                    <w:t>t/a</w:t>
                  </w:r>
                </w:p>
              </w:tc>
              <w:tc>
                <w:tcPr>
                  <w:tcW w:w="448" w:type="pct"/>
                  <w:noWrap w:val="0"/>
                  <w:vAlign w:val="center"/>
                </w:tcPr>
                <w:p>
                  <w:pPr>
                    <w:keepNext w:val="0"/>
                    <w:keepLines w:val="0"/>
                    <w:widowControl/>
                    <w:suppressLineNumbers w:val="0"/>
                    <w:jc w:val="center"/>
                    <w:textAlignment w:val="center"/>
                    <w:rPr>
                      <w:rFonts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0.045</w:t>
                  </w:r>
                </w:p>
              </w:tc>
              <w:tc>
                <w:tcPr>
                  <w:tcW w:w="6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5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w:t>
                  </w:r>
                  <w:r>
                    <w:rPr>
                      <w:rFonts w:hint="eastAsia" w:ascii="Times New Roman" w:hAnsi="Times New Roman" w:cs="Times New Roman"/>
                      <w:i w:val="0"/>
                      <w:iCs w:val="0"/>
                      <w:color w:val="000000"/>
                      <w:kern w:val="0"/>
                      <w:sz w:val="21"/>
                      <w:szCs w:val="21"/>
                      <w:u w:val="none"/>
                      <w:lang w:val="en-US" w:eastAsia="zh-CN" w:bidi="ar"/>
                    </w:rPr>
                    <w:t>9</w:t>
                  </w:r>
                </w:p>
              </w:tc>
              <w:tc>
                <w:tcPr>
                  <w:tcW w:w="5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80.1</w:t>
                  </w:r>
                  <w:r>
                    <w:rPr>
                      <w:rFonts w:hint="default" w:ascii="Times New Roman" w:hAnsi="Times New Roman" w:cs="Times New Roman"/>
                      <w:i w:val="0"/>
                      <w:iCs w:val="0"/>
                      <w:color w:val="000000"/>
                      <w:kern w:val="0"/>
                      <w:sz w:val="21"/>
                      <w:szCs w:val="21"/>
                      <w:u w:val="none"/>
                      <w:lang w:val="en-US" w:eastAsia="zh-CN" w:bidi="ar"/>
                    </w:rPr>
                    <w:t>3</w:t>
                  </w:r>
                </w:p>
              </w:tc>
              <w:tc>
                <w:tcPr>
                  <w:tcW w:w="42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0.00009</w:t>
                  </w:r>
                </w:p>
              </w:tc>
              <w:tc>
                <w:tcPr>
                  <w:tcW w:w="5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0.00004</w:t>
                  </w:r>
                </w:p>
              </w:tc>
              <w:tc>
                <w:tcPr>
                  <w:tcW w:w="59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0"/>
                  <w:noWrap w:val="0"/>
                  <w:vAlign w:val="center"/>
                </w:tcPr>
                <w:p>
                  <w:pPr>
                    <w:widowControl w:val="0"/>
                    <w:spacing w:line="240" w:lineRule="auto"/>
                    <w:jc w:val="left"/>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注：产排污系数取自《工业污染源产排污系数手册》（2010 修订），其中成型生物质燃料的含硫率S取0.01</w:t>
                  </w:r>
                </w:p>
              </w:tc>
            </w:tr>
          </w:tbl>
          <w:p>
            <w:pPr>
              <w:widowControl w:val="0"/>
              <w:spacing w:line="360" w:lineRule="auto"/>
              <w:ind w:firstLine="480" w:firstLineChars="200"/>
              <w:jc w:val="both"/>
              <w:rPr>
                <w:rFonts w:hint="eastAsia" w:ascii="Times New Roman" w:hAnsi="Times New Roman" w:eastAsia="宋体" w:cs="Times New Roman"/>
                <w:color w:val="000000"/>
                <w:kern w:val="2"/>
                <w:sz w:val="24"/>
                <w:szCs w:val="24"/>
                <w:u w:val="none"/>
                <w:lang w:val="en-US" w:eastAsia="zh-CN" w:bidi="ar-SA"/>
              </w:rPr>
            </w:pPr>
            <w:r>
              <w:rPr>
                <w:rFonts w:hint="eastAsia" w:ascii="Times New Roman" w:hAnsi="Times New Roman" w:eastAsia="宋体" w:cs="Times New Roman"/>
                <w:color w:val="000000"/>
                <w:kern w:val="2"/>
                <w:sz w:val="24"/>
                <w:szCs w:val="24"/>
                <w:u w:val="none"/>
                <w:lang w:val="en-US" w:eastAsia="zh-CN" w:bidi="ar-SA"/>
              </w:rPr>
              <w:t>本项目在运营期间</w:t>
            </w:r>
            <w:r>
              <w:rPr>
                <w:rFonts w:hint="eastAsia" w:ascii="Times New Roman" w:hAnsi="Times New Roman" w:cs="Times New Roman"/>
                <w:color w:val="000000"/>
                <w:kern w:val="2"/>
                <w:sz w:val="24"/>
                <w:szCs w:val="24"/>
                <w:lang w:val="en-US" w:eastAsia="zh-CN" w:bidi="ar-SA"/>
              </w:rPr>
              <w:t>滚筒式炒锅使用燃料较少，</w:t>
            </w:r>
            <w:r>
              <w:rPr>
                <w:rFonts w:hint="eastAsia" w:ascii="Times New Roman" w:hAnsi="Times New Roman" w:cs="Times New Roman"/>
                <w:color w:val="000000"/>
                <w:kern w:val="2"/>
                <w:sz w:val="24"/>
                <w:szCs w:val="24"/>
                <w:u w:val="none"/>
                <w:lang w:val="en-US" w:eastAsia="zh-CN" w:bidi="ar-SA"/>
              </w:rPr>
              <w:t>通过旋风除尘+布袋除尘+15m排气筒处理排放，处理效率为99.8%，处理后</w:t>
            </w:r>
            <w:r>
              <w:rPr>
                <w:rFonts w:hint="eastAsia" w:ascii="Times New Roman" w:hAnsi="Times New Roman" w:cs="Times New Roman"/>
                <w:color w:val="000000"/>
                <w:kern w:val="2"/>
                <w:sz w:val="24"/>
                <w:szCs w:val="24"/>
                <w:lang w:val="en-US" w:eastAsia="zh-CN" w:bidi="ar-SA"/>
              </w:rPr>
              <w:t>燃烧</w:t>
            </w:r>
            <w:r>
              <w:rPr>
                <w:rFonts w:hint="eastAsia" w:ascii="Times New Roman" w:hAnsi="Times New Roman" w:eastAsia="宋体" w:cs="Times New Roman"/>
                <w:color w:val="000000"/>
                <w:kern w:val="2"/>
                <w:sz w:val="24"/>
                <w:szCs w:val="24"/>
                <w:u w:val="none"/>
                <w:lang w:val="en-US" w:eastAsia="zh-CN" w:bidi="ar-SA"/>
              </w:rPr>
              <w:t>废气</w:t>
            </w:r>
            <w:r>
              <w:rPr>
                <w:rFonts w:hint="eastAsia" w:ascii="Times New Roman" w:hAnsi="Times New Roman" w:cs="Times New Roman"/>
                <w:color w:val="000000"/>
                <w:kern w:val="2"/>
                <w:sz w:val="24"/>
                <w:szCs w:val="24"/>
                <w:u w:val="none"/>
                <w:lang w:val="en-US" w:eastAsia="zh-CN" w:bidi="ar-SA"/>
              </w:rPr>
              <w:t>排放情况能满足</w:t>
            </w:r>
            <w:r>
              <w:rPr>
                <w:rFonts w:cs="Times New Roman"/>
                <w:color w:val="000000"/>
                <w:sz w:val="24"/>
              </w:rPr>
              <w:t>《大气污染物综合排放标准》</w:t>
            </w: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GB1629</w:t>
            </w:r>
            <w:r>
              <w:rPr>
                <w:rFonts w:hint="default" w:ascii="Times New Roman" w:hAnsi="Times New Roman" w:eastAsia="宋体" w:cs="Times New Roman"/>
                <w:color w:val="000000"/>
                <w:kern w:val="2"/>
                <w:sz w:val="24"/>
                <w:szCs w:val="24"/>
                <w:lang w:val="en-US" w:eastAsia="zh-CN" w:bidi="ar-SA"/>
              </w:rPr>
              <w:t>7-</w:t>
            </w:r>
            <w:r>
              <w:rPr>
                <w:rFonts w:hint="eastAsia" w:ascii="Times New Roman" w:hAnsi="Times New Roman" w:eastAsia="宋体" w:cs="Times New Roman"/>
                <w:color w:val="000000"/>
                <w:kern w:val="2"/>
                <w:sz w:val="24"/>
                <w:szCs w:val="24"/>
                <w:lang w:val="en-US" w:eastAsia="zh-CN" w:bidi="ar-SA"/>
              </w:rPr>
              <w:t>1996</w:t>
            </w: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表2中二级标准要求</w:t>
            </w:r>
            <w:r>
              <w:rPr>
                <w:rFonts w:hint="eastAsia" w:ascii="Times New Roman" w:hAnsi="Times New Roman" w:cs="Times New Roman"/>
                <w:color w:val="000000"/>
                <w:kern w:val="2"/>
                <w:sz w:val="24"/>
                <w:szCs w:val="24"/>
                <w:u w:val="none"/>
                <w:lang w:val="en-US" w:eastAsia="zh-CN" w:bidi="ar-SA"/>
              </w:rPr>
              <w:t>，</w:t>
            </w:r>
            <w:r>
              <w:rPr>
                <w:rFonts w:hint="default" w:ascii="Times New Roman" w:hAnsi="Times New Roman" w:eastAsia="宋体" w:cs="Times New Roman"/>
                <w:color w:val="000000"/>
                <w:kern w:val="2"/>
                <w:sz w:val="24"/>
                <w:szCs w:val="24"/>
                <w:lang w:val="en-US" w:eastAsia="zh-CN" w:bidi="ar-SA"/>
              </w:rPr>
              <w:t>对周围环境影响不大。</w:t>
            </w:r>
          </w:p>
          <w:p>
            <w:pPr>
              <w:bidi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w:t>
            </w:r>
            <w:r>
              <w:rPr>
                <w:rFonts w:hint="default" w:ascii="Times New Roman" w:hAnsi="Times New Roman" w:eastAsia="宋体" w:cs="Times New Roman"/>
                <w:color w:val="000000"/>
                <w:kern w:val="2"/>
                <w:sz w:val="24"/>
                <w:szCs w:val="24"/>
                <w:lang w:val="en-US" w:eastAsia="zh-CN" w:bidi="ar-SA"/>
              </w:rPr>
              <w:t>本项目脱壳工序会产生少量粉尘</w:t>
            </w:r>
          </w:p>
          <w:p>
            <w:pPr>
              <w:bidi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此部分粉尘因产生量较小，且颗粒较大，多</w:t>
            </w:r>
            <w:r>
              <w:rPr>
                <w:rFonts w:hint="eastAsia" w:ascii="Times New Roman" w:hAnsi="Times New Roman" w:eastAsia="宋体" w:cs="Times New Roman"/>
                <w:color w:val="000000"/>
                <w:kern w:val="2"/>
                <w:sz w:val="24"/>
                <w:szCs w:val="24"/>
                <w:lang w:val="en-US" w:eastAsia="zh-CN" w:bidi="ar-SA"/>
              </w:rPr>
              <w:t>数</w:t>
            </w:r>
            <w:r>
              <w:rPr>
                <w:rFonts w:hint="default" w:ascii="Times New Roman" w:hAnsi="Times New Roman" w:eastAsia="宋体" w:cs="Times New Roman"/>
                <w:color w:val="000000"/>
                <w:kern w:val="2"/>
                <w:sz w:val="24"/>
                <w:szCs w:val="24"/>
                <w:lang w:val="en-US" w:eastAsia="zh-CN" w:bidi="ar-SA"/>
              </w:rPr>
              <w:t>自然沉降在车间内，</w:t>
            </w:r>
            <w:r>
              <w:rPr>
                <w:rFonts w:cs="Times New Roman"/>
                <w:sz w:val="24"/>
              </w:rPr>
              <w:t>建议企业</w:t>
            </w:r>
            <w:r>
              <w:rPr>
                <w:rFonts w:hint="eastAsia" w:cs="Times New Roman"/>
                <w:sz w:val="24"/>
              </w:rPr>
              <w:t>在</w:t>
            </w:r>
            <w:r>
              <w:rPr>
                <w:rFonts w:cs="Times New Roman"/>
                <w:sz w:val="24"/>
              </w:rPr>
              <w:t>生产</w:t>
            </w:r>
            <w:r>
              <w:rPr>
                <w:rFonts w:hint="eastAsia" w:cs="Times New Roman"/>
                <w:sz w:val="24"/>
              </w:rPr>
              <w:t>过程</w:t>
            </w:r>
            <w:r>
              <w:rPr>
                <w:rFonts w:cs="Times New Roman"/>
                <w:sz w:val="24"/>
              </w:rPr>
              <w:t>中关闭车间门窗，降低无组织排放，</w:t>
            </w:r>
            <w:r>
              <w:rPr>
                <w:rFonts w:hint="eastAsia" w:cs="Times New Roman"/>
                <w:sz w:val="24"/>
              </w:rPr>
              <w:t>同时</w:t>
            </w:r>
            <w:r>
              <w:rPr>
                <w:rFonts w:cs="Times New Roman"/>
                <w:sz w:val="24"/>
              </w:rPr>
              <w:t>定期打扫</w:t>
            </w:r>
            <w:r>
              <w:rPr>
                <w:rFonts w:hint="eastAsia" w:cs="Times New Roman"/>
                <w:sz w:val="24"/>
              </w:rPr>
              <w:t>车间</w:t>
            </w:r>
            <w:r>
              <w:rPr>
                <w:rFonts w:cs="Times New Roman"/>
                <w:sz w:val="24"/>
              </w:rPr>
              <w:t>地面沉降的粉尘，则粉尘</w:t>
            </w:r>
            <w:r>
              <w:rPr>
                <w:rFonts w:hint="default" w:ascii="Times New Roman" w:hAnsi="Times New Roman" w:eastAsia="宋体" w:cs="Times New Roman"/>
                <w:color w:val="000000"/>
                <w:kern w:val="2"/>
                <w:sz w:val="24"/>
                <w:szCs w:val="24"/>
                <w:lang w:val="en-US" w:eastAsia="zh-CN" w:bidi="ar-SA"/>
              </w:rPr>
              <w:t>对外界影响较小，可满足</w:t>
            </w:r>
            <w:r>
              <w:rPr>
                <w:rFonts w:cs="Times New Roman"/>
                <w:color w:val="000000"/>
                <w:sz w:val="24"/>
              </w:rPr>
              <w:t>《大气污染物综合排放标准》</w:t>
            </w: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GB1629</w:t>
            </w:r>
            <w:r>
              <w:rPr>
                <w:rFonts w:hint="default" w:ascii="Times New Roman" w:hAnsi="Times New Roman" w:eastAsia="宋体" w:cs="Times New Roman"/>
                <w:color w:val="000000"/>
                <w:kern w:val="2"/>
                <w:sz w:val="24"/>
                <w:szCs w:val="24"/>
                <w:lang w:val="en-US" w:eastAsia="zh-CN" w:bidi="ar-SA"/>
              </w:rPr>
              <w:t>7-</w:t>
            </w:r>
            <w:r>
              <w:rPr>
                <w:rFonts w:hint="eastAsia" w:ascii="Times New Roman" w:hAnsi="Times New Roman" w:eastAsia="宋体" w:cs="Times New Roman"/>
                <w:color w:val="000000"/>
                <w:kern w:val="2"/>
                <w:sz w:val="24"/>
                <w:szCs w:val="24"/>
                <w:lang w:val="en-US" w:eastAsia="zh-CN" w:bidi="ar-SA"/>
              </w:rPr>
              <w:t>1996</w:t>
            </w:r>
            <w:r>
              <w:rPr>
                <w:rFonts w:hint="default" w:ascii="Times New Roman" w:hAnsi="Times New Roman" w:eastAsia="宋体" w:cs="Times New Roman"/>
                <w:color w:val="000000"/>
                <w:kern w:val="2"/>
                <w:sz w:val="24"/>
                <w:szCs w:val="24"/>
                <w:lang w:val="en-US" w:eastAsia="zh-CN" w:bidi="ar-SA"/>
              </w:rPr>
              <w:t>）无组织排放监控浓度限值要求，因此本次评价不对其进行定量分析。</w:t>
            </w:r>
          </w:p>
          <w:p>
            <w:pPr>
              <w:bidi w:val="0"/>
              <w:spacing w:line="360" w:lineRule="auto"/>
              <w:ind w:firstLine="480" w:firstLineChars="200"/>
              <w:jc w:val="both"/>
              <w:rPr>
                <w:rFonts w:hint="eastAsia" w:ascii="Times New Roman" w:hAnsi="Times New Roman" w:eastAsia="宋体" w:cs="Times New Roman"/>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w:t>
            </w:r>
            <w:r>
              <w:rPr>
                <w:rFonts w:hint="eastAsia" w:ascii="Times New Roman" w:hAnsi="Times New Roman" w:eastAsia="宋体" w:cs="Times New Roman"/>
                <w:color w:val="000000"/>
                <w:kern w:val="2"/>
                <w:sz w:val="24"/>
                <w:szCs w:val="24"/>
                <w:lang w:val="en-US" w:eastAsia="zh-CN" w:bidi="ar-SA"/>
              </w:rPr>
              <w:t xml:space="preserve">生产车间腐竹和豆皮加工过程产生的气味 </w:t>
            </w:r>
          </w:p>
          <w:p>
            <w:pPr>
              <w:bidi w:val="0"/>
              <w:spacing w:line="360" w:lineRule="auto"/>
              <w:ind w:firstLine="480" w:firstLineChars="200"/>
              <w:jc w:val="both"/>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本项目</w:t>
            </w:r>
            <w:r>
              <w:rPr>
                <w:rFonts w:hint="eastAsia" w:ascii="Times New Roman" w:hAnsi="Times New Roman" w:eastAsia="宋体" w:cs="Times New Roman"/>
                <w:color w:val="000000"/>
                <w:kern w:val="2"/>
                <w:sz w:val="24"/>
                <w:szCs w:val="24"/>
                <w:lang w:val="en-US" w:eastAsia="zh-CN" w:bidi="ar-SA"/>
              </w:rPr>
              <w:t>磨浆、</w:t>
            </w:r>
            <w:r>
              <w:rPr>
                <w:rFonts w:hint="default" w:ascii="Times New Roman" w:hAnsi="Times New Roman" w:eastAsia="宋体" w:cs="Times New Roman"/>
                <w:color w:val="000000"/>
                <w:kern w:val="2"/>
                <w:sz w:val="24"/>
                <w:szCs w:val="24"/>
                <w:lang w:val="en-US" w:eastAsia="zh-CN" w:bidi="ar-SA"/>
              </w:rPr>
              <w:t>煮浆、</w:t>
            </w:r>
            <w:r>
              <w:rPr>
                <w:rFonts w:hint="eastAsia" w:ascii="Times New Roman" w:hAnsi="Times New Roman" w:eastAsia="宋体" w:cs="Times New Roman"/>
                <w:color w:val="000000"/>
                <w:kern w:val="2"/>
                <w:sz w:val="24"/>
                <w:szCs w:val="24"/>
                <w:lang w:val="en-US" w:eastAsia="zh-CN" w:bidi="ar-SA"/>
              </w:rPr>
              <w:t>提</w:t>
            </w:r>
            <w:r>
              <w:rPr>
                <w:rFonts w:hint="default" w:ascii="Times New Roman" w:hAnsi="Times New Roman" w:eastAsia="宋体" w:cs="Times New Roman"/>
                <w:color w:val="000000"/>
                <w:kern w:val="2"/>
                <w:sz w:val="24"/>
                <w:szCs w:val="24"/>
                <w:lang w:val="en-US" w:eastAsia="zh-CN" w:bidi="ar-SA"/>
              </w:rPr>
              <w:t>皮、烘干</w:t>
            </w:r>
            <w:r>
              <w:rPr>
                <w:rFonts w:hint="eastAsia" w:ascii="Times New Roman" w:hAnsi="Times New Roman" w:eastAsia="宋体" w:cs="Times New Roman"/>
                <w:color w:val="000000"/>
                <w:kern w:val="2"/>
                <w:sz w:val="24"/>
                <w:szCs w:val="24"/>
                <w:lang w:val="en-US" w:eastAsia="zh-CN" w:bidi="ar-SA"/>
              </w:rPr>
              <w:t>和回润</w:t>
            </w:r>
            <w:r>
              <w:rPr>
                <w:rFonts w:hint="default" w:ascii="Times New Roman" w:hAnsi="Times New Roman" w:eastAsia="宋体" w:cs="Times New Roman"/>
                <w:color w:val="000000"/>
                <w:kern w:val="2"/>
                <w:sz w:val="24"/>
                <w:szCs w:val="24"/>
                <w:lang w:val="en-US" w:eastAsia="zh-CN" w:bidi="ar-SA"/>
              </w:rPr>
              <w:t>等工序中会有少量气味产生，由于本项目腐竹生产为当日</w:t>
            </w:r>
            <w:r>
              <w:rPr>
                <w:rFonts w:hint="eastAsia" w:ascii="Times New Roman" w:hAnsi="Times New Roman" w:eastAsia="宋体" w:cs="Times New Roman"/>
                <w:color w:val="000000"/>
                <w:kern w:val="2"/>
                <w:sz w:val="24"/>
                <w:szCs w:val="24"/>
                <w:lang w:val="en-US" w:eastAsia="zh-CN" w:bidi="ar-SA"/>
              </w:rPr>
              <w:t>磨浆、</w:t>
            </w:r>
            <w:r>
              <w:rPr>
                <w:rFonts w:hint="default" w:ascii="Times New Roman" w:hAnsi="Times New Roman" w:eastAsia="宋体" w:cs="Times New Roman"/>
                <w:color w:val="000000"/>
                <w:kern w:val="2"/>
                <w:sz w:val="24"/>
                <w:szCs w:val="24"/>
                <w:lang w:val="en-US" w:eastAsia="zh-CN" w:bidi="ar-SA"/>
              </w:rPr>
              <w:t>当日煮浆、当日</w:t>
            </w:r>
            <w:r>
              <w:rPr>
                <w:rFonts w:hint="eastAsia" w:ascii="Times New Roman" w:hAnsi="Times New Roman" w:eastAsia="宋体" w:cs="Times New Roman"/>
                <w:color w:val="000000"/>
                <w:kern w:val="2"/>
                <w:sz w:val="24"/>
                <w:szCs w:val="24"/>
                <w:lang w:val="en-US" w:eastAsia="zh-CN" w:bidi="ar-SA"/>
              </w:rPr>
              <w:t>提</w:t>
            </w:r>
            <w:r>
              <w:rPr>
                <w:rFonts w:hint="default" w:ascii="Times New Roman" w:hAnsi="Times New Roman" w:eastAsia="宋体" w:cs="Times New Roman"/>
                <w:color w:val="000000"/>
                <w:kern w:val="2"/>
                <w:sz w:val="24"/>
                <w:szCs w:val="24"/>
                <w:lang w:val="en-US" w:eastAsia="zh-CN" w:bidi="ar-SA"/>
              </w:rPr>
              <w:t>皮、当日烘干</w:t>
            </w:r>
            <w:r>
              <w:rPr>
                <w:rFonts w:hint="eastAsia" w:ascii="Times New Roman" w:hAnsi="Times New Roman" w:eastAsia="宋体" w:cs="Times New Roman"/>
                <w:color w:val="000000"/>
                <w:kern w:val="2"/>
                <w:sz w:val="24"/>
                <w:szCs w:val="24"/>
                <w:lang w:val="en-US" w:eastAsia="zh-CN" w:bidi="ar-SA"/>
              </w:rPr>
              <w:t>、</w:t>
            </w:r>
            <w:r>
              <w:rPr>
                <w:rFonts w:hint="default" w:ascii="Times New Roman" w:hAnsi="Times New Roman" w:eastAsia="宋体" w:cs="Times New Roman"/>
                <w:color w:val="000000"/>
                <w:kern w:val="2"/>
                <w:sz w:val="24"/>
                <w:szCs w:val="24"/>
                <w:lang w:val="en-US" w:eastAsia="zh-CN" w:bidi="ar-SA"/>
              </w:rPr>
              <w:t>当日</w:t>
            </w:r>
            <w:r>
              <w:rPr>
                <w:rFonts w:hint="eastAsia" w:ascii="Times New Roman" w:hAnsi="Times New Roman" w:eastAsia="宋体" w:cs="Times New Roman"/>
                <w:color w:val="000000"/>
                <w:kern w:val="2"/>
                <w:sz w:val="24"/>
                <w:szCs w:val="24"/>
                <w:lang w:val="en-US" w:eastAsia="zh-CN" w:bidi="ar-SA"/>
              </w:rPr>
              <w:t>回润</w:t>
            </w:r>
            <w:r>
              <w:rPr>
                <w:rFonts w:hint="default" w:ascii="Times New Roman" w:hAnsi="Times New Roman" w:eastAsia="宋体" w:cs="Times New Roman"/>
                <w:color w:val="000000"/>
                <w:kern w:val="2"/>
                <w:sz w:val="24"/>
                <w:szCs w:val="24"/>
                <w:lang w:val="en-US" w:eastAsia="zh-CN" w:bidi="ar-SA"/>
              </w:rPr>
              <w:t>的形式生产，生产过程温度较高（≥85℃），会有少量豆</w:t>
            </w:r>
            <w:r>
              <w:rPr>
                <w:rFonts w:hint="eastAsia" w:ascii="Times New Roman" w:hAnsi="Times New Roman" w:eastAsia="宋体" w:cs="Times New Roman"/>
                <w:color w:val="000000"/>
                <w:kern w:val="2"/>
                <w:sz w:val="24"/>
                <w:szCs w:val="24"/>
                <w:lang w:val="en-US" w:eastAsia="zh-CN" w:bidi="ar-SA"/>
              </w:rPr>
              <w:t>腥</w:t>
            </w:r>
            <w:r>
              <w:rPr>
                <w:rFonts w:hint="default" w:ascii="Times New Roman" w:hAnsi="Times New Roman" w:eastAsia="宋体" w:cs="Times New Roman"/>
                <w:color w:val="000000"/>
                <w:kern w:val="2"/>
                <w:sz w:val="24"/>
                <w:szCs w:val="24"/>
                <w:lang w:val="en-US" w:eastAsia="zh-CN" w:bidi="ar-SA"/>
              </w:rPr>
              <w:t xml:space="preserve">气味产生。 </w:t>
            </w:r>
          </w:p>
          <w:p>
            <w:pPr>
              <w:bidi w:val="0"/>
              <w:spacing w:line="360" w:lineRule="auto"/>
              <w:ind w:firstLine="480" w:firstLineChars="200"/>
              <w:jc w:val="both"/>
              <w:rPr>
                <w:rFonts w:hint="eastAsia" w:ascii="Times New Roman" w:hAnsi="Times New Roman" w:eastAsia="宋体" w:cs="Times New Roman"/>
                <w:color w:val="000000"/>
                <w:kern w:val="0"/>
                <w:sz w:val="24"/>
                <w:szCs w:val="21"/>
                <w:u w:val="none"/>
              </w:rPr>
            </w:pPr>
            <w:r>
              <w:rPr>
                <w:rFonts w:hint="default" w:ascii="Times New Roman" w:hAnsi="Times New Roman" w:eastAsia="宋体" w:cs="Times New Roman"/>
                <w:color w:val="000000"/>
                <w:kern w:val="2"/>
                <w:sz w:val="24"/>
                <w:szCs w:val="24"/>
                <w:lang w:val="en-US" w:eastAsia="zh-CN" w:bidi="ar-SA"/>
              </w:rPr>
              <w:t>项目大豆浸泡</w:t>
            </w:r>
            <w:r>
              <w:rPr>
                <w:rFonts w:hint="eastAsia" w:ascii="Times New Roman" w:hAnsi="Times New Roman" w:eastAsia="宋体" w:cs="Times New Roman"/>
                <w:color w:val="000000"/>
                <w:kern w:val="2"/>
                <w:sz w:val="24"/>
                <w:szCs w:val="24"/>
                <w:lang w:val="en-US" w:eastAsia="zh-CN" w:bidi="ar-SA"/>
              </w:rPr>
              <w:t>时长一般为</w:t>
            </w:r>
            <w:r>
              <w:rPr>
                <w:rFonts w:hint="eastAsia" w:ascii="Times New Roman" w:hAnsi="Times New Roman" w:cs="Times New Roman"/>
                <w:color w:val="000000"/>
                <w:kern w:val="2"/>
                <w:sz w:val="24"/>
                <w:szCs w:val="24"/>
                <w:lang w:val="en-US" w:eastAsia="zh-CN" w:bidi="ar-SA"/>
              </w:rPr>
              <w:t>4</w:t>
            </w:r>
            <w:r>
              <w:rPr>
                <w:rFonts w:hint="eastAsia" w:ascii="Times New Roman" w:hAnsi="Times New Roman" w:eastAsia="宋体" w:cs="Times New Roman"/>
                <w:color w:val="000000"/>
                <w:kern w:val="2"/>
                <w:sz w:val="24"/>
                <w:szCs w:val="24"/>
                <w:lang w:val="en-US" w:eastAsia="zh-CN" w:bidi="ar-SA"/>
              </w:rPr>
              <w:t>h</w:t>
            </w:r>
            <w:r>
              <w:rPr>
                <w:rFonts w:hint="eastAsia" w:ascii="Times New Roman" w:hAnsi="Times New Roman" w:eastAsia="宋体" w:cs="Times New Roman"/>
                <w:color w:val="000000"/>
                <w:sz w:val="24"/>
                <w:szCs w:val="24"/>
              </w:rPr>
              <w:t>，</w:t>
            </w:r>
            <w:r>
              <w:rPr>
                <w:rFonts w:hint="default" w:ascii="Times New Roman" w:hAnsi="Times New Roman" w:eastAsia="宋体" w:cs="Times New Roman"/>
                <w:color w:val="000000"/>
                <w:kern w:val="2"/>
                <w:sz w:val="24"/>
                <w:szCs w:val="24"/>
                <w:lang w:val="en-US" w:eastAsia="zh-CN" w:bidi="ar-SA"/>
              </w:rPr>
              <w:t>浸泡时间短，当天泡发当天使用，生产过程不伴随发酵过程，故不会因发酵产生大量气味物质；豆浆、腐竹</w:t>
            </w:r>
            <w:r>
              <w:rPr>
                <w:rFonts w:hint="eastAsia" w:ascii="Times New Roman" w:hAnsi="Times New Roman" w:eastAsia="宋体" w:cs="Times New Roman"/>
                <w:color w:val="000000"/>
                <w:kern w:val="2"/>
                <w:sz w:val="24"/>
                <w:szCs w:val="24"/>
                <w:lang w:val="en-US" w:eastAsia="zh-CN" w:bidi="ar-SA"/>
              </w:rPr>
              <w:t>和豆皮</w:t>
            </w:r>
            <w:r>
              <w:rPr>
                <w:rFonts w:hint="default" w:ascii="Times New Roman" w:hAnsi="Times New Roman" w:eastAsia="宋体" w:cs="Times New Roman"/>
                <w:color w:val="000000"/>
                <w:kern w:val="2"/>
                <w:sz w:val="24"/>
                <w:szCs w:val="24"/>
                <w:lang w:val="en-US" w:eastAsia="zh-CN" w:bidi="ar-SA"/>
              </w:rPr>
              <w:t>转运均使用移动式容器盛装，不会渗漏大量浆液到外界中；每班次生产完成后均对生产设备及地面进行进行清洗，清洗废水经污水处理站处理后排放；本项目已与周边养殖户周新举数人达成初步合作协议，由其负责本项目的</w:t>
            </w:r>
            <w:r>
              <w:rPr>
                <w:rFonts w:hint="eastAsia" w:ascii="Times New Roman" w:hAnsi="Times New Roman" w:eastAsia="宋体" w:cs="Times New Roman"/>
                <w:color w:val="000000"/>
                <w:kern w:val="2"/>
                <w:sz w:val="24"/>
                <w:szCs w:val="24"/>
                <w:lang w:val="en-US" w:eastAsia="zh-CN" w:bidi="ar-SA"/>
              </w:rPr>
              <w:t>脱壳</w:t>
            </w:r>
            <w:r>
              <w:rPr>
                <w:rFonts w:hint="default" w:ascii="Times New Roman" w:hAnsi="Times New Roman" w:eastAsia="宋体" w:cs="Times New Roman"/>
                <w:color w:val="000000"/>
                <w:kern w:val="2"/>
                <w:sz w:val="24"/>
                <w:szCs w:val="24"/>
                <w:lang w:val="en-US" w:eastAsia="zh-CN" w:bidi="ar-SA"/>
              </w:rPr>
              <w:t>豆皮、</w:t>
            </w:r>
            <w:r>
              <w:rPr>
                <w:rFonts w:hint="eastAsia" w:ascii="Times New Roman" w:hAnsi="Times New Roman" w:eastAsia="宋体" w:cs="Times New Roman"/>
                <w:color w:val="000000"/>
                <w:kern w:val="2"/>
                <w:sz w:val="24"/>
                <w:szCs w:val="24"/>
                <w:lang w:val="en-US" w:eastAsia="zh-CN" w:bidi="ar-SA"/>
              </w:rPr>
              <w:t>拉皮废豆皮、</w:t>
            </w:r>
            <w:r>
              <w:rPr>
                <w:rFonts w:hint="default" w:ascii="Times New Roman" w:hAnsi="Times New Roman" w:eastAsia="宋体" w:cs="Times New Roman"/>
                <w:color w:val="000000"/>
                <w:kern w:val="2"/>
                <w:sz w:val="24"/>
                <w:szCs w:val="24"/>
                <w:lang w:val="en-US" w:eastAsia="zh-CN" w:bidi="ar-SA"/>
              </w:rPr>
              <w:t>豆渣、剩余浆液清运，日常清运不少于1次，高温季节时，适当增加转运次数，日清运次数不少于2次，并由其提供胶袋收集，集满收口密封，不会出现因</w:t>
            </w:r>
            <w:r>
              <w:rPr>
                <w:rFonts w:hint="eastAsia" w:ascii="Times New Roman" w:hAnsi="Times New Roman" w:eastAsia="宋体" w:cs="Times New Roman"/>
                <w:color w:val="000000"/>
                <w:kern w:val="2"/>
                <w:sz w:val="24"/>
                <w:szCs w:val="24"/>
                <w:lang w:val="en-US" w:eastAsia="zh-CN" w:bidi="ar-SA"/>
              </w:rPr>
              <w:t>脱壳</w:t>
            </w:r>
            <w:r>
              <w:rPr>
                <w:rFonts w:hint="default" w:ascii="Times New Roman" w:hAnsi="Times New Roman" w:eastAsia="宋体" w:cs="Times New Roman"/>
                <w:color w:val="000000"/>
                <w:kern w:val="2"/>
                <w:sz w:val="24"/>
                <w:szCs w:val="24"/>
                <w:lang w:val="en-US" w:eastAsia="zh-CN" w:bidi="ar-SA"/>
              </w:rPr>
              <w:t>豆皮、</w:t>
            </w:r>
            <w:r>
              <w:rPr>
                <w:rFonts w:hint="eastAsia" w:ascii="Times New Roman" w:hAnsi="Times New Roman" w:eastAsia="宋体" w:cs="Times New Roman"/>
                <w:color w:val="000000"/>
                <w:kern w:val="2"/>
                <w:sz w:val="24"/>
                <w:szCs w:val="24"/>
                <w:lang w:val="en-US" w:eastAsia="zh-CN" w:bidi="ar-SA"/>
              </w:rPr>
              <w:t>拉皮废豆皮、</w:t>
            </w:r>
            <w:r>
              <w:rPr>
                <w:rFonts w:hint="default" w:ascii="Times New Roman" w:hAnsi="Times New Roman" w:eastAsia="宋体" w:cs="Times New Roman"/>
                <w:color w:val="000000"/>
                <w:kern w:val="2"/>
                <w:sz w:val="24"/>
                <w:szCs w:val="24"/>
                <w:lang w:val="en-US" w:eastAsia="zh-CN" w:bidi="ar-SA"/>
              </w:rPr>
              <w:t>豆渣及剩余浆液堆积问题带来的大量气味问题。而且，本项目仅使用黄豆</w:t>
            </w:r>
            <w:r>
              <w:rPr>
                <w:rFonts w:hint="eastAsia" w:ascii="Times New Roman" w:hAnsi="Times New Roman" w:eastAsia="宋体" w:cs="Times New Roman"/>
                <w:color w:val="000000"/>
                <w:kern w:val="2"/>
                <w:sz w:val="24"/>
                <w:szCs w:val="24"/>
                <w:lang w:val="en-US" w:eastAsia="zh-CN" w:bidi="ar-SA"/>
              </w:rPr>
              <w:t>生产腐竹，使用豆粕粉</w:t>
            </w:r>
            <w:r>
              <w:rPr>
                <w:rFonts w:hint="default" w:ascii="Times New Roman" w:hAnsi="Times New Roman" w:eastAsia="宋体" w:cs="Times New Roman"/>
                <w:color w:val="000000"/>
                <w:kern w:val="2"/>
                <w:sz w:val="24"/>
                <w:szCs w:val="24"/>
                <w:lang w:val="en-US" w:eastAsia="zh-CN" w:bidi="ar-SA"/>
              </w:rPr>
              <w:t>生产</w:t>
            </w:r>
            <w:r>
              <w:rPr>
                <w:rFonts w:hint="eastAsia" w:ascii="Times New Roman" w:hAnsi="Times New Roman" w:eastAsia="宋体" w:cs="Times New Roman"/>
                <w:color w:val="000000"/>
                <w:kern w:val="2"/>
                <w:sz w:val="24"/>
                <w:szCs w:val="24"/>
                <w:lang w:val="en-US" w:eastAsia="zh-CN" w:bidi="ar-SA"/>
              </w:rPr>
              <w:t>豆皮</w:t>
            </w:r>
            <w:r>
              <w:rPr>
                <w:rFonts w:hint="default" w:ascii="Times New Roman" w:hAnsi="Times New Roman" w:eastAsia="宋体" w:cs="Times New Roman"/>
                <w:color w:val="000000"/>
                <w:kern w:val="2"/>
                <w:sz w:val="24"/>
                <w:szCs w:val="24"/>
                <w:lang w:val="en-US" w:eastAsia="zh-CN" w:bidi="ar-SA"/>
              </w:rPr>
              <w:t>，不添加香精等气味较大的物质，故生产过程仅有少量</w:t>
            </w:r>
            <w:r>
              <w:rPr>
                <w:rFonts w:hint="eastAsia" w:ascii="Times New Roman" w:hAnsi="Times New Roman" w:eastAsia="宋体" w:cs="Times New Roman"/>
                <w:color w:val="000000"/>
                <w:kern w:val="2"/>
                <w:sz w:val="24"/>
                <w:szCs w:val="24"/>
                <w:lang w:val="en-US" w:eastAsia="zh-CN" w:bidi="ar-SA"/>
              </w:rPr>
              <w:t>腐竹气味和豆皮气味</w:t>
            </w:r>
            <w:r>
              <w:rPr>
                <w:rFonts w:hint="default" w:ascii="Times New Roman" w:hAnsi="Times New Roman" w:eastAsia="宋体" w:cs="Times New Roman"/>
                <w:color w:val="000000"/>
                <w:kern w:val="2"/>
                <w:sz w:val="24"/>
                <w:szCs w:val="24"/>
                <w:lang w:val="en-US" w:eastAsia="zh-CN" w:bidi="ar-SA"/>
              </w:rPr>
              <w:t>产生（以臭气浓度表征，产生浓度≤20，无量纲）。由于豆浆味道较轻，产生量也较少，加强车间通风后气味扩散较快，对周围环境影响不大。</w:t>
            </w:r>
          </w:p>
          <w:p>
            <w:pPr>
              <w:spacing w:line="360" w:lineRule="auto"/>
              <w:ind w:firstLine="480"/>
              <w:rPr>
                <w:rFonts w:ascii="Times New Roman" w:hAnsi="Times New Roman" w:eastAsia="宋体" w:cs="Times New Roman"/>
                <w:color w:val="000000"/>
                <w:kern w:val="0"/>
                <w:sz w:val="24"/>
                <w:szCs w:val="21"/>
              </w:rPr>
            </w:pPr>
            <w:r>
              <w:rPr>
                <w:rFonts w:hint="eastAsia" w:ascii="宋体" w:hAnsi="宋体" w:eastAsia="宋体" w:cs="宋体"/>
                <w:color w:val="000000"/>
                <w:kern w:val="0"/>
                <w:sz w:val="24"/>
                <w:szCs w:val="21"/>
              </w:rPr>
              <w:t>⑥</w:t>
            </w:r>
            <w:r>
              <w:rPr>
                <w:rFonts w:hint="eastAsia" w:ascii="Times New Roman" w:hAnsi="Times New Roman" w:eastAsia="宋体" w:cs="Times New Roman"/>
                <w:color w:val="000000"/>
                <w:kern w:val="0"/>
                <w:sz w:val="24"/>
                <w:szCs w:val="21"/>
              </w:rPr>
              <w:t>污水处理站恶臭</w:t>
            </w:r>
          </w:p>
          <w:p>
            <w:pPr>
              <w:spacing w:line="360" w:lineRule="auto"/>
              <w:ind w:firstLine="480"/>
              <w:rPr>
                <w:rFonts w:hint="eastAsia" w:ascii="Times New Roman" w:hAnsi="Times New Roman" w:eastAsia="宋体" w:cs="Times New Roman"/>
                <w:b/>
                <w:color w:val="000000"/>
                <w:kern w:val="2"/>
                <w:sz w:val="21"/>
                <w:szCs w:val="21"/>
                <w:lang w:val="en-US" w:eastAsia="zh-CN" w:bidi="ar-SA"/>
              </w:rPr>
            </w:pPr>
            <w:r>
              <w:rPr>
                <w:rFonts w:hint="eastAsia" w:ascii="Times New Roman" w:hAnsi="Times New Roman" w:eastAsia="宋体" w:cs="Times New Roman"/>
                <w:color w:val="000000"/>
                <w:kern w:val="0"/>
                <w:sz w:val="24"/>
                <w:szCs w:val="21"/>
              </w:rPr>
              <w:t>本项目污水处理站会产生恶臭气体，污水处理、污泥中的恶臭污染物主要成分为硫化氢、按等，废气主要来源于污水、污泥中有机物的分解、发酵过程中散发的恶臭物质，污水处理装置中硫化氢和氨气含量很低，但仍会有部分恶臭气体以无组织排放的形式进入大气。企业拟在各水处理池加盖板封闭，只在盖板上预留进、出气口，同时企业在厂区边界加强绿化，经以上措施后，类比同类污水处理厂恶臭污染物无组织排放数据，并通过核算，</w:t>
            </w:r>
            <w:r>
              <w:rPr>
                <w:rFonts w:hint="eastAsia" w:ascii="Times New Roman" w:hAnsi="Times New Roman" w:cs="Times New Roman"/>
                <w:color w:val="000000"/>
                <w:kern w:val="0"/>
                <w:sz w:val="24"/>
                <w:szCs w:val="21"/>
                <w:lang w:val="en-US" w:eastAsia="zh-CN"/>
              </w:rPr>
              <w:t>本项目污水处理站年工作5400h，</w:t>
            </w:r>
            <w:r>
              <w:rPr>
                <w:rFonts w:hint="eastAsia" w:ascii="Times New Roman" w:hAnsi="Times New Roman" w:eastAsia="宋体" w:cs="Times New Roman"/>
                <w:color w:val="000000"/>
                <w:kern w:val="0"/>
                <w:sz w:val="24"/>
                <w:szCs w:val="21"/>
              </w:rPr>
              <w:t>得出本项目恶臭无组织排放源强见下表：</w:t>
            </w:r>
          </w:p>
          <w:p>
            <w:pPr>
              <w:widowControl w:val="0"/>
              <w:spacing w:line="240" w:lineRule="auto"/>
              <w:ind w:firstLine="0" w:firstLineChars="0"/>
              <w:jc w:val="center"/>
              <w:rPr>
                <w:rFonts w:ascii="Times New Roman" w:hAnsi="Times New Roman" w:eastAsia="宋体" w:cs="Times New Roman"/>
                <w:b/>
                <w:color w:val="000000"/>
                <w:kern w:val="2"/>
                <w:sz w:val="21"/>
                <w:szCs w:val="21"/>
                <w:lang w:val="en-US" w:eastAsia="zh-CN" w:bidi="ar-SA"/>
              </w:rPr>
            </w:pPr>
            <w:r>
              <w:rPr>
                <w:rFonts w:hint="eastAsia" w:ascii="Times New Roman" w:hAnsi="Times New Roman" w:eastAsia="宋体" w:cs="Times New Roman"/>
                <w:b/>
                <w:color w:val="000000"/>
                <w:kern w:val="2"/>
                <w:sz w:val="21"/>
                <w:szCs w:val="21"/>
                <w:lang w:val="en-US" w:eastAsia="zh-CN" w:bidi="ar-SA"/>
              </w:rPr>
              <w:t>表4-4  恶臭无组织排放源强</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2068"/>
              <w:gridCol w:w="2287"/>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0" w:type="pct"/>
                  <w:noWrap w:val="0"/>
                  <w:vAlign w:val="center"/>
                </w:tcPr>
                <w:p>
                  <w:pPr>
                    <w:widowControl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污染源</w:t>
                  </w:r>
                </w:p>
              </w:tc>
              <w:tc>
                <w:tcPr>
                  <w:tcW w:w="1251" w:type="pct"/>
                  <w:noWrap w:val="0"/>
                  <w:vAlign w:val="center"/>
                </w:tcPr>
                <w:p>
                  <w:pPr>
                    <w:widowControl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污染物</w:t>
                  </w:r>
                </w:p>
              </w:tc>
              <w:tc>
                <w:tcPr>
                  <w:tcW w:w="1383" w:type="pct"/>
                  <w:noWrap w:val="0"/>
                  <w:vAlign w:val="center"/>
                </w:tcPr>
                <w:p>
                  <w:pPr>
                    <w:widowControl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排放量（t/a）</w:t>
                  </w:r>
                </w:p>
              </w:tc>
              <w:tc>
                <w:tcPr>
                  <w:tcW w:w="1123" w:type="pct"/>
                  <w:noWrap w:val="0"/>
                  <w:vAlign w:val="center"/>
                </w:tcPr>
                <w:p>
                  <w:pPr>
                    <w:widowControl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排放速率（</w:t>
                  </w:r>
                  <w:r>
                    <w:rPr>
                      <w:rFonts w:ascii="Times New Roman" w:hAnsi="Times New Roman" w:eastAsia="宋体" w:cs="Times New Roman"/>
                      <w:color w:val="000000"/>
                      <w:kern w:val="2"/>
                      <w:sz w:val="21"/>
                      <w:szCs w:val="21"/>
                      <w:lang w:val="en-US" w:eastAsia="zh-CN" w:bidi="ar-SA"/>
                    </w:rPr>
                    <w:t>kg/h</w:t>
                  </w:r>
                  <w:r>
                    <w:rPr>
                      <w:rFonts w:hint="eastAsia" w:ascii="Times New Roman" w:hAnsi="Times New Roman" w:eastAsia="宋体" w:cs="Times New Roman"/>
                      <w:color w:val="000000"/>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0" w:type="pct"/>
                  <w:vMerge w:val="restart"/>
                  <w:noWrap w:val="0"/>
                  <w:vAlign w:val="center"/>
                </w:tcPr>
                <w:p>
                  <w:pPr>
                    <w:widowControl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污水处理站</w:t>
                  </w:r>
                </w:p>
              </w:tc>
              <w:tc>
                <w:tcPr>
                  <w:tcW w:w="1251" w:type="pct"/>
                  <w:noWrap w:val="0"/>
                  <w:vAlign w:val="center"/>
                </w:tcPr>
                <w:p>
                  <w:pPr>
                    <w:widowControl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NH</w:t>
                  </w:r>
                  <w:r>
                    <w:rPr>
                      <w:rFonts w:ascii="Times New Roman" w:hAnsi="Times New Roman" w:eastAsia="宋体" w:cs="Times New Roman"/>
                      <w:color w:val="000000"/>
                      <w:kern w:val="2"/>
                      <w:sz w:val="21"/>
                      <w:szCs w:val="21"/>
                      <w:vertAlign w:val="subscript"/>
                      <w:lang w:val="en-US" w:eastAsia="zh-CN" w:bidi="ar-SA"/>
                    </w:rPr>
                    <w:t>3</w:t>
                  </w:r>
                </w:p>
              </w:tc>
              <w:tc>
                <w:tcPr>
                  <w:tcW w:w="1383" w:type="pct"/>
                  <w:noWrap w:val="0"/>
                  <w:vAlign w:val="center"/>
                </w:tcPr>
                <w:p>
                  <w:pPr>
                    <w:widowControl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0.0096</w:t>
                  </w:r>
                </w:p>
              </w:tc>
              <w:tc>
                <w:tcPr>
                  <w:tcW w:w="1123" w:type="pct"/>
                  <w:noWrap w:val="0"/>
                  <w:vAlign w:val="center"/>
                </w:tcPr>
                <w:p>
                  <w:pPr>
                    <w:widowControl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0.</w:t>
                  </w:r>
                  <w:r>
                    <w:rPr>
                      <w:rFonts w:hint="eastAsia" w:ascii="Times New Roman" w:hAnsi="Times New Roman" w:eastAsia="宋体" w:cs="Times New Roman"/>
                      <w:color w:val="000000"/>
                      <w:kern w:val="2"/>
                      <w:sz w:val="21"/>
                      <w:szCs w:val="21"/>
                      <w:lang w:val="en-US" w:eastAsia="zh-CN" w:bidi="ar-SA"/>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0" w:type="pct"/>
                  <w:vMerge w:val="continue"/>
                  <w:noWrap w:val="0"/>
                  <w:vAlign w:val="center"/>
                </w:tcPr>
                <w:p>
                  <w:pPr>
                    <w:widowControl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p>
              </w:tc>
              <w:tc>
                <w:tcPr>
                  <w:tcW w:w="1251" w:type="pct"/>
                  <w:noWrap w:val="0"/>
                  <w:vAlign w:val="center"/>
                </w:tcPr>
                <w:p>
                  <w:pPr>
                    <w:widowControl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H</w:t>
                  </w:r>
                  <w:r>
                    <w:rPr>
                      <w:rFonts w:ascii="Times New Roman" w:hAnsi="Times New Roman" w:eastAsia="宋体" w:cs="Times New Roman"/>
                      <w:color w:val="000000"/>
                      <w:kern w:val="2"/>
                      <w:sz w:val="21"/>
                      <w:szCs w:val="21"/>
                      <w:vertAlign w:val="subscript"/>
                      <w:lang w:val="en-US" w:eastAsia="zh-CN" w:bidi="ar-SA"/>
                    </w:rPr>
                    <w:t>2</w:t>
                  </w:r>
                  <w:r>
                    <w:rPr>
                      <w:rFonts w:ascii="Times New Roman" w:hAnsi="Times New Roman" w:eastAsia="宋体" w:cs="Times New Roman"/>
                      <w:color w:val="000000"/>
                      <w:kern w:val="2"/>
                      <w:sz w:val="21"/>
                      <w:szCs w:val="21"/>
                      <w:lang w:val="en-US" w:eastAsia="zh-CN" w:bidi="ar-SA"/>
                    </w:rPr>
                    <w:t>S</w:t>
                  </w:r>
                </w:p>
              </w:tc>
              <w:tc>
                <w:tcPr>
                  <w:tcW w:w="1383" w:type="pct"/>
                  <w:noWrap w:val="0"/>
                  <w:vAlign w:val="center"/>
                </w:tcPr>
                <w:p>
                  <w:pPr>
                    <w:widowControl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0.00072</w:t>
                  </w:r>
                </w:p>
              </w:tc>
              <w:tc>
                <w:tcPr>
                  <w:tcW w:w="1123" w:type="pct"/>
                  <w:noWrap w:val="0"/>
                  <w:vAlign w:val="center"/>
                </w:tcPr>
                <w:p>
                  <w:pPr>
                    <w:widowControl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0.00</w:t>
                  </w:r>
                  <w:r>
                    <w:rPr>
                      <w:rFonts w:hint="eastAsia" w:ascii="Times New Roman" w:hAnsi="Times New Roman" w:eastAsia="宋体" w:cs="Times New Roman"/>
                      <w:color w:val="000000"/>
                      <w:kern w:val="2"/>
                      <w:sz w:val="21"/>
                      <w:szCs w:val="21"/>
                      <w:lang w:val="en-US" w:eastAsia="zh-CN" w:bidi="ar-SA"/>
                    </w:rPr>
                    <w:t>013</w:t>
                  </w:r>
                </w:p>
              </w:tc>
            </w:tr>
          </w:tbl>
          <w:p>
            <w:pPr>
              <w:numPr>
                <w:ilvl w:val="0"/>
                <w:numId w:val="0"/>
              </w:numPr>
              <w:adjustRightInd w:val="0"/>
              <w:spacing w:line="360" w:lineRule="auto"/>
              <w:ind w:firstLine="480" w:firstLineChars="200"/>
              <w:textAlignment w:val="baseline"/>
              <w:rPr>
                <w:rFonts w:hint="default" w:ascii="Times New Roman" w:hAnsi="Times New Roman" w:eastAsia="新宋体" w:cs="Times New Roman"/>
                <w:bCs/>
                <w:sz w:val="24"/>
                <w:szCs w:val="24"/>
                <w:lang w:val="en-US" w:eastAsia="zh-CN"/>
              </w:rPr>
            </w:pPr>
            <w:r>
              <w:rPr>
                <w:rFonts w:hint="default" w:ascii="Times New Roman" w:hAnsi="Times New Roman" w:eastAsia="新宋体" w:cs="Times New Roman"/>
                <w:bCs/>
                <w:sz w:val="24"/>
                <w:szCs w:val="24"/>
                <w:lang w:val="en-US" w:eastAsia="zh-CN"/>
              </w:rPr>
              <w:t>⑦混合搅拌工段主要原料为豆粕粉、食盐和水，经搅拌调制成面絮状。在搅拌过程中因加水作为粘合剂，则搅拌过程中无粉尘产生，粉尘产生环节主要为投料过程中产生的少量粉尘。</w:t>
            </w:r>
          </w:p>
          <w:p>
            <w:pPr>
              <w:numPr>
                <w:ilvl w:val="0"/>
                <w:numId w:val="0"/>
              </w:numPr>
              <w:adjustRightInd w:val="0"/>
              <w:spacing w:line="360" w:lineRule="auto"/>
              <w:ind w:firstLine="480" w:firstLineChars="200"/>
              <w:textAlignment w:val="baseline"/>
              <w:rPr>
                <w:rFonts w:hint="default" w:ascii="Times New Roman" w:hAnsi="Times New Roman" w:eastAsia="新宋体" w:cs="Times New Roman"/>
                <w:bCs/>
                <w:sz w:val="24"/>
                <w:szCs w:val="24"/>
                <w:lang w:val="en-US" w:eastAsia="zh-CN"/>
              </w:rPr>
            </w:pPr>
            <w:r>
              <w:rPr>
                <w:rFonts w:hint="default" w:ascii="Times New Roman" w:hAnsi="Times New Roman" w:eastAsia="新宋体" w:cs="Times New Roman"/>
                <w:bCs/>
                <w:sz w:val="24"/>
                <w:szCs w:val="24"/>
                <w:lang w:val="en-US" w:eastAsia="zh-CN"/>
              </w:rPr>
              <w:t>项目原料均由人工投料至搅拌机，在人工投入面粉时会产生极少数粉尘，评价建议人工投</w:t>
            </w:r>
            <w:r>
              <w:rPr>
                <w:rFonts w:hint="eastAsia" w:ascii="Times New Roman" w:hAnsi="Times New Roman" w:eastAsia="新宋体" w:cs="Times New Roman"/>
                <w:bCs/>
                <w:sz w:val="24"/>
                <w:szCs w:val="24"/>
                <w:lang w:val="en-US" w:eastAsia="zh-CN"/>
              </w:rPr>
              <w:t>料时注意请到落差，减少粉尘量产生，</w:t>
            </w:r>
            <w:r>
              <w:rPr>
                <w:rFonts w:hint="default" w:ascii="Times New Roman" w:hAnsi="Times New Roman" w:eastAsia="宋体" w:cs="Times New Roman"/>
                <w:color w:val="000000"/>
                <w:kern w:val="2"/>
                <w:sz w:val="24"/>
                <w:szCs w:val="24"/>
                <w:lang w:val="en-US" w:eastAsia="zh-CN" w:bidi="ar-SA"/>
              </w:rPr>
              <w:t>对外界影响较小，可满足</w:t>
            </w:r>
            <w:r>
              <w:rPr>
                <w:rFonts w:cs="Times New Roman"/>
                <w:color w:val="000000"/>
                <w:sz w:val="24"/>
              </w:rPr>
              <w:t>《大气污染物综合排放标准》</w:t>
            </w: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GB1629</w:t>
            </w:r>
            <w:r>
              <w:rPr>
                <w:rFonts w:hint="default" w:ascii="Times New Roman" w:hAnsi="Times New Roman" w:eastAsia="宋体" w:cs="Times New Roman"/>
                <w:color w:val="000000"/>
                <w:kern w:val="2"/>
                <w:sz w:val="24"/>
                <w:szCs w:val="24"/>
                <w:lang w:val="en-US" w:eastAsia="zh-CN" w:bidi="ar-SA"/>
              </w:rPr>
              <w:t>7-</w:t>
            </w:r>
            <w:r>
              <w:rPr>
                <w:rFonts w:hint="eastAsia" w:ascii="Times New Roman" w:hAnsi="Times New Roman" w:eastAsia="宋体" w:cs="Times New Roman"/>
                <w:color w:val="000000"/>
                <w:kern w:val="2"/>
                <w:sz w:val="24"/>
                <w:szCs w:val="24"/>
                <w:lang w:val="en-US" w:eastAsia="zh-CN" w:bidi="ar-SA"/>
              </w:rPr>
              <w:t>1996</w:t>
            </w:r>
            <w:r>
              <w:rPr>
                <w:rFonts w:hint="default" w:ascii="Times New Roman" w:hAnsi="Times New Roman" w:eastAsia="宋体" w:cs="Times New Roman"/>
                <w:color w:val="000000"/>
                <w:kern w:val="2"/>
                <w:sz w:val="24"/>
                <w:szCs w:val="24"/>
                <w:lang w:val="en-US" w:eastAsia="zh-CN" w:bidi="ar-SA"/>
              </w:rPr>
              <w:t>）无组织排放监控浓度限值要求，因此本次评价不对其进行定量分析。</w:t>
            </w:r>
          </w:p>
          <w:p>
            <w:pPr>
              <w:numPr>
                <w:ilvl w:val="0"/>
                <w:numId w:val="0"/>
              </w:numPr>
              <w:adjustRightInd w:val="0"/>
              <w:spacing w:line="360" w:lineRule="auto"/>
              <w:ind w:firstLine="480" w:firstLineChars="200"/>
              <w:textAlignment w:val="baseline"/>
              <w:rPr>
                <w:rFonts w:hint="default" w:ascii="Times New Roman" w:hAnsi="Times New Roman" w:eastAsia="新宋体" w:cs="Times New Roman"/>
                <w:bCs/>
                <w:sz w:val="24"/>
                <w:szCs w:val="24"/>
                <w:lang w:val="en-US" w:eastAsia="zh-CN"/>
              </w:rPr>
            </w:pPr>
            <w:r>
              <w:rPr>
                <w:rFonts w:hint="default" w:ascii="Times New Roman" w:hAnsi="Times New Roman" w:eastAsia="新宋体" w:cs="Times New Roman"/>
                <w:bCs/>
                <w:sz w:val="24"/>
                <w:szCs w:val="24"/>
                <w:lang w:val="en-US" w:eastAsia="zh-CN"/>
              </w:rPr>
              <w:t>⑧油烟废气</w:t>
            </w:r>
          </w:p>
          <w:p>
            <w:pPr>
              <w:numPr>
                <w:ilvl w:val="0"/>
                <w:numId w:val="0"/>
              </w:numPr>
              <w:adjustRightInd w:val="0"/>
              <w:spacing w:line="360" w:lineRule="auto"/>
              <w:ind w:firstLine="480" w:firstLineChars="200"/>
              <w:textAlignment w:val="baseline"/>
              <w:rPr>
                <w:rFonts w:hint="eastAsia" w:cs="Times New Roman"/>
                <w:lang w:val="en-US" w:eastAsia="zh-CN"/>
              </w:rPr>
            </w:pPr>
            <w:r>
              <w:rPr>
                <w:rFonts w:hint="default" w:ascii="Times New Roman" w:hAnsi="Times New Roman" w:eastAsia="新宋体" w:cs="Times New Roman"/>
                <w:bCs/>
                <w:sz w:val="24"/>
                <w:szCs w:val="24"/>
              </w:rPr>
              <w:t>本项目职工食堂用餐人数约</w:t>
            </w:r>
            <w:r>
              <w:rPr>
                <w:rFonts w:hint="default" w:ascii="Times New Roman" w:hAnsi="Times New Roman" w:eastAsia="新宋体" w:cs="Times New Roman"/>
                <w:bCs/>
                <w:sz w:val="24"/>
                <w:szCs w:val="24"/>
                <w:lang w:val="en-US" w:eastAsia="zh-CN"/>
              </w:rPr>
              <w:t>30</w:t>
            </w:r>
            <w:r>
              <w:rPr>
                <w:rFonts w:hint="default" w:ascii="Times New Roman" w:hAnsi="Times New Roman" w:eastAsia="新宋体" w:cs="Times New Roman"/>
                <w:bCs/>
                <w:sz w:val="24"/>
                <w:szCs w:val="24"/>
              </w:rPr>
              <w:t>人，厨房采用</w:t>
            </w:r>
            <w:r>
              <w:rPr>
                <w:rFonts w:hint="default" w:ascii="Times New Roman" w:hAnsi="Times New Roman" w:eastAsia="新宋体" w:cs="Times New Roman"/>
                <w:sz w:val="24"/>
                <w:szCs w:val="24"/>
              </w:rPr>
              <w:t>管道</w:t>
            </w:r>
            <w:r>
              <w:rPr>
                <w:rFonts w:hint="default" w:ascii="Times New Roman" w:hAnsi="Times New Roman" w:eastAsia="新宋体" w:cs="Times New Roman"/>
                <w:sz w:val="24"/>
                <w:szCs w:val="24"/>
                <w:lang w:val="en-US" w:eastAsia="zh-CN"/>
              </w:rPr>
              <w:t>天然气</w:t>
            </w:r>
            <w:r>
              <w:rPr>
                <w:rFonts w:hint="default" w:ascii="Times New Roman" w:hAnsi="Times New Roman" w:eastAsia="新宋体" w:cs="Times New Roman"/>
                <w:sz w:val="24"/>
                <w:szCs w:val="24"/>
              </w:rPr>
              <w:t>做为燃料，</w:t>
            </w:r>
            <w:r>
              <w:rPr>
                <w:rFonts w:hint="default" w:ascii="Times New Roman" w:hAnsi="Times New Roman" w:eastAsia="新宋体" w:cs="Times New Roman"/>
                <w:bCs/>
                <w:sz w:val="24"/>
                <w:szCs w:val="24"/>
              </w:rPr>
              <w:t>厨房设有</w:t>
            </w:r>
            <w:r>
              <w:rPr>
                <w:rFonts w:hint="default" w:ascii="Times New Roman" w:hAnsi="Times New Roman" w:eastAsia="新宋体" w:cs="Times New Roman"/>
                <w:kern w:val="0"/>
                <w:sz w:val="24"/>
                <w:szCs w:val="24"/>
              </w:rPr>
              <w:t>单眼炒炉、双眼双撑炒菜炉1-2座，</w:t>
            </w:r>
            <w:r>
              <w:rPr>
                <w:rFonts w:hint="default" w:ascii="Times New Roman" w:hAnsi="Times New Roman" w:eastAsia="新宋体" w:cs="Times New Roman"/>
                <w:sz w:val="24"/>
                <w:szCs w:val="24"/>
              </w:rPr>
              <w:t>其余为加热量较小的蒸柜、煲仔炉。以下按就餐人数</w:t>
            </w:r>
            <w:r>
              <w:rPr>
                <w:rFonts w:hint="default" w:ascii="Times New Roman" w:hAnsi="Times New Roman" w:eastAsia="新宋体" w:cs="Times New Roman"/>
                <w:sz w:val="24"/>
                <w:szCs w:val="24"/>
                <w:lang w:val="en-US" w:eastAsia="zh-CN"/>
              </w:rPr>
              <w:t>30</w:t>
            </w:r>
            <w:r>
              <w:rPr>
                <w:rFonts w:hint="default" w:ascii="Times New Roman" w:hAnsi="Times New Roman" w:eastAsia="新宋体" w:cs="Times New Roman"/>
                <w:sz w:val="24"/>
                <w:szCs w:val="24"/>
              </w:rPr>
              <w:t>人分析，项每人每日消耗食油约为30g/d·人，则项目烹饪过程食油消耗量为</w:t>
            </w:r>
            <w:r>
              <w:rPr>
                <w:rFonts w:hint="eastAsia" w:ascii="Times New Roman" w:hAnsi="Times New Roman" w:eastAsia="新宋体" w:cs="Times New Roman"/>
                <w:sz w:val="24"/>
                <w:szCs w:val="24"/>
                <w:lang w:val="en-US" w:eastAsia="zh-CN"/>
              </w:rPr>
              <w:t>270</w:t>
            </w:r>
            <w:r>
              <w:rPr>
                <w:rFonts w:hint="default" w:ascii="Times New Roman" w:hAnsi="Times New Roman" w:eastAsia="新宋体" w:cs="Times New Roman"/>
                <w:sz w:val="24"/>
                <w:szCs w:val="24"/>
              </w:rPr>
              <w:t>kg/a。厨房所排油烟废气中油烟含量相对较低，一般占耗油量的1.2%，则项目产生的油烟量约为</w:t>
            </w:r>
            <w:r>
              <w:rPr>
                <w:rFonts w:hint="eastAsia" w:ascii="Times New Roman" w:hAnsi="Times New Roman" w:eastAsia="新宋体" w:cs="Times New Roman"/>
                <w:sz w:val="24"/>
                <w:szCs w:val="24"/>
                <w:lang w:val="en-US" w:eastAsia="zh-CN"/>
              </w:rPr>
              <w:t>3.24</w:t>
            </w:r>
            <w:r>
              <w:rPr>
                <w:rFonts w:hint="default" w:ascii="Times New Roman" w:hAnsi="Times New Roman" w:eastAsia="新宋体" w:cs="Times New Roman"/>
                <w:sz w:val="24"/>
                <w:szCs w:val="24"/>
              </w:rPr>
              <w:t>kg/a，</w:t>
            </w:r>
            <w:r>
              <w:rPr>
                <w:rFonts w:hint="default" w:ascii="Times New Roman" w:hAnsi="Times New Roman" w:eastAsia="新宋体" w:cs="Times New Roman"/>
                <w:color w:val="000000"/>
                <w:sz w:val="24"/>
                <w:szCs w:val="24"/>
              </w:rPr>
              <w:t>根据同类项目污染物排放情况类比，油烟</w:t>
            </w:r>
            <w:r>
              <w:rPr>
                <w:rFonts w:hint="default" w:ascii="Times New Roman" w:hAnsi="Times New Roman" w:eastAsia="新宋体" w:cs="Times New Roman"/>
                <w:bCs/>
                <w:color w:val="000000"/>
                <w:sz w:val="24"/>
                <w:szCs w:val="24"/>
              </w:rPr>
              <w:t>浓度约为</w:t>
            </w:r>
            <w:r>
              <w:rPr>
                <w:rFonts w:hint="default" w:ascii="Times New Roman" w:hAnsi="Times New Roman" w:eastAsia="新宋体" w:cs="Times New Roman"/>
                <w:bCs/>
                <w:color w:val="000000"/>
                <w:sz w:val="24"/>
                <w:szCs w:val="24"/>
                <w:lang w:val="en-US" w:eastAsia="zh-CN"/>
              </w:rPr>
              <w:t>4.5</w:t>
            </w:r>
            <w:r>
              <w:rPr>
                <w:rFonts w:hint="default" w:ascii="Times New Roman" w:hAnsi="Times New Roman" w:eastAsia="新宋体" w:cs="Times New Roman"/>
                <w:sz w:val="24"/>
                <w:szCs w:val="24"/>
              </w:rPr>
              <w:t>mg/m</w:t>
            </w:r>
            <w:r>
              <w:rPr>
                <w:rFonts w:hint="default" w:ascii="Times New Roman" w:hAnsi="Times New Roman" w:eastAsia="新宋体" w:cs="Times New Roman"/>
                <w:sz w:val="24"/>
                <w:szCs w:val="24"/>
                <w:vertAlign w:val="superscript"/>
              </w:rPr>
              <w:t>3</w:t>
            </w:r>
            <w:r>
              <w:rPr>
                <w:rFonts w:hint="default" w:ascii="Times New Roman" w:hAnsi="Times New Roman" w:eastAsia="新宋体" w:cs="Times New Roman"/>
                <w:sz w:val="24"/>
                <w:szCs w:val="24"/>
              </w:rPr>
              <w:t>。项目在厨房安装油烟净化器（净化效率不小于60%），厨房油烟经油烟净化器处理之后引至所在楼层排放，油烟排放量为</w:t>
            </w:r>
            <w:r>
              <w:rPr>
                <w:rFonts w:hint="eastAsia" w:ascii="Times New Roman" w:hAnsi="Times New Roman" w:eastAsia="新宋体" w:cs="Times New Roman"/>
                <w:sz w:val="24"/>
                <w:szCs w:val="24"/>
                <w:lang w:val="en-US" w:eastAsia="zh-CN"/>
              </w:rPr>
              <w:t>1.296</w:t>
            </w:r>
            <w:r>
              <w:rPr>
                <w:rFonts w:hint="default" w:ascii="Times New Roman" w:hAnsi="Times New Roman" w:eastAsia="新宋体" w:cs="Times New Roman"/>
                <w:sz w:val="24"/>
                <w:szCs w:val="24"/>
              </w:rPr>
              <w:t>kg/a，排放浓度约为</w:t>
            </w:r>
            <w:r>
              <w:rPr>
                <w:rFonts w:hint="eastAsia" w:ascii="Times New Roman" w:hAnsi="Times New Roman" w:eastAsia="新宋体" w:cs="Times New Roman"/>
                <w:sz w:val="24"/>
                <w:szCs w:val="24"/>
                <w:lang w:val="en-US" w:eastAsia="zh-CN"/>
              </w:rPr>
              <w:t>1.8</w:t>
            </w:r>
            <w:r>
              <w:rPr>
                <w:rFonts w:hint="default" w:ascii="Times New Roman" w:hAnsi="Times New Roman" w:eastAsia="新宋体" w:cs="Times New Roman"/>
                <w:sz w:val="24"/>
                <w:szCs w:val="24"/>
              </w:rPr>
              <w:t>mg/m</w:t>
            </w:r>
            <w:r>
              <w:rPr>
                <w:rFonts w:hint="default" w:ascii="Times New Roman" w:hAnsi="Times New Roman" w:eastAsia="新宋体" w:cs="Times New Roman"/>
                <w:sz w:val="24"/>
                <w:szCs w:val="24"/>
                <w:vertAlign w:val="superscript"/>
              </w:rPr>
              <w:t>3</w:t>
            </w:r>
            <w:r>
              <w:rPr>
                <w:rFonts w:hint="default" w:ascii="Times New Roman" w:hAnsi="Times New Roman" w:eastAsia="新宋体" w:cs="Times New Roman"/>
                <w:sz w:val="24"/>
                <w:szCs w:val="24"/>
              </w:rPr>
              <w:t>。</w:t>
            </w:r>
          </w:p>
          <w:p>
            <w:pPr>
              <w:adjustRightInd w:val="0"/>
              <w:spacing w:line="348"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cs="Times New Roman"/>
                <w:color w:val="000000"/>
                <w:kern w:val="0"/>
                <w:sz w:val="24"/>
                <w:szCs w:val="24"/>
                <w:lang w:eastAsia="zh-CN"/>
              </w:rPr>
              <w:t>（</w:t>
            </w:r>
            <w:r>
              <w:rPr>
                <w:rFonts w:hint="eastAsia" w:ascii="Times New Roman" w:hAnsi="Times New Roman" w:cs="Times New Roman"/>
                <w:color w:val="000000"/>
                <w:kern w:val="0"/>
                <w:sz w:val="24"/>
                <w:szCs w:val="24"/>
                <w:lang w:val="en-US" w:eastAsia="zh-CN"/>
              </w:rPr>
              <w:t>2</w:t>
            </w:r>
            <w:r>
              <w:rPr>
                <w:rFonts w:hint="eastAsia" w:ascii="Times New Roman" w:hAnsi="Times New Roman" w:cs="Times New Roman"/>
                <w:color w:val="000000"/>
                <w:kern w:val="0"/>
                <w:sz w:val="24"/>
                <w:szCs w:val="24"/>
                <w:lang w:eastAsia="zh-CN"/>
              </w:rPr>
              <w:t>）</w:t>
            </w:r>
            <w:r>
              <w:rPr>
                <w:rFonts w:hint="eastAsia" w:ascii="Times New Roman" w:hAnsi="Times New Roman" w:eastAsia="宋体" w:cs="Times New Roman"/>
                <w:color w:val="000000"/>
                <w:kern w:val="0"/>
                <w:sz w:val="24"/>
                <w:szCs w:val="24"/>
              </w:rPr>
              <w:t>大气环境影响评价工作等级的确定</w:t>
            </w:r>
          </w:p>
          <w:p>
            <w:pPr>
              <w:adjustRightInd w:val="0"/>
              <w:spacing w:line="348"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依据《环境影响评价技术导则</w:t>
            </w:r>
            <w:r>
              <w:rPr>
                <w:rFonts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rPr>
              <w:t>大气环境》（</w:t>
            </w:r>
            <w:r>
              <w:rPr>
                <w:rFonts w:ascii="Times New Roman" w:hAnsi="Times New Roman" w:eastAsia="宋体" w:cs="Times New Roman"/>
                <w:color w:val="000000"/>
                <w:sz w:val="24"/>
                <w:szCs w:val="24"/>
              </w:rPr>
              <w:t>HJ2.2-2018</w:t>
            </w:r>
            <w:r>
              <w:rPr>
                <w:rFonts w:hint="eastAsia" w:ascii="Times New Roman" w:hAnsi="Times New Roman" w:eastAsia="宋体" w:cs="Times New Roman"/>
                <w:color w:val="000000"/>
                <w:sz w:val="24"/>
                <w:szCs w:val="24"/>
              </w:rPr>
              <w:t>）中</w:t>
            </w:r>
            <w:r>
              <w:rPr>
                <w:rFonts w:ascii="Times New Roman" w:hAnsi="Times New Roman" w:eastAsia="宋体" w:cs="Times New Roman"/>
                <w:color w:val="000000"/>
                <w:sz w:val="24"/>
                <w:szCs w:val="24"/>
              </w:rPr>
              <w:t>5.3</w:t>
            </w:r>
            <w:r>
              <w:rPr>
                <w:rFonts w:hint="eastAsia" w:ascii="Times New Roman" w:hAnsi="Times New Roman" w:eastAsia="宋体" w:cs="Times New Roman"/>
                <w:color w:val="000000"/>
                <w:sz w:val="24"/>
                <w:szCs w:val="24"/>
              </w:rPr>
              <w:t>节工作等级的确定方法，结合项目工程分析结果，选择正常排放的主要污染物及排放参数，采用附录</w:t>
            </w:r>
            <w:r>
              <w:rPr>
                <w:rFonts w:ascii="Times New Roman" w:hAnsi="Times New Roman" w:eastAsia="宋体" w:cs="Times New Roman"/>
                <w:color w:val="000000"/>
                <w:sz w:val="24"/>
                <w:szCs w:val="24"/>
              </w:rPr>
              <w:t>A</w:t>
            </w:r>
            <w:r>
              <w:rPr>
                <w:rFonts w:hint="eastAsia" w:ascii="Times New Roman" w:hAnsi="Times New Roman" w:eastAsia="宋体" w:cs="Times New Roman"/>
                <w:color w:val="000000"/>
                <w:sz w:val="24"/>
                <w:szCs w:val="24"/>
              </w:rPr>
              <w:t>推荐模型中的</w:t>
            </w:r>
            <w:r>
              <w:rPr>
                <w:rFonts w:ascii="Times New Roman" w:hAnsi="Times New Roman" w:eastAsia="宋体" w:cs="Times New Roman"/>
                <w:color w:val="000000"/>
                <w:sz w:val="24"/>
                <w:szCs w:val="24"/>
              </w:rPr>
              <w:t>AERSCREEN</w:t>
            </w:r>
            <w:r>
              <w:rPr>
                <w:rFonts w:hint="eastAsia" w:ascii="Times New Roman" w:hAnsi="Times New Roman" w:eastAsia="宋体" w:cs="Times New Roman"/>
                <w:color w:val="000000"/>
                <w:sz w:val="24"/>
                <w:szCs w:val="24"/>
              </w:rPr>
              <w:t>模式计算项目污染源的最大环境影响，然后按评价工作分级判据进行分级。</w:t>
            </w:r>
          </w:p>
          <w:p>
            <w:pPr>
              <w:widowControl w:val="0"/>
              <w:spacing w:line="348"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①P</w:t>
            </w:r>
            <w:r>
              <w:rPr>
                <w:rFonts w:hint="default" w:ascii="Times New Roman" w:hAnsi="Times New Roman" w:eastAsia="宋体" w:cs="Times New Roman"/>
                <w:color w:val="000000"/>
                <w:kern w:val="2"/>
                <w:sz w:val="24"/>
                <w:szCs w:val="24"/>
                <w:vertAlign w:val="subscript"/>
                <w:lang w:val="en-US" w:eastAsia="zh-CN" w:bidi="ar-SA"/>
              </w:rPr>
              <w:t>max</w:t>
            </w:r>
            <w:r>
              <w:rPr>
                <w:rFonts w:hint="default" w:ascii="Times New Roman" w:hAnsi="Times New Roman" w:eastAsia="宋体" w:cs="Times New Roman"/>
                <w:color w:val="000000"/>
                <w:kern w:val="2"/>
                <w:sz w:val="24"/>
                <w:szCs w:val="24"/>
                <w:lang w:val="en-US" w:eastAsia="zh-CN" w:bidi="ar-SA"/>
              </w:rPr>
              <w:t>及D</w:t>
            </w:r>
            <w:r>
              <w:rPr>
                <w:rFonts w:hint="default" w:ascii="Times New Roman" w:hAnsi="Times New Roman" w:eastAsia="宋体" w:cs="Times New Roman"/>
                <w:color w:val="000000"/>
                <w:kern w:val="2"/>
                <w:sz w:val="24"/>
                <w:szCs w:val="24"/>
                <w:vertAlign w:val="subscript"/>
                <w:lang w:val="en-US" w:eastAsia="zh-CN" w:bidi="ar-SA"/>
              </w:rPr>
              <w:t>10%</w:t>
            </w:r>
            <w:r>
              <w:rPr>
                <w:rFonts w:hint="default" w:ascii="Times New Roman" w:hAnsi="Times New Roman" w:eastAsia="宋体" w:cs="Times New Roman"/>
                <w:color w:val="000000"/>
                <w:kern w:val="2"/>
                <w:sz w:val="24"/>
                <w:szCs w:val="24"/>
                <w:lang w:val="en-US" w:eastAsia="zh-CN" w:bidi="ar-SA"/>
              </w:rPr>
              <w:t>的确定</w:t>
            </w:r>
          </w:p>
          <w:p>
            <w:pPr>
              <w:spacing w:line="348" w:lineRule="auto"/>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依据《环境影响评价技术导则 大气环境》(HJ2.2-2018)中最大地面浓度占标率P</w:t>
            </w:r>
            <w:r>
              <w:rPr>
                <w:rFonts w:hint="default" w:ascii="Times New Roman" w:hAnsi="Times New Roman" w:eastAsia="宋体" w:cs="Times New Roman"/>
                <w:i/>
                <w:color w:val="000000"/>
                <w:sz w:val="24"/>
                <w:szCs w:val="24"/>
              </w:rPr>
              <w:t>i</w:t>
            </w:r>
            <w:r>
              <w:rPr>
                <w:rFonts w:hint="default" w:ascii="Times New Roman" w:hAnsi="Times New Roman" w:eastAsia="宋体" w:cs="Times New Roman"/>
                <w:color w:val="000000"/>
                <w:sz w:val="24"/>
                <w:szCs w:val="24"/>
              </w:rPr>
              <w:t>定义如下：</w:t>
            </w:r>
          </w:p>
          <w:p>
            <w:pPr>
              <w:spacing w:line="240" w:lineRule="auto"/>
              <w:jc w:val="center"/>
              <w:rPr>
                <w:rFonts w:ascii="Times New Roman" w:hAnsi="Times New Roman" w:eastAsia="宋体" w:cs="Times New Roman"/>
                <w:color w:val="000000"/>
                <w:sz w:val="24"/>
                <w:szCs w:val="24"/>
              </w:rPr>
            </w:pPr>
            <m:oMathPara>
              <m:oMath>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0i</m:t>
                        </m:r>
                        <m:ctrlPr>
                          <w:rPr>
                            <w:rFonts w:ascii="Cambria Math" w:hAnsi="Cambria Math"/>
                            <w:i/>
                          </w:rPr>
                        </m:ctrlPr>
                      </m:sub>
                    </m:sSub>
                    <m:ctrlPr>
                      <w:rPr>
                        <w:rFonts w:ascii="Cambria Math" w:hAnsi="Cambria Math"/>
                        <w:i/>
                      </w:rPr>
                    </m:ctrlPr>
                  </m:den>
                </m:f>
                <m:r>
                  <m:rPr/>
                  <w:rPr>
                    <w:rFonts w:ascii="Cambria Math" w:hAnsi="Cambria Math"/>
                  </w:rPr>
                  <m:t>×100%</m:t>
                </m:r>
              </m:oMath>
            </m:oMathPara>
          </w:p>
          <w:p>
            <w:pPr>
              <w:spacing w:line="460" w:lineRule="exact"/>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fldChar w:fldCharType="begin"/>
            </w:r>
            <w:r>
              <w:rPr>
                <w:rFonts w:ascii="Times New Roman" w:hAnsi="Times New Roman" w:eastAsia="宋体" w:cs="Times New Roman"/>
                <w:color w:val="000000"/>
                <w:sz w:val="24"/>
                <w:szCs w:val="24"/>
              </w:rPr>
              <w:instrText xml:space="preserve"> QUOTE </w:instrText>
            </w:r>
            <w:r>
              <w:rPr>
                <w:rFonts w:ascii="Times New Roman" w:hAnsi="Times New Roman" w:eastAsia="宋体" w:cs="Times New Roman"/>
                <w:color w:val="000000"/>
                <w:position w:val="-15"/>
                <w:sz w:val="24"/>
                <w:szCs w:val="24"/>
              </w:rPr>
              <w:pict>
                <v:shape id="_x0000_i1026" o:spt="75" type="#_x0000_t75" style="height:23.25pt;width:9.7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20&quot;/&gt;&lt;w:drawingGridVerticalSpacing w:val=&quot;163&quot;/&gt;&lt;w:displayHorizontalDrawingGridEvery w:val=&quot;2&quot;/&gt;&lt;w:displayVerticalDrawingGridEvery w:val=&quot;2&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7799&quot;/&gt;&lt;wsp:rsid wsp:val=&quot;0003220E&quot;/&gt;&lt;wsp:rsid wsp:val=&quot;00041FC6&quot;/&gt;&lt;wsp:rsid wsp:val=&quot;0005182A&quot;/&gt;&lt;wsp:rsid wsp:val=&quot;00055174&quot;/&gt;&lt;wsp:rsid wsp:val=&quot;00064C91&quot;/&gt;&lt;wsp:rsid wsp:val=&quot;00085AE3&quot;/&gt;&lt;wsp:rsid wsp:val=&quot;00087D37&quot;/&gt;&lt;wsp:rsid wsp:val=&quot;000925F7&quot;/&gt;&lt;wsp:rsid wsp:val=&quot;00096B01&quot;/&gt;&lt;wsp:rsid wsp:val=&quot;000A5613&quot;/&gt;&lt;wsp:rsid wsp:val=&quot;00110596&quot;/&gt;&lt;wsp:rsid wsp:val=&quot;00125609&quot;/&gt;&lt;wsp:rsid wsp:val=&quot;00132FAD&quot;/&gt;&lt;wsp:rsid wsp:val=&quot;001400CC&quot;/&gt;&lt;wsp:rsid wsp:val=&quot;00143CEA&quot;/&gt;&lt;wsp:rsid wsp:val=&quot;00172A27&quot;/&gt;&lt;wsp:rsid wsp:val=&quot;00177A49&quot;/&gt;&lt;wsp:rsid wsp:val=&quot;001926F2&quot;/&gt;&lt;wsp:rsid wsp:val=&quot;001B66BF&quot;/&gt;&lt;wsp:rsid wsp:val=&quot;001C2BD6&quot;/&gt;&lt;wsp:rsid wsp:val=&quot;001C5F3A&quot;/&gt;&lt;wsp:rsid wsp:val=&quot;001D1D04&quot;/&gt;&lt;wsp:rsid wsp:val=&quot;001F4C9A&quot;/&gt;&lt;wsp:rsid wsp:val=&quot;00203AC0&quot;/&gt;&lt;wsp:rsid wsp:val=&quot;00236A52&quot;/&gt;&lt;wsp:rsid wsp:val=&quot;00266BC0&quot;/&gt;&lt;wsp:rsid wsp:val=&quot;00284F82&quot;/&gt;&lt;wsp:rsid wsp:val=&quot;00290962&quot;/&gt;&lt;wsp:rsid wsp:val=&quot;002914D7&quot;/&gt;&lt;wsp:rsid wsp:val=&quot;002A2E8C&quot;/&gt;&lt;wsp:rsid wsp:val=&quot;002D00AD&quot;/&gt;&lt;wsp:rsid wsp:val=&quot;00325CF4&quot;/&gt;&lt;wsp:rsid wsp:val=&quot;00332EC7&quot;/&gt;&lt;wsp:rsid wsp:val=&quot;00342E2A&quot;/&gt;&lt;wsp:rsid wsp:val=&quot;00384BE1&quot;/&gt;&lt;wsp:rsid wsp:val=&quot;003912CE&quot;/&gt;&lt;wsp:rsid wsp:val=&quot;00391FF3&quot;/&gt;&lt;wsp:rsid wsp:val=&quot;003A2A37&quot;/&gt;&lt;wsp:rsid wsp:val=&quot;003C5A93&quot;/&gt;&lt;wsp:rsid wsp:val=&quot;003D3AD3&quot;/&gt;&lt;wsp:rsid wsp:val=&quot;003F2C2E&quot;/&gt;&lt;wsp:rsid wsp:val=&quot;0040616E&quot;/&gt;&lt;wsp:rsid wsp:val=&quot;0044301E&quot;/&gt;&lt;wsp:rsid wsp:val=&quot;00446169&quot;/&gt;&lt;wsp:rsid wsp:val=&quot;00447EEC&quot;/&gt;&lt;wsp:rsid wsp:val=&quot;00465DF1&quot;/&gt;&lt;wsp:rsid wsp:val=&quot;00476680&quot;/&gt;&lt;wsp:rsid wsp:val=&quot;004C1271&quot;/&gt;&lt;wsp:rsid wsp:val=&quot;004E6802&quot;/&gt;&lt;wsp:rsid wsp:val=&quot;004E7680&quot;/&gt;&lt;wsp:rsid wsp:val=&quot;004E7A9C&quot;/&gt;&lt;wsp:rsid wsp:val=&quot;004F232C&quot;/&gt;&lt;wsp:rsid wsp:val=&quot;004F7FF9&quot;/&gt;&lt;wsp:rsid wsp:val=&quot;00500413&quot;/&gt;&lt;wsp:rsid wsp:val=&quot;00511D8F&quot;/&gt;&lt;wsp:rsid wsp:val=&quot;005140F2&quot;/&gt;&lt;wsp:rsid wsp:val=&quot;00536147&quot;/&gt;&lt;wsp:rsid wsp:val=&quot;00583612&quot;/&gt;&lt;wsp:rsid wsp:val=&quot;005A0F3F&quot;/&gt;&lt;wsp:rsid wsp:val=&quot;005A72D5&quot;/&gt;&lt;wsp:rsid wsp:val=&quot;005C3305&quot;/&gt;&lt;wsp:rsid wsp:val=&quot;005D42EF&quot;/&gt;&lt;wsp:rsid wsp:val=&quot;005E0F98&quot;/&gt;&lt;wsp:rsid wsp:val=&quot;005E11F9&quot;/&gt;&lt;wsp:rsid wsp:val=&quot;005F0BF5&quot;/&gt;&lt;wsp:rsid wsp:val=&quot;005F7CE0&quot;/&gt;&lt;wsp:rsid wsp:val=&quot;00606A27&quot;/&gt;&lt;wsp:rsid wsp:val=&quot;00625580&quot;/&gt;&lt;wsp:rsid wsp:val=&quot;00627FD1&quot;/&gt;&lt;wsp:rsid wsp:val=&quot;006374BE&quot;/&gt;&lt;wsp:rsid wsp:val=&quot;00642551&quot;/&gt;&lt;wsp:rsid wsp:val=&quot;006471C6&quot;/&gt;&lt;wsp:rsid wsp:val=&quot;006627A4&quot;/&gt;&lt;wsp:rsid wsp:val=&quot;006713C0&quot;/&gt;&lt;wsp:rsid wsp:val=&quot;0068594A&quot;/&gt;&lt;wsp:rsid wsp:val=&quot;006A4BCE&quot;/&gt;&lt;wsp:rsid wsp:val=&quot;006C5708&quot;/&gt;&lt;wsp:rsid wsp:val=&quot;006D418C&quot;/&gt;&lt;wsp:rsid wsp:val=&quot;006E4591&quot;/&gt;&lt;wsp:rsid wsp:val=&quot;00713C20&quot;/&gt;&lt;wsp:rsid wsp:val=&quot;00747650&quot;/&gt;&lt;wsp:rsid wsp:val=&quot;007534EB&quot;/&gt;&lt;wsp:rsid wsp:val=&quot;00755BD8&quot;/&gt;&lt;wsp:rsid wsp:val=&quot;00762B98&quot;/&gt;&lt;wsp:rsid wsp:val=&quot;007842C1&quot;/&gt;&lt;wsp:rsid wsp:val=&quot;0079019A&quot;/&gt;&lt;wsp:rsid wsp:val=&quot;007930E9&quot;/&gt;&lt;wsp:rsid wsp:val=&quot;007B3419&quot;/&gt;&lt;wsp:rsid wsp:val=&quot;007B793E&quot;/&gt;&lt;wsp:rsid wsp:val=&quot;007D1D1D&quot;/&gt;&lt;wsp:rsid wsp:val=&quot;007D21B8&quot;/&gt;&lt;wsp:rsid wsp:val=&quot;007E4B38&quot;/&gt;&lt;wsp:rsid wsp:val=&quot;007F624B&quot;/&gt;&lt;wsp:rsid wsp:val=&quot;007F7F6F&quot;/&gt;&lt;wsp:rsid wsp:val=&quot;0080023B&quot;/&gt;&lt;wsp:rsid wsp:val=&quot;00802344&quot;/&gt;&lt;wsp:rsid wsp:val=&quot;00810AE7&quot;/&gt;&lt;wsp:rsid wsp:val=&quot;008206E3&quot;/&gt;&lt;wsp:rsid wsp:val=&quot;00833F3E&quot;/&gt;&lt;wsp:rsid wsp:val=&quot;00847374&quot;/&gt;&lt;wsp:rsid wsp:val=&quot;00854BB1&quot;/&gt;&lt;wsp:rsid wsp:val=&quot;00880750&quot;/&gt;&lt;wsp:rsid wsp:val=&quot;00881DC4&quot;/&gt;&lt;wsp:rsid wsp:val=&quot;00885D1B&quot;/&gt;&lt;wsp:rsid wsp:val=&quot;008A3849&quot;/&gt;&lt;wsp:rsid wsp:val=&quot;008D3E46&quot;/&gt;&lt;wsp:rsid wsp:val=&quot;008D6872&quot;/&gt;&lt;wsp:rsid wsp:val=&quot;008E17C5&quot;/&gt;&lt;wsp:rsid wsp:val=&quot;008F34D6&quot;/&gt;&lt;wsp:rsid wsp:val=&quot;00911C51&quot;/&gt;&lt;wsp:rsid wsp:val=&quot;00942A8D&quot;/&gt;&lt;wsp:rsid wsp:val=&quot;00951BCD&quot;/&gt;&lt;wsp:rsid wsp:val=&quot;009675BA&quot;/&gt;&lt;wsp:rsid wsp:val=&quot;00977DC6&quot;/&gt;&lt;wsp:rsid wsp:val=&quot;00994AE4&quot;/&gt;&lt;wsp:rsid wsp:val=&quot;009B4FE5&quot;/&gt;&lt;wsp:rsid wsp:val=&quot;009D2E29&quot;/&gt;&lt;wsp:rsid wsp:val=&quot;009E7FAC&quot;/&gt;&lt;wsp:rsid wsp:val=&quot;00A0747A&quot;/&gt;&lt;wsp:rsid wsp:val=&quot;00A14031&quot;/&gt;&lt;wsp:rsid wsp:val=&quot;00A17E8D&quot;/&gt;&lt;wsp:rsid wsp:val=&quot;00A24EC6&quot;/&gt;&lt;wsp:rsid wsp:val=&quot;00A25907&quot;/&gt;&lt;wsp:rsid wsp:val=&quot;00A27198&quot;/&gt;&lt;wsp:rsid wsp:val=&quot;00A6478A&quot;/&gt;&lt;wsp:rsid wsp:val=&quot;00A72BE0&quot;/&gt;&lt;wsp:rsid wsp:val=&quot;00A75690&quot;/&gt;&lt;wsp:rsid wsp:val=&quot;00A956A8&quot;/&gt;&lt;wsp:rsid wsp:val=&quot;00AE7D56&quot;/&gt;&lt;wsp:rsid wsp:val=&quot;00AF5D5A&quot;/&gt;&lt;wsp:rsid wsp:val=&quot;00B6067F&quot;/&gt;&lt;wsp:rsid wsp:val=&quot;00B71148&quot;/&gt;&lt;wsp:rsid wsp:val=&quot;00B729C9&quot;/&gt;&lt;wsp:rsid wsp:val=&quot;00B772AB&quot;/&gt;&lt;wsp:rsid wsp:val=&quot;00BA34CB&quot;/&gt;&lt;wsp:rsid wsp:val=&quot;00BB04F5&quot;/&gt;&lt;wsp:rsid wsp:val=&quot;00BD2343&quot;/&gt;&lt;wsp:rsid wsp:val=&quot;00BE3470&quot;/&gt;&lt;wsp:rsid wsp:val=&quot;00BE3DDD&quot;/&gt;&lt;wsp:rsid wsp:val=&quot;00BE46E2&quot;/&gt;&lt;wsp:rsid wsp:val=&quot;00BF3138&quot;/&gt;&lt;wsp:rsid wsp:val=&quot;00C01E6E&quot;/&gt;&lt;wsp:rsid wsp:val=&quot;00C04A83&quot;/&gt;&lt;wsp:rsid wsp:val=&quot;00C164C9&quot;/&gt;&lt;wsp:rsid wsp:val=&quot;00C335F1&quot;/&gt;&lt;wsp:rsid wsp:val=&quot;00C572D1&quot;/&gt;&lt;wsp:rsid wsp:val=&quot;00C64B1D&quot;/&gt;&lt;wsp:rsid wsp:val=&quot;00C76A85&quot;/&gt;&lt;wsp:rsid wsp:val=&quot;00C9712C&quot;/&gt;&lt;wsp:rsid wsp:val=&quot;00CA702E&quot;/&gt;&lt;wsp:rsid wsp:val=&quot;00CC0E30&quot;/&gt;&lt;wsp:rsid wsp:val=&quot;00CC6F9A&quot;/&gt;&lt;wsp:rsid wsp:val=&quot;00CE3DBA&quot;/&gt;&lt;wsp:rsid wsp:val=&quot;00CF2C88&quot;/&gt;&lt;wsp:rsid wsp:val=&quot;00D301CA&quot;/&gt;&lt;wsp:rsid wsp:val=&quot;00D43350&quot;/&gt;&lt;wsp:rsid wsp:val=&quot;00D70EF4&quot;/&gt;&lt;wsp:rsid wsp:val=&quot;00D8025C&quot;/&gt;&lt;wsp:rsid wsp:val=&quot;00D85C3B&quot;/&gt;&lt;wsp:rsid wsp:val=&quot;00D85FB4&quot;/&gt;&lt;wsp:rsid wsp:val=&quot;00DC58DD&quot;/&gt;&lt;wsp:rsid wsp:val=&quot;00DD4D11&quot;/&gt;&lt;wsp:rsid wsp:val=&quot;00E07445&quot;/&gt;&lt;wsp:rsid wsp:val=&quot;00E100D0&quot;/&gt;&lt;wsp:rsid wsp:val=&quot;00E31A2C&quot;/&gt;&lt;wsp:rsid wsp:val=&quot;00E33D25&quot;/&gt;&lt;wsp:rsid wsp:val=&quot;00E51F0F&quot;/&gt;&lt;wsp:rsid wsp:val=&quot;00E62292&quot;/&gt;&lt;wsp:rsid wsp:val=&quot;00E92378&quot;/&gt;&lt;wsp:rsid wsp:val=&quot;00EA1A89&quot;/&gt;&lt;wsp:rsid wsp:val=&quot;00EA3325&quot;/&gt;&lt;wsp:rsid wsp:val=&quot;00EA3589&quot;/&gt;&lt;wsp:rsid wsp:val=&quot;00EC2BDA&quot;/&gt;&lt;wsp:rsid wsp:val=&quot;00ED35C7&quot;/&gt;&lt;wsp:rsid wsp:val=&quot;00ED42B6&quot;/&gt;&lt;wsp:rsid wsp:val=&quot;00EE32AF&quot;/&gt;&lt;wsp:rsid wsp:val=&quot;00EE5253&quot;/&gt;&lt;wsp:rsid wsp:val=&quot;00F104D1&quot;/&gt;&lt;wsp:rsid wsp:val=&quot;00F2677F&quot;/&gt;&lt;wsp:rsid wsp:val=&quot;00F33270&quot;/&gt;&lt;wsp:rsid wsp:val=&quot;00F4011F&quot;/&gt;&lt;wsp:rsid wsp:val=&quot;00F44CB1&quot;/&gt;&lt;wsp:rsid wsp:val=&quot;00F44EDE&quot;/&gt;&lt;wsp:rsid wsp:val=&quot;00F622A0&quot;/&gt;&lt;wsp:rsid wsp:val=&quot;00F75CF1&quot;/&gt;&lt;wsp:rsid wsp:val=&quot;00F82078&quot;/&gt;&lt;wsp:rsid wsp:val=&quot;00FC25BE&quot;/&gt;&lt;wsp:rsid wsp:val=&quot;00FF7FCC&quot;/&gt;&lt;wsp:rsid wsp:val=&quot;0103434B&quot;/&gt;&lt;wsp:rsid wsp:val=&quot;01253230&quot;/&gt;&lt;wsp:rsid wsp:val=&quot;01426AEA&quot;/&gt;&lt;wsp:rsid wsp:val=&quot;01455E23&quot;/&gt;&lt;wsp:rsid wsp:val=&quot;014C2352&quot;/&gt;&lt;wsp:rsid wsp:val=&quot;015B4BE0&quot;/&gt;&lt;wsp:rsid wsp:val=&quot;01747637&quot;/&gt;&lt;wsp:rsid wsp:val=&quot;01781E17&quot;/&gt;&lt;wsp:rsid wsp:val=&quot;01992DF2&quot;/&gt;&lt;wsp:rsid wsp:val=&quot;01C90B3E&quot;/&gt;&lt;wsp:rsid wsp:val=&quot;01E64538&quot;/&gt;&lt;wsp:rsid wsp:val=&quot;01E976C2&quot;/&gt;&lt;wsp:rsid wsp:val=&quot;01EC0A3E&quot;/&gt;&lt;wsp:rsid wsp:val=&quot;01F56E1D&quot;/&gt;&lt;wsp:rsid wsp:val=&quot;020557CF&quot;/&gt;&lt;wsp:rsid wsp:val=&quot;02254DFB&quot;/&gt;&lt;wsp:rsid wsp:val=&quot;02286248&quot;/&gt;&lt;wsp:rsid wsp:val=&quot;022C5747&quot;/&gt;&lt;wsp:rsid wsp:val=&quot;027D0BC3&quot;/&gt;&lt;wsp:rsid wsp:val=&quot;028A10E9&quot;/&gt;&lt;wsp:rsid wsp:val=&quot;02C65A23&quot;/&gt;&lt;wsp:rsid wsp:val=&quot;02D26338&quot;/&gt;&lt;wsp:rsid wsp:val=&quot;02F94132&quot;/&gt;&lt;wsp:rsid wsp:val=&quot;03064C46&quot;/&gt;&lt;wsp:rsid wsp:val=&quot;030832E0&quot;/&gt;&lt;wsp:rsid wsp:val=&quot;031814B1&quot;/&gt;&lt;wsp:rsid wsp:val=&quot;0319633C&quot;/&gt;&lt;wsp:rsid wsp:val=&quot;034E01D8&quot;/&gt;&lt;wsp:rsid wsp:val=&quot;035173AC&quot;/&gt;&lt;wsp:rsid wsp:val=&quot;035464C7&quot;/&gt;&lt;wsp:rsid wsp:val=&quot;035723C9&quot;/&gt;&lt;wsp:rsid wsp:val=&quot;035C45EC&quot;/&gt;&lt;wsp:rsid wsp:val=&quot;0361208F&quot;/&gt;&lt;wsp:rsid wsp:val=&quot;036B692E&quot;/&gt;&lt;wsp:rsid wsp:val=&quot;039061B5&quot;/&gt;&lt;wsp:rsid wsp:val=&quot;03A032E0&quot;/&gt;&lt;wsp:rsid wsp:val=&quot;03BC1713&quot;/&gt;&lt;wsp:rsid wsp:val=&quot;03CD5519&quot;/&gt;&lt;wsp:rsid wsp:val=&quot;03CF0B53&quot;/&gt;&lt;wsp:rsid wsp:val=&quot;03DF2D5F&quot;/&gt;&lt;wsp:rsid wsp:val=&quot;0406184B&quot;/&gt;&lt;wsp:rsid wsp:val=&quot;042A297F&quot;/&gt;&lt;wsp:rsid wsp:val=&quot;04301080&quot;/&gt;&lt;wsp:rsid wsp:val=&quot;043054B0&quot;/&gt;&lt;wsp:rsid wsp:val=&quot;043704B9&quot;/&gt;&lt;wsp:rsid wsp:val=&quot;043C1DED&quot;/&gt;&lt;wsp:rsid wsp:val=&quot;045F5C25&quot;/&gt;&lt;wsp:rsid wsp:val=&quot;046A41ED&quot;/&gt;&lt;wsp:rsid wsp:val=&quot;04790465&quot;/&gt;&lt;wsp:rsid wsp:val=&quot;04865A35&quot;/&gt;&lt;wsp:rsid wsp:val=&quot;049C43C2&quot;/&gt;&lt;wsp:rsid wsp:val=&quot;04B108A3&quot;/&gt;&lt;wsp:rsid wsp:val=&quot;04CF7070&quot;/&gt;&lt;wsp:rsid wsp:val=&quot;04D467FB&quot;/&gt;&lt;wsp:rsid wsp:val=&quot;04E961EB&quot;/&gt;&lt;wsp:rsid wsp:val=&quot;04F74491&quot;/&gt;&lt;wsp:rsid wsp:val=&quot;04FD67E9&quot;/&gt;&lt;wsp:rsid wsp:val=&quot;051A37A4&quot;/&gt;&lt;wsp:rsid wsp:val=&quot;0534279B&quot;/&gt;&lt;wsp:rsid wsp:val=&quot;0578543F&quot;/&gt;&lt;wsp:rsid wsp:val=&quot;059751B2&quot;/&gt;&lt;wsp:rsid wsp:val=&quot;05DD046E&quot;/&gt;&lt;wsp:rsid wsp:val=&quot;05F6233E&quot;/&gt;&lt;wsp:rsid wsp:val=&quot;06001288&quot;/&gt;&lt;wsp:rsid wsp:val=&quot;060507E5&quot;/&gt;&lt;wsp:rsid wsp:val=&quot;061435E8&quot;/&gt;&lt;wsp:rsid wsp:val=&quot;0632638E&quot;/&gt;&lt;wsp:rsid wsp:val=&quot;065705A3&quot;/&gt;&lt;wsp:rsid wsp:val=&quot;065B310D&quot;/&gt;&lt;wsp:rsid wsp:val=&quot;06624D87&quot;/&gt;&lt;wsp:rsid wsp:val=&quot;06833976&quot;/&gt;&lt;wsp:rsid wsp:val=&quot;0692592D&quot;/&gt;&lt;wsp:rsid wsp:val=&quot;069B500E&quot;/&gt;&lt;wsp:rsid wsp:val=&quot;06A7622B&quot;/&gt;&lt;wsp:rsid wsp:val=&quot;06EF5BA1&quot;/&gt;&lt;wsp:rsid wsp:val=&quot;07045B89&quot;/&gt;&lt;wsp:rsid wsp:val=&quot;070E1A61&quot;/&gt;&lt;wsp:rsid wsp:val=&quot;072948AA&quot;/&gt;&lt;wsp:rsid wsp:val=&quot;073E608F&quot;/&gt;&lt;wsp:rsid wsp:val=&quot;077F37B5&quot;/&gt;&lt;wsp:rsid wsp:val=&quot;07A67F78&quot;/&gt;&lt;wsp:rsid wsp:val=&quot;07C9055F&quot;/&gt;&lt;wsp:rsid wsp:val=&quot;07D730E2&quot;/&gt;&lt;wsp:rsid wsp:val=&quot;07DF598A&quot;/&gt;&lt;wsp:rsid wsp:val=&quot;07E92CE3&quot;/&gt;&lt;wsp:rsid wsp:val=&quot;08167D1F&quot;/&gt;&lt;wsp:rsid wsp:val=&quot;08251774&quot;/&gt;&lt;wsp:rsid wsp:val=&quot;084C407C&quot;/&gt;&lt;wsp:rsid wsp:val=&quot;085619F1&quot;/&gt;&lt;wsp:rsid wsp:val=&quot;08A5021A&quot;/&gt;&lt;wsp:rsid wsp:val=&quot;08A92F74&quot;/&gt;&lt;wsp:rsid wsp:val=&quot;08AA53C2&quot;/&gt;&lt;wsp:rsid wsp:val=&quot;091571A1&quot;/&gt;&lt;wsp:rsid wsp:val=&quot;092C337E&quot;/&gt;&lt;wsp:rsid wsp:val=&quot;09624D89&quot;/&gt;&lt;wsp:rsid wsp:val=&quot;09715EDE&quot;/&gt;&lt;wsp:rsid wsp:val=&quot;09745559&quot;/&gt;&lt;wsp:rsid wsp:val=&quot;098348BB&quot;/&gt;&lt;wsp:rsid wsp:val=&quot;098521BC&quot;/&gt;&lt;wsp:rsid wsp:val=&quot;098F180D&quot;/&gt;&lt;wsp:rsid wsp:val=&quot;09B86DD8&quot;/&gt;&lt;wsp:rsid wsp:val=&quot;09CB0BE6&quot;/&gt;&lt;wsp:rsid wsp:val=&quot;09D30D74&quot;/&gt;&lt;wsp:rsid wsp:val=&quot;0A005396&quot;/&gt;&lt;wsp:rsid wsp:val=&quot;0A06731D&quot;/&gt;&lt;wsp:rsid wsp:val=&quot;0A0929B7&quot;/&gt;&lt;wsp:rsid wsp:val=&quot;0A0A71C2&quot;/&gt;&lt;wsp:rsid wsp:val=&quot;0A1512F2&quot;/&gt;&lt;wsp:rsid wsp:val=&quot;0A3965FA&quot;/&gt;&lt;wsp:rsid wsp:val=&quot;0A3B6D46&quot;/&gt;&lt;wsp:rsid wsp:val=&quot;0A421131&quot;/&gt;&lt;wsp:rsid wsp:val=&quot;0A432CAD&quot;/&gt;&lt;wsp:rsid wsp:val=&quot;0A4D7104&quot;/&gt;&lt;wsp:rsid wsp:val=&quot;0A5907FD&quot;/&gt;&lt;wsp:rsid wsp:val=&quot;0A5F4FDC&quot;/&gt;&lt;wsp:rsid wsp:val=&quot;0A7601EE&quot;/&gt;&lt;wsp:rsid wsp:val=&quot;0A956BBE&quot;/&gt;&lt;wsp:rsid wsp:val=&quot;0A965875&quot;/&gt;&lt;wsp:rsid wsp:val=&quot;0A9E7959&quot;/&gt;&lt;wsp:rsid wsp:val=&quot;0AF42CE3&quot;/&gt;&lt;wsp:rsid wsp:val=&quot;0B3D1CB6&quot;/&gt;&lt;wsp:rsid wsp:val=&quot;0B7C1ADB&quot;/&gt;&lt;wsp:rsid wsp:val=&quot;0B8F635E&quot;/&gt;&lt;wsp:rsid wsp:val=&quot;0B8F714B&quot;/&gt;&lt;wsp:rsid wsp:val=&quot;0B906419&quot;/&gt;&lt;wsp:rsid wsp:val=&quot;0BA80E71&quot;/&gt;&lt;wsp:rsid wsp:val=&quot;0BB134E6&quot;/&gt;&lt;wsp:rsid wsp:val=&quot;0BCA20D6&quot;/&gt;&lt;wsp:rsid wsp:val=&quot;0BCC1E8C&quot;/&gt;&lt;wsp:rsid wsp:val=&quot;0BD17169&quot;/&gt;&lt;wsp:rsid wsp:val=&quot;0C294FA6&quot;/&gt;&lt;wsp:rsid wsp:val=&quot;0C450190&quot;/&gt;&lt;wsp:rsid wsp:val=&quot;0C77661E&quot;/&gt;&lt;wsp:rsid wsp:val=&quot;0C7942B2&quot;/&gt;&lt;wsp:rsid wsp:val=&quot;0C797972&quot;/&gt;&lt;wsp:rsid wsp:val=&quot;0C7A2689&quot;/&gt;&lt;wsp:rsid wsp:val=&quot;0C7C6C01&quot;/&gt;&lt;wsp:rsid wsp:val=&quot;0C813314&quot;/&gt;&lt;wsp:rsid wsp:val=&quot;0C843F25&quot;/&gt;&lt;wsp:rsid wsp:val=&quot;0C9F2A76&quot;/&gt;&lt;wsp:rsid wsp:val=&quot;0CAB2232&quot;/&gt;&lt;wsp:rsid wsp:val=&quot;0CB03390&quot;/&gt;&lt;wsp:rsid wsp:val=&quot;0CB75961&quot;/&gt;&lt;wsp:rsid wsp:val=&quot;0CBF45B4&quot;/&gt;&lt;wsp:rsid wsp:val=&quot;0CC87762&quot;/&gt;&lt;wsp:rsid wsp:val=&quot;0CCB2113&quot;/&gt;&lt;wsp:rsid wsp:val=&quot;0CD8682A&quot;/&gt;&lt;wsp:rsid wsp:val=&quot;0CE27989&quot;/&gt;&lt;wsp:rsid wsp:val=&quot;0D013923&quot;/&gt;&lt;wsp:rsid wsp:val=&quot;0D0535F3&quot;/&gt;&lt;wsp:rsid wsp:val=&quot;0D375803&quot;/&gt;&lt;wsp:rsid wsp:val=&quot;0D434DE7&quot;/&gt;&lt;wsp:rsid wsp:val=&quot;0D652531&quot;/&gt;&lt;wsp:rsid wsp:val=&quot;0D752A3C&quot;/&gt;&lt;wsp:rsid wsp:val=&quot;0D947AB0&quot;/&gt;&lt;wsp:rsid wsp:val=&quot;0DA518FF&quot;/&gt;&lt;wsp:rsid wsp:val=&quot;0DB679CB&quot;/&gt;&lt;wsp:rsid wsp:val=&quot;0DC056D2&quot;/&gt;&lt;wsp:rsid wsp:val=&quot;0DED3D64&quot;/&gt;&lt;wsp:rsid wsp:val=&quot;0DEF466B&quot;/&gt;&lt;wsp:rsid wsp:val=&quot;0E155E13&quot;/&gt;&lt;wsp:rsid wsp:val=&quot;0E3A0399&quot;/&gt;&lt;wsp:rsid wsp:val=&quot;0E412652&quot;/&gt;&lt;wsp:rsid wsp:val=&quot;0E4C4CB0&quot;/&gt;&lt;wsp:rsid wsp:val=&quot;0E784CF2&quot;/&gt;&lt;wsp:rsid wsp:val=&quot;0E93799B&quot;/&gt;&lt;wsp:rsid wsp:val=&quot;0EBE1A91&quot;/&gt;&lt;wsp:rsid wsp:val=&quot;0ED93AE8&quot;/&gt;&lt;wsp:rsid wsp:val=&quot;0EDE0F52&quot;/&gt;&lt;wsp:rsid wsp:val=&quot;0F04144F&quot;/&gt;&lt;wsp:rsid wsp:val=&quot;0F17310F&quot;/&gt;&lt;wsp:rsid wsp:val=&quot;0F3C5FB6&quot;/&gt;&lt;wsp:rsid wsp:val=&quot;0F404B70&quot;/&gt;&lt;wsp:rsid wsp:val=&quot;0F687166&quot;/&gt;&lt;wsp:rsid wsp:val=&quot;0F6E01C5&quot;/&gt;&lt;wsp:rsid wsp:val=&quot;0F7E13CD&quot;/&gt;&lt;wsp:rsid wsp:val=&quot;0F8F1C0B&quot;/&gt;&lt;wsp:rsid wsp:val=&quot;0FB47DE7&quot;/&gt;&lt;wsp:rsid wsp:val=&quot;0FCC517C&quot;/&gt;&lt;wsp:rsid wsp:val=&quot;100A42E4&quot;/&gt;&lt;wsp:rsid wsp:val=&quot;1045096A&quot;/&gt;&lt;wsp:rsid wsp:val=&quot;10457D81&quot;/&gt;&lt;wsp:rsid wsp:val=&quot;104D38B6&quot;/&gt;&lt;wsp:rsid wsp:val=&quot;106A5F4D&quot;/&gt;&lt;wsp:rsid wsp:val=&quot;107766C4&quot;/&gt;&lt;wsp:rsid wsp:val=&quot;1094132B&quot;/&gt;&lt;wsp:rsid wsp:val=&quot;10952B8A&quot;/&gt;&lt;wsp:rsid wsp:val=&quot;10A75110&quot;/&gt;&lt;wsp:rsid wsp:val=&quot;10C05269&quot;/&gt;&lt;wsp:rsid wsp:val=&quot;110B68D5&quot;/&gt;&lt;wsp:rsid wsp:val=&quot;111A766A&quot;/&gt;&lt;wsp:rsid wsp:val=&quot;113178C9&quot;/&gt;&lt;wsp:rsid wsp:val=&quot;114625AD&quot;/&gt;&lt;wsp:rsid wsp:val=&quot;11513B54&quot;/&gt;&lt;wsp:rsid wsp:val=&quot;11691708&quot;/&gt;&lt;wsp:rsid wsp:val=&quot;11787F03&quot;/&gt;&lt;wsp:rsid wsp:val=&quot;118C2366&quot;/&gt;&lt;wsp:rsid wsp:val=&quot;11A96D61&quot;/&gt;&lt;wsp:rsid wsp:val=&quot;11C26013&quot;/&gt;&lt;wsp:rsid wsp:val=&quot;11C467FC&quot;/&gt;&lt;wsp:rsid wsp:val=&quot;11F043C1&quot;/&gt;&lt;wsp:rsid wsp:val=&quot;11F24DFD&quot;/&gt;&lt;wsp:rsid wsp:val=&quot;121054D1&quot;/&gt;&lt;wsp:rsid wsp:val=&quot;12396B5A&quot;/&gt;&lt;wsp:rsid wsp:val=&quot;1254539C&quot;/&gt;&lt;wsp:rsid wsp:val=&quot;12704774&quot;/&gt;&lt;wsp:rsid wsp:val=&quot;128B267E&quot;/&gt;&lt;wsp:rsid wsp:val=&quot;129E76D2&quot;/&gt;&lt;wsp:rsid wsp:val=&quot;129F0CCC&quot;/&gt;&lt;wsp:rsid wsp:val=&quot;12A7263D&quot;/&gt;&lt;wsp:rsid wsp:val=&quot;12DE7B6C&quot;/&gt;&lt;wsp:rsid wsp:val=&quot;12EA6F16&quot;/&gt;&lt;wsp:rsid wsp:val=&quot;132C4EFB&quot;/&gt;&lt;wsp:rsid wsp:val=&quot;135A5F55&quot;/&gt;&lt;wsp:rsid wsp:val=&quot;13BC1186&quot;/&gt;&lt;wsp:rsid wsp:val=&quot;13D62F71&quot;/&gt;&lt;wsp:rsid wsp:val=&quot;13E73634&quot;/&gt;&lt;wsp:rsid wsp:val=&quot;13EB5A6E&quot;/&gt;&lt;wsp:rsid wsp:val=&quot;13F313B9&quot;/&gt;&lt;wsp:rsid wsp:val=&quot;140C0C24&quot;/&gt;&lt;wsp:rsid wsp:val=&quot;1411193A&quot;/&gt;&lt;wsp:rsid wsp:val=&quot;142D58CD&quot;/&gt;&lt;wsp:rsid wsp:val=&quot;14496E97&quot;/&gt;&lt;wsp:rsid wsp:val=&quot;144D3707&quot;/&gt;&lt;wsp:rsid wsp:val=&quot;14514364&quot;/&gt;&lt;wsp:rsid wsp:val=&quot;146362D7&quot;/&gt;&lt;wsp:rsid wsp:val=&quot;14770915&quot;/&gt;&lt;wsp:rsid wsp:val=&quot;14773EFB&quot;/&gt;&lt;wsp:rsid wsp:val=&quot;14955E10&quot;/&gt;&lt;wsp:rsid wsp:val=&quot;149910E2&quot;/&gt;&lt;wsp:rsid wsp:val=&quot;14A820D8&quot;/&gt;&lt;wsp:rsid wsp:val=&quot;14AE3BFB&quot;/&gt;&lt;wsp:rsid wsp:val=&quot;14B50CB3&quot;/&gt;&lt;wsp:rsid wsp:val=&quot;14C81550&quot;/&gt;&lt;wsp:rsid wsp:val=&quot;14DA3EB7&quot;/&gt;&lt;wsp:rsid wsp:val=&quot;14E10F52&quot;/&gt;&lt;wsp:rsid wsp:val=&quot;14E70D3B&quot;/&gt;&lt;wsp:rsid wsp:val=&quot;150D1A18&quot;/&gt;&lt;wsp:rsid wsp:val=&quot;15271383&quot;/&gt;&lt;wsp:rsid wsp:val=&quot;153F0AE5&quot;/&gt;&lt;wsp:rsid wsp:val=&quot;15621F21&quot;/&gt;&lt;wsp:rsid wsp:val=&quot;15837067&quot;/&gt;&lt;wsp:rsid wsp:val=&quot;15A429B1&quot;/&gt;&lt;wsp:rsid wsp:val=&quot;15E35E1E&quot;/&gt;&lt;wsp:rsid wsp:val=&quot;15ED2A93&quot;/&gt;&lt;wsp:rsid wsp:val=&quot;15F93C84&quot;/&gt;&lt;wsp:rsid wsp:val=&quot;15FC1325&quot;/&gt;&lt;wsp:rsid wsp:val=&quot;161134E2&quot;/&gt;&lt;wsp:rsid wsp:val=&quot;161164C1&quot;/&gt;&lt;wsp:rsid wsp:val=&quot;16306EB4&quot;/&gt;&lt;wsp:rsid wsp:val=&quot;16551C62&quot;/&gt;&lt;wsp:rsid wsp:val=&quot;16562F1D&quot;/&gt;&lt;wsp:rsid wsp:val=&quot;16686812&quot;/&gt;&lt;wsp:rsid wsp:val=&quot;166F352F&quot;/&gt;&lt;wsp:rsid wsp:val=&quot;16A16F01&quot;/&gt;&lt;wsp:rsid wsp:val=&quot;16A251B2&quot;/&gt;&lt;wsp:rsid wsp:val=&quot;16AD3519&quot;/&gt;&lt;wsp:rsid wsp:val=&quot;16B73979&quot;/&gt;&lt;wsp:rsid wsp:val=&quot;16CA1F92&quot;/&gt;&lt;wsp:rsid wsp:val=&quot;16CA4F7F&quot;/&gt;&lt;wsp:rsid wsp:val=&quot;16CC4E97&quot;/&gt;&lt;wsp:rsid wsp:val=&quot;16D2339B&quot;/&gt;&lt;wsp:rsid wsp:val=&quot;170A025D&quot;/&gt;&lt;wsp:rsid wsp:val=&quot;170B62DD&quot;/&gt;&lt;wsp:rsid wsp:val=&quot;17551E6A&quot;/&gt;&lt;wsp:rsid wsp:val=&quot;1757148D&quot;/&gt;&lt;wsp:rsid wsp:val=&quot;176267FA&quot;/&gt;&lt;wsp:rsid wsp:val=&quot;176E15F0&quot;/&gt;&lt;wsp:rsid wsp:val=&quot;17985EA4&quot;/&gt;&lt;wsp:rsid wsp:val=&quot;17A46EA7&quot;/&gt;&lt;wsp:rsid wsp:val=&quot;17B10902&quot;/&gt;&lt;wsp:rsid wsp:val=&quot;17B91351&quot;/&gt;&lt;wsp:rsid wsp:val=&quot;17BD5E05&quot;/&gt;&lt;wsp:rsid wsp:val=&quot;17D33054&quot;/&gt;&lt;wsp:rsid wsp:val=&quot;17E51D74&quot;/&gt;&lt;wsp:rsid wsp:val=&quot;17EA746A&quot;/&gt;&lt;wsp:rsid wsp:val=&quot;17EB2816&quot;/&gt;&lt;wsp:rsid wsp:val=&quot;182A353A&quot;/&gt;&lt;wsp:rsid wsp:val=&quot;185A236E&quot;/&gt;&lt;wsp:rsid wsp:val=&quot;1860715B&quot;/&gt;&lt;wsp:rsid wsp:val=&quot;187235A2&quot;/&gt;&lt;wsp:rsid wsp:val=&quot;18913ED7&quot;/&gt;&lt;wsp:rsid wsp:val=&quot;18B52DF2&quot;/&gt;&lt;wsp:rsid wsp:val=&quot;18D17F23&quot;/&gt;&lt;wsp:rsid wsp:val=&quot;18D25135&quot;/&gt;&lt;wsp:rsid wsp:val=&quot;190C033C&quot;/&gt;&lt;wsp:rsid wsp:val=&quot;192D63FC&quot;/&gt;&lt;wsp:rsid wsp:val=&quot;195F4C7A&quot;/&gt;&lt;wsp:rsid wsp:val=&quot;197A05BF&quot;/&gt;&lt;wsp:rsid wsp:val=&quot;197B04F8&quot;/&gt;&lt;wsp:rsid wsp:val=&quot;19BF0F6E&quot;/&gt;&lt;wsp:rsid wsp:val=&quot;19F1544F&quot;/&gt;&lt;wsp:rsid wsp:val=&quot;19FB4998&quot;/&gt;&lt;wsp:rsid wsp:val=&quot;19FC26F3&quot;/&gt;&lt;wsp:rsid wsp:val=&quot;1A245448&quot;/&gt;&lt;wsp:rsid wsp:val=&quot;1A2C7361&quot;/&gt;&lt;wsp:rsid wsp:val=&quot;1A4D5F09&quot;/&gt;&lt;wsp:rsid wsp:val=&quot;1A690FF8&quot;/&gt;&lt;wsp:rsid wsp:val=&quot;1A71171D&quot;/&gt;&lt;wsp:rsid wsp:val=&quot;1A9C4571&quot;/&gt;&lt;wsp:rsid wsp:val=&quot;1AA90A84&quot;/&gt;&lt;wsp:rsid wsp:val=&quot;1AAB252E&quot;/&gt;&lt;wsp:rsid wsp:val=&quot;1ADB2088&quot;/&gt;&lt;wsp:rsid wsp:val=&quot;1ADC61AB&quot;/&gt;&lt;wsp:rsid wsp:val=&quot;1AE754DB&quot;/&gt;&lt;wsp:rsid wsp:val=&quot;1B447346&quot;/&gt;&lt;wsp:rsid wsp:val=&quot;1B4928BF&quot;/&gt;&lt;wsp:rsid wsp:val=&quot;1B616C94&quot;/&gt;&lt;wsp:rsid wsp:val=&quot;1B631D65&quot;/&gt;&lt;wsp:rsid wsp:val=&quot;1B655E8C&quot;/&gt;&lt;wsp:rsid wsp:val=&quot;1B6C3AB6&quot;/&gt;&lt;wsp:rsid wsp:val=&quot;1B8032D3&quot;/&gt;&lt;wsp:rsid wsp:val=&quot;1B982DD8&quot;/&gt;&lt;wsp:rsid wsp:val=&quot;1B9B01F8&quot;/&gt;&lt;wsp:rsid wsp:val=&quot;1B9B0C19&quot;/&gt;&lt;wsp:rsid wsp:val=&quot;1B9E563E&quot;/&gt;&lt;wsp:rsid wsp:val=&quot;1BA6035E&quot;/&gt;&lt;wsp:rsid wsp:val=&quot;1BB858C3&quot;/&gt;&lt;wsp:rsid wsp:val=&quot;1BBC27F2&quot;/&gt;&lt;wsp:rsid wsp:val=&quot;1BF90E03&quot;/&gt;&lt;wsp:rsid wsp:val=&quot;1C0A1961&quot;/&gt;&lt;wsp:rsid wsp:val=&quot;1C1F38E5&quot;/&gt;&lt;wsp:rsid wsp:val=&quot;1C23000C&quot;/&gt;&lt;wsp:rsid wsp:val=&quot;1C30365F&quot;/&gt;&lt;wsp:rsid wsp:val=&quot;1C495352&quot;/&gt;&lt;wsp:rsid wsp:val=&quot;1C6121E9&quot;/&gt;&lt;wsp:rsid wsp:val=&quot;1C6348DE&quot;/&gt;&lt;wsp:rsid wsp:val=&quot;1C794653&quot;/&gt;&lt;wsp:rsid wsp:val=&quot;1C7D54C1&quot;/&gt;&lt;wsp:rsid wsp:val=&quot;1C7F6008&quot;/&gt;&lt;wsp:rsid wsp:val=&quot;1CA40FFC&quot;/&gt;&lt;wsp:rsid wsp:val=&quot;1D03063A&quot;/&gt;&lt;wsp:rsid wsp:val=&quot;1D1A2396&quot;/&gt;&lt;wsp:rsid wsp:val=&quot;1D290F86&quot;/&gt;&lt;wsp:rsid wsp:val=&quot;1D2C28BC&quot;/&gt;&lt;wsp:rsid wsp:val=&quot;1D3D1363&quot;/&gt;&lt;wsp:rsid wsp:val=&quot;1D585FE0&quot;/&gt;&lt;wsp:rsid wsp:val=&quot;1D652ECD&quot;/&gt;&lt;wsp:rsid wsp:val=&quot;1D6E647F&quot;/&gt;&lt;wsp:rsid wsp:val=&quot;1D7F31CD&quot;/&gt;&lt;wsp:rsid wsp:val=&quot;1DA21AEC&quot;/&gt;&lt;wsp:rsid wsp:val=&quot;1DB01926&quot;/&gt;&lt;wsp:rsid wsp:val=&quot;1E085DA1&quot;/&gt;&lt;wsp:rsid wsp:val=&quot;1E1B2707&quot;/&gt;&lt;wsp:rsid wsp:val=&quot;1E3D4EAA&quot;/&gt;&lt;wsp:rsid wsp:val=&quot;1E923461&quot;/&gt;&lt;wsp:rsid wsp:val=&quot;1EB35A93&quot;/&gt;&lt;wsp:rsid wsp:val=&quot;1EFA11FF&quot;/&gt;&lt;wsp:rsid wsp:val=&quot;1F326459&quot;/&gt;&lt;wsp:rsid wsp:val=&quot;1F3735A7&quot;/&gt;&lt;wsp:rsid wsp:val=&quot;1F3773CD&quot;/&gt;&lt;wsp:rsid wsp:val=&quot;1F3E4118&quot;/&gt;&lt;wsp:rsid wsp:val=&quot;1F427298&quot;/&gt;&lt;wsp:rsid wsp:val=&quot;1F446D87&quot;/&gt;&lt;wsp:rsid wsp:val=&quot;1F4B122E&quot;/&gt;&lt;wsp:rsid wsp:val=&quot;1F5B7356&quot;/&gt;&lt;wsp:rsid wsp:val=&quot;1F616B83&quot;/&gt;&lt;wsp:rsid wsp:val=&quot;1F74021D&quot;/&gt;&lt;wsp:rsid wsp:val=&quot;1F801854&quot;/&gt;&lt;wsp:rsid wsp:val=&quot;1F860D1D&quot;/&gt;&lt;wsp:rsid wsp:val=&quot;1F93162B&quot;/&gt;&lt;wsp:rsid wsp:val=&quot;1FA61CFE&quot;/&gt;&lt;wsp:rsid wsp:val=&quot;1FCA0B31&quot;/&gt;&lt;wsp:rsid wsp:val=&quot;1FE17526&quot;/&gt;&lt;wsp:rsid wsp:val=&quot;1FE5487C&quot;/&gt;&lt;wsp:rsid wsp:val=&quot;1FEC7EEB&quot;/&gt;&lt;wsp:rsid wsp:val=&quot;1FEE4973&quot;/&gt;&lt;wsp:rsid wsp:val=&quot;2001677E&quot;/&gt;&lt;wsp:rsid wsp:val=&quot;201B4C78&quot;/&gt;&lt;wsp:rsid wsp:val=&quot;202F50BD&quot;/&gt;&lt;wsp:rsid wsp:val=&quot;203634F8&quot;/&gt;&lt;wsp:rsid wsp:val=&quot;203C25AB&quot;/&gt;&lt;wsp:rsid wsp:val=&quot;20400F41&quot;/&gt;&lt;wsp:rsid wsp:val=&quot;20484AF6&quot;/&gt;&lt;wsp:rsid wsp:val=&quot;206044A6&quot;/&gt;&lt;wsp:rsid wsp:val=&quot;20645E63&quot;/&gt;&lt;wsp:rsid wsp:val=&quot;20655BA0&quot;/&gt;&lt;wsp:rsid wsp:val=&quot;20703265&quot;/&gt;&lt;wsp:rsid wsp:val=&quot;20711B1D&quot;/&gt;&lt;wsp:rsid wsp:val=&quot;20720384&quot;/&gt;&lt;wsp:rsid wsp:val=&quot;20963EF0&quot;/&gt;&lt;wsp:rsid wsp:val=&quot;20AD5A91&quot;/&gt;&lt;wsp:rsid wsp:val=&quot;21191E31&quot;/&gt;&lt;wsp:rsid wsp:val=&quot;212333BE&quot;/&gt;&lt;wsp:rsid wsp:val=&quot;212437CA&quot;/&gt;&lt;wsp:rsid wsp:val=&quot;21313439&quot;/&gt;&lt;wsp:rsid wsp:val=&quot;216C722B&quot;/&gt;&lt;wsp:rsid wsp:val=&quot;218A7F9F&quot;/&gt;&lt;wsp:rsid wsp:val=&quot;219272A9&quot;/&gt;&lt;wsp:rsid wsp:val=&quot;21C51CE3&quot;/&gt;&lt;wsp:rsid wsp:val=&quot;21C531B7&quot;/&gt;&lt;wsp:rsid wsp:val=&quot;21CF39BF&quot;/&gt;&lt;wsp:rsid wsp:val=&quot;221637FE&quot;/&gt;&lt;wsp:rsid wsp:val=&quot;224C15A1&quot;/&gt;&lt;wsp:rsid wsp:val=&quot;225234ED&quot;/&gt;&lt;wsp:rsid wsp:val=&quot;225E4B4C&quot;/&gt;&lt;wsp:rsid wsp:val=&quot;226E18E0&quot;/&gt;&lt;wsp:rsid wsp:val=&quot;22734826&quot;/&gt;&lt;wsp:rsid wsp:val=&quot;227A4B8A&quot;/&gt;&lt;wsp:rsid wsp:val=&quot;228359EC&quot;/&gt;&lt;wsp:rsid wsp:val=&quot;228B64A3&quot;/&gt;&lt;wsp:rsid wsp:val=&quot;228D37C3&quot;/&gt;&lt;wsp:rsid wsp:val=&quot;229F2605&quot;/&gt;&lt;wsp:rsid wsp:val=&quot;22A21423&quot;/&gt;&lt;wsp:rsid wsp:val=&quot;22A34E5F&quot;/&gt;&lt;wsp:rsid wsp:val=&quot;22A80EB2&quot;/&gt;&lt;wsp:rsid wsp:val=&quot;22CF5D1D&quot;/&gt;&lt;wsp:rsid wsp:val=&quot;22D6625E&quot;/&gt;&lt;wsp:rsid wsp:val=&quot;22DF3B4D&quot;/&gt;&lt;wsp:rsid wsp:val=&quot;22E60282&quot;/&gt;&lt;wsp:rsid wsp:val=&quot;232C2E5E&quot;/&gt;&lt;wsp:rsid wsp:val=&quot;233C3937&quot;/&gt;&lt;wsp:rsid wsp:val=&quot;23415FD5&quot;/&gt;&lt;wsp:rsid wsp:val=&quot;23470D6B&quot;/&gt;&lt;wsp:rsid wsp:val=&quot;234F0C33&quot;/&gt;&lt;wsp:rsid wsp:val=&quot;235D6428&quot;/&gt;&lt;wsp:rsid wsp:val=&quot;2369664B&quot;/&gt;&lt;wsp:rsid wsp:val=&quot;23796D44&quot;/&gt;&lt;wsp:rsid wsp:val=&quot;237C00BF&quot;/&gt;&lt;wsp:rsid wsp:val=&quot;238A4B05&quot;/&gt;&lt;wsp:rsid wsp:val=&quot;238B23BA&quot;/&gt;&lt;wsp:rsid wsp:val=&quot;23BD0FB6&quot;/&gt;&lt;wsp:rsid wsp:val=&quot;23CC111F&quot;/&gt;&lt;wsp:rsid wsp:val=&quot;23E82BC5&quot;/&gt;&lt;wsp:rsid wsp:val=&quot;23F50A1D&quot;/&gt;&lt;wsp:rsid wsp:val=&quot;2402729C&quot;/&gt;&lt;wsp:rsid wsp:val=&quot;240C717B&quot;/&gt;&lt;wsp:rsid wsp:val=&quot;24154A07&quot;/&gt;&lt;wsp:rsid wsp:val=&quot;24237369&quot;/&gt;&lt;wsp:rsid wsp:val=&quot;242B0ACF&quot;/&gt;&lt;wsp:rsid wsp:val=&quot;244A7782&quot;/&gt;&lt;wsp:rsid wsp:val=&quot;24744F75&quot;/&gt;&lt;wsp:rsid wsp:val=&quot;24751205&quot;/&gt;&lt;wsp:rsid wsp:val=&quot;24A9753D&quot;/&gt;&lt;wsp:rsid wsp:val=&quot;24AA55C7&quot;/&gt;&lt;wsp:rsid wsp:val=&quot;24B72751&quot;/&gt;&lt;wsp:rsid wsp:val=&quot;24BC7D81&quot;/&gt;&lt;wsp:rsid wsp:val=&quot;24C34D98&quot;/&gt;&lt;wsp:rsid wsp:val=&quot;24E55D4F&quot;/&gt;&lt;wsp:rsid wsp:val=&quot;24E800DE&quot;/&gt;&lt;wsp:rsid wsp:val=&quot;24E93A37&quot;/&gt;&lt;wsp:rsid wsp:val=&quot;24EA0E35&quot;/&gt;&lt;wsp:rsid wsp:val=&quot;2504123C&quot;/&gt;&lt;wsp:rsid wsp:val=&quot;250770DF&quot;/&gt;&lt;wsp:rsid wsp:val=&quot;251C2931&quot;/&gt;&lt;wsp:rsid wsp:val=&quot;25530A51&quot;/&gt;&lt;wsp:rsid wsp:val=&quot;255D1C96&quot;/&gt;&lt;wsp:rsid wsp:val=&quot;25634663&quot;/&gt;&lt;wsp:rsid wsp:val=&quot;256B68AD&quot;/&gt;&lt;wsp:rsid wsp:val=&quot;256F0462&quot;/&gt;&lt;wsp:rsid wsp:val=&quot;257E2CC8&quot;/&gt;&lt;wsp:rsid wsp:val=&quot;2589275C&quot;/&gt;&lt;wsp:rsid wsp:val=&quot;258C2AAF&quot;/&gt;&lt;wsp:rsid wsp:val=&quot;258D7C62&quot;/&gt;&lt;wsp:rsid wsp:val=&quot;25B430FC&quot;/&gt;&lt;wsp:rsid wsp:val=&quot;25CB697B&quot;/&gt;&lt;wsp:rsid wsp:val=&quot;25CC115B&quot;/&gt;&lt;wsp:rsid wsp:val=&quot;25D84353&quot;/&gt;&lt;wsp:rsid wsp:val=&quot;25DF64FE&quot;/&gt;&lt;wsp:rsid wsp:val=&quot;25F2131F&quot;/&gt;&lt;wsp:rsid wsp:val=&quot;26005BB9&quot;/&gt;&lt;wsp:rsid wsp:val=&quot;2608524A&quot;/&gt;&lt;wsp:rsid wsp:val=&quot;26544F08&quot;/&gt;&lt;wsp:rsid wsp:val=&quot;268A5E33&quot;/&gt;&lt;wsp:rsid wsp:val=&quot;269A78AA&quot;/&gt;&lt;wsp:rsid wsp:val=&quot;26AB543D&quot;/&gt;&lt;wsp:rsid wsp:val=&quot;26DF3838&quot;/&gt;&lt;wsp:rsid wsp:val=&quot;26E9337A&quot;/&gt;&lt;wsp:rsid wsp:val=&quot;26F17749&quot;/&gt;&lt;wsp:rsid wsp:val=&quot;271F5A9E&quot;/&gt;&lt;wsp:rsid wsp:val=&quot;272F0626&quot;/&gt;&lt;wsp:rsid wsp:val=&quot;273D0529&quot;/&gt;&lt;wsp:rsid wsp:val=&quot;2755395F&quot;/&gt;&lt;wsp:rsid wsp:val=&quot;27984E21&quot;/&gt;&lt;wsp:rsid wsp:val=&quot;27A65198&quot;/&gt;&lt;wsp:rsid wsp:val=&quot;27C94EFB&quot;/&gt;&lt;wsp:rsid wsp:val=&quot;27D1147C&quot;/&gt;&lt;wsp:rsid wsp:val=&quot;27E33990&quot;/&gt;&lt;wsp:rsid wsp:val=&quot;28142BC0&quot;/&gt;&lt;wsp:rsid wsp:val=&quot;28194CD7&quot;/&gt;&lt;wsp:rsid wsp:val=&quot;281E41F9&quot;/&gt;&lt;wsp:rsid wsp:val=&quot;28382AE2&quot;/&gt;&lt;wsp:rsid wsp:val=&quot;283C2DCC&quot;/&gt;&lt;wsp:rsid wsp:val=&quot;28654F7A&quot;/&gt;&lt;wsp:rsid wsp:val=&quot;286F1644&quot;/&gt;&lt;wsp:rsid wsp:val=&quot;287E0680&quot;/&gt;&lt;wsp:rsid wsp:val=&quot;288B243E&quot;/&gt;&lt;wsp:rsid wsp:val=&quot;288F7170&quot;/&gt;&lt;wsp:rsid wsp:val=&quot;28C11C6E&quot;/&gt;&lt;wsp:rsid wsp:val=&quot;292F32C9&quot;/&gt;&lt;wsp:rsid wsp:val=&quot;292F64E0&quot;/&gt;&lt;wsp:rsid wsp:val=&quot;292F66F7&quot;/&gt;&lt;wsp:rsid wsp:val=&quot;29465C4F&quot;/&gt;&lt;wsp:rsid wsp:val=&quot;294A57B8&quot;/&gt;&lt;wsp:rsid wsp:val=&quot;296E3B9E&quot;/&gt;&lt;wsp:rsid wsp:val=&quot;2983730D&quot;/&gt;&lt;wsp:rsid wsp:val=&quot;299E588A&quot;/&gt;&lt;wsp:rsid wsp:val=&quot;29D362FA&quot;/&gt;&lt;wsp:rsid wsp:val=&quot;29E80285&quot;/&gt;&lt;wsp:rsid wsp:val=&quot;29F40DD1&quot;/&gt;&lt;wsp:rsid wsp:val=&quot;2A174548&quot;/&gt;&lt;wsp:rsid wsp:val=&quot;2A4522EF&quot;/&gt;&lt;wsp:rsid wsp:val=&quot;2A4960CE&quot;/&gt;&lt;wsp:rsid wsp:val=&quot;2A5D3A3D&quot;/&gt;&lt;wsp:rsid wsp:val=&quot;2A752564&quot;/&gt;&lt;wsp:rsid wsp:val=&quot;2A833C9B&quot;/&gt;&lt;wsp:rsid wsp:val=&quot;2AA51F49&quot;/&gt;&lt;wsp:rsid wsp:val=&quot;2B0F5680&quot;/&gt;&lt;wsp:rsid wsp:val=&quot;2B174076&quot;/&gt;&lt;wsp:rsid wsp:val=&quot;2B2C205C&quot;/&gt;&lt;wsp:rsid wsp:val=&quot;2B4B14CF&quot;/&gt;&lt;wsp:rsid wsp:val=&quot;2B5B0DE4&quot;/&gt;&lt;wsp:rsid wsp:val=&quot;2BA501F9&quot;/&gt;&lt;wsp:rsid wsp:val=&quot;2BDA58A2&quot;/&gt;&lt;wsp:rsid wsp:val=&quot;2BE27D5C&quot;/&gt;&lt;wsp:rsid wsp:val=&quot;2BE52458&quot;/&gt;&lt;wsp:rsid wsp:val=&quot;2C147B66&quot;/&gt;&lt;wsp:rsid wsp:val=&quot;2C327E78&quot;/&gt;&lt;wsp:rsid wsp:val=&quot;2C64530F&quot;/&gt;&lt;wsp:rsid wsp:val=&quot;2C712C70&quot;/&gt;&lt;wsp:rsid wsp:val=&quot;2C7664F8&quot;/&gt;&lt;wsp:rsid wsp:val=&quot;2C845FF8&quot;/&gt;&lt;wsp:rsid wsp:val=&quot;2C8C2266&quot;/&gt;&lt;wsp:rsid wsp:val=&quot;2C9630B3&quot;/&gt;&lt;wsp:rsid wsp:val=&quot;2C9922B7&quot;/&gt;&lt;wsp:rsid wsp:val=&quot;2CBA3975&quot;/&gt;&lt;wsp:rsid wsp:val=&quot;2CD16ABF&quot;/&gt;&lt;wsp:rsid wsp:val=&quot;2CF00075&quot;/&gt;&lt;wsp:rsid wsp:val=&quot;2D0F4B1B&quot;/&gt;&lt;wsp:rsid wsp:val=&quot;2D3B2275&quot;/&gt;&lt;wsp:rsid wsp:val=&quot;2D891D74&quot;/&gt;&lt;wsp:rsid wsp:val=&quot;2D9A338B&quot;/&gt;&lt;wsp:rsid wsp:val=&quot;2D9A5077&quot;/&gt;&lt;wsp:rsid wsp:val=&quot;2DC16BCB&quot;/&gt;&lt;wsp:rsid wsp:val=&quot;2DCF45D1&quot;/&gt;&lt;wsp:rsid wsp:val=&quot;2DD349C7&quot;/&gt;&lt;wsp:rsid wsp:val=&quot;2DFF4D54&quot;/&gt;&lt;wsp:rsid wsp:val=&quot;2E1E2AA9&quot;/&gt;&lt;wsp:rsid wsp:val=&quot;2E316415&quot;/&gt;&lt;wsp:rsid wsp:val=&quot;2E441798&quot;/&gt;&lt;wsp:rsid wsp:val=&quot;2E71793E&quot;/&gt;&lt;wsp:rsid wsp:val=&quot;2E8028D7&quot;/&gt;&lt;wsp:rsid wsp:val=&quot;2E845572&quot;/&gt;&lt;wsp:rsid wsp:val=&quot;2E8E2DF7&quot;/&gt;&lt;wsp:rsid wsp:val=&quot;2E9D5D62&quot;/&gt;&lt;wsp:rsid wsp:val=&quot;2EB415AD&quot;/&gt;&lt;wsp:rsid wsp:val=&quot;2ECE348C&quot;/&gt;&lt;wsp:rsid wsp:val=&quot;2EDB55E3&quot;/&gt;&lt;wsp:rsid wsp:val=&quot;2EFD2081&quot;/&gt;&lt;wsp:rsid wsp:val=&quot;2EFD49F8&quot;/&gt;&lt;wsp:rsid wsp:val=&quot;2F3577E3&quot;/&gt;&lt;wsp:rsid wsp:val=&quot;2F42685C&quot;/&gt;&lt;wsp:rsid wsp:val=&quot;2F553B5A&quot;/&gt;&lt;wsp:rsid wsp:val=&quot;2F662872&quot;/&gt;&lt;wsp:rsid wsp:val=&quot;2F724C5F&quot;/&gt;&lt;wsp:rsid wsp:val=&quot;2F9B5AC3&quot;/&gt;&lt;wsp:rsid wsp:val=&quot;2F9F7E73&quot;/&gt;&lt;wsp:rsid wsp:val=&quot;2FFD0C20&quot;/&gt;&lt;wsp:rsid wsp:val=&quot;30130111&quot;/&gt;&lt;wsp:rsid wsp:val=&quot;30440AB7&quot;/&gt;&lt;wsp:rsid wsp:val=&quot;3049381E&quot;/&gt;&lt;wsp:rsid wsp:val=&quot;305C7F7B&quot;/&gt;&lt;wsp:rsid wsp:val=&quot;307F705C&quot;/&gt;&lt;wsp:rsid wsp:val=&quot;309A55A8&quot;/&gt;&lt;wsp:rsid wsp:val=&quot;30B74328&quot;/&gt;&lt;wsp:rsid wsp:val=&quot;30D510F7&quot;/&gt;&lt;wsp:rsid wsp:val=&quot;30D7008F&quot;/&gt;&lt;wsp:rsid wsp:val=&quot;30F67310&quot;/&gt;&lt;wsp:rsid wsp:val=&quot;31120094&quot;/&gt;&lt;wsp:rsid wsp:val=&quot;31222DDF&quot;/&gt;&lt;wsp:rsid wsp:val=&quot;315D12A0&quot;/&gt;&lt;wsp:rsid wsp:val=&quot;316A54B4&quot;/&gt;&lt;wsp:rsid wsp:val=&quot;31A850DD&quot;/&gt;&lt;wsp:rsid wsp:val=&quot;31B06674&quot;/&gt;&lt;wsp:rsid wsp:val=&quot;31BE04E6&quot;/&gt;&lt;wsp:rsid wsp:val=&quot;31C70950&quot;/&gt;&lt;wsp:rsid wsp:val=&quot;31DF3838&quot;/&gt;&lt;wsp:rsid wsp:val=&quot;31EE3B5D&quot;/&gt;&lt;wsp:rsid wsp:val=&quot;320D0DC8&quot;/&gt;&lt;wsp:rsid wsp:val=&quot;321A418E&quot;/&gt;&lt;wsp:rsid wsp:val=&quot;32401E0F&quot;/&gt;&lt;wsp:rsid wsp:val=&quot;324F7B39&quot;/&gt;&lt;wsp:rsid wsp:val=&quot;32535E36&quot;/&gt;&lt;wsp:rsid wsp:val=&quot;32562E0F&quot;/&gt;&lt;wsp:rsid wsp:val=&quot;327002B0&quot;/&gt;&lt;wsp:rsid wsp:val=&quot;32905CFD&quot;/&gt;&lt;wsp:rsid wsp:val=&quot;32B955F9&quot;/&gt;&lt;wsp:rsid wsp:val=&quot;32E056A9&quot;/&gt;&lt;wsp:rsid wsp:val=&quot;32FE20EB&quot;/&gt;&lt;wsp:rsid wsp:val=&quot;330952E7&quot;/&gt;&lt;wsp:rsid wsp:val=&quot;33135EF1&quot;/&gt;&lt;wsp:rsid wsp:val=&quot;3332192F&quot;/&gt;&lt;wsp:rsid wsp:val=&quot;33515C3E&quot;/&gt;&lt;wsp:rsid wsp:val=&quot;33533C99&quot;/&gt;&lt;wsp:rsid wsp:val=&quot;33542DD6&quot;/&gt;&lt;wsp:rsid wsp:val=&quot;339709B4&quot;/&gt;&lt;wsp:rsid wsp:val=&quot;339C2614&quot;/&gt;&lt;wsp:rsid wsp:val=&quot;33B04681&quot;/&gt;&lt;wsp:rsid wsp:val=&quot;33BD2967&quot;/&gt;&lt;wsp:rsid wsp:val=&quot;33F53425&quot;/&gt;&lt;wsp:rsid wsp:val=&quot;34034857&quot;/&gt;&lt;wsp:rsid wsp:val=&quot;343A6582&quot;/&gt;&lt;wsp:rsid wsp:val=&quot;34416822&quot;/&gt;&lt;wsp:rsid wsp:val=&quot;344626C3&quot;/&gt;&lt;wsp:rsid wsp:val=&quot;34723F91&quot;/&gt;&lt;wsp:rsid wsp:val=&quot;34795C64&quot;/&gt;&lt;wsp:rsid wsp:val=&quot;3481681D&quot;/&gt;&lt;wsp:rsid wsp:val=&quot;34D00D41&quot;/&gt;&lt;wsp:rsid wsp:val=&quot;34D7549E&quot;/&gt;&lt;wsp:rsid wsp:val=&quot;350A1296&quot;/&gt;&lt;wsp:rsid wsp:val=&quot;35150C28&quot;/&gt;&lt;wsp:rsid wsp:val=&quot;35236A40&quot;/&gt;&lt;wsp:rsid wsp:val=&quot;3524545D&quot;/&gt;&lt;wsp:rsid wsp:val=&quot;353454CA&quot;/&gt;&lt;wsp:rsid wsp:val=&quot;35524458&quot;/&gt;&lt;wsp:rsid wsp:val=&quot;3575786D&quot;/&gt;&lt;wsp:rsid wsp:val=&quot;357904D9&quot;/&gt;&lt;wsp:rsid wsp:val=&quot;35B47668&quot;/&gt;&lt;wsp:rsid wsp:val=&quot;35DA5B99&quot;/&gt;&lt;wsp:rsid wsp:val=&quot;35DB6841&quot;/&gt;&lt;wsp:rsid wsp:val=&quot;35E03827&quot;/&gt;&lt;wsp:rsid wsp:val=&quot;35F30E34&quot;/&gt;&lt;wsp:rsid wsp:val=&quot;361338AB&quot;/&gt;&lt;wsp:rsid wsp:val=&quot;362B2304&quot;/&gt;&lt;wsp:rsid wsp:val=&quot;362E16FE&quot;/&gt;&lt;wsp:rsid wsp:val=&quot;36405937&quot;/&gt;&lt;wsp:rsid wsp:val=&quot;364D6997&quot;/&gt;&lt;wsp:rsid wsp:val=&quot;365D363B&quot;/&gt;&lt;wsp:rsid wsp:val=&quot;365E171E&quot;/&gt;&lt;wsp:rsid wsp:val=&quot;36605943&quot;/&gt;&lt;wsp:rsid wsp:val=&quot;368710DC&quot;/&gt;&lt;wsp:rsid wsp:val=&quot;36973977&quot;/&gt;&lt;wsp:rsid wsp:val=&quot;36C4200F&quot;/&gt;&lt;wsp:rsid wsp:val=&quot;36C97B4E&quot;/&gt;&lt;wsp:rsid wsp:val=&quot;36D21CDD&quot;/&gt;&lt;wsp:rsid wsp:val=&quot;36D536A0&quot;/&gt;&lt;wsp:rsid wsp:val=&quot;36D65F12&quot;/&gt;&lt;wsp:rsid wsp:val=&quot;36FE2B73&quot;/&gt;&lt;wsp:rsid wsp:val=&quot;37031B34&quot;/&gt;&lt;wsp:rsid wsp:val=&quot;37543887&quot;/&gt;&lt;wsp:rsid wsp:val=&quot;376F0F93&quot;/&gt;&lt;wsp:rsid wsp:val=&quot;37717A20&quot;/&gt;&lt;wsp:rsid wsp:val=&quot;37757726&quot;/&gt;&lt;wsp:rsid wsp:val=&quot;378056A6&quot;/&gt;&lt;wsp:rsid wsp:val=&quot;37C0591F&quot;/&gt;&lt;wsp:rsid wsp:val=&quot;37C67787&quot;/&gt;&lt;wsp:rsid wsp:val=&quot;37E33A19&quot;/&gt;&lt;wsp:rsid wsp:val=&quot;37F6647B&quot;/&gt;&lt;wsp:rsid wsp:val=&quot;381E75AF&quot;/&gt;&lt;wsp:rsid wsp:val=&quot;385A4844&quot;/&gt;&lt;wsp:rsid wsp:val=&quot;387873FA&quot;/&gt;&lt;wsp:rsid wsp:val=&quot;387A4C79&quot;/&gt;&lt;wsp:rsid wsp:val=&quot;387B299E&quot;/&gt;&lt;wsp:rsid wsp:val=&quot;387F48A0&quot;/&gt;&lt;wsp:rsid wsp:val=&quot;38AD15C3&quot;/&gt;&lt;wsp:rsid wsp:val=&quot;38B51521&quot;/&gt;&lt;wsp:rsid wsp:val=&quot;38BA7D5C&quot;/&gt;&lt;wsp:rsid wsp:val=&quot;38EB664B&quot;/&gt;&lt;wsp:rsid wsp:val=&quot;38F80837&quot;/&gt;&lt;wsp:rsid wsp:val=&quot;38F91BCD&quot;/&gt;&lt;wsp:rsid wsp:val=&quot;39070AAC&quot;/&gt;&lt;wsp:rsid wsp:val=&quot;39086358&quot;/&gt;&lt;wsp:rsid wsp:val=&quot;393153B7&quot;/&gt;&lt;wsp:rsid wsp:val=&quot;394C52C9&quot;/&gt;&lt;wsp:rsid wsp:val=&quot;39697CD8&quot;/&gt;&lt;wsp:rsid wsp:val=&quot;39751EC5&quot;/&gt;&lt;wsp:rsid wsp:val=&quot;398C5842&quot;/&gt;&lt;wsp:rsid wsp:val=&quot;399C5CC5&quot;/&gt;&lt;wsp:rsid wsp:val=&quot;399E558B&quot;/&gt;&lt;wsp:rsid wsp:val=&quot;39BF6E97&quot;/&gt;&lt;wsp:rsid wsp:val=&quot;39D66A57&quot;/&gt;&lt;wsp:rsid wsp:val=&quot;39DE7E7E&quot;/&gt;&lt;wsp:rsid wsp:val=&quot;39EC17AA&quot;/&gt;&lt;wsp:rsid wsp:val=&quot;3A085559&quot;/&gt;&lt;wsp:rsid wsp:val=&quot;3A0D141A&quot;/&gt;&lt;wsp:rsid wsp:val=&quot;3A243815&quot;/&gt;&lt;wsp:rsid wsp:val=&quot;3A4B32A1&quot;/&gt;&lt;wsp:rsid wsp:val=&quot;3A5B0B30&quot;/&gt;&lt;wsp:rsid wsp:val=&quot;3A5E46D9&quot;/&gt;&lt;wsp:rsid wsp:val=&quot;3A690617&quot;/&gt;&lt;wsp:rsid wsp:val=&quot;3A6F0291&quot;/&gt;&lt;wsp:rsid wsp:val=&quot;3A8A71D1&quot;/&gt;&lt;wsp:rsid wsp:val=&quot;3AB12108&quot;/&gt;&lt;wsp:rsid wsp:val=&quot;3ABE5CE0&quot;/&gt;&lt;wsp:rsid wsp:val=&quot;3ADA1058&quot;/&gt;&lt;wsp:rsid wsp:val=&quot;3B011173&quot;/&gt;&lt;wsp:rsid wsp:val=&quot;3B104A62&quot;/&gt;&lt;wsp:rsid wsp:val=&quot;3B6363EA&quot;/&gt;&lt;wsp:rsid wsp:val=&quot;3B804D03&quot;/&gt;&lt;wsp:rsid wsp:val=&quot;3B9916CD&quot;/&gt;&lt;wsp:rsid wsp:val=&quot;3BF269D8&quot;/&gt;&lt;wsp:rsid wsp:val=&quot;3C1B4329&quot;/&gt;&lt;wsp:rsid wsp:val=&quot;3C235DF5&quot;/&gt;&lt;wsp:rsid wsp:val=&quot;3C374014&quot;/&gt;&lt;wsp:rsid wsp:val=&quot;3C405B17&quot;/&gt;&lt;wsp:rsid wsp:val=&quot;3C764C2E&quot;/&gt;&lt;wsp:rsid wsp:val=&quot;3C78126A&quot;/&gt;&lt;wsp:rsid wsp:val=&quot;3CA562E6&quot;/&gt;&lt;wsp:rsid wsp:val=&quot;3CA740F0&quot;/&gt;&lt;wsp:rsid wsp:val=&quot;3CB607D5&quot;/&gt;&lt;wsp:rsid wsp:val=&quot;3D000F92&quot;/&gt;&lt;wsp:rsid wsp:val=&quot;3D0E21B3&quot;/&gt;&lt;wsp:rsid wsp:val=&quot;3D326B36&quot;/&gt;&lt;wsp:rsid wsp:val=&quot;3D3B50E0&quot;/&gt;&lt;wsp:rsid wsp:val=&quot;3D7C2D6C&quot;/&gt;&lt;wsp:rsid wsp:val=&quot;3D9D6AC0&quot;/&gt;&lt;wsp:rsid wsp:val=&quot;3DAF6A47&quot;/&gt;&lt;wsp:rsid wsp:val=&quot;3DBD53A4&quot;/&gt;&lt;wsp:rsid wsp:val=&quot;3DC51720&quot;/&gt;&lt;wsp:rsid wsp:val=&quot;3DD3268E&quot;/&gt;&lt;wsp:rsid wsp:val=&quot;3DF05AC1&quot;/&gt;&lt;wsp:rsid wsp:val=&quot;3E085F49&quot;/&gt;&lt;wsp:rsid wsp:val=&quot;3E4E24CC&quot;/&gt;&lt;wsp:rsid wsp:val=&quot;3E5B55DC&quot;/&gt;&lt;wsp:rsid wsp:val=&quot;3E5F33E4&quot;/&gt;&lt;wsp:rsid wsp:val=&quot;3E8B042A&quot;/&gt;&lt;wsp:rsid wsp:val=&quot;3EA93C33&quot;/&gt;&lt;wsp:rsid wsp:val=&quot;3EBC620A&quot;/&gt;&lt;wsp:rsid wsp:val=&quot;3ECE6552&quot;/&gt;&lt;wsp:rsid wsp:val=&quot;3ED1585F&quot;/&gt;&lt;wsp:rsid wsp:val=&quot;3EEF7213&quot;/&gt;&lt;wsp:rsid wsp:val=&quot;3F4976AD&quot;/&gt;&lt;wsp:rsid wsp:val=&quot;3F570BE9&quot;/&gt;&lt;wsp:rsid wsp:val=&quot;3F623298&quot;/&gt;&lt;wsp:rsid wsp:val=&quot;3F786788&quot;/&gt;&lt;wsp:rsid wsp:val=&quot;3F794993&quot;/&gt;&lt;wsp:rsid wsp:val=&quot;3F984A72&quot;/&gt;&lt;wsp:rsid wsp:val=&quot;400870C2&quot;/&gt;&lt;wsp:rsid wsp:val=&quot;401A0C18&quot;/&gt;&lt;wsp:rsid wsp:val=&quot;4023326A&quot;/&gt;&lt;wsp:rsid wsp:val=&quot;40262630&quot;/&gt;&lt;wsp:rsid wsp:val=&quot;402747A2&quot;/&gt;&lt;wsp:rsid wsp:val=&quot;4049774E&quot;/&gt;&lt;wsp:rsid wsp:val=&quot;405940CB&quot;/&gt;&lt;wsp:rsid wsp:val=&quot;40A36822&quot;/&gt;&lt;wsp:rsid wsp:val=&quot;40C04433&quot;/&gt;&lt;wsp:rsid wsp:val=&quot;41077F82&quot;/&gt;&lt;wsp:rsid wsp:val=&quot;410D1033&quot;/&gt;&lt;wsp:rsid wsp:val=&quot;41395D7D&quot;/&gt;&lt;wsp:rsid wsp:val=&quot;41477B3B&quot;/&gt;&lt;wsp:rsid wsp:val=&quot;41477BA1&quot;/&gt;&lt;wsp:rsid wsp:val=&quot;41484221&quot;/&gt;&lt;wsp:rsid wsp:val=&quot;417738DA&quot;/&gt;&lt;wsp:rsid wsp:val=&quot;417D7C80&quot;/&gt;&lt;wsp:rsid wsp:val=&quot;41816113&quot;/&gt;&lt;wsp:rsid wsp:val=&quot;41AA6801&quot;/&gt;&lt;wsp:rsid wsp:val=&quot;41D36A8F&quot;/&gt;&lt;wsp:rsid wsp:val=&quot;41F35C21&quot;/&gt;&lt;wsp:rsid wsp:val=&quot;424106DB&quot;/&gt;&lt;wsp:rsid wsp:val=&quot;426C6856&quot;/&gt;&lt;wsp:rsid wsp:val=&quot;427E69B4&quot;/&gt;&lt;wsp:rsid wsp:val=&quot;428F02C5&quot;/&gt;&lt;wsp:rsid wsp:val=&quot;429D2635&quot;/&gt;&lt;wsp:rsid wsp:val=&quot;42A87357&quot;/&gt;&lt;wsp:rsid wsp:val=&quot;42AA350F&quot;/&gt;&lt;wsp:rsid wsp:val=&quot;42BD65CC&quot;/&gt;&lt;wsp:rsid wsp:val=&quot;42C24E21&quot;/&gt;&lt;wsp:rsid wsp:val=&quot;42CE5649&quot;/&gt;&lt;wsp:rsid wsp:val=&quot;42FA2A7B&quot;/&gt;&lt;wsp:rsid wsp:val=&quot;4320160B&quot;/&gt;&lt;wsp:rsid wsp:val=&quot;432C3F5D&quot;/&gt;&lt;wsp:rsid wsp:val=&quot;434B5E2D&quot;/&gt;&lt;wsp:rsid wsp:val=&quot;437D6E98&quot;/&gt;&lt;wsp:rsid wsp:val=&quot;43836645&quot;/&gt;&lt;wsp:rsid wsp:val=&quot;439169D3&quot;/&gt;&lt;wsp:rsid wsp:val=&quot;43D82842&quot;/&gt;&lt;wsp:rsid wsp:val=&quot;43EC02AC&quot;/&gt;&lt;wsp:rsid wsp:val=&quot;43FB717B&quot;/&gt;&lt;wsp:rsid wsp:val=&quot;441C3BCF&quot;/&gt;&lt;wsp:rsid wsp:val=&quot;442108A7&quot;/&gt;&lt;wsp:rsid wsp:val=&quot;442153F6&quot;/&gt;&lt;wsp:rsid wsp:val=&quot;442E12C3&quot;/&gt;&lt;wsp:rsid wsp:val=&quot;44340402&quot;/&gt;&lt;wsp:rsid wsp:val=&quot;444C72EA&quot;/&gt;&lt;wsp:rsid wsp:val=&quot;4454356C&quot;/&gt;&lt;wsp:rsid wsp:val=&quot;44754B24&quot;/&gt;&lt;wsp:rsid wsp:val=&quot;4485170E&quot;/&gt;&lt;wsp:rsid wsp:val=&quot;449F6FFD&quot;/&gt;&lt;wsp:rsid wsp:val=&quot;44C724FF&quot;/&gt;&lt;wsp:rsid wsp:val=&quot;44CD439E&quot;/&gt;&lt;wsp:rsid wsp:val=&quot;459C5113&quot;/&gt;&lt;wsp:rsid wsp:val=&quot;45DE1958&quot;/&gt;&lt;wsp:rsid wsp:val=&quot;45F71D3F&quot;/&gt;&lt;wsp:rsid wsp:val=&quot;46081FAF&quot;/&gt;&lt;wsp:rsid wsp:val=&quot;460B711F&quot;/&gt;&lt;wsp:rsid wsp:val=&quot;460F572D&quot;/&gt;&lt;wsp:rsid wsp:val=&quot;462F6A17&quot;/&gt;&lt;wsp:rsid wsp:val=&quot;4656226A&quot;/&gt;&lt;wsp:rsid wsp:val=&quot;46577F66&quot;/&gt;&lt;wsp:rsid wsp:val=&quot;466C43AB&quot;/&gt;&lt;wsp:rsid wsp:val=&quot;46840BAD&quot;/&gt;&lt;wsp:rsid wsp:val=&quot;469337F3&quot;/&gt;&lt;wsp:rsid wsp:val=&quot;469708F4&quot;/&gt;&lt;wsp:rsid wsp:val=&quot;469C4109&quot;/&gt;&lt;wsp:rsid wsp:val=&quot;46A3301B&quot;/&gt;&lt;wsp:rsid wsp:val=&quot;46AD78F9&quot;/&gt;&lt;wsp:rsid wsp:val=&quot;46C30060&quot;/&gt;&lt;wsp:rsid wsp:val=&quot;46C308C1&quot;/&gt;&lt;wsp:rsid wsp:val=&quot;46C36A8C&quot;/&gt;&lt;wsp:rsid wsp:val=&quot;470326DB&quot;/&gt;&lt;wsp:rsid wsp:val=&quot;472B4A6A&quot;/&gt;&lt;wsp:rsid wsp:val=&quot;47346D9B&quot;/&gt;&lt;wsp:rsid wsp:val=&quot;474755E1&quot;/&gt;&lt;wsp:rsid wsp:val=&quot;47652383&quot;/&gt;&lt;wsp:rsid wsp:val=&quot;47685307&quot;/&gt;&lt;wsp:rsid wsp:val=&quot;478A6976&quot;/&gt;&lt;wsp:rsid wsp:val=&quot;47AC7750&quot;/&gt;&lt;wsp:rsid wsp:val=&quot;47B635D9&quot;/&gt;&lt;wsp:rsid wsp:val=&quot;47BF26BC&quot;/&gt;&lt;wsp:rsid wsp:val=&quot;48497690&quot;/&gt;&lt;wsp:rsid wsp:val=&quot;485734FA&quot;/&gt;&lt;wsp:rsid wsp:val=&quot;4858792F&quot;/&gt;&lt;wsp:rsid wsp:val=&quot;487F4EAB&quot;/&gt;&lt;wsp:rsid wsp:val=&quot;48853399&quot;/&gt;&lt;wsp:rsid wsp:val=&quot;489020D3&quot;/&gt;&lt;wsp:rsid wsp:val=&quot;489B1A13&quot;/&gt;&lt;wsp:rsid wsp:val=&quot;48C27684&quot;/&gt;&lt;wsp:rsid wsp:val=&quot;48C804FB&quot;/&gt;&lt;wsp:rsid wsp:val=&quot;48EE1788&quot;/&gt;&lt;wsp:rsid wsp:val=&quot;48F21F15&quot;/&gt;&lt;wsp:rsid wsp:val=&quot;48F64ACF&quot;/&gt;&lt;wsp:rsid wsp:val=&quot;49202BBA&quot;/&gt;&lt;wsp:rsid wsp:val=&quot;49270D3A&quot;/&gt;&lt;wsp:rsid wsp:val=&quot;493122F2&quot;/&gt;&lt;wsp:rsid wsp:val=&quot;493356B9&quot;/&gt;&lt;wsp:rsid wsp:val=&quot;496D1E19&quot;/&gt;&lt;wsp:rsid wsp:val=&quot;49736B29&quot;/&gt;&lt;wsp:rsid wsp:val=&quot;49DC07CD&quot;/&gt;&lt;wsp:rsid wsp:val=&quot;4A2E3030&quot;/&gt;&lt;wsp:rsid wsp:val=&quot;4A3F3EF6&quot;/&gt;&lt;wsp:rsid wsp:val=&quot;4A6174E2&quot;/&gt;&lt;wsp:rsid wsp:val=&quot;4A9162C0&quot;/&gt;&lt;wsp:rsid wsp:val=&quot;4A983B3C&quot;/&gt;&lt;wsp:rsid wsp:val=&quot;4AB81A2E&quot;/&gt;&lt;wsp:rsid wsp:val=&quot;4AC07BA8&quot;/&gt;&lt;wsp:rsid wsp:val=&quot;4AC212B3&quot;/&gt;&lt;wsp:rsid wsp:val=&quot;4AC95E57&quot;/&gt;&lt;wsp:rsid wsp:val=&quot;4AF052CA&quot;/&gt;&lt;wsp:rsid wsp:val=&quot;4AFD0240&quot;/&gt;&lt;wsp:rsid wsp:val=&quot;4B050147&quot;/&gt;&lt;wsp:rsid wsp:val=&quot;4B0E54DA&quot;/&gt;&lt;wsp:rsid wsp:val=&quot;4B263B0D&quot;/&gt;&lt;wsp:rsid wsp:val=&quot;4B3165D4&quot;/&gt;&lt;wsp:rsid wsp:val=&quot;4B3F7D61&quot;/&gt;&lt;wsp:rsid wsp:val=&quot;4B5773A6&quot;/&gt;&lt;wsp:rsid wsp:val=&quot;4B717748&quot;/&gt;&lt;wsp:rsid wsp:val=&quot;4B74632E&quot;/&gt;&lt;wsp:rsid wsp:val=&quot;4B8219EF&quot;/&gt;&lt;wsp:rsid wsp:val=&quot;4BA31553&quot;/&gt;&lt;wsp:rsid wsp:val=&quot;4BAF0847&quot;/&gt;&lt;wsp:rsid wsp:val=&quot;4BB62A42&quot;/&gt;&lt;wsp:rsid wsp:val=&quot;4BF43D54&quot;/&gt;&lt;wsp:rsid wsp:val=&quot;4BF9744C&quot;/&gt;&lt;wsp:rsid wsp:val=&quot;4C0057BA&quot;/&gt;&lt;wsp:rsid wsp:val=&quot;4C255EE0&quot;/&gt;&lt;wsp:rsid wsp:val=&quot;4C2A2E2C&quot;/&gt;&lt;wsp:rsid wsp:val=&quot;4C4D6B63&quot;/&gt;&lt;wsp:rsid wsp:val=&quot;4C5377D5&quot;/&gt;&lt;wsp:rsid wsp:val=&quot;4C6004DD&quot;/&gt;&lt;wsp:rsid wsp:val=&quot;4C613502&quot;/&gt;&lt;wsp:rsid wsp:val=&quot;4C6D0F2D&quot;/&gt;&lt;wsp:rsid wsp:val=&quot;4C7D15A1&quot;/&gt;&lt;wsp:rsid wsp:val=&quot;4C83250D&quot;/&gt;&lt;wsp:rsid wsp:val=&quot;4CBF6BE0&quot;/&gt;&lt;wsp:rsid wsp:val=&quot;4CEB0267&quot;/&gt;&lt;wsp:rsid wsp:val=&quot;4CF541A9&quot;/&gt;&lt;wsp:rsid wsp:val=&quot;4D0A22A5&quot;/&gt;&lt;wsp:rsid wsp:val=&quot;4D1261CE&quot;/&gt;&lt;wsp:rsid wsp:val=&quot;4D171FFD&quot;/&gt;&lt;wsp:rsid wsp:val=&quot;4D1F1FF1&quot;/&gt;&lt;wsp:rsid wsp:val=&quot;4D340232&quot;/&gt;&lt;wsp:rsid wsp:val=&quot;4D574B88&quot;/&gt;&lt;wsp:rsid wsp:val=&quot;4D7C63F8&quot;/&gt;&lt;wsp:rsid wsp:val=&quot;4DAA7907&quot;/&gt;&lt;wsp:rsid wsp:val=&quot;4DAB3452&quot;/&gt;&lt;wsp:rsid wsp:val=&quot;4DBA2C26&quot;/&gt;&lt;wsp:rsid wsp:val=&quot;4DED4BF9&quot;/&gt;&lt;wsp:rsid wsp:val=&quot;4E0F7B4A&quot;/&gt;&lt;wsp:rsid wsp:val=&quot;4E145F58&quot;/&gt;&lt;wsp:rsid wsp:val=&quot;4E1B72DF&quot;/&gt;&lt;wsp:rsid wsp:val=&quot;4E5F5EAD&quot;/&gt;&lt;wsp:rsid wsp:val=&quot;4E9D38F9&quot;/&gt;&lt;wsp:rsid wsp:val=&quot;4EDA225F&quot;/&gt;&lt;wsp:rsid wsp:val=&quot;4EE062D0&quot;/&gt;&lt;wsp:rsid wsp:val=&quot;4EE40BEE&quot;/&gt;&lt;wsp:rsid wsp:val=&quot;4EEA1C42&quot;/&gt;&lt;wsp:rsid wsp:val=&quot;4EEE524A&quot;/&gt;&lt;wsp:rsid wsp:val=&quot;4F242985&quot;/&gt;&lt;wsp:rsid wsp:val=&quot;4F32701D&quot;/&gt;&lt;wsp:rsid wsp:val=&quot;4F3E6A2B&quot;/&gt;&lt;wsp:rsid wsp:val=&quot;4F496891&quot;/&gt;&lt;wsp:rsid wsp:val=&quot;4F632E7E&quot;/&gt;&lt;wsp:rsid wsp:val=&quot;4F6A5B37&quot;/&gt;&lt;wsp:rsid wsp:val=&quot;4F8C4CC9&quot;/&gt;&lt;wsp:rsid wsp:val=&quot;4F9A2FBA&quot;/&gt;&lt;wsp:rsid wsp:val=&quot;4FDB0046&quot;/&gt;&lt;wsp:rsid wsp:val=&quot;4FE6166E&quot;/&gt;&lt;wsp:rsid wsp:val=&quot;50074C87&quot;/&gt;&lt;wsp:rsid wsp:val=&quot;500B0181&quot;/&gt;&lt;wsp:rsid wsp:val=&quot;500C1426&quot;/&gt;&lt;wsp:rsid wsp:val=&quot;50100108&quot;/&gt;&lt;wsp:rsid wsp:val=&quot;5026432D&quot;/&gt;&lt;wsp:rsid wsp:val=&quot;50323C15&quot;/&gt;&lt;wsp:rsid wsp:val=&quot;5061391C&quot;/&gt;&lt;wsp:rsid wsp:val=&quot;506A3FA8&quot;/&gt;&lt;wsp:rsid wsp:val=&quot;507F087A&quot;/&gt;&lt;wsp:rsid wsp:val=&quot;5093708C&quot;/&gt;&lt;wsp:rsid wsp:val=&quot;50AD7FA8&quot;/&gt;&lt;wsp:rsid wsp:val=&quot;50B75A6E&quot;/&gt;&lt;wsp:rsid wsp:val=&quot;50C27880&quot;/&gt;&lt;wsp:rsid wsp:val=&quot;50CC313C&quot;/&gt;&lt;wsp:rsid wsp:val=&quot;50E561EC&quot;/&gt;&lt;wsp:rsid wsp:val=&quot;50EF51C9&quot;/&gt;&lt;wsp:rsid wsp:val=&quot;50FF7E74&quot;/&gt;&lt;wsp:rsid wsp:val=&quot;511526F3&quot;/&gt;&lt;wsp:rsid wsp:val=&quot;51594CA5&quot;/&gt;&lt;wsp:rsid wsp:val=&quot;517452DB&quot;/&gt;&lt;wsp:rsid wsp:val=&quot;519708DB&quot;/&gt;&lt;wsp:rsid wsp:val=&quot;51AB4928&quot;/&gt;&lt;wsp:rsid wsp:val=&quot;51D07439&quot;/&gt;&lt;wsp:rsid wsp:val=&quot;51D36AD4&quot;/&gt;&lt;wsp:rsid wsp:val=&quot;520D2D4D&quot;/&gt;&lt;wsp:rsid wsp:val=&quot;523F273C&quot;/&gt;&lt;wsp:rsid wsp:val=&quot;5257071E&quot;/&gt;&lt;wsp:rsid wsp:val=&quot;5268410B&quot;/&gt;&lt;wsp:rsid wsp:val=&quot;52A67B13&quot;/&gt;&lt;wsp:rsid wsp:val=&quot;52AF440E&quot;/&gt;&lt;wsp:rsid wsp:val=&quot;52BF44EE&quot;/&gt;&lt;wsp:rsid wsp:val=&quot;52CE4793&quot;/&gt;&lt;wsp:rsid wsp:val=&quot;52D132E1&quot;/&gt;&lt;wsp:rsid wsp:val=&quot;52D976E2&quot;/&gt;&lt;wsp:rsid wsp:val=&quot;52E27D55&quot;/&gt;&lt;wsp:rsid wsp:val=&quot;53204BBC&quot;/&gt;&lt;wsp:rsid wsp:val=&quot;53316718&quot;/&gt;&lt;wsp:rsid wsp:val=&quot;53401963&quot;/&gt;&lt;wsp:rsid wsp:val=&quot;53467707&quot;/&gt;&lt;wsp:rsid wsp:val=&quot;534F0B98&quot;/&gt;&lt;wsp:rsid wsp:val=&quot;535D4334&quot;/&gt;&lt;wsp:rsid wsp:val=&quot;53624B68&quot;/&gt;&lt;wsp:rsid wsp:val=&quot;537A2B9B&quot;/&gt;&lt;wsp:rsid wsp:val=&quot;539F7A99&quot;/&gt;&lt;wsp:rsid wsp:val=&quot;53B12142&quot;/&gt;&lt;wsp:rsid wsp:val=&quot;53B80C21&quot;/&gt;&lt;wsp:rsid wsp:val=&quot;53F26A5C&quot;/&gt;&lt;wsp:rsid wsp:val=&quot;54177340&quot;/&gt;&lt;wsp:rsid wsp:val=&quot;54204A87&quot;/&gt;&lt;wsp:rsid wsp:val=&quot;54264AF8&quot;/&gt;&lt;wsp:rsid wsp:val=&quot;54505B4E&quot;/&gt;&lt;wsp:rsid wsp:val=&quot;545633E6&quot;/&gt;&lt;wsp:rsid wsp:val=&quot;54743A4E&quot;/&gt;&lt;wsp:rsid wsp:val=&quot;54772EEC&quot;/&gt;&lt;wsp:rsid wsp:val=&quot;54B45049&quot;/&gt;&lt;wsp:rsid wsp:val=&quot;54B55E90&quot;/&gt;&lt;wsp:rsid wsp:val=&quot;54ED3D5F&quot;/&gt;&lt;wsp:rsid wsp:val=&quot;550F2946&quot;/&gt;&lt;wsp:rsid wsp:val=&quot;55351DD9&quot;/&gt;&lt;wsp:rsid wsp:val=&quot;553D6CE4&quot;/&gt;&lt;wsp:rsid wsp:val=&quot;555F11ED&quot;/&gt;&lt;wsp:rsid wsp:val=&quot;556A2638&quot;/&gt;&lt;wsp:rsid wsp:val=&quot;557026A6&quot;/&gt;&lt;wsp:rsid wsp:val=&quot;55C5656D&quot;/&gt;&lt;wsp:rsid wsp:val=&quot;560A4CF4&quot;/&gt;&lt;wsp:rsid wsp:val=&quot;5612022F&quot;/&gt;&lt;wsp:rsid wsp:val=&quot;56421B90&quot;/&gt;&lt;wsp:rsid wsp:val=&quot;56472402&quot;/&gt;&lt;wsp:rsid wsp:val=&quot;56666951&quot;/&gt;&lt;wsp:rsid wsp:val=&quot;568A5EF7&quot;/&gt;&lt;wsp:rsid wsp:val=&quot;569A01F5&quot;/&gt;&lt;wsp:rsid wsp:val=&quot;57045863&quot;/&gt;&lt;wsp:rsid wsp:val=&quot;5705360F&quot;/&gt;&lt;wsp:rsid wsp:val=&quot;570D094F&quot;/&gt;&lt;wsp:rsid wsp:val=&quot;57701CE1&quot;/&gt;&lt;wsp:rsid wsp:val=&quot;57742D5B&quot;/&gt;&lt;wsp:rsid wsp:val=&quot;5784353B&quot;/&gt;&lt;wsp:rsid wsp:val=&quot;57A65469&quot;/&gt;&lt;wsp:rsid wsp:val=&quot;57BB0AD9&quot;/&gt;&lt;wsp:rsid wsp:val=&quot;57E116D3&quot;/&gt;&lt;wsp:rsid wsp:val=&quot;57EC7BE9&quot;/&gt;&lt;wsp:rsid wsp:val=&quot;57F205FF&quot;/&gt;&lt;wsp:rsid wsp:val=&quot;57FB1A0A&quot;/&gt;&lt;wsp:rsid wsp:val=&quot;5802359C&quot;/&gt;&lt;wsp:rsid wsp:val=&quot;580A0C13&quot;/&gt;&lt;wsp:rsid wsp:val=&quot;580D58C7&quot;/&gt;&lt;wsp:rsid wsp:val=&quot;582746B4&quot;/&gt;&lt;wsp:rsid wsp:val=&quot;5833406E&quot;/&gt;&lt;wsp:rsid wsp:val=&quot;583E7E3D&quot;/&gt;&lt;wsp:rsid wsp:val=&quot;58776D73&quot;/&gt;&lt;wsp:rsid wsp:val=&quot;588D2C31&quot;/&gt;&lt;wsp:rsid wsp:val=&quot;589B43DD&quot;/&gt;&lt;wsp:rsid wsp:val=&quot;58AD6B4D&quot;/&gt;&lt;wsp:rsid wsp:val=&quot;58BB1973&quot;/&gt;&lt;wsp:rsid wsp:val=&quot;58BC5E1B&quot;/&gt;&lt;wsp:rsid wsp:val=&quot;58C16BCA&quot;/&gt;&lt;wsp:rsid wsp:val=&quot;58EF0F63&quot;/&gt;&lt;wsp:rsid wsp:val=&quot;58F06E3A&quot;/&gt;&lt;wsp:rsid wsp:val=&quot;58FF77DA&quot;/&gt;&lt;wsp:rsid wsp:val=&quot;59222399&quot;/&gt;&lt;wsp:rsid wsp:val=&quot;592655FD&quot;/&gt;&lt;wsp:rsid wsp:val=&quot;593E53C7&quot;/&gt;&lt;wsp:rsid wsp:val=&quot;594012D1&quot;/&gt;&lt;wsp:rsid wsp:val=&quot;59592AF7&quot;/&gt;&lt;wsp:rsid wsp:val=&quot;596F5B63&quot;/&gt;&lt;wsp:rsid wsp:val=&quot;59844B60&quot;/&gt;&lt;wsp:rsid wsp:val=&quot;59A91C39&quot;/&gt;&lt;wsp:rsid wsp:val=&quot;59CF1D3D&quot;/&gt;&lt;wsp:rsid wsp:val=&quot;59D96B24&quot;/&gt;&lt;wsp:rsid wsp:val=&quot;59F131E8&quot;/&gt;&lt;wsp:rsid wsp:val=&quot;59FA5681&quot;/&gt;&lt;wsp:rsid wsp:val=&quot;5A1C0D57&quot;/&gt;&lt;wsp:rsid wsp:val=&quot;5A2055FA&quot;/&gt;&lt;wsp:rsid wsp:val=&quot;5A4A1383&quot;/&gt;&lt;wsp:rsid wsp:val=&quot;5AAF0003&quot;/&gt;&lt;wsp:rsid wsp:val=&quot;5AC11AB0&quot;/&gt;&lt;wsp:rsid wsp:val=&quot;5AEA4FAB&quot;/&gt;&lt;wsp:rsid wsp:val=&quot;5AF4385A&quot;/&gt;&lt;wsp:rsid wsp:val=&quot;5AF64539&quot;/&gt;&lt;wsp:rsid wsp:val=&quot;5AFD2EA9&quot;/&gt;&lt;wsp:rsid wsp:val=&quot;5B1D0CF1&quot;/&gt;&lt;wsp:rsid wsp:val=&quot;5B3148A8&quot;/&gt;&lt;wsp:rsid wsp:val=&quot;5B353824&quot;/&gt;&lt;wsp:rsid wsp:val=&quot;5B390C8A&quot;/&gt;&lt;wsp:rsid wsp:val=&quot;5B606048&quot;/&gt;&lt;wsp:rsid wsp:val=&quot;5B6323B3&quot;/&gt;&lt;wsp:rsid wsp:val=&quot;5B7F3653&quot;/&gt;&lt;wsp:rsid wsp:val=&quot;5B8706B2&quot;/&gt;&lt;wsp:rsid wsp:val=&quot;5B95566A&quot;/&gt;&lt;wsp:rsid wsp:val=&quot;5BA57DC1&quot;/&gt;&lt;wsp:rsid wsp:val=&quot;5BB278B3&quot;/&gt;&lt;wsp:rsid wsp:val=&quot;5BC67C3D&quot;/&gt;&lt;wsp:rsid wsp:val=&quot;5BCD6484&quot;/&gt;&lt;wsp:rsid wsp:val=&quot;5BDB2C5E&quot;/&gt;&lt;wsp:rsid wsp:val=&quot;5BF5158C&quot;/&gt;&lt;wsp:rsid wsp:val=&quot;5BF96B26&quot;/&gt;&lt;wsp:rsid wsp:val=&quot;5C1E4E12&quot;/&gt;&lt;wsp:rsid wsp:val=&quot;5C264FCE&quot;/&gt;&lt;wsp:rsid wsp:val=&quot;5C620D5C&quot;/&gt;&lt;wsp:rsid wsp:val=&quot;5C692678&quot;/&gt;&lt;wsp:rsid wsp:val=&quot;5C6E5321&quot;/&gt;&lt;wsp:rsid wsp:val=&quot;5C6E6FB0&quot;/&gt;&lt;wsp:rsid wsp:val=&quot;5C8079BB&quot;/&gt;&lt;wsp:rsid wsp:val=&quot;5C825C30&quot;/&gt;&lt;wsp:rsid wsp:val=&quot;5C840D3A&quot;/&gt;&lt;wsp:rsid wsp:val=&quot;5C8D5E95&quot;/&gt;&lt;wsp:rsid wsp:val=&quot;5CBC6CDE&quot;/&gt;&lt;wsp:rsid wsp:val=&quot;5CDA26BC&quot;/&gt;&lt;wsp:rsid wsp:val=&quot;5CE74C7F&quot;/&gt;&lt;wsp:rsid wsp:val=&quot;5CF224BA&quot;/&gt;&lt;wsp:rsid wsp:val=&quot;5D1771B2&quot;/&gt;&lt;wsp:rsid wsp:val=&quot;5D287851&quot;/&gt;&lt;wsp:rsid wsp:val=&quot;5D393E0A&quot;/&gt;&lt;wsp:rsid wsp:val=&quot;5D590B65&quot;/&gt;&lt;wsp:rsid wsp:val=&quot;5DAB02C3&quot;/&gt;&lt;wsp:rsid wsp:val=&quot;5DE56B63&quot;/&gt;&lt;wsp:rsid wsp:val=&quot;5E0510EF&quot;/&gt;&lt;wsp:rsid wsp:val=&quot;5E293FC2&quot;/&gt;&lt;wsp:rsid wsp:val=&quot;5E347196&quot;/&gt;&lt;wsp:rsid wsp:val=&quot;5E3D30B0&quot;/&gt;&lt;wsp:rsid wsp:val=&quot;5E57036E&quot;/&gt;&lt;wsp:rsid wsp:val=&quot;5E6368FD&quot;/&gt;&lt;wsp:rsid wsp:val=&quot;5E666A3F&quot;/&gt;&lt;wsp:rsid wsp:val=&quot;5E702C84&quot;/&gt;&lt;wsp:rsid wsp:val=&quot;5E9630AB&quot;/&gt;&lt;wsp:rsid wsp:val=&quot;5E9B4927&quot;/&gt;&lt;wsp:rsid wsp:val=&quot;5E9C28C8&quot;/&gt;&lt;wsp:rsid wsp:val=&quot;5EAE0FD2&quot;/&gt;&lt;wsp:rsid wsp:val=&quot;5EBA5034&quot;/&gt;&lt;wsp:rsid wsp:val=&quot;5EC21422&quot;/&gt;&lt;wsp:rsid wsp:val=&quot;5ED0368B&quot;/&gt;&lt;wsp:rsid wsp:val=&quot;5EDF0139&quot;/&gt;&lt;wsp:rsid wsp:val=&quot;5EF83C50&quot;/&gt;&lt;wsp:rsid wsp:val=&quot;5F067FCF&quot;/&gt;&lt;wsp:rsid wsp:val=&quot;5F1D7064&quot;/&gt;&lt;wsp:rsid wsp:val=&quot;5F2A1C14&quot;/&gt;&lt;wsp:rsid wsp:val=&quot;5F444712&quot;/&gt;&lt;wsp:rsid wsp:val=&quot;5F4E4C4C&quot;/&gt;&lt;wsp:rsid wsp:val=&quot;5F7043FE&quot;/&gt;&lt;wsp:rsid wsp:val=&quot;5F710A7F&quot;/&gt;&lt;wsp:rsid wsp:val=&quot;5F780D4D&quot;/&gt;&lt;wsp:rsid wsp:val=&quot;5F8B4429&quot;/&gt;&lt;wsp:rsid wsp:val=&quot;5FBB5C02&quot;/&gt;&lt;wsp:rsid wsp:val=&quot;5FBF25E4&quot;/&gt;&lt;wsp:rsid wsp:val=&quot;5FC375E0&quot;/&gt;&lt;wsp:rsid wsp:val=&quot;5FCA599E&quot;/&gt;&lt;wsp:rsid wsp:val=&quot;5FE912CE&quot;/&gt;&lt;wsp:rsid wsp:val=&quot;5FEF3AD8&quot;/&gt;&lt;wsp:rsid wsp:val=&quot;600A4169&quot;/&gt;&lt;wsp:rsid wsp:val=&quot;60223B74&quot;/&gt;&lt;wsp:rsid wsp:val=&quot;60533D6B&quot;/&gt;&lt;wsp:rsid wsp:val=&quot;60620E30&quot;/&gt;&lt;wsp:rsid wsp:val=&quot;606547A6&quot;/&gt;&lt;wsp:rsid wsp:val=&quot;607064A8&quot;/&gt;&lt;wsp:rsid wsp:val=&quot;6089643B&quot;/&gt;&lt;wsp:rsid wsp:val=&quot;608B3518&quot;/&gt;&lt;wsp:rsid wsp:val=&quot;60B613DE&quot;/&gt;&lt;wsp:rsid wsp:val=&quot;60B8317C&quot;/&gt;&lt;wsp:rsid wsp:val=&quot;60BD49ED&quot;/&gt;&lt;wsp:rsid wsp:val=&quot;6119270A&quot;/&gt;&lt;wsp:rsid wsp:val=&quot;612D4ADF&quot;/&gt;&lt;wsp:rsid wsp:val=&quot;61333C09&quot;/&gt;&lt;wsp:rsid wsp:val=&quot;613563AB&quot;/&gt;&lt;wsp:rsid wsp:val=&quot;615B484C&quot;/&gt;&lt;wsp:rsid wsp:val=&quot;617F7063&quot;/&gt;&lt;wsp:rsid wsp:val=&quot;61885B3F&quot;/&gt;&lt;wsp:rsid wsp:val=&quot;61A87F74&quot;/&gt;&lt;wsp:rsid wsp:val=&quot;61BA4B62&quot;/&gt;&lt;wsp:rsid wsp:val=&quot;61BD1D44&quot;/&gt;&lt;wsp:rsid wsp:val=&quot;61DB12AA&quot;/&gt;&lt;wsp:rsid wsp:val=&quot;61DB4514&quot;/&gt;&lt;wsp:rsid wsp:val=&quot;62184073&quot;/&gt;&lt;wsp:rsid wsp:val=&quot;62653E93&quot;/&gt;&lt;wsp:rsid wsp:val=&quot;627F491E&quot;/&gt;&lt;wsp:rsid wsp:val=&quot;62975385&quot;/&gt;&lt;wsp:rsid wsp:val=&quot;630E29F6&quot;/&gt;&lt;wsp:rsid wsp:val=&quot;6311379D&quot;/&gt;&lt;wsp:rsid wsp:val=&quot;63267D30&quot;/&gt;&lt;wsp:rsid wsp:val=&quot;63291654&quot;/&gt;&lt;wsp:rsid wsp:val=&quot;632B44B3&quot;/&gt;&lt;wsp:rsid wsp:val=&quot;635C4DD4&quot;/&gt;&lt;wsp:rsid wsp:val=&quot;635F619D&quot;/&gt;&lt;wsp:rsid wsp:val=&quot;63A91A4E&quot;/&gt;&lt;wsp:rsid wsp:val=&quot;63A920F1&quot;/&gt;&lt;wsp:rsid wsp:val=&quot;63C52167&quot;/&gt;&lt;wsp:rsid wsp:val=&quot;63C61140&quot;/&gt;&lt;wsp:rsid wsp:val=&quot;63E3740A&quot;/&gt;&lt;wsp:rsid wsp:val=&quot;63E539DF&quot;/&gt;&lt;wsp:rsid wsp:val=&quot;63EA2F53&quot;/&gt;&lt;wsp:rsid wsp:val=&quot;64347118&quot;/&gt;&lt;wsp:rsid wsp:val=&quot;645925C1&quot;/&gt;&lt;wsp:rsid wsp:val=&quot;64925BC1&quot;/&gt;&lt;wsp:rsid wsp:val=&quot;64BD21EB&quot;/&gt;&lt;wsp:rsid wsp:val=&quot;64BD3864&quot;/&gt;&lt;wsp:rsid wsp:val=&quot;64E05334&quot;/&gt;&lt;wsp:rsid wsp:val=&quot;64E24779&quot;/&gt;&lt;wsp:rsid wsp:val=&quot;64FF31EE&quot;/&gt;&lt;wsp:rsid wsp:val=&quot;650712E0&quot;/&gt;&lt;wsp:rsid wsp:val=&quot;654357CA&quot;/&gt;&lt;wsp:rsid wsp:val=&quot;654472AC&quot;/&gt;&lt;wsp:rsid wsp:val=&quot;654D6C15&quot;/&gt;&lt;wsp:rsid wsp:val=&quot;654E1EB3&quot;/&gt;&lt;wsp:rsid wsp:val=&quot;655C5F60&quot;/&gt;&lt;wsp:rsid wsp:val=&quot;65667912&quot;/&gt;&lt;wsp:rsid wsp:val=&quot;656D4319&quot;/&gt;&lt;wsp:rsid wsp:val=&quot;6575573F&quot;/&gt;&lt;wsp:rsid wsp:val=&quot;65912AED&quot;/&gt;&lt;wsp:rsid wsp:val=&quot;65A25187&quot;/&gt;&lt;wsp:rsid wsp:val=&quot;65B87C4A&quot;/&gt;&lt;wsp:rsid wsp:val=&quot;65CF5A84&quot;/&gt;&lt;wsp:rsid wsp:val=&quot;65E72673&quot;/&gt;&lt;wsp:rsid wsp:val=&quot;66434F99&quot;/&gt;&lt;wsp:rsid wsp:val=&quot;666E744C&quot;/&gt;&lt;wsp:rsid wsp:val=&quot;66757B54&quot;/&gt;&lt;wsp:rsid wsp:val=&quot;667A3EC1&quot;/&gt;&lt;wsp:rsid wsp:val=&quot;66B172FF&quot;/&gt;&lt;wsp:rsid wsp:val=&quot;66C24222&quot;/&gt;&lt;wsp:rsid wsp:val=&quot;66EE57BF&quot;/&gt;&lt;wsp:rsid wsp:val=&quot;66F9215B&quot;/&gt;&lt;wsp:rsid wsp:val=&quot;67256437&quot;/&gt;&lt;wsp:rsid wsp:val=&quot;67354752&quot;/&gt;&lt;wsp:rsid wsp:val=&quot;6759547F&quot;/&gt;&lt;wsp:rsid wsp:val=&quot;67813D9A&quot;/&gt;&lt;wsp:rsid wsp:val=&quot;67926558&quot;/&gt;&lt;wsp:rsid wsp:val=&quot;67945EE4&quot;/&gt;&lt;wsp:rsid wsp:val=&quot;67A35A87&quot;/&gt;&lt;wsp:rsid wsp:val=&quot;67D70CBC&quot;/&gt;&lt;wsp:rsid wsp:val=&quot;67E0009B&quot;/&gt;&lt;wsp:rsid wsp:val=&quot;680D0927&quot;/&gt;&lt;wsp:rsid wsp:val=&quot;680F5930&quot;/&gt;&lt;wsp:rsid wsp:val=&quot;681704ED&quot;/&gt;&lt;wsp:rsid wsp:val=&quot;683A0C06&quot;/&gt;&lt;wsp:rsid wsp:val=&quot;68664706&quot;/&gt;&lt;wsp:rsid wsp:val=&quot;68774AEE&quot;/&gt;&lt;wsp:rsid wsp:val=&quot;687E704C&quot;/&gt;&lt;wsp:rsid wsp:val=&quot;68893BCD&quot;/&gt;&lt;wsp:rsid wsp:val=&quot;688D501B&quot;/&gt;&lt;wsp:rsid wsp:val=&quot;6900327E&quot;/&gt;&lt;wsp:rsid wsp:val=&quot;69366A3D&quot;/&gt;&lt;wsp:rsid wsp:val=&quot;69613621&quot;/&gt;&lt;wsp:rsid wsp:val=&quot;696E2C94&quot;/&gt;&lt;wsp:rsid wsp:val=&quot;6982639A&quot;/&gt;&lt;wsp:rsid wsp:val=&quot;69957638&quot;/&gt;&lt;wsp:rsid wsp:val=&quot;699C279A&quot;/&gt;&lt;wsp:rsid wsp:val=&quot;69A30758&quot;/&gt;&lt;wsp:rsid wsp:val=&quot;69AD40AA&quot;/&gt;&lt;wsp:rsid wsp:val=&quot;69B14C24&quot;/&gt;&lt;wsp:rsid wsp:val=&quot;69B71201&quot;/&gt;&lt;wsp:rsid wsp:val=&quot;69CB07CB&quot;/&gt;&lt;wsp:rsid wsp:val=&quot;69D756EB&quot;/&gt;&lt;wsp:rsid wsp:val=&quot;69EB3FE6&quot;/&gt;&lt;wsp:rsid wsp:val=&quot;69FB7AAC&quot;/&gt;&lt;wsp:rsid wsp:val=&quot;6A0D1BAE&quot;/&gt;&lt;wsp:rsid wsp:val=&quot;6A167AAB&quot;/&gt;&lt;wsp:rsid wsp:val=&quot;6A2629A7&quot;/&gt;&lt;wsp:rsid wsp:val=&quot;6A2D7FEB&quot;/&gt;&lt;wsp:rsid wsp:val=&quot;6A332AE7&quot;/&gt;&lt;wsp:rsid wsp:val=&quot;6A3860C1&quot;/&gt;&lt;wsp:rsid wsp:val=&quot;6A5467B5&quot;/&gt;&lt;wsp:rsid wsp:val=&quot;6A6D00F1&quot;/&gt;&lt;wsp:rsid wsp:val=&quot;6A777167&quot;/&gt;&lt;wsp:rsid wsp:val=&quot;6A8A2827&quot;/&gt;&lt;wsp:rsid wsp:val=&quot;6A9117B3&quot;/&gt;&lt;wsp:rsid wsp:val=&quot;6AB101F5&quot;/&gt;&lt;wsp:rsid wsp:val=&quot;6AC55968&quot;/&gt;&lt;wsp:rsid wsp:val=&quot;6AEA367C&quot;/&gt;&lt;wsp:rsid wsp:val=&quot;6B1371F3&quot;/&gt;&lt;wsp:rsid wsp:val=&quot;6B223469&quot;/&gt;&lt;wsp:rsid wsp:val=&quot;6B4C09FB&quot;/&gt;&lt;wsp:rsid wsp:val=&quot;6B570201&quot;/&gt;&lt;wsp:rsid wsp:val=&quot;6B8E54A6&quot;/&gt;&lt;wsp:rsid wsp:val=&quot;6BAF2D04&quot;/&gt;&lt;wsp:rsid wsp:val=&quot;6BEA4255&quot;/&gt;&lt;wsp:rsid wsp:val=&quot;6BEB1226&quot;/&gt;&lt;wsp:rsid wsp:val=&quot;6BFF42BB&quot;/&gt;&lt;wsp:rsid wsp:val=&quot;6BFF5D65&quot;/&gt;&lt;wsp:rsid wsp:val=&quot;6C047D50&quot;/&gt;&lt;wsp:rsid wsp:val=&quot;6C0D3505&quot;/&gt;&lt;wsp:rsid wsp:val=&quot;6C0D6F06&quot;/&gt;&lt;wsp:rsid wsp:val=&quot;6C1B2B97&quot;/&gt;&lt;wsp:rsid wsp:val=&quot;6C2728D4&quot;/&gt;&lt;wsp:rsid wsp:val=&quot;6C2A3447&quot;/&gt;&lt;wsp:rsid wsp:val=&quot;6C2F1215&quot;/&gt;&lt;wsp:rsid wsp:val=&quot;6C39511A&quot;/&gt;&lt;wsp:rsid wsp:val=&quot;6C4E3684&quot;/&gt;&lt;wsp:rsid wsp:val=&quot;6C774116&quot;/&gt;&lt;wsp:rsid wsp:val=&quot;6C822CF0&quot;/&gt;&lt;wsp:rsid wsp:val=&quot;6C8C5990&quot;/&gt;&lt;wsp:rsid wsp:val=&quot;6C8D33CD&quot;/&gt;&lt;wsp:rsid wsp:val=&quot;6C9061E3&quot;/&gt;&lt;wsp:rsid wsp:val=&quot;6C943EC3&quot;/&gt;&lt;wsp:rsid wsp:val=&quot;6C9A4A45&quot;/&gt;&lt;wsp:rsid wsp:val=&quot;6CA45133&quot;/&gt;&lt;wsp:rsid wsp:val=&quot;6CAF72A1&quot;/&gt;&lt;wsp:rsid wsp:val=&quot;6CBB04A9&quot;/&gt;&lt;wsp:rsid wsp:val=&quot;6CC23287&quot;/&gt;&lt;wsp:rsid wsp:val=&quot;6CF960CB&quot;/&gt;&lt;wsp:rsid wsp:val=&quot;6D1838BB&quot;/&gt;&lt;wsp:rsid wsp:val=&quot;6D280EDC&quot;/&gt;&lt;wsp:rsid wsp:val=&quot;6D3B4701&quot;/&gt;&lt;wsp:rsid wsp:val=&quot;6D3C4865&quot;/&gt;&lt;wsp:rsid wsp:val=&quot;6D484971&quot;/&gt;&lt;wsp:rsid wsp:val=&quot;6D4D4127&quot;/&gt;&lt;wsp:rsid wsp:val=&quot;6D595BBF&quot;/&gt;&lt;wsp:rsid wsp:val=&quot;6DEA05AF&quot;/&gt;&lt;wsp:rsid wsp:val=&quot;6DEB0BCF&quot;/&gt;&lt;wsp:rsid wsp:val=&quot;6E151906&quot;/&gt;&lt;wsp:rsid wsp:val=&quot;6E7C0354&quot;/&gt;&lt;wsp:rsid wsp:val=&quot;6E7C708C&quot;/&gt;&lt;wsp:rsid wsp:val=&quot;6E840DF5&quot;/&gt;&lt;wsp:rsid wsp:val=&quot;6EC546EB&quot;/&gt;&lt;wsp:rsid wsp:val=&quot;6ED64425&quot;/&gt;&lt;wsp:rsid wsp:val=&quot;6EF10745&quot;/&gt;&lt;wsp:rsid wsp:val=&quot;6EF1374A&quot;/&gt;&lt;wsp:rsid wsp:val=&quot;6F21721C&quot;/&gt;&lt;wsp:rsid wsp:val=&quot;6F6D686D&quot;/&gt;&lt;wsp:rsid wsp:val=&quot;6F71035C&quot;/&gt;&lt;wsp:rsid wsp:val=&quot;6F762656&quot;/&gt;&lt;wsp:rsid wsp:val=&quot;6F83400B&quot;/&gt;&lt;wsp:rsid wsp:val=&quot;6F8F31F4&quot;/&gt;&lt;wsp:rsid wsp:val=&quot;6FBE0D36&quot;/&gt;&lt;wsp:rsid wsp:val=&quot;6FBE4A5B&quot;/&gt;&lt;wsp:rsid wsp:val=&quot;6FE17273&quot;/&gt;&lt;wsp:rsid wsp:val=&quot;6FE41CD0&quot;/&gt;&lt;wsp:rsid wsp:val=&quot;6FF2025E&quot;/&gt;&lt;wsp:rsid wsp:val=&quot;6FF9532A&quot;/&gt;&lt;wsp:rsid wsp:val=&quot;702810B6&quot;/&gt;&lt;wsp:rsid wsp:val=&quot;702C3073&quot;/&gt;&lt;wsp:rsid wsp:val=&quot;702E6DD8&quot;/&gt;&lt;wsp:rsid wsp:val=&quot;7036071F&quot;/&gt;&lt;wsp:rsid wsp:val=&quot;703E3A64&quot;/&gt;&lt;wsp:rsid wsp:val=&quot;704120CB&quot;/&gt;&lt;wsp:rsid wsp:val=&quot;704D2B25&quot;/&gt;&lt;wsp:rsid wsp:val=&quot;7053590D&quot;/&gt;&lt;wsp:rsid wsp:val=&quot;70733B86&quot;/&gt;&lt;wsp:rsid wsp:val=&quot;70B35706&quot;/&gt;&lt;wsp:rsid wsp:val=&quot;70C10801&quot;/&gt;&lt;wsp:rsid wsp:val=&quot;70CB49C9&quot;/&gt;&lt;wsp:rsid wsp:val=&quot;70CE11B6&quot;/&gt;&lt;wsp:rsid wsp:val=&quot;70FE52F2&quot;/&gt;&lt;wsp:rsid wsp:val=&quot;70FF3626&quot;/&gt;&lt;wsp:rsid wsp:val=&quot;71421431&quot;/&gt;&lt;wsp:rsid wsp:val=&quot;7161524A&quot;/&gt;&lt;wsp:rsid wsp:val=&quot;71786F7B&quot;/&gt;&lt;wsp:rsid wsp:val=&quot;718A1523&quot;/&gt;&lt;wsp:rsid wsp:val=&quot;71B53056&quot;/&gt;&lt;wsp:rsid wsp:val=&quot;71C76A67&quot;/&gt;&lt;wsp:rsid wsp:val=&quot;71F22688&quot;/&gt;&lt;wsp:rsid wsp:val=&quot;72111974&quot;/&gt;&lt;wsp:rsid wsp:val=&quot;7230104F&quot;/&gt;&lt;wsp:rsid wsp:val=&quot;72353634&quot;/&gt;&lt;wsp:rsid wsp:val=&quot;72597A29&quot;/&gt;&lt;wsp:rsid wsp:val=&quot;725A105E&quot;/&gt;&lt;wsp:rsid wsp:val=&quot;726A08D6&quot;/&gt;&lt;wsp:rsid wsp:val=&quot;72841C5F&quot;/&gt;&lt;wsp:rsid wsp:val=&quot;728B594B&quot;/&gt;&lt;wsp:rsid wsp:val=&quot;72B75429&quot;/&gt;&lt;wsp:rsid wsp:val=&quot;72BA71BC&quot;/&gt;&lt;wsp:rsid wsp:val=&quot;72BF3E4D&quot;/&gt;&lt;wsp:rsid wsp:val=&quot;72CD0D98&quot;/&gt;&lt;wsp:rsid wsp:val=&quot;72E05421&quot;/&gt;&lt;wsp:rsid wsp:val=&quot;72E84E52&quot;/&gt;&lt;wsp:rsid wsp:val=&quot;72F41FCA&quot;/&gt;&lt;wsp:rsid wsp:val=&quot;731C4DAA&quot;/&gt;&lt;wsp:rsid wsp:val=&quot;733937FD&quot;/&gt;&lt;wsp:rsid wsp:val=&quot;73464BAC&quot;/&gt;&lt;wsp:rsid wsp:val=&quot;7357313A&quot;/&gt;&lt;wsp:rsid wsp:val=&quot;735F3CE7&quot;/&gt;&lt;wsp:rsid wsp:val=&quot;73751C90&quot;/&gt;&lt;wsp:rsid wsp:val=&quot;738C4C98&quot;/&gt;&lt;wsp:rsid wsp:val=&quot;738D3233&quot;/&gt;&lt;wsp:rsid wsp:val=&quot;73BB2087&quot;/&gt;&lt;wsp:rsid wsp:val=&quot;73C9322C&quot;/&gt;&lt;wsp:rsid wsp:val=&quot;73D057CC&quot;/&gt;&lt;wsp:rsid wsp:val=&quot;73D40642&quot;/&gt;&lt;wsp:rsid wsp:val=&quot;7433341C&quot;/&gt;&lt;wsp:rsid wsp:val=&quot;743B25E0&quot;/&gt;&lt;wsp:rsid wsp:val=&quot;74501315&quot;/&gt;&lt;wsp:rsid wsp:val=&quot;745032F1&quot;/&gt;&lt;wsp:rsid wsp:val=&quot;74635EDF&quot;/&gt;&lt;wsp:rsid wsp:val=&quot;748129B0&quot;/&gt;&lt;wsp:rsid wsp:val=&quot;74971A01&quot;/&gt;&lt;wsp:rsid wsp:val=&quot;74A4449E&quot;/&gt;&lt;wsp:rsid wsp:val=&quot;74B62955&quot;/&gt;&lt;wsp:rsid wsp:val=&quot;74C2592F&quot;/&gt;&lt;wsp:rsid wsp:val=&quot;74C27966&quot;/&gt;&lt;wsp:rsid wsp:val=&quot;74E811DA&quot;/&gt;&lt;wsp:rsid wsp:val=&quot;74F2321A&quot;/&gt;&lt;wsp:rsid wsp:val=&quot;7502760B&quot;/&gt;&lt;wsp:rsid wsp:val=&quot;750A1664&quot;/&gt;&lt;wsp:rsid wsp:val=&quot;75230514&quot;/&gt;&lt;wsp:rsid wsp:val=&quot;752F2B66&quot;/&gt;&lt;wsp:rsid wsp:val=&quot;753A0189&quot;/&gt;&lt;wsp:rsid wsp:val=&quot;753D271B&quot;/&gt;&lt;wsp:rsid wsp:val=&quot;754A70E4&quot;/&gt;&lt;wsp:rsid wsp:val=&quot;75643DD7&quot;/&gt;&lt;wsp:rsid wsp:val=&quot;756F21E3&quot;/&gt;&lt;wsp:rsid wsp:val=&quot;759D44AE&quot;/&gt;&lt;wsp:rsid wsp:val=&quot;75A05534&quot;/&gt;&lt;wsp:rsid wsp:val=&quot;75C01803&quot;/&gt;&lt;wsp:rsid wsp:val=&quot;75C4466C&quot;/&gt;&lt;wsp:rsid wsp:val=&quot;75E70533&quot;/&gt;&lt;wsp:rsid wsp:val=&quot;75FE28F5&quot;/&gt;&lt;wsp:rsid wsp:val=&quot;761334F2&quot;/&gt;&lt;wsp:rsid wsp:val=&quot;761840A0&quot;/&gt;&lt;wsp:rsid wsp:val=&quot;761D5980&quot;/&gt;&lt;wsp:rsid wsp:val=&quot;763A400B&quot;/&gt;&lt;wsp:rsid wsp:val=&quot;763C6284&quot;/&gt;&lt;wsp:rsid wsp:val=&quot;763F4047&quot;/&gt;&lt;wsp:rsid wsp:val=&quot;7646015A&quot;/&gt;&lt;wsp:rsid wsp:val=&quot;764B5D6E&quot;/&gt;&lt;wsp:rsid wsp:val=&quot;766151C7&quot;/&gt;&lt;wsp:rsid wsp:val=&quot;767C1AC2&quot;/&gt;&lt;wsp:rsid wsp:val=&quot;768C5F53&quot;/&gt;&lt;wsp:rsid wsp:val=&quot;76C631B4&quot;/&gt;&lt;wsp:rsid wsp:val=&quot;76DC4CC6&quot;/&gt;&lt;wsp:rsid wsp:val=&quot;76E60A66&quot;/&gt;&lt;wsp:rsid wsp:val=&quot;7700343E&quot;/&gt;&lt;wsp:rsid wsp:val=&quot;770A2B1C&quot;/&gt;&lt;wsp:rsid wsp:val=&quot;77147B5F&quot;/&gt;&lt;wsp:rsid wsp:val=&quot;77374B8E&quot;/&gt;&lt;wsp:rsid wsp:val=&quot;77501D85&quot;/&gt;&lt;wsp:rsid wsp:val=&quot;775F7AE1&quot;/&gt;&lt;wsp:rsid wsp:val=&quot;776270D4&quot;/&gt;&lt;wsp:rsid wsp:val=&quot;777A5FE9&quot;/&gt;&lt;wsp:rsid wsp:val=&quot;7785795C&quot;/&gt;&lt;wsp:rsid wsp:val=&quot;778E51A6&quot;/&gt;&lt;wsp:rsid wsp:val=&quot;779E6716&quot;/&gt;&lt;wsp:rsid wsp:val=&quot;77A90FB3&quot;/&gt;&lt;wsp:rsid wsp:val=&quot;77BA3971&quot;/&gt;&lt;wsp:rsid wsp:val=&quot;77D64857&quot;/&gt;&lt;wsp:rsid wsp:val=&quot;77D96724&quot;/&gt;&lt;wsp:rsid wsp:val=&quot;78017F77&quot;/&gt;&lt;wsp:rsid wsp:val=&quot;7851034D&quot;/&gt;&lt;wsp:rsid wsp:val=&quot;7877640B&quot;/&gt;&lt;wsp:rsid wsp:val=&quot;787B5394&quot;/&gt;&lt;wsp:rsid wsp:val=&quot;78860C41&quot;/&gt;&lt;wsp:rsid wsp:val=&quot;789D02F7&quot;/&gt;&lt;wsp:rsid wsp:val=&quot;78A221E0&quot;/&gt;&lt;wsp:rsid wsp:val=&quot;78CD15B5&quot;/&gt;&lt;wsp:rsid wsp:val=&quot;78D5459F&quot;/&gt;&lt;wsp:rsid wsp:val=&quot;78DD6192&quot;/&gt;&lt;wsp:rsid wsp:val=&quot;78F01FE6&quot;/&gt;&lt;wsp:rsid wsp:val=&quot;79194B33&quot;/&gt;&lt;wsp:rsid wsp:val=&quot;791F6322&quot;/&gt;&lt;wsp:rsid wsp:val=&quot;792C563A&quot;/&gt;&lt;wsp:rsid wsp:val=&quot;79341852&quot;/&gt;&lt;wsp:rsid wsp:val=&quot;79380549&quot;/&gt;&lt;wsp:rsid wsp:val=&quot;793B206E&quot;/&gt;&lt;wsp:rsid wsp:val=&quot;79552A46&quot;/&gt;&lt;wsp:rsid wsp:val=&quot;796F265C&quot;/&gt;&lt;wsp:rsid wsp:val=&quot;797C1682&quot;/&gt;&lt;wsp:rsid wsp:val=&quot;798D171F&quot;/&gt;&lt;wsp:rsid wsp:val=&quot;79946F00&quot;/&gt;&lt;wsp:rsid wsp:val=&quot;79A1140D&quot;/&gt;&lt;wsp:rsid wsp:val=&quot;79B43848&quot;/&gt;&lt;wsp:rsid wsp:val=&quot;79BE32D6&quot;/&gt;&lt;wsp:rsid wsp:val=&quot;79D63757&quot;/&gt;&lt;wsp:rsid wsp:val=&quot;79ED082A&quot;/&gt;&lt;wsp:rsid wsp:val=&quot;7A2920D3&quot;/&gt;&lt;wsp:rsid wsp:val=&quot;7A374FF6&quot;/&gt;&lt;wsp:rsid wsp:val=&quot;7A4E7B54&quot;/&gt;&lt;wsp:rsid wsp:val=&quot;7A592701&quot;/&gt;&lt;wsp:rsid wsp:val=&quot;7AAD64AC&quot;/&gt;&lt;wsp:rsid wsp:val=&quot;7B1D3658&quot;/&gt;&lt;wsp:rsid wsp:val=&quot;7B21328C&quot;/&gt;&lt;wsp:rsid wsp:val=&quot;7B254E2F&quot;/&gt;&lt;wsp:rsid wsp:val=&quot;7B287521&quot;/&gt;&lt;wsp:rsid wsp:val=&quot;7B4B1A98&quot;/&gt;&lt;wsp:rsid wsp:val=&quot;7B6739B1&quot;/&gt;&lt;wsp:rsid wsp:val=&quot;7B7B6496&quot;/&gt;&lt;wsp:rsid wsp:val=&quot;7BAC71CB&quot;/&gt;&lt;wsp:rsid wsp:val=&quot;7BB1041A&quot;/&gt;&lt;wsp:rsid wsp:val=&quot;7BB32D4A&quot;/&gt;&lt;wsp:rsid wsp:val=&quot;7BC5661E&quot;/&gt;&lt;wsp:rsid wsp:val=&quot;7BC90C8C&quot;/&gt;&lt;wsp:rsid wsp:val=&quot;7BD90FB6&quot;/&gt;&lt;wsp:rsid wsp:val=&quot;7C0F6E04&quot;/&gt;&lt;wsp:rsid wsp:val=&quot;7C1D2285&quot;/&gt;&lt;wsp:rsid wsp:val=&quot;7C1E6B1F&quot;/&gt;&lt;wsp:rsid wsp:val=&quot;7C2E1862&quot;/&gt;&lt;wsp:rsid wsp:val=&quot;7C5311F2&quot;/&gt;&lt;wsp:rsid wsp:val=&quot;7C8D4941&quot;/&gt;&lt;wsp:rsid wsp:val=&quot;7CA6590D&quot;/&gt;&lt;wsp:rsid wsp:val=&quot;7CB97BE8&quot;/&gt;&lt;wsp:rsid wsp:val=&quot;7CBB01E8&quot;/&gt;&lt;wsp:rsid wsp:val=&quot;7CBB0C3A&quot;/&gt;&lt;wsp:rsid wsp:val=&quot;7CC2482C&quot;/&gt;&lt;wsp:rsid wsp:val=&quot;7CCC56E8&quot;/&gt;&lt;wsp:rsid wsp:val=&quot;7CCD3BD3&quot;/&gt;&lt;wsp:rsid wsp:val=&quot;7CF95475&quot;/&gt;&lt;wsp:rsid wsp:val=&quot;7D111731&quot;/&gt;&lt;wsp:rsid wsp:val=&quot;7D397EA2&quot;/&gt;&lt;wsp:rsid wsp:val=&quot;7D500432&quot;/&gt;&lt;wsp:rsid wsp:val=&quot;7D605858&quot;/&gt;&lt;wsp:rsid wsp:val=&quot;7D723EBE&quot;/&gt;&lt;wsp:rsid wsp:val=&quot;7D781227&quot;/&gt;&lt;wsp:rsid wsp:val=&quot;7D877D43&quot;/&gt;&lt;wsp:rsid wsp:val=&quot;7D9A6DC0&quot;/&gt;&lt;wsp:rsid wsp:val=&quot;7DB36B97&quot;/&gt;&lt;wsp:rsid wsp:val=&quot;7DC703D9&quot;/&gt;&lt;wsp:rsid wsp:val=&quot;7DDB7DE7&quot;/&gt;&lt;wsp:rsid wsp:val=&quot;7DF4777E&quot;/&gt;&lt;wsp:rsid wsp:val=&quot;7DF876D3&quot;/&gt;&lt;wsp:rsid wsp:val=&quot;7DFE398D&quot;/&gt;&lt;wsp:rsid wsp:val=&quot;7E04242A&quot;/&gt;&lt;wsp:rsid wsp:val=&quot;7E0F558E&quot;/&gt;&lt;wsp:rsid wsp:val=&quot;7E351E0B&quot;/&gt;&lt;wsp:rsid wsp:val=&quot;7E673375&quot;/&gt;&lt;wsp:rsid wsp:val=&quot;7E740161&quot;/&gt;&lt;wsp:rsid wsp:val=&quot;7E7E0887&quot;/&gt;&lt;wsp:rsid wsp:val=&quot;7E8C7AAD&quot;/&gt;&lt;wsp:rsid wsp:val=&quot;7E8E54A5&quot;/&gt;&lt;wsp:rsid wsp:val=&quot;7EA06031&quot;/&gt;&lt;wsp:rsid wsp:val=&quot;7EC160B2&quot;/&gt;&lt;wsp:rsid wsp:val=&quot;7EE25C84&quot;/&gt;&lt;wsp:rsid wsp:val=&quot;7F1C0E2F&quot;/&gt;&lt;wsp:rsid wsp:val=&quot;7F545919&quot;/&gt;&lt;wsp:rsid wsp:val=&quot;7FA06728&quot;/&gt;&lt;wsp:rsid wsp:val=&quot;7FB56836&quot;/&gt;&lt;wsp:rsid wsp:val=&quot;7FF24FD3&quot;/&gt;&lt;wsp:rsid wsp:val=&quot;7FFB3DE3&quot;/&gt;&lt;/wsp:rsids&gt;&lt;/w:docPr&gt;&lt;w:body&gt;&lt;w:p wsp:rsidR=&quot;00000000&quot; wsp:rsidRDefault=&quot;004E680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18" chromakey="#FFFFFF" o:title=""/>
                  <o:lock v:ext="edit" aspectratio="t"/>
                  <w10:wrap type="none"/>
                  <w10:anchorlock/>
                </v:shape>
              </w:pict>
            </w:r>
            <w:r>
              <w:rPr>
                <w:rFonts w:ascii="Times New Roman" w:hAnsi="Times New Roman" w:eastAsia="宋体" w:cs="Times New Roman"/>
                <w:color w:val="000000"/>
                <w:sz w:val="24"/>
                <w:szCs w:val="24"/>
              </w:rPr>
              <w:instrText xml:space="preserve">  \* MERGEFORMAT </w:instrText>
            </w:r>
            <w:r>
              <w:rPr>
                <w:rFonts w:ascii="Times New Roman" w:hAnsi="Times New Roman" w:eastAsia="宋体" w:cs="Times New Roman"/>
                <w:color w:val="000000"/>
                <w:sz w:val="24"/>
                <w:szCs w:val="24"/>
              </w:rPr>
              <w:fldChar w:fldCharType="separate"/>
            </w:r>
            <w:r>
              <w:rPr>
                <w:rFonts w:ascii="Times New Roman" w:hAnsi="Times New Roman" w:eastAsia="宋体" w:cs="Times New Roman"/>
                <w:color w:val="000000"/>
                <w:position w:val="-15"/>
                <w:sz w:val="24"/>
                <w:szCs w:val="24"/>
              </w:rPr>
              <w:pict>
                <v:shape id="_x0000_i1027" o:spt="75" type="#_x0000_t75" style="height:23.25pt;width:9.7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20&quot;/&gt;&lt;w:drawingGridVerticalSpacing w:val=&quot;163&quot;/&gt;&lt;w:displayHorizontalDrawingGridEvery w:val=&quot;2&quot;/&gt;&lt;w:displayVerticalDrawingGridEvery w:val=&quot;2&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7799&quot;/&gt;&lt;wsp:rsid wsp:val=&quot;0003220E&quot;/&gt;&lt;wsp:rsid wsp:val=&quot;00041FC6&quot;/&gt;&lt;wsp:rsid wsp:val=&quot;0005182A&quot;/&gt;&lt;wsp:rsid wsp:val=&quot;00055174&quot;/&gt;&lt;wsp:rsid wsp:val=&quot;00064C91&quot;/&gt;&lt;wsp:rsid wsp:val=&quot;00085AE3&quot;/&gt;&lt;wsp:rsid wsp:val=&quot;00087D37&quot;/&gt;&lt;wsp:rsid wsp:val=&quot;000925F7&quot;/&gt;&lt;wsp:rsid wsp:val=&quot;00096B01&quot;/&gt;&lt;wsp:rsid wsp:val=&quot;000A5613&quot;/&gt;&lt;wsp:rsid wsp:val=&quot;00110596&quot;/&gt;&lt;wsp:rsid wsp:val=&quot;00125609&quot;/&gt;&lt;wsp:rsid wsp:val=&quot;00132FAD&quot;/&gt;&lt;wsp:rsid wsp:val=&quot;001400CC&quot;/&gt;&lt;wsp:rsid wsp:val=&quot;00143CEA&quot;/&gt;&lt;wsp:rsid wsp:val=&quot;00172A27&quot;/&gt;&lt;wsp:rsid wsp:val=&quot;00177A49&quot;/&gt;&lt;wsp:rsid wsp:val=&quot;001926F2&quot;/&gt;&lt;wsp:rsid wsp:val=&quot;001B66BF&quot;/&gt;&lt;wsp:rsid wsp:val=&quot;001C2BD6&quot;/&gt;&lt;wsp:rsid wsp:val=&quot;001C5F3A&quot;/&gt;&lt;wsp:rsid wsp:val=&quot;001D1D04&quot;/&gt;&lt;wsp:rsid wsp:val=&quot;001F4C9A&quot;/&gt;&lt;wsp:rsid wsp:val=&quot;00203AC0&quot;/&gt;&lt;wsp:rsid wsp:val=&quot;00236A52&quot;/&gt;&lt;wsp:rsid wsp:val=&quot;00266BC0&quot;/&gt;&lt;wsp:rsid wsp:val=&quot;00284F82&quot;/&gt;&lt;wsp:rsid wsp:val=&quot;00290962&quot;/&gt;&lt;wsp:rsid wsp:val=&quot;002914D7&quot;/&gt;&lt;wsp:rsid wsp:val=&quot;002A2E8C&quot;/&gt;&lt;wsp:rsid wsp:val=&quot;002D00AD&quot;/&gt;&lt;wsp:rsid wsp:val=&quot;00325CF4&quot;/&gt;&lt;wsp:rsid wsp:val=&quot;00332EC7&quot;/&gt;&lt;wsp:rsid wsp:val=&quot;00342E2A&quot;/&gt;&lt;wsp:rsid wsp:val=&quot;00384BE1&quot;/&gt;&lt;wsp:rsid wsp:val=&quot;003912CE&quot;/&gt;&lt;wsp:rsid wsp:val=&quot;00391FF3&quot;/&gt;&lt;wsp:rsid wsp:val=&quot;003A2A37&quot;/&gt;&lt;wsp:rsid wsp:val=&quot;003C5A93&quot;/&gt;&lt;wsp:rsid wsp:val=&quot;003D3AD3&quot;/&gt;&lt;wsp:rsid wsp:val=&quot;003F2C2E&quot;/&gt;&lt;wsp:rsid wsp:val=&quot;0040616E&quot;/&gt;&lt;wsp:rsid wsp:val=&quot;0044301E&quot;/&gt;&lt;wsp:rsid wsp:val=&quot;00446169&quot;/&gt;&lt;wsp:rsid wsp:val=&quot;00447EEC&quot;/&gt;&lt;wsp:rsid wsp:val=&quot;00465DF1&quot;/&gt;&lt;wsp:rsid wsp:val=&quot;00476680&quot;/&gt;&lt;wsp:rsid wsp:val=&quot;004C1271&quot;/&gt;&lt;wsp:rsid wsp:val=&quot;004E6802&quot;/&gt;&lt;wsp:rsid wsp:val=&quot;004E7680&quot;/&gt;&lt;wsp:rsid wsp:val=&quot;004E7A9C&quot;/&gt;&lt;wsp:rsid wsp:val=&quot;004F232C&quot;/&gt;&lt;wsp:rsid wsp:val=&quot;004F7FF9&quot;/&gt;&lt;wsp:rsid wsp:val=&quot;00500413&quot;/&gt;&lt;wsp:rsid wsp:val=&quot;00511D8F&quot;/&gt;&lt;wsp:rsid wsp:val=&quot;005140F2&quot;/&gt;&lt;wsp:rsid wsp:val=&quot;00536147&quot;/&gt;&lt;wsp:rsid wsp:val=&quot;00583612&quot;/&gt;&lt;wsp:rsid wsp:val=&quot;005A0F3F&quot;/&gt;&lt;wsp:rsid wsp:val=&quot;005A72D5&quot;/&gt;&lt;wsp:rsid wsp:val=&quot;005C3305&quot;/&gt;&lt;wsp:rsid wsp:val=&quot;005D42EF&quot;/&gt;&lt;wsp:rsid wsp:val=&quot;005E0F98&quot;/&gt;&lt;wsp:rsid wsp:val=&quot;005E11F9&quot;/&gt;&lt;wsp:rsid wsp:val=&quot;005F0BF5&quot;/&gt;&lt;wsp:rsid wsp:val=&quot;005F7CE0&quot;/&gt;&lt;wsp:rsid wsp:val=&quot;00606A27&quot;/&gt;&lt;wsp:rsid wsp:val=&quot;00625580&quot;/&gt;&lt;wsp:rsid wsp:val=&quot;00627FD1&quot;/&gt;&lt;wsp:rsid wsp:val=&quot;006374BE&quot;/&gt;&lt;wsp:rsid wsp:val=&quot;00642551&quot;/&gt;&lt;wsp:rsid wsp:val=&quot;006471C6&quot;/&gt;&lt;wsp:rsid wsp:val=&quot;006627A4&quot;/&gt;&lt;wsp:rsid wsp:val=&quot;006713C0&quot;/&gt;&lt;wsp:rsid wsp:val=&quot;0068594A&quot;/&gt;&lt;wsp:rsid wsp:val=&quot;006A4BCE&quot;/&gt;&lt;wsp:rsid wsp:val=&quot;006C5708&quot;/&gt;&lt;wsp:rsid wsp:val=&quot;006D418C&quot;/&gt;&lt;wsp:rsid wsp:val=&quot;006E4591&quot;/&gt;&lt;wsp:rsid wsp:val=&quot;00713C20&quot;/&gt;&lt;wsp:rsid wsp:val=&quot;00747650&quot;/&gt;&lt;wsp:rsid wsp:val=&quot;007534EB&quot;/&gt;&lt;wsp:rsid wsp:val=&quot;00755BD8&quot;/&gt;&lt;wsp:rsid wsp:val=&quot;00762B98&quot;/&gt;&lt;wsp:rsid wsp:val=&quot;007842C1&quot;/&gt;&lt;wsp:rsid wsp:val=&quot;0079019A&quot;/&gt;&lt;wsp:rsid wsp:val=&quot;007930E9&quot;/&gt;&lt;wsp:rsid wsp:val=&quot;007B3419&quot;/&gt;&lt;wsp:rsid wsp:val=&quot;007B793E&quot;/&gt;&lt;wsp:rsid wsp:val=&quot;007D1D1D&quot;/&gt;&lt;wsp:rsid wsp:val=&quot;007D21B8&quot;/&gt;&lt;wsp:rsid wsp:val=&quot;007E4B38&quot;/&gt;&lt;wsp:rsid wsp:val=&quot;007F624B&quot;/&gt;&lt;wsp:rsid wsp:val=&quot;007F7F6F&quot;/&gt;&lt;wsp:rsid wsp:val=&quot;0080023B&quot;/&gt;&lt;wsp:rsid wsp:val=&quot;00802344&quot;/&gt;&lt;wsp:rsid wsp:val=&quot;00810AE7&quot;/&gt;&lt;wsp:rsid wsp:val=&quot;008206E3&quot;/&gt;&lt;wsp:rsid wsp:val=&quot;00833F3E&quot;/&gt;&lt;wsp:rsid wsp:val=&quot;00847374&quot;/&gt;&lt;wsp:rsid wsp:val=&quot;00854BB1&quot;/&gt;&lt;wsp:rsid wsp:val=&quot;00880750&quot;/&gt;&lt;wsp:rsid wsp:val=&quot;00881DC4&quot;/&gt;&lt;wsp:rsid wsp:val=&quot;00885D1B&quot;/&gt;&lt;wsp:rsid wsp:val=&quot;008A3849&quot;/&gt;&lt;wsp:rsid wsp:val=&quot;008D3E46&quot;/&gt;&lt;wsp:rsid wsp:val=&quot;008D6872&quot;/&gt;&lt;wsp:rsid wsp:val=&quot;008E17C5&quot;/&gt;&lt;wsp:rsid wsp:val=&quot;008F34D6&quot;/&gt;&lt;wsp:rsid wsp:val=&quot;00911C51&quot;/&gt;&lt;wsp:rsid wsp:val=&quot;00942A8D&quot;/&gt;&lt;wsp:rsid wsp:val=&quot;00951BCD&quot;/&gt;&lt;wsp:rsid wsp:val=&quot;009675BA&quot;/&gt;&lt;wsp:rsid wsp:val=&quot;00977DC6&quot;/&gt;&lt;wsp:rsid wsp:val=&quot;00994AE4&quot;/&gt;&lt;wsp:rsid wsp:val=&quot;009B4FE5&quot;/&gt;&lt;wsp:rsid wsp:val=&quot;009D2E29&quot;/&gt;&lt;wsp:rsid wsp:val=&quot;009E7FAC&quot;/&gt;&lt;wsp:rsid wsp:val=&quot;00A0747A&quot;/&gt;&lt;wsp:rsid wsp:val=&quot;00A14031&quot;/&gt;&lt;wsp:rsid wsp:val=&quot;00A17E8D&quot;/&gt;&lt;wsp:rsid wsp:val=&quot;00A24EC6&quot;/&gt;&lt;wsp:rsid wsp:val=&quot;00A25907&quot;/&gt;&lt;wsp:rsid wsp:val=&quot;00A27198&quot;/&gt;&lt;wsp:rsid wsp:val=&quot;00A6478A&quot;/&gt;&lt;wsp:rsid wsp:val=&quot;00A72BE0&quot;/&gt;&lt;wsp:rsid wsp:val=&quot;00A75690&quot;/&gt;&lt;wsp:rsid wsp:val=&quot;00A956A8&quot;/&gt;&lt;wsp:rsid wsp:val=&quot;00AE7D56&quot;/&gt;&lt;wsp:rsid wsp:val=&quot;00AF5D5A&quot;/&gt;&lt;wsp:rsid wsp:val=&quot;00B6067F&quot;/&gt;&lt;wsp:rsid wsp:val=&quot;00B71148&quot;/&gt;&lt;wsp:rsid wsp:val=&quot;00B729C9&quot;/&gt;&lt;wsp:rsid wsp:val=&quot;00B772AB&quot;/&gt;&lt;wsp:rsid wsp:val=&quot;00BA34CB&quot;/&gt;&lt;wsp:rsid wsp:val=&quot;00BB04F5&quot;/&gt;&lt;wsp:rsid wsp:val=&quot;00BD2343&quot;/&gt;&lt;wsp:rsid wsp:val=&quot;00BE3470&quot;/&gt;&lt;wsp:rsid wsp:val=&quot;00BE3DDD&quot;/&gt;&lt;wsp:rsid wsp:val=&quot;00BE46E2&quot;/&gt;&lt;wsp:rsid wsp:val=&quot;00BF3138&quot;/&gt;&lt;wsp:rsid wsp:val=&quot;00C01E6E&quot;/&gt;&lt;wsp:rsid wsp:val=&quot;00C04A83&quot;/&gt;&lt;wsp:rsid wsp:val=&quot;00C164C9&quot;/&gt;&lt;wsp:rsid wsp:val=&quot;00C335F1&quot;/&gt;&lt;wsp:rsid wsp:val=&quot;00C572D1&quot;/&gt;&lt;wsp:rsid wsp:val=&quot;00C64B1D&quot;/&gt;&lt;wsp:rsid wsp:val=&quot;00C76A85&quot;/&gt;&lt;wsp:rsid wsp:val=&quot;00C9712C&quot;/&gt;&lt;wsp:rsid wsp:val=&quot;00CA702E&quot;/&gt;&lt;wsp:rsid wsp:val=&quot;00CC0E30&quot;/&gt;&lt;wsp:rsid wsp:val=&quot;00CC6F9A&quot;/&gt;&lt;wsp:rsid wsp:val=&quot;00CE3DBA&quot;/&gt;&lt;wsp:rsid wsp:val=&quot;00CF2C88&quot;/&gt;&lt;wsp:rsid wsp:val=&quot;00D301CA&quot;/&gt;&lt;wsp:rsid wsp:val=&quot;00D43350&quot;/&gt;&lt;wsp:rsid wsp:val=&quot;00D70EF4&quot;/&gt;&lt;wsp:rsid wsp:val=&quot;00D8025C&quot;/&gt;&lt;wsp:rsid wsp:val=&quot;00D85C3B&quot;/&gt;&lt;wsp:rsid wsp:val=&quot;00D85FB4&quot;/&gt;&lt;wsp:rsid wsp:val=&quot;00DC58DD&quot;/&gt;&lt;wsp:rsid wsp:val=&quot;00DD4D11&quot;/&gt;&lt;wsp:rsid wsp:val=&quot;00E07445&quot;/&gt;&lt;wsp:rsid wsp:val=&quot;00E100D0&quot;/&gt;&lt;wsp:rsid wsp:val=&quot;00E31A2C&quot;/&gt;&lt;wsp:rsid wsp:val=&quot;00E33D25&quot;/&gt;&lt;wsp:rsid wsp:val=&quot;00E51F0F&quot;/&gt;&lt;wsp:rsid wsp:val=&quot;00E62292&quot;/&gt;&lt;wsp:rsid wsp:val=&quot;00E92378&quot;/&gt;&lt;wsp:rsid wsp:val=&quot;00EA1A89&quot;/&gt;&lt;wsp:rsid wsp:val=&quot;00EA3325&quot;/&gt;&lt;wsp:rsid wsp:val=&quot;00EA3589&quot;/&gt;&lt;wsp:rsid wsp:val=&quot;00EC2BDA&quot;/&gt;&lt;wsp:rsid wsp:val=&quot;00ED35C7&quot;/&gt;&lt;wsp:rsid wsp:val=&quot;00ED42B6&quot;/&gt;&lt;wsp:rsid wsp:val=&quot;00EE32AF&quot;/&gt;&lt;wsp:rsid wsp:val=&quot;00EE5253&quot;/&gt;&lt;wsp:rsid wsp:val=&quot;00F104D1&quot;/&gt;&lt;wsp:rsid wsp:val=&quot;00F2677F&quot;/&gt;&lt;wsp:rsid wsp:val=&quot;00F33270&quot;/&gt;&lt;wsp:rsid wsp:val=&quot;00F4011F&quot;/&gt;&lt;wsp:rsid wsp:val=&quot;00F44CB1&quot;/&gt;&lt;wsp:rsid wsp:val=&quot;00F44EDE&quot;/&gt;&lt;wsp:rsid wsp:val=&quot;00F622A0&quot;/&gt;&lt;wsp:rsid wsp:val=&quot;00F75CF1&quot;/&gt;&lt;wsp:rsid wsp:val=&quot;00F82078&quot;/&gt;&lt;wsp:rsid wsp:val=&quot;00FC25BE&quot;/&gt;&lt;wsp:rsid wsp:val=&quot;00FF7FCC&quot;/&gt;&lt;wsp:rsid wsp:val=&quot;0103434B&quot;/&gt;&lt;wsp:rsid wsp:val=&quot;01253230&quot;/&gt;&lt;wsp:rsid wsp:val=&quot;01426AEA&quot;/&gt;&lt;wsp:rsid wsp:val=&quot;01455E23&quot;/&gt;&lt;wsp:rsid wsp:val=&quot;014C2352&quot;/&gt;&lt;wsp:rsid wsp:val=&quot;015B4BE0&quot;/&gt;&lt;wsp:rsid wsp:val=&quot;01747637&quot;/&gt;&lt;wsp:rsid wsp:val=&quot;01781E17&quot;/&gt;&lt;wsp:rsid wsp:val=&quot;01992DF2&quot;/&gt;&lt;wsp:rsid wsp:val=&quot;01C90B3E&quot;/&gt;&lt;wsp:rsid wsp:val=&quot;01E64538&quot;/&gt;&lt;wsp:rsid wsp:val=&quot;01E976C2&quot;/&gt;&lt;wsp:rsid wsp:val=&quot;01EC0A3E&quot;/&gt;&lt;wsp:rsid wsp:val=&quot;01F56E1D&quot;/&gt;&lt;wsp:rsid wsp:val=&quot;020557CF&quot;/&gt;&lt;wsp:rsid wsp:val=&quot;02254DFB&quot;/&gt;&lt;wsp:rsid wsp:val=&quot;02286248&quot;/&gt;&lt;wsp:rsid wsp:val=&quot;022C5747&quot;/&gt;&lt;wsp:rsid wsp:val=&quot;027D0BC3&quot;/&gt;&lt;wsp:rsid wsp:val=&quot;028A10E9&quot;/&gt;&lt;wsp:rsid wsp:val=&quot;02C65A23&quot;/&gt;&lt;wsp:rsid wsp:val=&quot;02D26338&quot;/&gt;&lt;wsp:rsid wsp:val=&quot;02F94132&quot;/&gt;&lt;wsp:rsid wsp:val=&quot;03064C46&quot;/&gt;&lt;wsp:rsid wsp:val=&quot;030832E0&quot;/&gt;&lt;wsp:rsid wsp:val=&quot;031814B1&quot;/&gt;&lt;wsp:rsid wsp:val=&quot;0319633C&quot;/&gt;&lt;wsp:rsid wsp:val=&quot;034E01D8&quot;/&gt;&lt;wsp:rsid wsp:val=&quot;035173AC&quot;/&gt;&lt;wsp:rsid wsp:val=&quot;035464C7&quot;/&gt;&lt;wsp:rsid wsp:val=&quot;035723C9&quot;/&gt;&lt;wsp:rsid wsp:val=&quot;035C45EC&quot;/&gt;&lt;wsp:rsid wsp:val=&quot;0361208F&quot;/&gt;&lt;wsp:rsid wsp:val=&quot;036B692E&quot;/&gt;&lt;wsp:rsid wsp:val=&quot;039061B5&quot;/&gt;&lt;wsp:rsid wsp:val=&quot;03A032E0&quot;/&gt;&lt;wsp:rsid wsp:val=&quot;03BC1713&quot;/&gt;&lt;wsp:rsid wsp:val=&quot;03CD5519&quot;/&gt;&lt;wsp:rsid wsp:val=&quot;03CF0B53&quot;/&gt;&lt;wsp:rsid wsp:val=&quot;03DF2D5F&quot;/&gt;&lt;wsp:rsid wsp:val=&quot;0406184B&quot;/&gt;&lt;wsp:rsid wsp:val=&quot;042A297F&quot;/&gt;&lt;wsp:rsid wsp:val=&quot;04301080&quot;/&gt;&lt;wsp:rsid wsp:val=&quot;043054B0&quot;/&gt;&lt;wsp:rsid wsp:val=&quot;043704B9&quot;/&gt;&lt;wsp:rsid wsp:val=&quot;043C1DED&quot;/&gt;&lt;wsp:rsid wsp:val=&quot;045F5C25&quot;/&gt;&lt;wsp:rsid wsp:val=&quot;046A41ED&quot;/&gt;&lt;wsp:rsid wsp:val=&quot;04790465&quot;/&gt;&lt;wsp:rsid wsp:val=&quot;04865A35&quot;/&gt;&lt;wsp:rsid wsp:val=&quot;049C43C2&quot;/&gt;&lt;wsp:rsid wsp:val=&quot;04B108A3&quot;/&gt;&lt;wsp:rsid wsp:val=&quot;04CF7070&quot;/&gt;&lt;wsp:rsid wsp:val=&quot;04D467FB&quot;/&gt;&lt;wsp:rsid wsp:val=&quot;04E961EB&quot;/&gt;&lt;wsp:rsid wsp:val=&quot;04F74491&quot;/&gt;&lt;wsp:rsid wsp:val=&quot;04FD67E9&quot;/&gt;&lt;wsp:rsid wsp:val=&quot;051A37A4&quot;/&gt;&lt;wsp:rsid wsp:val=&quot;0534279B&quot;/&gt;&lt;wsp:rsid wsp:val=&quot;0578543F&quot;/&gt;&lt;wsp:rsid wsp:val=&quot;059751B2&quot;/&gt;&lt;wsp:rsid wsp:val=&quot;05DD046E&quot;/&gt;&lt;wsp:rsid wsp:val=&quot;05F6233E&quot;/&gt;&lt;wsp:rsid wsp:val=&quot;06001288&quot;/&gt;&lt;wsp:rsid wsp:val=&quot;060507E5&quot;/&gt;&lt;wsp:rsid wsp:val=&quot;061435E8&quot;/&gt;&lt;wsp:rsid wsp:val=&quot;0632638E&quot;/&gt;&lt;wsp:rsid wsp:val=&quot;065705A3&quot;/&gt;&lt;wsp:rsid wsp:val=&quot;065B310D&quot;/&gt;&lt;wsp:rsid wsp:val=&quot;06624D87&quot;/&gt;&lt;wsp:rsid wsp:val=&quot;06833976&quot;/&gt;&lt;wsp:rsid wsp:val=&quot;0692592D&quot;/&gt;&lt;wsp:rsid wsp:val=&quot;069B500E&quot;/&gt;&lt;wsp:rsid wsp:val=&quot;06A7622B&quot;/&gt;&lt;wsp:rsid wsp:val=&quot;06EF5BA1&quot;/&gt;&lt;wsp:rsid wsp:val=&quot;07045B89&quot;/&gt;&lt;wsp:rsid wsp:val=&quot;070E1A61&quot;/&gt;&lt;wsp:rsid wsp:val=&quot;072948AA&quot;/&gt;&lt;wsp:rsid wsp:val=&quot;073E608F&quot;/&gt;&lt;wsp:rsid wsp:val=&quot;077F37B5&quot;/&gt;&lt;wsp:rsid wsp:val=&quot;07A67F78&quot;/&gt;&lt;wsp:rsid wsp:val=&quot;07C9055F&quot;/&gt;&lt;wsp:rsid wsp:val=&quot;07D730E2&quot;/&gt;&lt;wsp:rsid wsp:val=&quot;07DF598A&quot;/&gt;&lt;wsp:rsid wsp:val=&quot;07E92CE3&quot;/&gt;&lt;wsp:rsid wsp:val=&quot;08167D1F&quot;/&gt;&lt;wsp:rsid wsp:val=&quot;08251774&quot;/&gt;&lt;wsp:rsid wsp:val=&quot;084C407C&quot;/&gt;&lt;wsp:rsid wsp:val=&quot;085619F1&quot;/&gt;&lt;wsp:rsid wsp:val=&quot;08A5021A&quot;/&gt;&lt;wsp:rsid wsp:val=&quot;08A92F74&quot;/&gt;&lt;wsp:rsid wsp:val=&quot;08AA53C2&quot;/&gt;&lt;wsp:rsid wsp:val=&quot;091571A1&quot;/&gt;&lt;wsp:rsid wsp:val=&quot;092C337E&quot;/&gt;&lt;wsp:rsid wsp:val=&quot;09624D89&quot;/&gt;&lt;wsp:rsid wsp:val=&quot;09715EDE&quot;/&gt;&lt;wsp:rsid wsp:val=&quot;09745559&quot;/&gt;&lt;wsp:rsid wsp:val=&quot;098348BB&quot;/&gt;&lt;wsp:rsid wsp:val=&quot;098521BC&quot;/&gt;&lt;wsp:rsid wsp:val=&quot;098F180D&quot;/&gt;&lt;wsp:rsid wsp:val=&quot;09B86DD8&quot;/&gt;&lt;wsp:rsid wsp:val=&quot;09CB0BE6&quot;/&gt;&lt;wsp:rsid wsp:val=&quot;09D30D74&quot;/&gt;&lt;wsp:rsid wsp:val=&quot;0A005396&quot;/&gt;&lt;wsp:rsid wsp:val=&quot;0A06731D&quot;/&gt;&lt;wsp:rsid wsp:val=&quot;0A0929B7&quot;/&gt;&lt;wsp:rsid wsp:val=&quot;0A0A71C2&quot;/&gt;&lt;wsp:rsid wsp:val=&quot;0A1512F2&quot;/&gt;&lt;wsp:rsid wsp:val=&quot;0A3965FA&quot;/&gt;&lt;wsp:rsid wsp:val=&quot;0A3B6D46&quot;/&gt;&lt;wsp:rsid wsp:val=&quot;0A421131&quot;/&gt;&lt;wsp:rsid wsp:val=&quot;0A432CAD&quot;/&gt;&lt;wsp:rsid wsp:val=&quot;0A4D7104&quot;/&gt;&lt;wsp:rsid wsp:val=&quot;0A5907FD&quot;/&gt;&lt;wsp:rsid wsp:val=&quot;0A5F4FDC&quot;/&gt;&lt;wsp:rsid wsp:val=&quot;0A7601EE&quot;/&gt;&lt;wsp:rsid wsp:val=&quot;0A956BBE&quot;/&gt;&lt;wsp:rsid wsp:val=&quot;0A965875&quot;/&gt;&lt;wsp:rsid wsp:val=&quot;0A9E7959&quot;/&gt;&lt;wsp:rsid wsp:val=&quot;0AF42CE3&quot;/&gt;&lt;wsp:rsid wsp:val=&quot;0B3D1CB6&quot;/&gt;&lt;wsp:rsid wsp:val=&quot;0B7C1ADB&quot;/&gt;&lt;wsp:rsid wsp:val=&quot;0B8F635E&quot;/&gt;&lt;wsp:rsid wsp:val=&quot;0B8F714B&quot;/&gt;&lt;wsp:rsid wsp:val=&quot;0B906419&quot;/&gt;&lt;wsp:rsid wsp:val=&quot;0BA80E71&quot;/&gt;&lt;wsp:rsid wsp:val=&quot;0BB134E6&quot;/&gt;&lt;wsp:rsid wsp:val=&quot;0BCA20D6&quot;/&gt;&lt;wsp:rsid wsp:val=&quot;0BCC1E8C&quot;/&gt;&lt;wsp:rsid wsp:val=&quot;0BD17169&quot;/&gt;&lt;wsp:rsid wsp:val=&quot;0C294FA6&quot;/&gt;&lt;wsp:rsid wsp:val=&quot;0C450190&quot;/&gt;&lt;wsp:rsid wsp:val=&quot;0C77661E&quot;/&gt;&lt;wsp:rsid wsp:val=&quot;0C7942B2&quot;/&gt;&lt;wsp:rsid wsp:val=&quot;0C797972&quot;/&gt;&lt;wsp:rsid wsp:val=&quot;0C7A2689&quot;/&gt;&lt;wsp:rsid wsp:val=&quot;0C7C6C01&quot;/&gt;&lt;wsp:rsid wsp:val=&quot;0C813314&quot;/&gt;&lt;wsp:rsid wsp:val=&quot;0C843F25&quot;/&gt;&lt;wsp:rsid wsp:val=&quot;0C9F2A76&quot;/&gt;&lt;wsp:rsid wsp:val=&quot;0CAB2232&quot;/&gt;&lt;wsp:rsid wsp:val=&quot;0CB03390&quot;/&gt;&lt;wsp:rsid wsp:val=&quot;0CB75961&quot;/&gt;&lt;wsp:rsid wsp:val=&quot;0CBF45B4&quot;/&gt;&lt;wsp:rsid wsp:val=&quot;0CC87762&quot;/&gt;&lt;wsp:rsid wsp:val=&quot;0CCB2113&quot;/&gt;&lt;wsp:rsid wsp:val=&quot;0CD8682A&quot;/&gt;&lt;wsp:rsid wsp:val=&quot;0CE27989&quot;/&gt;&lt;wsp:rsid wsp:val=&quot;0D013923&quot;/&gt;&lt;wsp:rsid wsp:val=&quot;0D0535F3&quot;/&gt;&lt;wsp:rsid wsp:val=&quot;0D375803&quot;/&gt;&lt;wsp:rsid wsp:val=&quot;0D434DE7&quot;/&gt;&lt;wsp:rsid wsp:val=&quot;0D652531&quot;/&gt;&lt;wsp:rsid wsp:val=&quot;0D752A3C&quot;/&gt;&lt;wsp:rsid wsp:val=&quot;0D947AB0&quot;/&gt;&lt;wsp:rsid wsp:val=&quot;0DA518FF&quot;/&gt;&lt;wsp:rsid wsp:val=&quot;0DB679CB&quot;/&gt;&lt;wsp:rsid wsp:val=&quot;0DC056D2&quot;/&gt;&lt;wsp:rsid wsp:val=&quot;0DED3D64&quot;/&gt;&lt;wsp:rsid wsp:val=&quot;0DEF466B&quot;/&gt;&lt;wsp:rsid wsp:val=&quot;0E155E13&quot;/&gt;&lt;wsp:rsid wsp:val=&quot;0E3A0399&quot;/&gt;&lt;wsp:rsid wsp:val=&quot;0E412652&quot;/&gt;&lt;wsp:rsid wsp:val=&quot;0E4C4CB0&quot;/&gt;&lt;wsp:rsid wsp:val=&quot;0E784CF2&quot;/&gt;&lt;wsp:rsid wsp:val=&quot;0E93799B&quot;/&gt;&lt;wsp:rsid wsp:val=&quot;0EBE1A91&quot;/&gt;&lt;wsp:rsid wsp:val=&quot;0ED93AE8&quot;/&gt;&lt;wsp:rsid wsp:val=&quot;0EDE0F52&quot;/&gt;&lt;wsp:rsid wsp:val=&quot;0F04144F&quot;/&gt;&lt;wsp:rsid wsp:val=&quot;0F17310F&quot;/&gt;&lt;wsp:rsid wsp:val=&quot;0F3C5FB6&quot;/&gt;&lt;wsp:rsid wsp:val=&quot;0F404B70&quot;/&gt;&lt;wsp:rsid wsp:val=&quot;0F687166&quot;/&gt;&lt;wsp:rsid wsp:val=&quot;0F6E01C5&quot;/&gt;&lt;wsp:rsid wsp:val=&quot;0F7E13CD&quot;/&gt;&lt;wsp:rsid wsp:val=&quot;0F8F1C0B&quot;/&gt;&lt;wsp:rsid wsp:val=&quot;0FB47DE7&quot;/&gt;&lt;wsp:rsid wsp:val=&quot;0FCC517C&quot;/&gt;&lt;wsp:rsid wsp:val=&quot;100A42E4&quot;/&gt;&lt;wsp:rsid wsp:val=&quot;1045096A&quot;/&gt;&lt;wsp:rsid wsp:val=&quot;10457D81&quot;/&gt;&lt;wsp:rsid wsp:val=&quot;104D38B6&quot;/&gt;&lt;wsp:rsid wsp:val=&quot;106A5F4D&quot;/&gt;&lt;wsp:rsid wsp:val=&quot;107766C4&quot;/&gt;&lt;wsp:rsid wsp:val=&quot;1094132B&quot;/&gt;&lt;wsp:rsid wsp:val=&quot;10952B8A&quot;/&gt;&lt;wsp:rsid wsp:val=&quot;10A75110&quot;/&gt;&lt;wsp:rsid wsp:val=&quot;10C05269&quot;/&gt;&lt;wsp:rsid wsp:val=&quot;110B68D5&quot;/&gt;&lt;wsp:rsid wsp:val=&quot;111A766A&quot;/&gt;&lt;wsp:rsid wsp:val=&quot;113178C9&quot;/&gt;&lt;wsp:rsid wsp:val=&quot;114625AD&quot;/&gt;&lt;wsp:rsid wsp:val=&quot;11513B54&quot;/&gt;&lt;wsp:rsid wsp:val=&quot;11691708&quot;/&gt;&lt;wsp:rsid wsp:val=&quot;11787F03&quot;/&gt;&lt;wsp:rsid wsp:val=&quot;118C2366&quot;/&gt;&lt;wsp:rsid wsp:val=&quot;11A96D61&quot;/&gt;&lt;wsp:rsid wsp:val=&quot;11C26013&quot;/&gt;&lt;wsp:rsid wsp:val=&quot;11C467FC&quot;/&gt;&lt;wsp:rsid wsp:val=&quot;11F043C1&quot;/&gt;&lt;wsp:rsid wsp:val=&quot;11F24DFD&quot;/&gt;&lt;wsp:rsid wsp:val=&quot;121054D1&quot;/&gt;&lt;wsp:rsid wsp:val=&quot;12396B5A&quot;/&gt;&lt;wsp:rsid wsp:val=&quot;1254539C&quot;/&gt;&lt;wsp:rsid wsp:val=&quot;12704774&quot;/&gt;&lt;wsp:rsid wsp:val=&quot;128B267E&quot;/&gt;&lt;wsp:rsid wsp:val=&quot;129E76D2&quot;/&gt;&lt;wsp:rsid wsp:val=&quot;129F0CCC&quot;/&gt;&lt;wsp:rsid wsp:val=&quot;12A7263D&quot;/&gt;&lt;wsp:rsid wsp:val=&quot;12DE7B6C&quot;/&gt;&lt;wsp:rsid wsp:val=&quot;12EA6F16&quot;/&gt;&lt;wsp:rsid wsp:val=&quot;132C4EFB&quot;/&gt;&lt;wsp:rsid wsp:val=&quot;135A5F55&quot;/&gt;&lt;wsp:rsid wsp:val=&quot;13BC1186&quot;/&gt;&lt;wsp:rsid wsp:val=&quot;13D62F71&quot;/&gt;&lt;wsp:rsid wsp:val=&quot;13E73634&quot;/&gt;&lt;wsp:rsid wsp:val=&quot;13EB5A6E&quot;/&gt;&lt;wsp:rsid wsp:val=&quot;13F313B9&quot;/&gt;&lt;wsp:rsid wsp:val=&quot;140C0C24&quot;/&gt;&lt;wsp:rsid wsp:val=&quot;1411193A&quot;/&gt;&lt;wsp:rsid wsp:val=&quot;142D58CD&quot;/&gt;&lt;wsp:rsid wsp:val=&quot;14496E97&quot;/&gt;&lt;wsp:rsid wsp:val=&quot;144D3707&quot;/&gt;&lt;wsp:rsid wsp:val=&quot;14514364&quot;/&gt;&lt;wsp:rsid wsp:val=&quot;146362D7&quot;/&gt;&lt;wsp:rsid wsp:val=&quot;14770915&quot;/&gt;&lt;wsp:rsid wsp:val=&quot;14773EFB&quot;/&gt;&lt;wsp:rsid wsp:val=&quot;14955E10&quot;/&gt;&lt;wsp:rsid wsp:val=&quot;149910E2&quot;/&gt;&lt;wsp:rsid wsp:val=&quot;14A820D8&quot;/&gt;&lt;wsp:rsid wsp:val=&quot;14AE3BFB&quot;/&gt;&lt;wsp:rsid wsp:val=&quot;14B50CB3&quot;/&gt;&lt;wsp:rsid wsp:val=&quot;14C81550&quot;/&gt;&lt;wsp:rsid wsp:val=&quot;14DA3EB7&quot;/&gt;&lt;wsp:rsid wsp:val=&quot;14E10F52&quot;/&gt;&lt;wsp:rsid wsp:val=&quot;14E70D3B&quot;/&gt;&lt;wsp:rsid wsp:val=&quot;150D1A18&quot;/&gt;&lt;wsp:rsid wsp:val=&quot;15271383&quot;/&gt;&lt;wsp:rsid wsp:val=&quot;153F0AE5&quot;/&gt;&lt;wsp:rsid wsp:val=&quot;15621F21&quot;/&gt;&lt;wsp:rsid wsp:val=&quot;15837067&quot;/&gt;&lt;wsp:rsid wsp:val=&quot;15A429B1&quot;/&gt;&lt;wsp:rsid wsp:val=&quot;15E35E1E&quot;/&gt;&lt;wsp:rsid wsp:val=&quot;15ED2A93&quot;/&gt;&lt;wsp:rsid wsp:val=&quot;15F93C84&quot;/&gt;&lt;wsp:rsid wsp:val=&quot;15FC1325&quot;/&gt;&lt;wsp:rsid wsp:val=&quot;161134E2&quot;/&gt;&lt;wsp:rsid wsp:val=&quot;161164C1&quot;/&gt;&lt;wsp:rsid wsp:val=&quot;16306EB4&quot;/&gt;&lt;wsp:rsid wsp:val=&quot;16551C62&quot;/&gt;&lt;wsp:rsid wsp:val=&quot;16562F1D&quot;/&gt;&lt;wsp:rsid wsp:val=&quot;16686812&quot;/&gt;&lt;wsp:rsid wsp:val=&quot;166F352F&quot;/&gt;&lt;wsp:rsid wsp:val=&quot;16A16F01&quot;/&gt;&lt;wsp:rsid wsp:val=&quot;16A251B2&quot;/&gt;&lt;wsp:rsid wsp:val=&quot;16AD3519&quot;/&gt;&lt;wsp:rsid wsp:val=&quot;16B73979&quot;/&gt;&lt;wsp:rsid wsp:val=&quot;16CA1F92&quot;/&gt;&lt;wsp:rsid wsp:val=&quot;16CA4F7F&quot;/&gt;&lt;wsp:rsid wsp:val=&quot;16CC4E97&quot;/&gt;&lt;wsp:rsid wsp:val=&quot;16D2339B&quot;/&gt;&lt;wsp:rsid wsp:val=&quot;170A025D&quot;/&gt;&lt;wsp:rsid wsp:val=&quot;170B62DD&quot;/&gt;&lt;wsp:rsid wsp:val=&quot;17551E6A&quot;/&gt;&lt;wsp:rsid wsp:val=&quot;1757148D&quot;/&gt;&lt;wsp:rsid wsp:val=&quot;176267FA&quot;/&gt;&lt;wsp:rsid wsp:val=&quot;176E15F0&quot;/&gt;&lt;wsp:rsid wsp:val=&quot;17985EA4&quot;/&gt;&lt;wsp:rsid wsp:val=&quot;17A46EA7&quot;/&gt;&lt;wsp:rsid wsp:val=&quot;17B10902&quot;/&gt;&lt;wsp:rsid wsp:val=&quot;17B91351&quot;/&gt;&lt;wsp:rsid wsp:val=&quot;17BD5E05&quot;/&gt;&lt;wsp:rsid wsp:val=&quot;17D33054&quot;/&gt;&lt;wsp:rsid wsp:val=&quot;17E51D74&quot;/&gt;&lt;wsp:rsid wsp:val=&quot;17EA746A&quot;/&gt;&lt;wsp:rsid wsp:val=&quot;17EB2816&quot;/&gt;&lt;wsp:rsid wsp:val=&quot;182A353A&quot;/&gt;&lt;wsp:rsid wsp:val=&quot;185A236E&quot;/&gt;&lt;wsp:rsid wsp:val=&quot;1860715B&quot;/&gt;&lt;wsp:rsid wsp:val=&quot;187235A2&quot;/&gt;&lt;wsp:rsid wsp:val=&quot;18913ED7&quot;/&gt;&lt;wsp:rsid wsp:val=&quot;18B52DF2&quot;/&gt;&lt;wsp:rsid wsp:val=&quot;18D17F23&quot;/&gt;&lt;wsp:rsid wsp:val=&quot;18D25135&quot;/&gt;&lt;wsp:rsid wsp:val=&quot;190C033C&quot;/&gt;&lt;wsp:rsid wsp:val=&quot;192D63FC&quot;/&gt;&lt;wsp:rsid wsp:val=&quot;195F4C7A&quot;/&gt;&lt;wsp:rsid wsp:val=&quot;197A05BF&quot;/&gt;&lt;wsp:rsid wsp:val=&quot;197B04F8&quot;/&gt;&lt;wsp:rsid wsp:val=&quot;19BF0F6E&quot;/&gt;&lt;wsp:rsid wsp:val=&quot;19F1544F&quot;/&gt;&lt;wsp:rsid wsp:val=&quot;19FB4998&quot;/&gt;&lt;wsp:rsid wsp:val=&quot;19FC26F3&quot;/&gt;&lt;wsp:rsid wsp:val=&quot;1A245448&quot;/&gt;&lt;wsp:rsid wsp:val=&quot;1A2C7361&quot;/&gt;&lt;wsp:rsid wsp:val=&quot;1A4D5F09&quot;/&gt;&lt;wsp:rsid wsp:val=&quot;1A690FF8&quot;/&gt;&lt;wsp:rsid wsp:val=&quot;1A71171D&quot;/&gt;&lt;wsp:rsid wsp:val=&quot;1A9C4571&quot;/&gt;&lt;wsp:rsid wsp:val=&quot;1AA90A84&quot;/&gt;&lt;wsp:rsid wsp:val=&quot;1AAB252E&quot;/&gt;&lt;wsp:rsid wsp:val=&quot;1ADB2088&quot;/&gt;&lt;wsp:rsid wsp:val=&quot;1ADC61AB&quot;/&gt;&lt;wsp:rsid wsp:val=&quot;1AE754DB&quot;/&gt;&lt;wsp:rsid wsp:val=&quot;1B447346&quot;/&gt;&lt;wsp:rsid wsp:val=&quot;1B4928BF&quot;/&gt;&lt;wsp:rsid wsp:val=&quot;1B616C94&quot;/&gt;&lt;wsp:rsid wsp:val=&quot;1B631D65&quot;/&gt;&lt;wsp:rsid wsp:val=&quot;1B655E8C&quot;/&gt;&lt;wsp:rsid wsp:val=&quot;1B6C3AB6&quot;/&gt;&lt;wsp:rsid wsp:val=&quot;1B8032D3&quot;/&gt;&lt;wsp:rsid wsp:val=&quot;1B982DD8&quot;/&gt;&lt;wsp:rsid wsp:val=&quot;1B9B01F8&quot;/&gt;&lt;wsp:rsid wsp:val=&quot;1B9B0C19&quot;/&gt;&lt;wsp:rsid wsp:val=&quot;1B9E563E&quot;/&gt;&lt;wsp:rsid wsp:val=&quot;1BA6035E&quot;/&gt;&lt;wsp:rsid wsp:val=&quot;1BB858C3&quot;/&gt;&lt;wsp:rsid wsp:val=&quot;1BBC27F2&quot;/&gt;&lt;wsp:rsid wsp:val=&quot;1BF90E03&quot;/&gt;&lt;wsp:rsid wsp:val=&quot;1C0A1961&quot;/&gt;&lt;wsp:rsid wsp:val=&quot;1C1F38E5&quot;/&gt;&lt;wsp:rsid wsp:val=&quot;1C23000C&quot;/&gt;&lt;wsp:rsid wsp:val=&quot;1C30365F&quot;/&gt;&lt;wsp:rsid wsp:val=&quot;1C495352&quot;/&gt;&lt;wsp:rsid wsp:val=&quot;1C6121E9&quot;/&gt;&lt;wsp:rsid wsp:val=&quot;1C6348DE&quot;/&gt;&lt;wsp:rsid wsp:val=&quot;1C794653&quot;/&gt;&lt;wsp:rsid wsp:val=&quot;1C7D54C1&quot;/&gt;&lt;wsp:rsid wsp:val=&quot;1C7F6008&quot;/&gt;&lt;wsp:rsid wsp:val=&quot;1CA40FFC&quot;/&gt;&lt;wsp:rsid wsp:val=&quot;1D03063A&quot;/&gt;&lt;wsp:rsid wsp:val=&quot;1D1A2396&quot;/&gt;&lt;wsp:rsid wsp:val=&quot;1D290F86&quot;/&gt;&lt;wsp:rsid wsp:val=&quot;1D2C28BC&quot;/&gt;&lt;wsp:rsid wsp:val=&quot;1D3D1363&quot;/&gt;&lt;wsp:rsid wsp:val=&quot;1D585FE0&quot;/&gt;&lt;wsp:rsid wsp:val=&quot;1D652ECD&quot;/&gt;&lt;wsp:rsid wsp:val=&quot;1D6E647F&quot;/&gt;&lt;wsp:rsid wsp:val=&quot;1D7F31CD&quot;/&gt;&lt;wsp:rsid wsp:val=&quot;1DA21AEC&quot;/&gt;&lt;wsp:rsid wsp:val=&quot;1DB01926&quot;/&gt;&lt;wsp:rsid wsp:val=&quot;1E085DA1&quot;/&gt;&lt;wsp:rsid wsp:val=&quot;1E1B2707&quot;/&gt;&lt;wsp:rsid wsp:val=&quot;1E3D4EAA&quot;/&gt;&lt;wsp:rsid wsp:val=&quot;1E923461&quot;/&gt;&lt;wsp:rsid wsp:val=&quot;1EB35A93&quot;/&gt;&lt;wsp:rsid wsp:val=&quot;1EFA11FF&quot;/&gt;&lt;wsp:rsid wsp:val=&quot;1F326459&quot;/&gt;&lt;wsp:rsid wsp:val=&quot;1F3735A7&quot;/&gt;&lt;wsp:rsid wsp:val=&quot;1F3773CD&quot;/&gt;&lt;wsp:rsid wsp:val=&quot;1F3E4118&quot;/&gt;&lt;wsp:rsid wsp:val=&quot;1F427298&quot;/&gt;&lt;wsp:rsid wsp:val=&quot;1F446D87&quot;/&gt;&lt;wsp:rsid wsp:val=&quot;1F4B122E&quot;/&gt;&lt;wsp:rsid wsp:val=&quot;1F5B7356&quot;/&gt;&lt;wsp:rsid wsp:val=&quot;1F616B83&quot;/&gt;&lt;wsp:rsid wsp:val=&quot;1F74021D&quot;/&gt;&lt;wsp:rsid wsp:val=&quot;1F801854&quot;/&gt;&lt;wsp:rsid wsp:val=&quot;1F860D1D&quot;/&gt;&lt;wsp:rsid wsp:val=&quot;1F93162B&quot;/&gt;&lt;wsp:rsid wsp:val=&quot;1FA61CFE&quot;/&gt;&lt;wsp:rsid wsp:val=&quot;1FCA0B31&quot;/&gt;&lt;wsp:rsid wsp:val=&quot;1FE17526&quot;/&gt;&lt;wsp:rsid wsp:val=&quot;1FE5487C&quot;/&gt;&lt;wsp:rsid wsp:val=&quot;1FEC7EEB&quot;/&gt;&lt;wsp:rsid wsp:val=&quot;1FEE4973&quot;/&gt;&lt;wsp:rsid wsp:val=&quot;2001677E&quot;/&gt;&lt;wsp:rsid wsp:val=&quot;201B4C78&quot;/&gt;&lt;wsp:rsid wsp:val=&quot;202F50BD&quot;/&gt;&lt;wsp:rsid wsp:val=&quot;203634F8&quot;/&gt;&lt;wsp:rsid wsp:val=&quot;203C25AB&quot;/&gt;&lt;wsp:rsid wsp:val=&quot;20400F41&quot;/&gt;&lt;wsp:rsid wsp:val=&quot;20484AF6&quot;/&gt;&lt;wsp:rsid wsp:val=&quot;206044A6&quot;/&gt;&lt;wsp:rsid wsp:val=&quot;20645E63&quot;/&gt;&lt;wsp:rsid wsp:val=&quot;20655BA0&quot;/&gt;&lt;wsp:rsid wsp:val=&quot;20703265&quot;/&gt;&lt;wsp:rsid wsp:val=&quot;20711B1D&quot;/&gt;&lt;wsp:rsid wsp:val=&quot;20720384&quot;/&gt;&lt;wsp:rsid wsp:val=&quot;20963EF0&quot;/&gt;&lt;wsp:rsid wsp:val=&quot;20AD5A91&quot;/&gt;&lt;wsp:rsid wsp:val=&quot;21191E31&quot;/&gt;&lt;wsp:rsid wsp:val=&quot;212333BE&quot;/&gt;&lt;wsp:rsid wsp:val=&quot;212437CA&quot;/&gt;&lt;wsp:rsid wsp:val=&quot;21313439&quot;/&gt;&lt;wsp:rsid wsp:val=&quot;216C722B&quot;/&gt;&lt;wsp:rsid wsp:val=&quot;218A7F9F&quot;/&gt;&lt;wsp:rsid wsp:val=&quot;219272A9&quot;/&gt;&lt;wsp:rsid wsp:val=&quot;21C51CE3&quot;/&gt;&lt;wsp:rsid wsp:val=&quot;21C531B7&quot;/&gt;&lt;wsp:rsid wsp:val=&quot;21CF39BF&quot;/&gt;&lt;wsp:rsid wsp:val=&quot;221637FE&quot;/&gt;&lt;wsp:rsid wsp:val=&quot;224C15A1&quot;/&gt;&lt;wsp:rsid wsp:val=&quot;225234ED&quot;/&gt;&lt;wsp:rsid wsp:val=&quot;225E4B4C&quot;/&gt;&lt;wsp:rsid wsp:val=&quot;226E18E0&quot;/&gt;&lt;wsp:rsid wsp:val=&quot;22734826&quot;/&gt;&lt;wsp:rsid wsp:val=&quot;227A4B8A&quot;/&gt;&lt;wsp:rsid wsp:val=&quot;228359EC&quot;/&gt;&lt;wsp:rsid wsp:val=&quot;228B64A3&quot;/&gt;&lt;wsp:rsid wsp:val=&quot;228D37C3&quot;/&gt;&lt;wsp:rsid wsp:val=&quot;229F2605&quot;/&gt;&lt;wsp:rsid wsp:val=&quot;22A21423&quot;/&gt;&lt;wsp:rsid wsp:val=&quot;22A34E5F&quot;/&gt;&lt;wsp:rsid wsp:val=&quot;22A80EB2&quot;/&gt;&lt;wsp:rsid wsp:val=&quot;22CF5D1D&quot;/&gt;&lt;wsp:rsid wsp:val=&quot;22D6625E&quot;/&gt;&lt;wsp:rsid wsp:val=&quot;22DF3B4D&quot;/&gt;&lt;wsp:rsid wsp:val=&quot;22E60282&quot;/&gt;&lt;wsp:rsid wsp:val=&quot;232C2E5E&quot;/&gt;&lt;wsp:rsid wsp:val=&quot;233C3937&quot;/&gt;&lt;wsp:rsid wsp:val=&quot;23415FD5&quot;/&gt;&lt;wsp:rsid wsp:val=&quot;23470D6B&quot;/&gt;&lt;wsp:rsid wsp:val=&quot;234F0C33&quot;/&gt;&lt;wsp:rsid wsp:val=&quot;235D6428&quot;/&gt;&lt;wsp:rsid wsp:val=&quot;2369664B&quot;/&gt;&lt;wsp:rsid wsp:val=&quot;23796D44&quot;/&gt;&lt;wsp:rsid wsp:val=&quot;237C00BF&quot;/&gt;&lt;wsp:rsid wsp:val=&quot;238A4B05&quot;/&gt;&lt;wsp:rsid wsp:val=&quot;238B23BA&quot;/&gt;&lt;wsp:rsid wsp:val=&quot;23BD0FB6&quot;/&gt;&lt;wsp:rsid wsp:val=&quot;23CC111F&quot;/&gt;&lt;wsp:rsid wsp:val=&quot;23E82BC5&quot;/&gt;&lt;wsp:rsid wsp:val=&quot;23F50A1D&quot;/&gt;&lt;wsp:rsid wsp:val=&quot;2402729C&quot;/&gt;&lt;wsp:rsid wsp:val=&quot;240C717B&quot;/&gt;&lt;wsp:rsid wsp:val=&quot;24154A07&quot;/&gt;&lt;wsp:rsid wsp:val=&quot;24237369&quot;/&gt;&lt;wsp:rsid wsp:val=&quot;242B0ACF&quot;/&gt;&lt;wsp:rsid wsp:val=&quot;244A7782&quot;/&gt;&lt;wsp:rsid wsp:val=&quot;24744F75&quot;/&gt;&lt;wsp:rsid wsp:val=&quot;24751205&quot;/&gt;&lt;wsp:rsid wsp:val=&quot;24A9753D&quot;/&gt;&lt;wsp:rsid wsp:val=&quot;24AA55C7&quot;/&gt;&lt;wsp:rsid wsp:val=&quot;24B72751&quot;/&gt;&lt;wsp:rsid wsp:val=&quot;24BC7D81&quot;/&gt;&lt;wsp:rsid wsp:val=&quot;24C34D98&quot;/&gt;&lt;wsp:rsid wsp:val=&quot;24E55D4F&quot;/&gt;&lt;wsp:rsid wsp:val=&quot;24E800DE&quot;/&gt;&lt;wsp:rsid wsp:val=&quot;24E93A37&quot;/&gt;&lt;wsp:rsid wsp:val=&quot;24EA0E35&quot;/&gt;&lt;wsp:rsid wsp:val=&quot;2504123C&quot;/&gt;&lt;wsp:rsid wsp:val=&quot;250770DF&quot;/&gt;&lt;wsp:rsid wsp:val=&quot;251C2931&quot;/&gt;&lt;wsp:rsid wsp:val=&quot;25530A51&quot;/&gt;&lt;wsp:rsid wsp:val=&quot;255D1C96&quot;/&gt;&lt;wsp:rsid wsp:val=&quot;25634663&quot;/&gt;&lt;wsp:rsid wsp:val=&quot;256B68AD&quot;/&gt;&lt;wsp:rsid wsp:val=&quot;256F0462&quot;/&gt;&lt;wsp:rsid wsp:val=&quot;257E2CC8&quot;/&gt;&lt;wsp:rsid wsp:val=&quot;2589275C&quot;/&gt;&lt;wsp:rsid wsp:val=&quot;258C2AAF&quot;/&gt;&lt;wsp:rsid wsp:val=&quot;258D7C62&quot;/&gt;&lt;wsp:rsid wsp:val=&quot;25B430FC&quot;/&gt;&lt;wsp:rsid wsp:val=&quot;25CB697B&quot;/&gt;&lt;wsp:rsid wsp:val=&quot;25CC115B&quot;/&gt;&lt;wsp:rsid wsp:val=&quot;25D84353&quot;/&gt;&lt;wsp:rsid wsp:val=&quot;25DF64FE&quot;/&gt;&lt;wsp:rsid wsp:val=&quot;25F2131F&quot;/&gt;&lt;wsp:rsid wsp:val=&quot;26005BB9&quot;/&gt;&lt;wsp:rsid wsp:val=&quot;2608524A&quot;/&gt;&lt;wsp:rsid wsp:val=&quot;26544F08&quot;/&gt;&lt;wsp:rsid wsp:val=&quot;268A5E33&quot;/&gt;&lt;wsp:rsid wsp:val=&quot;269A78AA&quot;/&gt;&lt;wsp:rsid wsp:val=&quot;26AB543D&quot;/&gt;&lt;wsp:rsid wsp:val=&quot;26DF3838&quot;/&gt;&lt;wsp:rsid wsp:val=&quot;26E9337A&quot;/&gt;&lt;wsp:rsid wsp:val=&quot;26F17749&quot;/&gt;&lt;wsp:rsid wsp:val=&quot;271F5A9E&quot;/&gt;&lt;wsp:rsid wsp:val=&quot;272F0626&quot;/&gt;&lt;wsp:rsid wsp:val=&quot;273D0529&quot;/&gt;&lt;wsp:rsid wsp:val=&quot;2755395F&quot;/&gt;&lt;wsp:rsid wsp:val=&quot;27984E21&quot;/&gt;&lt;wsp:rsid wsp:val=&quot;27A65198&quot;/&gt;&lt;wsp:rsid wsp:val=&quot;27C94EFB&quot;/&gt;&lt;wsp:rsid wsp:val=&quot;27D1147C&quot;/&gt;&lt;wsp:rsid wsp:val=&quot;27E33990&quot;/&gt;&lt;wsp:rsid wsp:val=&quot;28142BC0&quot;/&gt;&lt;wsp:rsid wsp:val=&quot;28194CD7&quot;/&gt;&lt;wsp:rsid wsp:val=&quot;281E41F9&quot;/&gt;&lt;wsp:rsid wsp:val=&quot;28382AE2&quot;/&gt;&lt;wsp:rsid wsp:val=&quot;283C2DCC&quot;/&gt;&lt;wsp:rsid wsp:val=&quot;28654F7A&quot;/&gt;&lt;wsp:rsid wsp:val=&quot;286F1644&quot;/&gt;&lt;wsp:rsid wsp:val=&quot;287E0680&quot;/&gt;&lt;wsp:rsid wsp:val=&quot;288B243E&quot;/&gt;&lt;wsp:rsid wsp:val=&quot;288F7170&quot;/&gt;&lt;wsp:rsid wsp:val=&quot;28C11C6E&quot;/&gt;&lt;wsp:rsid wsp:val=&quot;292F32C9&quot;/&gt;&lt;wsp:rsid wsp:val=&quot;292F64E0&quot;/&gt;&lt;wsp:rsid wsp:val=&quot;292F66F7&quot;/&gt;&lt;wsp:rsid wsp:val=&quot;29465C4F&quot;/&gt;&lt;wsp:rsid wsp:val=&quot;294A57B8&quot;/&gt;&lt;wsp:rsid wsp:val=&quot;296E3B9E&quot;/&gt;&lt;wsp:rsid wsp:val=&quot;2983730D&quot;/&gt;&lt;wsp:rsid wsp:val=&quot;299E588A&quot;/&gt;&lt;wsp:rsid wsp:val=&quot;29D362FA&quot;/&gt;&lt;wsp:rsid wsp:val=&quot;29E80285&quot;/&gt;&lt;wsp:rsid wsp:val=&quot;29F40DD1&quot;/&gt;&lt;wsp:rsid wsp:val=&quot;2A174548&quot;/&gt;&lt;wsp:rsid wsp:val=&quot;2A4522EF&quot;/&gt;&lt;wsp:rsid wsp:val=&quot;2A4960CE&quot;/&gt;&lt;wsp:rsid wsp:val=&quot;2A5D3A3D&quot;/&gt;&lt;wsp:rsid wsp:val=&quot;2A752564&quot;/&gt;&lt;wsp:rsid wsp:val=&quot;2A833C9B&quot;/&gt;&lt;wsp:rsid wsp:val=&quot;2AA51F49&quot;/&gt;&lt;wsp:rsid wsp:val=&quot;2B0F5680&quot;/&gt;&lt;wsp:rsid wsp:val=&quot;2B174076&quot;/&gt;&lt;wsp:rsid wsp:val=&quot;2B2C205C&quot;/&gt;&lt;wsp:rsid wsp:val=&quot;2B4B14CF&quot;/&gt;&lt;wsp:rsid wsp:val=&quot;2B5B0DE4&quot;/&gt;&lt;wsp:rsid wsp:val=&quot;2BA501F9&quot;/&gt;&lt;wsp:rsid wsp:val=&quot;2BDA58A2&quot;/&gt;&lt;wsp:rsid wsp:val=&quot;2BE27D5C&quot;/&gt;&lt;wsp:rsid wsp:val=&quot;2BE52458&quot;/&gt;&lt;wsp:rsid wsp:val=&quot;2C147B66&quot;/&gt;&lt;wsp:rsid wsp:val=&quot;2C327E78&quot;/&gt;&lt;wsp:rsid wsp:val=&quot;2C64530F&quot;/&gt;&lt;wsp:rsid wsp:val=&quot;2C712C70&quot;/&gt;&lt;wsp:rsid wsp:val=&quot;2C7664F8&quot;/&gt;&lt;wsp:rsid wsp:val=&quot;2C845FF8&quot;/&gt;&lt;wsp:rsid wsp:val=&quot;2C8C2266&quot;/&gt;&lt;wsp:rsid wsp:val=&quot;2C9630B3&quot;/&gt;&lt;wsp:rsid wsp:val=&quot;2C9922B7&quot;/&gt;&lt;wsp:rsid wsp:val=&quot;2CBA3975&quot;/&gt;&lt;wsp:rsid wsp:val=&quot;2CD16ABF&quot;/&gt;&lt;wsp:rsid wsp:val=&quot;2CF00075&quot;/&gt;&lt;wsp:rsid wsp:val=&quot;2D0F4B1B&quot;/&gt;&lt;wsp:rsid wsp:val=&quot;2D3B2275&quot;/&gt;&lt;wsp:rsid wsp:val=&quot;2D891D74&quot;/&gt;&lt;wsp:rsid wsp:val=&quot;2D9A338B&quot;/&gt;&lt;wsp:rsid wsp:val=&quot;2D9A5077&quot;/&gt;&lt;wsp:rsid wsp:val=&quot;2DC16BCB&quot;/&gt;&lt;wsp:rsid wsp:val=&quot;2DCF45D1&quot;/&gt;&lt;wsp:rsid wsp:val=&quot;2DD349C7&quot;/&gt;&lt;wsp:rsid wsp:val=&quot;2DFF4D54&quot;/&gt;&lt;wsp:rsid wsp:val=&quot;2E1E2AA9&quot;/&gt;&lt;wsp:rsid wsp:val=&quot;2E316415&quot;/&gt;&lt;wsp:rsid wsp:val=&quot;2E441798&quot;/&gt;&lt;wsp:rsid wsp:val=&quot;2E71793E&quot;/&gt;&lt;wsp:rsid wsp:val=&quot;2E8028D7&quot;/&gt;&lt;wsp:rsid wsp:val=&quot;2E845572&quot;/&gt;&lt;wsp:rsid wsp:val=&quot;2E8E2DF7&quot;/&gt;&lt;wsp:rsid wsp:val=&quot;2E9D5D62&quot;/&gt;&lt;wsp:rsid wsp:val=&quot;2EB415AD&quot;/&gt;&lt;wsp:rsid wsp:val=&quot;2ECE348C&quot;/&gt;&lt;wsp:rsid wsp:val=&quot;2EDB55E3&quot;/&gt;&lt;wsp:rsid wsp:val=&quot;2EFD2081&quot;/&gt;&lt;wsp:rsid wsp:val=&quot;2EFD49F8&quot;/&gt;&lt;wsp:rsid wsp:val=&quot;2F3577E3&quot;/&gt;&lt;wsp:rsid wsp:val=&quot;2F42685C&quot;/&gt;&lt;wsp:rsid wsp:val=&quot;2F553B5A&quot;/&gt;&lt;wsp:rsid wsp:val=&quot;2F662872&quot;/&gt;&lt;wsp:rsid wsp:val=&quot;2F724C5F&quot;/&gt;&lt;wsp:rsid wsp:val=&quot;2F9B5AC3&quot;/&gt;&lt;wsp:rsid wsp:val=&quot;2F9F7E73&quot;/&gt;&lt;wsp:rsid wsp:val=&quot;2FFD0C20&quot;/&gt;&lt;wsp:rsid wsp:val=&quot;30130111&quot;/&gt;&lt;wsp:rsid wsp:val=&quot;30440AB7&quot;/&gt;&lt;wsp:rsid wsp:val=&quot;3049381E&quot;/&gt;&lt;wsp:rsid wsp:val=&quot;305C7F7B&quot;/&gt;&lt;wsp:rsid wsp:val=&quot;307F705C&quot;/&gt;&lt;wsp:rsid wsp:val=&quot;309A55A8&quot;/&gt;&lt;wsp:rsid wsp:val=&quot;30B74328&quot;/&gt;&lt;wsp:rsid wsp:val=&quot;30D510F7&quot;/&gt;&lt;wsp:rsid wsp:val=&quot;30D7008F&quot;/&gt;&lt;wsp:rsid wsp:val=&quot;30F67310&quot;/&gt;&lt;wsp:rsid wsp:val=&quot;31120094&quot;/&gt;&lt;wsp:rsid wsp:val=&quot;31222DDF&quot;/&gt;&lt;wsp:rsid wsp:val=&quot;315D12A0&quot;/&gt;&lt;wsp:rsid wsp:val=&quot;316A54B4&quot;/&gt;&lt;wsp:rsid wsp:val=&quot;31A850DD&quot;/&gt;&lt;wsp:rsid wsp:val=&quot;31B06674&quot;/&gt;&lt;wsp:rsid wsp:val=&quot;31BE04E6&quot;/&gt;&lt;wsp:rsid wsp:val=&quot;31C70950&quot;/&gt;&lt;wsp:rsid wsp:val=&quot;31DF3838&quot;/&gt;&lt;wsp:rsid wsp:val=&quot;31EE3B5D&quot;/&gt;&lt;wsp:rsid wsp:val=&quot;320D0DC8&quot;/&gt;&lt;wsp:rsid wsp:val=&quot;321A418E&quot;/&gt;&lt;wsp:rsid wsp:val=&quot;32401E0F&quot;/&gt;&lt;wsp:rsid wsp:val=&quot;324F7B39&quot;/&gt;&lt;wsp:rsid wsp:val=&quot;32535E36&quot;/&gt;&lt;wsp:rsid wsp:val=&quot;32562E0F&quot;/&gt;&lt;wsp:rsid wsp:val=&quot;327002B0&quot;/&gt;&lt;wsp:rsid wsp:val=&quot;32905CFD&quot;/&gt;&lt;wsp:rsid wsp:val=&quot;32B955F9&quot;/&gt;&lt;wsp:rsid wsp:val=&quot;32E056A9&quot;/&gt;&lt;wsp:rsid wsp:val=&quot;32FE20EB&quot;/&gt;&lt;wsp:rsid wsp:val=&quot;330952E7&quot;/&gt;&lt;wsp:rsid wsp:val=&quot;33135EF1&quot;/&gt;&lt;wsp:rsid wsp:val=&quot;3332192F&quot;/&gt;&lt;wsp:rsid wsp:val=&quot;33515C3E&quot;/&gt;&lt;wsp:rsid wsp:val=&quot;33533C99&quot;/&gt;&lt;wsp:rsid wsp:val=&quot;33542DD6&quot;/&gt;&lt;wsp:rsid wsp:val=&quot;339709B4&quot;/&gt;&lt;wsp:rsid wsp:val=&quot;339C2614&quot;/&gt;&lt;wsp:rsid wsp:val=&quot;33B04681&quot;/&gt;&lt;wsp:rsid wsp:val=&quot;33BD2967&quot;/&gt;&lt;wsp:rsid wsp:val=&quot;33F53425&quot;/&gt;&lt;wsp:rsid wsp:val=&quot;34034857&quot;/&gt;&lt;wsp:rsid wsp:val=&quot;343A6582&quot;/&gt;&lt;wsp:rsid wsp:val=&quot;34416822&quot;/&gt;&lt;wsp:rsid wsp:val=&quot;344626C3&quot;/&gt;&lt;wsp:rsid wsp:val=&quot;34723F91&quot;/&gt;&lt;wsp:rsid wsp:val=&quot;34795C64&quot;/&gt;&lt;wsp:rsid wsp:val=&quot;3481681D&quot;/&gt;&lt;wsp:rsid wsp:val=&quot;34D00D41&quot;/&gt;&lt;wsp:rsid wsp:val=&quot;34D7549E&quot;/&gt;&lt;wsp:rsid wsp:val=&quot;350A1296&quot;/&gt;&lt;wsp:rsid wsp:val=&quot;35150C28&quot;/&gt;&lt;wsp:rsid wsp:val=&quot;35236A40&quot;/&gt;&lt;wsp:rsid wsp:val=&quot;3524545D&quot;/&gt;&lt;wsp:rsid wsp:val=&quot;353454CA&quot;/&gt;&lt;wsp:rsid wsp:val=&quot;35524458&quot;/&gt;&lt;wsp:rsid wsp:val=&quot;3575786D&quot;/&gt;&lt;wsp:rsid wsp:val=&quot;357904D9&quot;/&gt;&lt;wsp:rsid wsp:val=&quot;35B47668&quot;/&gt;&lt;wsp:rsid wsp:val=&quot;35DA5B99&quot;/&gt;&lt;wsp:rsid wsp:val=&quot;35DB6841&quot;/&gt;&lt;wsp:rsid wsp:val=&quot;35E03827&quot;/&gt;&lt;wsp:rsid wsp:val=&quot;35F30E34&quot;/&gt;&lt;wsp:rsid wsp:val=&quot;361338AB&quot;/&gt;&lt;wsp:rsid wsp:val=&quot;362B2304&quot;/&gt;&lt;wsp:rsid wsp:val=&quot;362E16FE&quot;/&gt;&lt;wsp:rsid wsp:val=&quot;36405937&quot;/&gt;&lt;wsp:rsid wsp:val=&quot;364D6997&quot;/&gt;&lt;wsp:rsid wsp:val=&quot;365D363B&quot;/&gt;&lt;wsp:rsid wsp:val=&quot;365E171E&quot;/&gt;&lt;wsp:rsid wsp:val=&quot;36605943&quot;/&gt;&lt;wsp:rsid wsp:val=&quot;368710DC&quot;/&gt;&lt;wsp:rsid wsp:val=&quot;36973977&quot;/&gt;&lt;wsp:rsid wsp:val=&quot;36C4200F&quot;/&gt;&lt;wsp:rsid wsp:val=&quot;36C97B4E&quot;/&gt;&lt;wsp:rsid wsp:val=&quot;36D21CDD&quot;/&gt;&lt;wsp:rsid wsp:val=&quot;36D536A0&quot;/&gt;&lt;wsp:rsid wsp:val=&quot;36D65F12&quot;/&gt;&lt;wsp:rsid wsp:val=&quot;36FE2B73&quot;/&gt;&lt;wsp:rsid wsp:val=&quot;37031B34&quot;/&gt;&lt;wsp:rsid wsp:val=&quot;37543887&quot;/&gt;&lt;wsp:rsid wsp:val=&quot;376F0F93&quot;/&gt;&lt;wsp:rsid wsp:val=&quot;37717A20&quot;/&gt;&lt;wsp:rsid wsp:val=&quot;37757726&quot;/&gt;&lt;wsp:rsid wsp:val=&quot;378056A6&quot;/&gt;&lt;wsp:rsid wsp:val=&quot;37C0591F&quot;/&gt;&lt;wsp:rsid wsp:val=&quot;37C67787&quot;/&gt;&lt;wsp:rsid wsp:val=&quot;37E33A19&quot;/&gt;&lt;wsp:rsid wsp:val=&quot;37F6647B&quot;/&gt;&lt;wsp:rsid wsp:val=&quot;381E75AF&quot;/&gt;&lt;wsp:rsid wsp:val=&quot;385A4844&quot;/&gt;&lt;wsp:rsid wsp:val=&quot;387873FA&quot;/&gt;&lt;wsp:rsid wsp:val=&quot;387A4C79&quot;/&gt;&lt;wsp:rsid wsp:val=&quot;387B299E&quot;/&gt;&lt;wsp:rsid wsp:val=&quot;387F48A0&quot;/&gt;&lt;wsp:rsid wsp:val=&quot;38AD15C3&quot;/&gt;&lt;wsp:rsid wsp:val=&quot;38B51521&quot;/&gt;&lt;wsp:rsid wsp:val=&quot;38BA7D5C&quot;/&gt;&lt;wsp:rsid wsp:val=&quot;38EB664B&quot;/&gt;&lt;wsp:rsid wsp:val=&quot;38F80837&quot;/&gt;&lt;wsp:rsid wsp:val=&quot;38F91BCD&quot;/&gt;&lt;wsp:rsid wsp:val=&quot;39070AAC&quot;/&gt;&lt;wsp:rsid wsp:val=&quot;39086358&quot;/&gt;&lt;wsp:rsid wsp:val=&quot;393153B7&quot;/&gt;&lt;wsp:rsid wsp:val=&quot;394C52C9&quot;/&gt;&lt;wsp:rsid wsp:val=&quot;39697CD8&quot;/&gt;&lt;wsp:rsid wsp:val=&quot;39751EC5&quot;/&gt;&lt;wsp:rsid wsp:val=&quot;398C5842&quot;/&gt;&lt;wsp:rsid wsp:val=&quot;399C5CC5&quot;/&gt;&lt;wsp:rsid wsp:val=&quot;399E558B&quot;/&gt;&lt;wsp:rsid wsp:val=&quot;39BF6E97&quot;/&gt;&lt;wsp:rsid wsp:val=&quot;39D66A57&quot;/&gt;&lt;wsp:rsid wsp:val=&quot;39DE7E7E&quot;/&gt;&lt;wsp:rsid wsp:val=&quot;39EC17AA&quot;/&gt;&lt;wsp:rsid wsp:val=&quot;3A085559&quot;/&gt;&lt;wsp:rsid wsp:val=&quot;3A0D141A&quot;/&gt;&lt;wsp:rsid wsp:val=&quot;3A243815&quot;/&gt;&lt;wsp:rsid wsp:val=&quot;3A4B32A1&quot;/&gt;&lt;wsp:rsid wsp:val=&quot;3A5B0B30&quot;/&gt;&lt;wsp:rsid wsp:val=&quot;3A5E46D9&quot;/&gt;&lt;wsp:rsid wsp:val=&quot;3A690617&quot;/&gt;&lt;wsp:rsid wsp:val=&quot;3A6F0291&quot;/&gt;&lt;wsp:rsid wsp:val=&quot;3A8A71D1&quot;/&gt;&lt;wsp:rsid wsp:val=&quot;3AB12108&quot;/&gt;&lt;wsp:rsid wsp:val=&quot;3ABE5CE0&quot;/&gt;&lt;wsp:rsid wsp:val=&quot;3ADA1058&quot;/&gt;&lt;wsp:rsid wsp:val=&quot;3B011173&quot;/&gt;&lt;wsp:rsid wsp:val=&quot;3B104A62&quot;/&gt;&lt;wsp:rsid wsp:val=&quot;3B6363EA&quot;/&gt;&lt;wsp:rsid wsp:val=&quot;3B804D03&quot;/&gt;&lt;wsp:rsid wsp:val=&quot;3B9916CD&quot;/&gt;&lt;wsp:rsid wsp:val=&quot;3BF269D8&quot;/&gt;&lt;wsp:rsid wsp:val=&quot;3C1B4329&quot;/&gt;&lt;wsp:rsid wsp:val=&quot;3C235DF5&quot;/&gt;&lt;wsp:rsid wsp:val=&quot;3C374014&quot;/&gt;&lt;wsp:rsid wsp:val=&quot;3C405B17&quot;/&gt;&lt;wsp:rsid wsp:val=&quot;3C764C2E&quot;/&gt;&lt;wsp:rsid wsp:val=&quot;3C78126A&quot;/&gt;&lt;wsp:rsid wsp:val=&quot;3CA562E6&quot;/&gt;&lt;wsp:rsid wsp:val=&quot;3CA740F0&quot;/&gt;&lt;wsp:rsid wsp:val=&quot;3CB607D5&quot;/&gt;&lt;wsp:rsid wsp:val=&quot;3D000F92&quot;/&gt;&lt;wsp:rsid wsp:val=&quot;3D0E21B3&quot;/&gt;&lt;wsp:rsid wsp:val=&quot;3D326B36&quot;/&gt;&lt;wsp:rsid wsp:val=&quot;3D3B50E0&quot;/&gt;&lt;wsp:rsid wsp:val=&quot;3D7C2D6C&quot;/&gt;&lt;wsp:rsid wsp:val=&quot;3D9D6AC0&quot;/&gt;&lt;wsp:rsid wsp:val=&quot;3DAF6A47&quot;/&gt;&lt;wsp:rsid wsp:val=&quot;3DBD53A4&quot;/&gt;&lt;wsp:rsid wsp:val=&quot;3DC51720&quot;/&gt;&lt;wsp:rsid wsp:val=&quot;3DD3268E&quot;/&gt;&lt;wsp:rsid wsp:val=&quot;3DF05AC1&quot;/&gt;&lt;wsp:rsid wsp:val=&quot;3E085F49&quot;/&gt;&lt;wsp:rsid wsp:val=&quot;3E4E24CC&quot;/&gt;&lt;wsp:rsid wsp:val=&quot;3E5B55DC&quot;/&gt;&lt;wsp:rsid wsp:val=&quot;3E5F33E4&quot;/&gt;&lt;wsp:rsid wsp:val=&quot;3E8B042A&quot;/&gt;&lt;wsp:rsid wsp:val=&quot;3EA93C33&quot;/&gt;&lt;wsp:rsid wsp:val=&quot;3EBC620A&quot;/&gt;&lt;wsp:rsid wsp:val=&quot;3ECE6552&quot;/&gt;&lt;wsp:rsid wsp:val=&quot;3ED1585F&quot;/&gt;&lt;wsp:rsid wsp:val=&quot;3EEF7213&quot;/&gt;&lt;wsp:rsid wsp:val=&quot;3F4976AD&quot;/&gt;&lt;wsp:rsid wsp:val=&quot;3F570BE9&quot;/&gt;&lt;wsp:rsid wsp:val=&quot;3F623298&quot;/&gt;&lt;wsp:rsid wsp:val=&quot;3F786788&quot;/&gt;&lt;wsp:rsid wsp:val=&quot;3F794993&quot;/&gt;&lt;wsp:rsid wsp:val=&quot;3F984A72&quot;/&gt;&lt;wsp:rsid wsp:val=&quot;400870C2&quot;/&gt;&lt;wsp:rsid wsp:val=&quot;401A0C18&quot;/&gt;&lt;wsp:rsid wsp:val=&quot;4023326A&quot;/&gt;&lt;wsp:rsid wsp:val=&quot;40262630&quot;/&gt;&lt;wsp:rsid wsp:val=&quot;402747A2&quot;/&gt;&lt;wsp:rsid wsp:val=&quot;4049774E&quot;/&gt;&lt;wsp:rsid wsp:val=&quot;405940CB&quot;/&gt;&lt;wsp:rsid wsp:val=&quot;40A36822&quot;/&gt;&lt;wsp:rsid wsp:val=&quot;40C04433&quot;/&gt;&lt;wsp:rsid wsp:val=&quot;41077F82&quot;/&gt;&lt;wsp:rsid wsp:val=&quot;410D1033&quot;/&gt;&lt;wsp:rsid wsp:val=&quot;41395D7D&quot;/&gt;&lt;wsp:rsid wsp:val=&quot;41477B3B&quot;/&gt;&lt;wsp:rsid wsp:val=&quot;41477BA1&quot;/&gt;&lt;wsp:rsid wsp:val=&quot;41484221&quot;/&gt;&lt;wsp:rsid wsp:val=&quot;417738DA&quot;/&gt;&lt;wsp:rsid wsp:val=&quot;417D7C80&quot;/&gt;&lt;wsp:rsid wsp:val=&quot;41816113&quot;/&gt;&lt;wsp:rsid wsp:val=&quot;41AA6801&quot;/&gt;&lt;wsp:rsid wsp:val=&quot;41D36A8F&quot;/&gt;&lt;wsp:rsid wsp:val=&quot;41F35C21&quot;/&gt;&lt;wsp:rsid wsp:val=&quot;424106DB&quot;/&gt;&lt;wsp:rsid wsp:val=&quot;426C6856&quot;/&gt;&lt;wsp:rsid wsp:val=&quot;427E69B4&quot;/&gt;&lt;wsp:rsid wsp:val=&quot;428F02C5&quot;/&gt;&lt;wsp:rsid wsp:val=&quot;429D2635&quot;/&gt;&lt;wsp:rsid wsp:val=&quot;42A87357&quot;/&gt;&lt;wsp:rsid wsp:val=&quot;42AA350F&quot;/&gt;&lt;wsp:rsid wsp:val=&quot;42BD65CC&quot;/&gt;&lt;wsp:rsid wsp:val=&quot;42C24E21&quot;/&gt;&lt;wsp:rsid wsp:val=&quot;42CE5649&quot;/&gt;&lt;wsp:rsid wsp:val=&quot;42FA2A7B&quot;/&gt;&lt;wsp:rsid wsp:val=&quot;4320160B&quot;/&gt;&lt;wsp:rsid wsp:val=&quot;432C3F5D&quot;/&gt;&lt;wsp:rsid wsp:val=&quot;434B5E2D&quot;/&gt;&lt;wsp:rsid wsp:val=&quot;437D6E98&quot;/&gt;&lt;wsp:rsid wsp:val=&quot;43836645&quot;/&gt;&lt;wsp:rsid wsp:val=&quot;439169D3&quot;/&gt;&lt;wsp:rsid wsp:val=&quot;43D82842&quot;/&gt;&lt;wsp:rsid wsp:val=&quot;43EC02AC&quot;/&gt;&lt;wsp:rsid wsp:val=&quot;43FB717B&quot;/&gt;&lt;wsp:rsid wsp:val=&quot;441C3BCF&quot;/&gt;&lt;wsp:rsid wsp:val=&quot;442108A7&quot;/&gt;&lt;wsp:rsid wsp:val=&quot;442153F6&quot;/&gt;&lt;wsp:rsid wsp:val=&quot;442E12C3&quot;/&gt;&lt;wsp:rsid wsp:val=&quot;44340402&quot;/&gt;&lt;wsp:rsid wsp:val=&quot;444C72EA&quot;/&gt;&lt;wsp:rsid wsp:val=&quot;4454356C&quot;/&gt;&lt;wsp:rsid wsp:val=&quot;44754B24&quot;/&gt;&lt;wsp:rsid wsp:val=&quot;4485170E&quot;/&gt;&lt;wsp:rsid wsp:val=&quot;449F6FFD&quot;/&gt;&lt;wsp:rsid wsp:val=&quot;44C724FF&quot;/&gt;&lt;wsp:rsid wsp:val=&quot;44CD439E&quot;/&gt;&lt;wsp:rsid wsp:val=&quot;459C5113&quot;/&gt;&lt;wsp:rsid wsp:val=&quot;45DE1958&quot;/&gt;&lt;wsp:rsid wsp:val=&quot;45F71D3F&quot;/&gt;&lt;wsp:rsid wsp:val=&quot;46081FAF&quot;/&gt;&lt;wsp:rsid wsp:val=&quot;460B711F&quot;/&gt;&lt;wsp:rsid wsp:val=&quot;460F572D&quot;/&gt;&lt;wsp:rsid wsp:val=&quot;462F6A17&quot;/&gt;&lt;wsp:rsid wsp:val=&quot;4656226A&quot;/&gt;&lt;wsp:rsid wsp:val=&quot;46577F66&quot;/&gt;&lt;wsp:rsid wsp:val=&quot;466C43AB&quot;/&gt;&lt;wsp:rsid wsp:val=&quot;46840BAD&quot;/&gt;&lt;wsp:rsid wsp:val=&quot;469337F3&quot;/&gt;&lt;wsp:rsid wsp:val=&quot;469708F4&quot;/&gt;&lt;wsp:rsid wsp:val=&quot;469C4109&quot;/&gt;&lt;wsp:rsid wsp:val=&quot;46A3301B&quot;/&gt;&lt;wsp:rsid wsp:val=&quot;46AD78F9&quot;/&gt;&lt;wsp:rsid wsp:val=&quot;46C30060&quot;/&gt;&lt;wsp:rsid wsp:val=&quot;46C308C1&quot;/&gt;&lt;wsp:rsid wsp:val=&quot;46C36A8C&quot;/&gt;&lt;wsp:rsid wsp:val=&quot;470326DB&quot;/&gt;&lt;wsp:rsid wsp:val=&quot;472B4A6A&quot;/&gt;&lt;wsp:rsid wsp:val=&quot;47346D9B&quot;/&gt;&lt;wsp:rsid wsp:val=&quot;474755E1&quot;/&gt;&lt;wsp:rsid wsp:val=&quot;47652383&quot;/&gt;&lt;wsp:rsid wsp:val=&quot;47685307&quot;/&gt;&lt;wsp:rsid wsp:val=&quot;478A6976&quot;/&gt;&lt;wsp:rsid wsp:val=&quot;47AC7750&quot;/&gt;&lt;wsp:rsid wsp:val=&quot;47B635D9&quot;/&gt;&lt;wsp:rsid wsp:val=&quot;47BF26BC&quot;/&gt;&lt;wsp:rsid wsp:val=&quot;48497690&quot;/&gt;&lt;wsp:rsid wsp:val=&quot;485734FA&quot;/&gt;&lt;wsp:rsid wsp:val=&quot;4858792F&quot;/&gt;&lt;wsp:rsid wsp:val=&quot;487F4EAB&quot;/&gt;&lt;wsp:rsid wsp:val=&quot;48853399&quot;/&gt;&lt;wsp:rsid wsp:val=&quot;489020D3&quot;/&gt;&lt;wsp:rsid wsp:val=&quot;489B1A13&quot;/&gt;&lt;wsp:rsid wsp:val=&quot;48C27684&quot;/&gt;&lt;wsp:rsid wsp:val=&quot;48C804FB&quot;/&gt;&lt;wsp:rsid wsp:val=&quot;48EE1788&quot;/&gt;&lt;wsp:rsid wsp:val=&quot;48F21F15&quot;/&gt;&lt;wsp:rsid wsp:val=&quot;48F64ACF&quot;/&gt;&lt;wsp:rsid wsp:val=&quot;49202BBA&quot;/&gt;&lt;wsp:rsid wsp:val=&quot;49270D3A&quot;/&gt;&lt;wsp:rsid wsp:val=&quot;493122F2&quot;/&gt;&lt;wsp:rsid wsp:val=&quot;493356B9&quot;/&gt;&lt;wsp:rsid wsp:val=&quot;496D1E19&quot;/&gt;&lt;wsp:rsid wsp:val=&quot;49736B29&quot;/&gt;&lt;wsp:rsid wsp:val=&quot;49DC07CD&quot;/&gt;&lt;wsp:rsid wsp:val=&quot;4A2E3030&quot;/&gt;&lt;wsp:rsid wsp:val=&quot;4A3F3EF6&quot;/&gt;&lt;wsp:rsid wsp:val=&quot;4A6174E2&quot;/&gt;&lt;wsp:rsid wsp:val=&quot;4A9162C0&quot;/&gt;&lt;wsp:rsid wsp:val=&quot;4A983B3C&quot;/&gt;&lt;wsp:rsid wsp:val=&quot;4AB81A2E&quot;/&gt;&lt;wsp:rsid wsp:val=&quot;4AC07BA8&quot;/&gt;&lt;wsp:rsid wsp:val=&quot;4AC212B3&quot;/&gt;&lt;wsp:rsid wsp:val=&quot;4AC95E57&quot;/&gt;&lt;wsp:rsid wsp:val=&quot;4AF052CA&quot;/&gt;&lt;wsp:rsid wsp:val=&quot;4AFD0240&quot;/&gt;&lt;wsp:rsid wsp:val=&quot;4B050147&quot;/&gt;&lt;wsp:rsid wsp:val=&quot;4B0E54DA&quot;/&gt;&lt;wsp:rsid wsp:val=&quot;4B263B0D&quot;/&gt;&lt;wsp:rsid wsp:val=&quot;4B3165D4&quot;/&gt;&lt;wsp:rsid wsp:val=&quot;4B3F7D61&quot;/&gt;&lt;wsp:rsid wsp:val=&quot;4B5773A6&quot;/&gt;&lt;wsp:rsid wsp:val=&quot;4B717748&quot;/&gt;&lt;wsp:rsid wsp:val=&quot;4B74632E&quot;/&gt;&lt;wsp:rsid wsp:val=&quot;4B8219EF&quot;/&gt;&lt;wsp:rsid wsp:val=&quot;4BA31553&quot;/&gt;&lt;wsp:rsid wsp:val=&quot;4BAF0847&quot;/&gt;&lt;wsp:rsid wsp:val=&quot;4BB62A42&quot;/&gt;&lt;wsp:rsid wsp:val=&quot;4BF43D54&quot;/&gt;&lt;wsp:rsid wsp:val=&quot;4BF9744C&quot;/&gt;&lt;wsp:rsid wsp:val=&quot;4C0057BA&quot;/&gt;&lt;wsp:rsid wsp:val=&quot;4C255EE0&quot;/&gt;&lt;wsp:rsid wsp:val=&quot;4C2A2E2C&quot;/&gt;&lt;wsp:rsid wsp:val=&quot;4C4D6B63&quot;/&gt;&lt;wsp:rsid wsp:val=&quot;4C5377D5&quot;/&gt;&lt;wsp:rsid wsp:val=&quot;4C6004DD&quot;/&gt;&lt;wsp:rsid wsp:val=&quot;4C613502&quot;/&gt;&lt;wsp:rsid wsp:val=&quot;4C6D0F2D&quot;/&gt;&lt;wsp:rsid wsp:val=&quot;4C7D15A1&quot;/&gt;&lt;wsp:rsid wsp:val=&quot;4C83250D&quot;/&gt;&lt;wsp:rsid wsp:val=&quot;4CBF6BE0&quot;/&gt;&lt;wsp:rsid wsp:val=&quot;4CEB0267&quot;/&gt;&lt;wsp:rsid wsp:val=&quot;4CF541A9&quot;/&gt;&lt;wsp:rsid wsp:val=&quot;4D0A22A5&quot;/&gt;&lt;wsp:rsid wsp:val=&quot;4D1261CE&quot;/&gt;&lt;wsp:rsid wsp:val=&quot;4D171FFD&quot;/&gt;&lt;wsp:rsid wsp:val=&quot;4D1F1FF1&quot;/&gt;&lt;wsp:rsid wsp:val=&quot;4D340232&quot;/&gt;&lt;wsp:rsid wsp:val=&quot;4D574B88&quot;/&gt;&lt;wsp:rsid wsp:val=&quot;4D7C63F8&quot;/&gt;&lt;wsp:rsid wsp:val=&quot;4DAA7907&quot;/&gt;&lt;wsp:rsid wsp:val=&quot;4DAB3452&quot;/&gt;&lt;wsp:rsid wsp:val=&quot;4DBA2C26&quot;/&gt;&lt;wsp:rsid wsp:val=&quot;4DED4BF9&quot;/&gt;&lt;wsp:rsid wsp:val=&quot;4E0F7B4A&quot;/&gt;&lt;wsp:rsid wsp:val=&quot;4E145F58&quot;/&gt;&lt;wsp:rsid wsp:val=&quot;4E1B72DF&quot;/&gt;&lt;wsp:rsid wsp:val=&quot;4E5F5EAD&quot;/&gt;&lt;wsp:rsid wsp:val=&quot;4E9D38F9&quot;/&gt;&lt;wsp:rsid wsp:val=&quot;4EDA225F&quot;/&gt;&lt;wsp:rsid wsp:val=&quot;4EE062D0&quot;/&gt;&lt;wsp:rsid wsp:val=&quot;4EE40BEE&quot;/&gt;&lt;wsp:rsid wsp:val=&quot;4EEA1C42&quot;/&gt;&lt;wsp:rsid wsp:val=&quot;4EEE524A&quot;/&gt;&lt;wsp:rsid wsp:val=&quot;4F242985&quot;/&gt;&lt;wsp:rsid wsp:val=&quot;4F32701D&quot;/&gt;&lt;wsp:rsid wsp:val=&quot;4F3E6A2B&quot;/&gt;&lt;wsp:rsid wsp:val=&quot;4F496891&quot;/&gt;&lt;wsp:rsid wsp:val=&quot;4F632E7E&quot;/&gt;&lt;wsp:rsid wsp:val=&quot;4F6A5B37&quot;/&gt;&lt;wsp:rsid wsp:val=&quot;4F8C4CC9&quot;/&gt;&lt;wsp:rsid wsp:val=&quot;4F9A2FBA&quot;/&gt;&lt;wsp:rsid wsp:val=&quot;4FDB0046&quot;/&gt;&lt;wsp:rsid wsp:val=&quot;4FE6166E&quot;/&gt;&lt;wsp:rsid wsp:val=&quot;50074C87&quot;/&gt;&lt;wsp:rsid wsp:val=&quot;500B0181&quot;/&gt;&lt;wsp:rsid wsp:val=&quot;500C1426&quot;/&gt;&lt;wsp:rsid wsp:val=&quot;50100108&quot;/&gt;&lt;wsp:rsid wsp:val=&quot;5026432D&quot;/&gt;&lt;wsp:rsid wsp:val=&quot;50323C15&quot;/&gt;&lt;wsp:rsid wsp:val=&quot;5061391C&quot;/&gt;&lt;wsp:rsid wsp:val=&quot;506A3FA8&quot;/&gt;&lt;wsp:rsid wsp:val=&quot;507F087A&quot;/&gt;&lt;wsp:rsid wsp:val=&quot;5093708C&quot;/&gt;&lt;wsp:rsid wsp:val=&quot;50AD7FA8&quot;/&gt;&lt;wsp:rsid wsp:val=&quot;50B75A6E&quot;/&gt;&lt;wsp:rsid wsp:val=&quot;50C27880&quot;/&gt;&lt;wsp:rsid wsp:val=&quot;50CC313C&quot;/&gt;&lt;wsp:rsid wsp:val=&quot;50E561EC&quot;/&gt;&lt;wsp:rsid wsp:val=&quot;50EF51C9&quot;/&gt;&lt;wsp:rsid wsp:val=&quot;50FF7E74&quot;/&gt;&lt;wsp:rsid wsp:val=&quot;511526F3&quot;/&gt;&lt;wsp:rsid wsp:val=&quot;51594CA5&quot;/&gt;&lt;wsp:rsid wsp:val=&quot;517452DB&quot;/&gt;&lt;wsp:rsid wsp:val=&quot;519708DB&quot;/&gt;&lt;wsp:rsid wsp:val=&quot;51AB4928&quot;/&gt;&lt;wsp:rsid wsp:val=&quot;51D07439&quot;/&gt;&lt;wsp:rsid wsp:val=&quot;51D36AD4&quot;/&gt;&lt;wsp:rsid wsp:val=&quot;520D2D4D&quot;/&gt;&lt;wsp:rsid wsp:val=&quot;523F273C&quot;/&gt;&lt;wsp:rsid wsp:val=&quot;5257071E&quot;/&gt;&lt;wsp:rsid wsp:val=&quot;5268410B&quot;/&gt;&lt;wsp:rsid wsp:val=&quot;52A67B13&quot;/&gt;&lt;wsp:rsid wsp:val=&quot;52AF440E&quot;/&gt;&lt;wsp:rsid wsp:val=&quot;52BF44EE&quot;/&gt;&lt;wsp:rsid wsp:val=&quot;52CE4793&quot;/&gt;&lt;wsp:rsid wsp:val=&quot;52D132E1&quot;/&gt;&lt;wsp:rsid wsp:val=&quot;52D976E2&quot;/&gt;&lt;wsp:rsid wsp:val=&quot;52E27D55&quot;/&gt;&lt;wsp:rsid wsp:val=&quot;53204BBC&quot;/&gt;&lt;wsp:rsid wsp:val=&quot;53316718&quot;/&gt;&lt;wsp:rsid wsp:val=&quot;53401963&quot;/&gt;&lt;wsp:rsid wsp:val=&quot;53467707&quot;/&gt;&lt;wsp:rsid wsp:val=&quot;534F0B98&quot;/&gt;&lt;wsp:rsid wsp:val=&quot;535D4334&quot;/&gt;&lt;wsp:rsid wsp:val=&quot;53624B68&quot;/&gt;&lt;wsp:rsid wsp:val=&quot;537A2B9B&quot;/&gt;&lt;wsp:rsid wsp:val=&quot;539F7A99&quot;/&gt;&lt;wsp:rsid wsp:val=&quot;53B12142&quot;/&gt;&lt;wsp:rsid wsp:val=&quot;53B80C21&quot;/&gt;&lt;wsp:rsid wsp:val=&quot;53F26A5C&quot;/&gt;&lt;wsp:rsid wsp:val=&quot;54177340&quot;/&gt;&lt;wsp:rsid wsp:val=&quot;54204A87&quot;/&gt;&lt;wsp:rsid wsp:val=&quot;54264AF8&quot;/&gt;&lt;wsp:rsid wsp:val=&quot;54505B4E&quot;/&gt;&lt;wsp:rsid wsp:val=&quot;545633E6&quot;/&gt;&lt;wsp:rsid wsp:val=&quot;54743A4E&quot;/&gt;&lt;wsp:rsid wsp:val=&quot;54772EEC&quot;/&gt;&lt;wsp:rsid wsp:val=&quot;54B45049&quot;/&gt;&lt;wsp:rsid wsp:val=&quot;54B55E90&quot;/&gt;&lt;wsp:rsid wsp:val=&quot;54ED3D5F&quot;/&gt;&lt;wsp:rsid wsp:val=&quot;550F2946&quot;/&gt;&lt;wsp:rsid wsp:val=&quot;55351DD9&quot;/&gt;&lt;wsp:rsid wsp:val=&quot;553D6CE4&quot;/&gt;&lt;wsp:rsid wsp:val=&quot;555F11ED&quot;/&gt;&lt;wsp:rsid wsp:val=&quot;556A2638&quot;/&gt;&lt;wsp:rsid wsp:val=&quot;557026A6&quot;/&gt;&lt;wsp:rsid wsp:val=&quot;55C5656D&quot;/&gt;&lt;wsp:rsid wsp:val=&quot;560A4CF4&quot;/&gt;&lt;wsp:rsid wsp:val=&quot;5612022F&quot;/&gt;&lt;wsp:rsid wsp:val=&quot;56421B90&quot;/&gt;&lt;wsp:rsid wsp:val=&quot;56472402&quot;/&gt;&lt;wsp:rsid wsp:val=&quot;56666951&quot;/&gt;&lt;wsp:rsid wsp:val=&quot;568A5EF7&quot;/&gt;&lt;wsp:rsid wsp:val=&quot;569A01F5&quot;/&gt;&lt;wsp:rsid wsp:val=&quot;57045863&quot;/&gt;&lt;wsp:rsid wsp:val=&quot;5705360F&quot;/&gt;&lt;wsp:rsid wsp:val=&quot;570D094F&quot;/&gt;&lt;wsp:rsid wsp:val=&quot;57701CE1&quot;/&gt;&lt;wsp:rsid wsp:val=&quot;57742D5B&quot;/&gt;&lt;wsp:rsid wsp:val=&quot;5784353B&quot;/&gt;&lt;wsp:rsid wsp:val=&quot;57A65469&quot;/&gt;&lt;wsp:rsid wsp:val=&quot;57BB0AD9&quot;/&gt;&lt;wsp:rsid wsp:val=&quot;57E116D3&quot;/&gt;&lt;wsp:rsid wsp:val=&quot;57EC7BE9&quot;/&gt;&lt;wsp:rsid wsp:val=&quot;57F205FF&quot;/&gt;&lt;wsp:rsid wsp:val=&quot;57FB1A0A&quot;/&gt;&lt;wsp:rsid wsp:val=&quot;5802359C&quot;/&gt;&lt;wsp:rsid wsp:val=&quot;580A0C13&quot;/&gt;&lt;wsp:rsid wsp:val=&quot;580D58C7&quot;/&gt;&lt;wsp:rsid wsp:val=&quot;582746B4&quot;/&gt;&lt;wsp:rsid wsp:val=&quot;5833406E&quot;/&gt;&lt;wsp:rsid wsp:val=&quot;583E7E3D&quot;/&gt;&lt;wsp:rsid wsp:val=&quot;58776D73&quot;/&gt;&lt;wsp:rsid wsp:val=&quot;588D2C31&quot;/&gt;&lt;wsp:rsid wsp:val=&quot;589B43DD&quot;/&gt;&lt;wsp:rsid wsp:val=&quot;58AD6B4D&quot;/&gt;&lt;wsp:rsid wsp:val=&quot;58BB1973&quot;/&gt;&lt;wsp:rsid wsp:val=&quot;58BC5E1B&quot;/&gt;&lt;wsp:rsid wsp:val=&quot;58C16BCA&quot;/&gt;&lt;wsp:rsid wsp:val=&quot;58EF0F63&quot;/&gt;&lt;wsp:rsid wsp:val=&quot;58F06E3A&quot;/&gt;&lt;wsp:rsid wsp:val=&quot;58FF77DA&quot;/&gt;&lt;wsp:rsid wsp:val=&quot;59222399&quot;/&gt;&lt;wsp:rsid wsp:val=&quot;592655FD&quot;/&gt;&lt;wsp:rsid wsp:val=&quot;593E53C7&quot;/&gt;&lt;wsp:rsid wsp:val=&quot;594012D1&quot;/&gt;&lt;wsp:rsid wsp:val=&quot;59592AF7&quot;/&gt;&lt;wsp:rsid wsp:val=&quot;596F5B63&quot;/&gt;&lt;wsp:rsid wsp:val=&quot;59844B60&quot;/&gt;&lt;wsp:rsid wsp:val=&quot;59A91C39&quot;/&gt;&lt;wsp:rsid wsp:val=&quot;59CF1D3D&quot;/&gt;&lt;wsp:rsid wsp:val=&quot;59D96B24&quot;/&gt;&lt;wsp:rsid wsp:val=&quot;59F131E8&quot;/&gt;&lt;wsp:rsid wsp:val=&quot;59FA5681&quot;/&gt;&lt;wsp:rsid wsp:val=&quot;5A1C0D57&quot;/&gt;&lt;wsp:rsid wsp:val=&quot;5A2055FA&quot;/&gt;&lt;wsp:rsid wsp:val=&quot;5A4A1383&quot;/&gt;&lt;wsp:rsid wsp:val=&quot;5AAF0003&quot;/&gt;&lt;wsp:rsid wsp:val=&quot;5AC11AB0&quot;/&gt;&lt;wsp:rsid wsp:val=&quot;5AEA4FAB&quot;/&gt;&lt;wsp:rsid wsp:val=&quot;5AF4385A&quot;/&gt;&lt;wsp:rsid wsp:val=&quot;5AF64539&quot;/&gt;&lt;wsp:rsid wsp:val=&quot;5AFD2EA9&quot;/&gt;&lt;wsp:rsid wsp:val=&quot;5B1D0CF1&quot;/&gt;&lt;wsp:rsid wsp:val=&quot;5B3148A8&quot;/&gt;&lt;wsp:rsid wsp:val=&quot;5B353824&quot;/&gt;&lt;wsp:rsid wsp:val=&quot;5B390C8A&quot;/&gt;&lt;wsp:rsid wsp:val=&quot;5B606048&quot;/&gt;&lt;wsp:rsid wsp:val=&quot;5B6323B3&quot;/&gt;&lt;wsp:rsid wsp:val=&quot;5B7F3653&quot;/&gt;&lt;wsp:rsid wsp:val=&quot;5B8706B2&quot;/&gt;&lt;wsp:rsid wsp:val=&quot;5B95566A&quot;/&gt;&lt;wsp:rsid wsp:val=&quot;5BA57DC1&quot;/&gt;&lt;wsp:rsid wsp:val=&quot;5BB278B3&quot;/&gt;&lt;wsp:rsid wsp:val=&quot;5BC67C3D&quot;/&gt;&lt;wsp:rsid wsp:val=&quot;5BCD6484&quot;/&gt;&lt;wsp:rsid wsp:val=&quot;5BDB2C5E&quot;/&gt;&lt;wsp:rsid wsp:val=&quot;5BF5158C&quot;/&gt;&lt;wsp:rsid wsp:val=&quot;5BF96B26&quot;/&gt;&lt;wsp:rsid wsp:val=&quot;5C1E4E12&quot;/&gt;&lt;wsp:rsid wsp:val=&quot;5C264FCE&quot;/&gt;&lt;wsp:rsid wsp:val=&quot;5C620D5C&quot;/&gt;&lt;wsp:rsid wsp:val=&quot;5C692678&quot;/&gt;&lt;wsp:rsid wsp:val=&quot;5C6E5321&quot;/&gt;&lt;wsp:rsid wsp:val=&quot;5C6E6FB0&quot;/&gt;&lt;wsp:rsid wsp:val=&quot;5C8079BB&quot;/&gt;&lt;wsp:rsid wsp:val=&quot;5C825C30&quot;/&gt;&lt;wsp:rsid wsp:val=&quot;5C840D3A&quot;/&gt;&lt;wsp:rsid wsp:val=&quot;5C8D5E95&quot;/&gt;&lt;wsp:rsid wsp:val=&quot;5CBC6CDE&quot;/&gt;&lt;wsp:rsid wsp:val=&quot;5CDA26BC&quot;/&gt;&lt;wsp:rsid wsp:val=&quot;5CE74C7F&quot;/&gt;&lt;wsp:rsid wsp:val=&quot;5CF224BA&quot;/&gt;&lt;wsp:rsid wsp:val=&quot;5D1771B2&quot;/&gt;&lt;wsp:rsid wsp:val=&quot;5D287851&quot;/&gt;&lt;wsp:rsid wsp:val=&quot;5D393E0A&quot;/&gt;&lt;wsp:rsid wsp:val=&quot;5D590B65&quot;/&gt;&lt;wsp:rsid wsp:val=&quot;5DAB02C3&quot;/&gt;&lt;wsp:rsid wsp:val=&quot;5DE56B63&quot;/&gt;&lt;wsp:rsid wsp:val=&quot;5E0510EF&quot;/&gt;&lt;wsp:rsid wsp:val=&quot;5E293FC2&quot;/&gt;&lt;wsp:rsid wsp:val=&quot;5E347196&quot;/&gt;&lt;wsp:rsid wsp:val=&quot;5E3D30B0&quot;/&gt;&lt;wsp:rsid wsp:val=&quot;5E57036E&quot;/&gt;&lt;wsp:rsid wsp:val=&quot;5E6368FD&quot;/&gt;&lt;wsp:rsid wsp:val=&quot;5E666A3F&quot;/&gt;&lt;wsp:rsid wsp:val=&quot;5E702C84&quot;/&gt;&lt;wsp:rsid wsp:val=&quot;5E9630AB&quot;/&gt;&lt;wsp:rsid wsp:val=&quot;5E9B4927&quot;/&gt;&lt;wsp:rsid wsp:val=&quot;5E9C28C8&quot;/&gt;&lt;wsp:rsid wsp:val=&quot;5EAE0FD2&quot;/&gt;&lt;wsp:rsid wsp:val=&quot;5EBA5034&quot;/&gt;&lt;wsp:rsid wsp:val=&quot;5EC21422&quot;/&gt;&lt;wsp:rsid wsp:val=&quot;5ED0368B&quot;/&gt;&lt;wsp:rsid wsp:val=&quot;5EDF0139&quot;/&gt;&lt;wsp:rsid wsp:val=&quot;5EF83C50&quot;/&gt;&lt;wsp:rsid wsp:val=&quot;5F067FCF&quot;/&gt;&lt;wsp:rsid wsp:val=&quot;5F1D7064&quot;/&gt;&lt;wsp:rsid wsp:val=&quot;5F2A1C14&quot;/&gt;&lt;wsp:rsid wsp:val=&quot;5F444712&quot;/&gt;&lt;wsp:rsid wsp:val=&quot;5F4E4C4C&quot;/&gt;&lt;wsp:rsid wsp:val=&quot;5F7043FE&quot;/&gt;&lt;wsp:rsid wsp:val=&quot;5F710A7F&quot;/&gt;&lt;wsp:rsid wsp:val=&quot;5F780D4D&quot;/&gt;&lt;wsp:rsid wsp:val=&quot;5F8B4429&quot;/&gt;&lt;wsp:rsid wsp:val=&quot;5FBB5C02&quot;/&gt;&lt;wsp:rsid wsp:val=&quot;5FBF25E4&quot;/&gt;&lt;wsp:rsid wsp:val=&quot;5FC375E0&quot;/&gt;&lt;wsp:rsid wsp:val=&quot;5FCA599E&quot;/&gt;&lt;wsp:rsid wsp:val=&quot;5FE912CE&quot;/&gt;&lt;wsp:rsid wsp:val=&quot;5FEF3AD8&quot;/&gt;&lt;wsp:rsid wsp:val=&quot;600A4169&quot;/&gt;&lt;wsp:rsid wsp:val=&quot;60223B74&quot;/&gt;&lt;wsp:rsid wsp:val=&quot;60533D6B&quot;/&gt;&lt;wsp:rsid wsp:val=&quot;60620E30&quot;/&gt;&lt;wsp:rsid wsp:val=&quot;606547A6&quot;/&gt;&lt;wsp:rsid wsp:val=&quot;607064A8&quot;/&gt;&lt;wsp:rsid wsp:val=&quot;6089643B&quot;/&gt;&lt;wsp:rsid wsp:val=&quot;608B3518&quot;/&gt;&lt;wsp:rsid wsp:val=&quot;60B613DE&quot;/&gt;&lt;wsp:rsid wsp:val=&quot;60B8317C&quot;/&gt;&lt;wsp:rsid wsp:val=&quot;60BD49ED&quot;/&gt;&lt;wsp:rsid wsp:val=&quot;6119270A&quot;/&gt;&lt;wsp:rsid wsp:val=&quot;612D4ADF&quot;/&gt;&lt;wsp:rsid wsp:val=&quot;61333C09&quot;/&gt;&lt;wsp:rsid wsp:val=&quot;613563AB&quot;/&gt;&lt;wsp:rsid wsp:val=&quot;615B484C&quot;/&gt;&lt;wsp:rsid wsp:val=&quot;617F7063&quot;/&gt;&lt;wsp:rsid wsp:val=&quot;61885B3F&quot;/&gt;&lt;wsp:rsid wsp:val=&quot;61A87F74&quot;/&gt;&lt;wsp:rsid wsp:val=&quot;61BA4B62&quot;/&gt;&lt;wsp:rsid wsp:val=&quot;61BD1D44&quot;/&gt;&lt;wsp:rsid wsp:val=&quot;61DB12AA&quot;/&gt;&lt;wsp:rsid wsp:val=&quot;61DB4514&quot;/&gt;&lt;wsp:rsid wsp:val=&quot;62184073&quot;/&gt;&lt;wsp:rsid wsp:val=&quot;62653E93&quot;/&gt;&lt;wsp:rsid wsp:val=&quot;627F491E&quot;/&gt;&lt;wsp:rsid wsp:val=&quot;62975385&quot;/&gt;&lt;wsp:rsid wsp:val=&quot;630E29F6&quot;/&gt;&lt;wsp:rsid wsp:val=&quot;6311379D&quot;/&gt;&lt;wsp:rsid wsp:val=&quot;63267D30&quot;/&gt;&lt;wsp:rsid wsp:val=&quot;63291654&quot;/&gt;&lt;wsp:rsid wsp:val=&quot;632B44B3&quot;/&gt;&lt;wsp:rsid wsp:val=&quot;635C4DD4&quot;/&gt;&lt;wsp:rsid wsp:val=&quot;635F619D&quot;/&gt;&lt;wsp:rsid wsp:val=&quot;63A91A4E&quot;/&gt;&lt;wsp:rsid wsp:val=&quot;63A920F1&quot;/&gt;&lt;wsp:rsid wsp:val=&quot;63C52167&quot;/&gt;&lt;wsp:rsid wsp:val=&quot;63C61140&quot;/&gt;&lt;wsp:rsid wsp:val=&quot;63E3740A&quot;/&gt;&lt;wsp:rsid wsp:val=&quot;63E539DF&quot;/&gt;&lt;wsp:rsid wsp:val=&quot;63EA2F53&quot;/&gt;&lt;wsp:rsid wsp:val=&quot;64347118&quot;/&gt;&lt;wsp:rsid wsp:val=&quot;645925C1&quot;/&gt;&lt;wsp:rsid wsp:val=&quot;64925BC1&quot;/&gt;&lt;wsp:rsid wsp:val=&quot;64BD21EB&quot;/&gt;&lt;wsp:rsid wsp:val=&quot;64BD3864&quot;/&gt;&lt;wsp:rsid wsp:val=&quot;64E05334&quot;/&gt;&lt;wsp:rsid wsp:val=&quot;64E24779&quot;/&gt;&lt;wsp:rsid wsp:val=&quot;64FF31EE&quot;/&gt;&lt;wsp:rsid wsp:val=&quot;650712E0&quot;/&gt;&lt;wsp:rsid wsp:val=&quot;654357CA&quot;/&gt;&lt;wsp:rsid wsp:val=&quot;654472AC&quot;/&gt;&lt;wsp:rsid wsp:val=&quot;654D6C15&quot;/&gt;&lt;wsp:rsid wsp:val=&quot;654E1EB3&quot;/&gt;&lt;wsp:rsid wsp:val=&quot;655C5F60&quot;/&gt;&lt;wsp:rsid wsp:val=&quot;65667912&quot;/&gt;&lt;wsp:rsid wsp:val=&quot;656D4319&quot;/&gt;&lt;wsp:rsid wsp:val=&quot;6575573F&quot;/&gt;&lt;wsp:rsid wsp:val=&quot;65912AED&quot;/&gt;&lt;wsp:rsid wsp:val=&quot;65A25187&quot;/&gt;&lt;wsp:rsid wsp:val=&quot;65B87C4A&quot;/&gt;&lt;wsp:rsid wsp:val=&quot;65CF5A84&quot;/&gt;&lt;wsp:rsid wsp:val=&quot;65E72673&quot;/&gt;&lt;wsp:rsid wsp:val=&quot;66434F99&quot;/&gt;&lt;wsp:rsid wsp:val=&quot;666E744C&quot;/&gt;&lt;wsp:rsid wsp:val=&quot;66757B54&quot;/&gt;&lt;wsp:rsid wsp:val=&quot;667A3EC1&quot;/&gt;&lt;wsp:rsid wsp:val=&quot;66B172FF&quot;/&gt;&lt;wsp:rsid wsp:val=&quot;66C24222&quot;/&gt;&lt;wsp:rsid wsp:val=&quot;66EE57BF&quot;/&gt;&lt;wsp:rsid wsp:val=&quot;66F9215B&quot;/&gt;&lt;wsp:rsid wsp:val=&quot;67256437&quot;/&gt;&lt;wsp:rsid wsp:val=&quot;67354752&quot;/&gt;&lt;wsp:rsid wsp:val=&quot;6759547F&quot;/&gt;&lt;wsp:rsid wsp:val=&quot;67813D9A&quot;/&gt;&lt;wsp:rsid wsp:val=&quot;67926558&quot;/&gt;&lt;wsp:rsid wsp:val=&quot;67945EE4&quot;/&gt;&lt;wsp:rsid wsp:val=&quot;67A35A87&quot;/&gt;&lt;wsp:rsid wsp:val=&quot;67D70CBC&quot;/&gt;&lt;wsp:rsid wsp:val=&quot;67E0009B&quot;/&gt;&lt;wsp:rsid wsp:val=&quot;680D0927&quot;/&gt;&lt;wsp:rsid wsp:val=&quot;680F5930&quot;/&gt;&lt;wsp:rsid wsp:val=&quot;681704ED&quot;/&gt;&lt;wsp:rsid wsp:val=&quot;683A0C06&quot;/&gt;&lt;wsp:rsid wsp:val=&quot;68664706&quot;/&gt;&lt;wsp:rsid wsp:val=&quot;68774AEE&quot;/&gt;&lt;wsp:rsid wsp:val=&quot;687E704C&quot;/&gt;&lt;wsp:rsid wsp:val=&quot;68893BCD&quot;/&gt;&lt;wsp:rsid wsp:val=&quot;688D501B&quot;/&gt;&lt;wsp:rsid wsp:val=&quot;6900327E&quot;/&gt;&lt;wsp:rsid wsp:val=&quot;69366A3D&quot;/&gt;&lt;wsp:rsid wsp:val=&quot;69613621&quot;/&gt;&lt;wsp:rsid wsp:val=&quot;696E2C94&quot;/&gt;&lt;wsp:rsid wsp:val=&quot;6982639A&quot;/&gt;&lt;wsp:rsid wsp:val=&quot;69957638&quot;/&gt;&lt;wsp:rsid wsp:val=&quot;699C279A&quot;/&gt;&lt;wsp:rsid wsp:val=&quot;69A30758&quot;/&gt;&lt;wsp:rsid wsp:val=&quot;69AD40AA&quot;/&gt;&lt;wsp:rsid wsp:val=&quot;69B14C24&quot;/&gt;&lt;wsp:rsid wsp:val=&quot;69B71201&quot;/&gt;&lt;wsp:rsid wsp:val=&quot;69CB07CB&quot;/&gt;&lt;wsp:rsid wsp:val=&quot;69D756EB&quot;/&gt;&lt;wsp:rsid wsp:val=&quot;69EB3FE6&quot;/&gt;&lt;wsp:rsid wsp:val=&quot;69FB7AAC&quot;/&gt;&lt;wsp:rsid wsp:val=&quot;6A0D1BAE&quot;/&gt;&lt;wsp:rsid wsp:val=&quot;6A167AAB&quot;/&gt;&lt;wsp:rsid wsp:val=&quot;6A2629A7&quot;/&gt;&lt;wsp:rsid wsp:val=&quot;6A2D7FEB&quot;/&gt;&lt;wsp:rsid wsp:val=&quot;6A332AE7&quot;/&gt;&lt;wsp:rsid wsp:val=&quot;6A3860C1&quot;/&gt;&lt;wsp:rsid wsp:val=&quot;6A5467B5&quot;/&gt;&lt;wsp:rsid wsp:val=&quot;6A6D00F1&quot;/&gt;&lt;wsp:rsid wsp:val=&quot;6A777167&quot;/&gt;&lt;wsp:rsid wsp:val=&quot;6A8A2827&quot;/&gt;&lt;wsp:rsid wsp:val=&quot;6A9117B3&quot;/&gt;&lt;wsp:rsid wsp:val=&quot;6AB101F5&quot;/&gt;&lt;wsp:rsid wsp:val=&quot;6AC55968&quot;/&gt;&lt;wsp:rsid wsp:val=&quot;6AEA367C&quot;/&gt;&lt;wsp:rsid wsp:val=&quot;6B1371F3&quot;/&gt;&lt;wsp:rsid wsp:val=&quot;6B223469&quot;/&gt;&lt;wsp:rsid wsp:val=&quot;6B4C09FB&quot;/&gt;&lt;wsp:rsid wsp:val=&quot;6B570201&quot;/&gt;&lt;wsp:rsid wsp:val=&quot;6B8E54A6&quot;/&gt;&lt;wsp:rsid wsp:val=&quot;6BAF2D04&quot;/&gt;&lt;wsp:rsid wsp:val=&quot;6BEA4255&quot;/&gt;&lt;wsp:rsid wsp:val=&quot;6BEB1226&quot;/&gt;&lt;wsp:rsid wsp:val=&quot;6BFF42BB&quot;/&gt;&lt;wsp:rsid wsp:val=&quot;6BFF5D65&quot;/&gt;&lt;wsp:rsid wsp:val=&quot;6C047D50&quot;/&gt;&lt;wsp:rsid wsp:val=&quot;6C0D3505&quot;/&gt;&lt;wsp:rsid wsp:val=&quot;6C0D6F06&quot;/&gt;&lt;wsp:rsid wsp:val=&quot;6C1B2B97&quot;/&gt;&lt;wsp:rsid wsp:val=&quot;6C2728D4&quot;/&gt;&lt;wsp:rsid wsp:val=&quot;6C2A3447&quot;/&gt;&lt;wsp:rsid wsp:val=&quot;6C2F1215&quot;/&gt;&lt;wsp:rsid wsp:val=&quot;6C39511A&quot;/&gt;&lt;wsp:rsid wsp:val=&quot;6C4E3684&quot;/&gt;&lt;wsp:rsid wsp:val=&quot;6C774116&quot;/&gt;&lt;wsp:rsid wsp:val=&quot;6C822CF0&quot;/&gt;&lt;wsp:rsid wsp:val=&quot;6C8C5990&quot;/&gt;&lt;wsp:rsid wsp:val=&quot;6C8D33CD&quot;/&gt;&lt;wsp:rsid wsp:val=&quot;6C9061E3&quot;/&gt;&lt;wsp:rsid wsp:val=&quot;6C943EC3&quot;/&gt;&lt;wsp:rsid wsp:val=&quot;6C9A4A45&quot;/&gt;&lt;wsp:rsid wsp:val=&quot;6CA45133&quot;/&gt;&lt;wsp:rsid wsp:val=&quot;6CAF72A1&quot;/&gt;&lt;wsp:rsid wsp:val=&quot;6CBB04A9&quot;/&gt;&lt;wsp:rsid wsp:val=&quot;6CC23287&quot;/&gt;&lt;wsp:rsid wsp:val=&quot;6CF960CB&quot;/&gt;&lt;wsp:rsid wsp:val=&quot;6D1838BB&quot;/&gt;&lt;wsp:rsid wsp:val=&quot;6D280EDC&quot;/&gt;&lt;wsp:rsid wsp:val=&quot;6D3B4701&quot;/&gt;&lt;wsp:rsid wsp:val=&quot;6D3C4865&quot;/&gt;&lt;wsp:rsid wsp:val=&quot;6D484971&quot;/&gt;&lt;wsp:rsid wsp:val=&quot;6D4D4127&quot;/&gt;&lt;wsp:rsid wsp:val=&quot;6D595BBF&quot;/&gt;&lt;wsp:rsid wsp:val=&quot;6DEA05AF&quot;/&gt;&lt;wsp:rsid wsp:val=&quot;6DEB0BCF&quot;/&gt;&lt;wsp:rsid wsp:val=&quot;6E151906&quot;/&gt;&lt;wsp:rsid wsp:val=&quot;6E7C0354&quot;/&gt;&lt;wsp:rsid wsp:val=&quot;6E7C708C&quot;/&gt;&lt;wsp:rsid wsp:val=&quot;6E840DF5&quot;/&gt;&lt;wsp:rsid wsp:val=&quot;6EC546EB&quot;/&gt;&lt;wsp:rsid wsp:val=&quot;6ED64425&quot;/&gt;&lt;wsp:rsid wsp:val=&quot;6EF10745&quot;/&gt;&lt;wsp:rsid wsp:val=&quot;6EF1374A&quot;/&gt;&lt;wsp:rsid wsp:val=&quot;6F21721C&quot;/&gt;&lt;wsp:rsid wsp:val=&quot;6F6D686D&quot;/&gt;&lt;wsp:rsid wsp:val=&quot;6F71035C&quot;/&gt;&lt;wsp:rsid wsp:val=&quot;6F762656&quot;/&gt;&lt;wsp:rsid wsp:val=&quot;6F83400B&quot;/&gt;&lt;wsp:rsid wsp:val=&quot;6F8F31F4&quot;/&gt;&lt;wsp:rsid wsp:val=&quot;6FBE0D36&quot;/&gt;&lt;wsp:rsid wsp:val=&quot;6FBE4A5B&quot;/&gt;&lt;wsp:rsid wsp:val=&quot;6FE17273&quot;/&gt;&lt;wsp:rsid wsp:val=&quot;6FE41CD0&quot;/&gt;&lt;wsp:rsid wsp:val=&quot;6FF2025E&quot;/&gt;&lt;wsp:rsid wsp:val=&quot;6FF9532A&quot;/&gt;&lt;wsp:rsid wsp:val=&quot;702810B6&quot;/&gt;&lt;wsp:rsid wsp:val=&quot;702C3073&quot;/&gt;&lt;wsp:rsid wsp:val=&quot;702E6DD8&quot;/&gt;&lt;wsp:rsid wsp:val=&quot;7036071F&quot;/&gt;&lt;wsp:rsid wsp:val=&quot;703E3A64&quot;/&gt;&lt;wsp:rsid wsp:val=&quot;704120CB&quot;/&gt;&lt;wsp:rsid wsp:val=&quot;704D2B25&quot;/&gt;&lt;wsp:rsid wsp:val=&quot;7053590D&quot;/&gt;&lt;wsp:rsid wsp:val=&quot;70733B86&quot;/&gt;&lt;wsp:rsid wsp:val=&quot;70B35706&quot;/&gt;&lt;wsp:rsid wsp:val=&quot;70C10801&quot;/&gt;&lt;wsp:rsid wsp:val=&quot;70CB49C9&quot;/&gt;&lt;wsp:rsid wsp:val=&quot;70CE11B6&quot;/&gt;&lt;wsp:rsid wsp:val=&quot;70FE52F2&quot;/&gt;&lt;wsp:rsid wsp:val=&quot;70FF3626&quot;/&gt;&lt;wsp:rsid wsp:val=&quot;71421431&quot;/&gt;&lt;wsp:rsid wsp:val=&quot;7161524A&quot;/&gt;&lt;wsp:rsid wsp:val=&quot;71786F7B&quot;/&gt;&lt;wsp:rsid wsp:val=&quot;718A1523&quot;/&gt;&lt;wsp:rsid wsp:val=&quot;71B53056&quot;/&gt;&lt;wsp:rsid wsp:val=&quot;71C76A67&quot;/&gt;&lt;wsp:rsid wsp:val=&quot;71F22688&quot;/&gt;&lt;wsp:rsid wsp:val=&quot;72111974&quot;/&gt;&lt;wsp:rsid wsp:val=&quot;7230104F&quot;/&gt;&lt;wsp:rsid wsp:val=&quot;72353634&quot;/&gt;&lt;wsp:rsid wsp:val=&quot;72597A29&quot;/&gt;&lt;wsp:rsid wsp:val=&quot;725A105E&quot;/&gt;&lt;wsp:rsid wsp:val=&quot;726A08D6&quot;/&gt;&lt;wsp:rsid wsp:val=&quot;72841C5F&quot;/&gt;&lt;wsp:rsid wsp:val=&quot;728B594B&quot;/&gt;&lt;wsp:rsid wsp:val=&quot;72B75429&quot;/&gt;&lt;wsp:rsid wsp:val=&quot;72BA71BC&quot;/&gt;&lt;wsp:rsid wsp:val=&quot;72BF3E4D&quot;/&gt;&lt;wsp:rsid wsp:val=&quot;72CD0D98&quot;/&gt;&lt;wsp:rsid wsp:val=&quot;72E05421&quot;/&gt;&lt;wsp:rsid wsp:val=&quot;72E84E52&quot;/&gt;&lt;wsp:rsid wsp:val=&quot;72F41FCA&quot;/&gt;&lt;wsp:rsid wsp:val=&quot;731C4DAA&quot;/&gt;&lt;wsp:rsid wsp:val=&quot;733937FD&quot;/&gt;&lt;wsp:rsid wsp:val=&quot;73464BAC&quot;/&gt;&lt;wsp:rsid wsp:val=&quot;7357313A&quot;/&gt;&lt;wsp:rsid wsp:val=&quot;735F3CE7&quot;/&gt;&lt;wsp:rsid wsp:val=&quot;73751C90&quot;/&gt;&lt;wsp:rsid wsp:val=&quot;738C4C98&quot;/&gt;&lt;wsp:rsid wsp:val=&quot;738D3233&quot;/&gt;&lt;wsp:rsid wsp:val=&quot;73BB2087&quot;/&gt;&lt;wsp:rsid wsp:val=&quot;73C9322C&quot;/&gt;&lt;wsp:rsid wsp:val=&quot;73D057CC&quot;/&gt;&lt;wsp:rsid wsp:val=&quot;73D40642&quot;/&gt;&lt;wsp:rsid wsp:val=&quot;7433341C&quot;/&gt;&lt;wsp:rsid wsp:val=&quot;743B25E0&quot;/&gt;&lt;wsp:rsid wsp:val=&quot;74501315&quot;/&gt;&lt;wsp:rsid wsp:val=&quot;745032F1&quot;/&gt;&lt;wsp:rsid wsp:val=&quot;74635EDF&quot;/&gt;&lt;wsp:rsid wsp:val=&quot;748129B0&quot;/&gt;&lt;wsp:rsid wsp:val=&quot;74971A01&quot;/&gt;&lt;wsp:rsid wsp:val=&quot;74A4449E&quot;/&gt;&lt;wsp:rsid wsp:val=&quot;74B62955&quot;/&gt;&lt;wsp:rsid wsp:val=&quot;74C2592F&quot;/&gt;&lt;wsp:rsid wsp:val=&quot;74C27966&quot;/&gt;&lt;wsp:rsid wsp:val=&quot;74E811DA&quot;/&gt;&lt;wsp:rsid wsp:val=&quot;74F2321A&quot;/&gt;&lt;wsp:rsid wsp:val=&quot;7502760B&quot;/&gt;&lt;wsp:rsid wsp:val=&quot;750A1664&quot;/&gt;&lt;wsp:rsid wsp:val=&quot;75230514&quot;/&gt;&lt;wsp:rsid wsp:val=&quot;752F2B66&quot;/&gt;&lt;wsp:rsid wsp:val=&quot;753A0189&quot;/&gt;&lt;wsp:rsid wsp:val=&quot;753D271B&quot;/&gt;&lt;wsp:rsid wsp:val=&quot;754A70E4&quot;/&gt;&lt;wsp:rsid wsp:val=&quot;75643DD7&quot;/&gt;&lt;wsp:rsid wsp:val=&quot;756F21E3&quot;/&gt;&lt;wsp:rsid wsp:val=&quot;759D44AE&quot;/&gt;&lt;wsp:rsid wsp:val=&quot;75A05534&quot;/&gt;&lt;wsp:rsid wsp:val=&quot;75C01803&quot;/&gt;&lt;wsp:rsid wsp:val=&quot;75C4466C&quot;/&gt;&lt;wsp:rsid wsp:val=&quot;75E70533&quot;/&gt;&lt;wsp:rsid wsp:val=&quot;75FE28F5&quot;/&gt;&lt;wsp:rsid wsp:val=&quot;761334F2&quot;/&gt;&lt;wsp:rsid wsp:val=&quot;761840A0&quot;/&gt;&lt;wsp:rsid wsp:val=&quot;761D5980&quot;/&gt;&lt;wsp:rsid wsp:val=&quot;763A400B&quot;/&gt;&lt;wsp:rsid wsp:val=&quot;763C6284&quot;/&gt;&lt;wsp:rsid wsp:val=&quot;763F4047&quot;/&gt;&lt;wsp:rsid wsp:val=&quot;7646015A&quot;/&gt;&lt;wsp:rsid wsp:val=&quot;764B5D6E&quot;/&gt;&lt;wsp:rsid wsp:val=&quot;766151C7&quot;/&gt;&lt;wsp:rsid wsp:val=&quot;767C1AC2&quot;/&gt;&lt;wsp:rsid wsp:val=&quot;768C5F53&quot;/&gt;&lt;wsp:rsid wsp:val=&quot;76C631B4&quot;/&gt;&lt;wsp:rsid wsp:val=&quot;76DC4CC6&quot;/&gt;&lt;wsp:rsid wsp:val=&quot;76E60A66&quot;/&gt;&lt;wsp:rsid wsp:val=&quot;7700343E&quot;/&gt;&lt;wsp:rsid wsp:val=&quot;770A2B1C&quot;/&gt;&lt;wsp:rsid wsp:val=&quot;77147B5F&quot;/&gt;&lt;wsp:rsid wsp:val=&quot;77374B8E&quot;/&gt;&lt;wsp:rsid wsp:val=&quot;77501D85&quot;/&gt;&lt;wsp:rsid wsp:val=&quot;775F7AE1&quot;/&gt;&lt;wsp:rsid wsp:val=&quot;776270D4&quot;/&gt;&lt;wsp:rsid wsp:val=&quot;777A5FE9&quot;/&gt;&lt;wsp:rsid wsp:val=&quot;7785795C&quot;/&gt;&lt;wsp:rsid wsp:val=&quot;778E51A6&quot;/&gt;&lt;wsp:rsid wsp:val=&quot;779E6716&quot;/&gt;&lt;wsp:rsid wsp:val=&quot;77A90FB3&quot;/&gt;&lt;wsp:rsid wsp:val=&quot;77BA3971&quot;/&gt;&lt;wsp:rsid wsp:val=&quot;77D64857&quot;/&gt;&lt;wsp:rsid wsp:val=&quot;77D96724&quot;/&gt;&lt;wsp:rsid wsp:val=&quot;78017F77&quot;/&gt;&lt;wsp:rsid wsp:val=&quot;7851034D&quot;/&gt;&lt;wsp:rsid wsp:val=&quot;7877640B&quot;/&gt;&lt;wsp:rsid wsp:val=&quot;787B5394&quot;/&gt;&lt;wsp:rsid wsp:val=&quot;78860C41&quot;/&gt;&lt;wsp:rsid wsp:val=&quot;789D02F7&quot;/&gt;&lt;wsp:rsid wsp:val=&quot;78A221E0&quot;/&gt;&lt;wsp:rsid wsp:val=&quot;78CD15B5&quot;/&gt;&lt;wsp:rsid wsp:val=&quot;78D5459F&quot;/&gt;&lt;wsp:rsid wsp:val=&quot;78DD6192&quot;/&gt;&lt;wsp:rsid wsp:val=&quot;78F01FE6&quot;/&gt;&lt;wsp:rsid wsp:val=&quot;79194B33&quot;/&gt;&lt;wsp:rsid wsp:val=&quot;791F6322&quot;/&gt;&lt;wsp:rsid wsp:val=&quot;792C563A&quot;/&gt;&lt;wsp:rsid wsp:val=&quot;79341852&quot;/&gt;&lt;wsp:rsid wsp:val=&quot;79380549&quot;/&gt;&lt;wsp:rsid wsp:val=&quot;793B206E&quot;/&gt;&lt;wsp:rsid wsp:val=&quot;79552A46&quot;/&gt;&lt;wsp:rsid wsp:val=&quot;796F265C&quot;/&gt;&lt;wsp:rsid wsp:val=&quot;797C1682&quot;/&gt;&lt;wsp:rsid wsp:val=&quot;798D171F&quot;/&gt;&lt;wsp:rsid wsp:val=&quot;79946F00&quot;/&gt;&lt;wsp:rsid wsp:val=&quot;79A1140D&quot;/&gt;&lt;wsp:rsid wsp:val=&quot;79B43848&quot;/&gt;&lt;wsp:rsid wsp:val=&quot;79BE32D6&quot;/&gt;&lt;wsp:rsid wsp:val=&quot;79D63757&quot;/&gt;&lt;wsp:rsid wsp:val=&quot;79ED082A&quot;/&gt;&lt;wsp:rsid wsp:val=&quot;7A2920D3&quot;/&gt;&lt;wsp:rsid wsp:val=&quot;7A374FF6&quot;/&gt;&lt;wsp:rsid wsp:val=&quot;7A4E7B54&quot;/&gt;&lt;wsp:rsid wsp:val=&quot;7A592701&quot;/&gt;&lt;wsp:rsid wsp:val=&quot;7AAD64AC&quot;/&gt;&lt;wsp:rsid wsp:val=&quot;7B1D3658&quot;/&gt;&lt;wsp:rsid wsp:val=&quot;7B21328C&quot;/&gt;&lt;wsp:rsid wsp:val=&quot;7B254E2F&quot;/&gt;&lt;wsp:rsid wsp:val=&quot;7B287521&quot;/&gt;&lt;wsp:rsid wsp:val=&quot;7B4B1A98&quot;/&gt;&lt;wsp:rsid wsp:val=&quot;7B6739B1&quot;/&gt;&lt;wsp:rsid wsp:val=&quot;7B7B6496&quot;/&gt;&lt;wsp:rsid wsp:val=&quot;7BAC71CB&quot;/&gt;&lt;wsp:rsid wsp:val=&quot;7BB1041A&quot;/&gt;&lt;wsp:rsid wsp:val=&quot;7BB32D4A&quot;/&gt;&lt;wsp:rsid wsp:val=&quot;7BC5661E&quot;/&gt;&lt;wsp:rsid wsp:val=&quot;7BC90C8C&quot;/&gt;&lt;wsp:rsid wsp:val=&quot;7BD90FB6&quot;/&gt;&lt;wsp:rsid wsp:val=&quot;7C0F6E04&quot;/&gt;&lt;wsp:rsid wsp:val=&quot;7C1D2285&quot;/&gt;&lt;wsp:rsid wsp:val=&quot;7C1E6B1F&quot;/&gt;&lt;wsp:rsid wsp:val=&quot;7C2E1862&quot;/&gt;&lt;wsp:rsid wsp:val=&quot;7C5311F2&quot;/&gt;&lt;wsp:rsid wsp:val=&quot;7C8D4941&quot;/&gt;&lt;wsp:rsid wsp:val=&quot;7CA6590D&quot;/&gt;&lt;wsp:rsid wsp:val=&quot;7CB97BE8&quot;/&gt;&lt;wsp:rsid wsp:val=&quot;7CBB01E8&quot;/&gt;&lt;wsp:rsid wsp:val=&quot;7CBB0C3A&quot;/&gt;&lt;wsp:rsid wsp:val=&quot;7CC2482C&quot;/&gt;&lt;wsp:rsid wsp:val=&quot;7CCC56E8&quot;/&gt;&lt;wsp:rsid wsp:val=&quot;7CCD3BD3&quot;/&gt;&lt;wsp:rsid wsp:val=&quot;7CF95475&quot;/&gt;&lt;wsp:rsid wsp:val=&quot;7D111731&quot;/&gt;&lt;wsp:rsid wsp:val=&quot;7D397EA2&quot;/&gt;&lt;wsp:rsid wsp:val=&quot;7D500432&quot;/&gt;&lt;wsp:rsid wsp:val=&quot;7D605858&quot;/&gt;&lt;wsp:rsid wsp:val=&quot;7D723EBE&quot;/&gt;&lt;wsp:rsid wsp:val=&quot;7D781227&quot;/&gt;&lt;wsp:rsid wsp:val=&quot;7D877D43&quot;/&gt;&lt;wsp:rsid wsp:val=&quot;7D9A6DC0&quot;/&gt;&lt;wsp:rsid wsp:val=&quot;7DB36B97&quot;/&gt;&lt;wsp:rsid wsp:val=&quot;7DC703D9&quot;/&gt;&lt;wsp:rsid wsp:val=&quot;7DDB7DE7&quot;/&gt;&lt;wsp:rsid wsp:val=&quot;7DF4777E&quot;/&gt;&lt;wsp:rsid wsp:val=&quot;7DF876D3&quot;/&gt;&lt;wsp:rsid wsp:val=&quot;7DFE398D&quot;/&gt;&lt;wsp:rsid wsp:val=&quot;7E04242A&quot;/&gt;&lt;wsp:rsid wsp:val=&quot;7E0F558E&quot;/&gt;&lt;wsp:rsid wsp:val=&quot;7E351E0B&quot;/&gt;&lt;wsp:rsid wsp:val=&quot;7E673375&quot;/&gt;&lt;wsp:rsid wsp:val=&quot;7E740161&quot;/&gt;&lt;wsp:rsid wsp:val=&quot;7E7E0887&quot;/&gt;&lt;wsp:rsid wsp:val=&quot;7E8C7AAD&quot;/&gt;&lt;wsp:rsid wsp:val=&quot;7E8E54A5&quot;/&gt;&lt;wsp:rsid wsp:val=&quot;7EA06031&quot;/&gt;&lt;wsp:rsid wsp:val=&quot;7EC160B2&quot;/&gt;&lt;wsp:rsid wsp:val=&quot;7EE25C84&quot;/&gt;&lt;wsp:rsid wsp:val=&quot;7F1C0E2F&quot;/&gt;&lt;wsp:rsid wsp:val=&quot;7F545919&quot;/&gt;&lt;wsp:rsid wsp:val=&quot;7FA06728&quot;/&gt;&lt;wsp:rsid wsp:val=&quot;7FB56836&quot;/&gt;&lt;wsp:rsid wsp:val=&quot;7FF24FD3&quot;/&gt;&lt;wsp:rsid wsp:val=&quot;7FFB3DE3&quot;/&gt;&lt;/wsp:rsids&gt;&lt;/w:docPr&gt;&lt;w:body&gt;&lt;w:p wsp:rsidR=&quot;00000000&quot; wsp:rsidRDefault=&quot;004E680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18" chromakey="#FFFFFF" o:title=""/>
                  <o:lock v:ext="edit" aspectratio="t"/>
                  <w10:wrap type="none"/>
                  <w10:anchorlock/>
                </v:shape>
              </w:pict>
            </w:r>
            <w:r>
              <w:rPr>
                <w:rFonts w:ascii="Times New Roman" w:hAnsi="Times New Roman" w:eastAsia="宋体" w:cs="Times New Roman"/>
                <w:color w:val="000000"/>
                <w:sz w:val="24"/>
                <w:szCs w:val="24"/>
              </w:rPr>
              <w:fldChar w:fldCharType="end"/>
            </w:r>
            <w:r>
              <w:rPr>
                <w:rFonts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rPr>
              <w:t>第</w:t>
            </w:r>
            <w:r>
              <w:rPr>
                <w:rFonts w:ascii="Times New Roman" w:hAnsi="Times New Roman" w:eastAsia="宋体" w:cs="Times New Roman"/>
                <w:color w:val="000000"/>
                <w:sz w:val="24"/>
                <w:szCs w:val="24"/>
              </w:rPr>
              <w:t>i</w:t>
            </w:r>
            <w:r>
              <w:rPr>
                <w:rFonts w:hint="eastAsia" w:ascii="Times New Roman" w:hAnsi="Times New Roman" w:eastAsia="宋体" w:cs="Times New Roman"/>
                <w:color w:val="000000"/>
                <w:sz w:val="24"/>
                <w:szCs w:val="24"/>
              </w:rPr>
              <w:t>个污染物的最大地面空气质量浓度</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占标率，</w:t>
            </w:r>
            <w:r>
              <w:rPr>
                <w:rFonts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rPr>
              <w:t>；</w:t>
            </w:r>
          </w:p>
          <w:p>
            <w:pPr>
              <w:spacing w:line="460" w:lineRule="exact"/>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fldChar w:fldCharType="begin"/>
            </w:r>
            <w:r>
              <w:rPr>
                <w:rFonts w:ascii="Times New Roman" w:hAnsi="Times New Roman" w:eastAsia="宋体" w:cs="Times New Roman"/>
                <w:color w:val="000000"/>
                <w:sz w:val="24"/>
                <w:szCs w:val="24"/>
              </w:rPr>
              <w:instrText xml:space="preserve"> QUOTE </w:instrText>
            </w:r>
            <w:r>
              <w:rPr>
                <w:rFonts w:ascii="Times New Roman" w:hAnsi="Times New Roman" w:eastAsia="宋体" w:cs="Times New Roman"/>
                <w:color w:val="000000"/>
                <w:position w:val="-15"/>
                <w:sz w:val="24"/>
                <w:szCs w:val="24"/>
              </w:rPr>
              <w:pict>
                <v:shape id="_x0000_i1028" o:spt="75" type="#_x0000_t75" style="height:23.25pt;width:10.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20&quot;/&gt;&lt;w:drawingGridVerticalSpacing w:val=&quot;163&quot;/&gt;&lt;w:displayHorizontalDrawingGridEvery w:val=&quot;2&quot;/&gt;&lt;w:displayVerticalDrawingGridEvery w:val=&quot;2&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7799&quot;/&gt;&lt;wsp:rsid wsp:val=&quot;0003220E&quot;/&gt;&lt;wsp:rsid wsp:val=&quot;00041FC6&quot;/&gt;&lt;wsp:rsid wsp:val=&quot;0005182A&quot;/&gt;&lt;wsp:rsid wsp:val=&quot;00055174&quot;/&gt;&lt;wsp:rsid wsp:val=&quot;00064C91&quot;/&gt;&lt;wsp:rsid wsp:val=&quot;00085AE3&quot;/&gt;&lt;wsp:rsid wsp:val=&quot;00087D37&quot;/&gt;&lt;wsp:rsid wsp:val=&quot;000925F7&quot;/&gt;&lt;wsp:rsid wsp:val=&quot;00096B01&quot;/&gt;&lt;wsp:rsid wsp:val=&quot;000A5613&quot;/&gt;&lt;wsp:rsid wsp:val=&quot;00110596&quot;/&gt;&lt;wsp:rsid wsp:val=&quot;00125609&quot;/&gt;&lt;wsp:rsid wsp:val=&quot;00132FAD&quot;/&gt;&lt;wsp:rsid wsp:val=&quot;001400CC&quot;/&gt;&lt;wsp:rsid wsp:val=&quot;00143CEA&quot;/&gt;&lt;wsp:rsid wsp:val=&quot;00172A27&quot;/&gt;&lt;wsp:rsid wsp:val=&quot;00177A49&quot;/&gt;&lt;wsp:rsid wsp:val=&quot;001926F2&quot;/&gt;&lt;wsp:rsid wsp:val=&quot;001B66BF&quot;/&gt;&lt;wsp:rsid wsp:val=&quot;001C2BD6&quot;/&gt;&lt;wsp:rsid wsp:val=&quot;001C5F3A&quot;/&gt;&lt;wsp:rsid wsp:val=&quot;001D1D04&quot;/&gt;&lt;wsp:rsid wsp:val=&quot;001F4C9A&quot;/&gt;&lt;wsp:rsid wsp:val=&quot;00203AC0&quot;/&gt;&lt;wsp:rsid wsp:val=&quot;00236A52&quot;/&gt;&lt;wsp:rsid wsp:val=&quot;00266BC0&quot;/&gt;&lt;wsp:rsid wsp:val=&quot;00284F82&quot;/&gt;&lt;wsp:rsid wsp:val=&quot;00290962&quot;/&gt;&lt;wsp:rsid wsp:val=&quot;002914D7&quot;/&gt;&lt;wsp:rsid wsp:val=&quot;002A2E8C&quot;/&gt;&lt;wsp:rsid wsp:val=&quot;002D00AD&quot;/&gt;&lt;wsp:rsid wsp:val=&quot;00325CF4&quot;/&gt;&lt;wsp:rsid wsp:val=&quot;00332EC7&quot;/&gt;&lt;wsp:rsid wsp:val=&quot;00342E2A&quot;/&gt;&lt;wsp:rsid wsp:val=&quot;00384BE1&quot;/&gt;&lt;wsp:rsid wsp:val=&quot;00385D08&quot;/&gt;&lt;wsp:rsid wsp:val=&quot;003912CE&quot;/&gt;&lt;wsp:rsid wsp:val=&quot;00391FF3&quot;/&gt;&lt;wsp:rsid wsp:val=&quot;003A2A37&quot;/&gt;&lt;wsp:rsid wsp:val=&quot;003C5A93&quot;/&gt;&lt;wsp:rsid wsp:val=&quot;003D3AD3&quot;/&gt;&lt;wsp:rsid wsp:val=&quot;003F2C2E&quot;/&gt;&lt;wsp:rsid wsp:val=&quot;0040616E&quot;/&gt;&lt;wsp:rsid wsp:val=&quot;0044301E&quot;/&gt;&lt;wsp:rsid wsp:val=&quot;00446169&quot;/&gt;&lt;wsp:rsid wsp:val=&quot;00447EEC&quot;/&gt;&lt;wsp:rsid wsp:val=&quot;00465DF1&quot;/&gt;&lt;wsp:rsid wsp:val=&quot;00476680&quot;/&gt;&lt;wsp:rsid wsp:val=&quot;004C1271&quot;/&gt;&lt;wsp:rsid wsp:val=&quot;004E7680&quot;/&gt;&lt;wsp:rsid wsp:val=&quot;004E7A9C&quot;/&gt;&lt;wsp:rsid wsp:val=&quot;004F232C&quot;/&gt;&lt;wsp:rsid wsp:val=&quot;004F7FF9&quot;/&gt;&lt;wsp:rsid wsp:val=&quot;00500413&quot;/&gt;&lt;wsp:rsid wsp:val=&quot;00511D8F&quot;/&gt;&lt;wsp:rsid wsp:val=&quot;005140F2&quot;/&gt;&lt;wsp:rsid wsp:val=&quot;00536147&quot;/&gt;&lt;wsp:rsid wsp:val=&quot;00583612&quot;/&gt;&lt;wsp:rsid wsp:val=&quot;005A0F3F&quot;/&gt;&lt;wsp:rsid wsp:val=&quot;005A72D5&quot;/&gt;&lt;wsp:rsid wsp:val=&quot;005C3305&quot;/&gt;&lt;wsp:rsid wsp:val=&quot;005D42EF&quot;/&gt;&lt;wsp:rsid wsp:val=&quot;005E0F98&quot;/&gt;&lt;wsp:rsid wsp:val=&quot;005E11F9&quot;/&gt;&lt;wsp:rsid wsp:val=&quot;005F0BF5&quot;/&gt;&lt;wsp:rsid wsp:val=&quot;005F7CE0&quot;/&gt;&lt;wsp:rsid wsp:val=&quot;00606A27&quot;/&gt;&lt;wsp:rsid wsp:val=&quot;00625580&quot;/&gt;&lt;wsp:rsid wsp:val=&quot;00627FD1&quot;/&gt;&lt;wsp:rsid wsp:val=&quot;006374BE&quot;/&gt;&lt;wsp:rsid wsp:val=&quot;00642551&quot;/&gt;&lt;wsp:rsid wsp:val=&quot;006471C6&quot;/&gt;&lt;wsp:rsid wsp:val=&quot;006627A4&quot;/&gt;&lt;wsp:rsid wsp:val=&quot;006713C0&quot;/&gt;&lt;wsp:rsid wsp:val=&quot;0068594A&quot;/&gt;&lt;wsp:rsid wsp:val=&quot;006A4BCE&quot;/&gt;&lt;wsp:rsid wsp:val=&quot;006C5708&quot;/&gt;&lt;wsp:rsid wsp:val=&quot;006D418C&quot;/&gt;&lt;wsp:rsid wsp:val=&quot;006E4591&quot;/&gt;&lt;wsp:rsid wsp:val=&quot;00713C20&quot;/&gt;&lt;wsp:rsid wsp:val=&quot;00747650&quot;/&gt;&lt;wsp:rsid wsp:val=&quot;007534EB&quot;/&gt;&lt;wsp:rsid wsp:val=&quot;00755BD8&quot;/&gt;&lt;wsp:rsid wsp:val=&quot;00762B98&quot;/&gt;&lt;wsp:rsid wsp:val=&quot;007842C1&quot;/&gt;&lt;wsp:rsid wsp:val=&quot;0079019A&quot;/&gt;&lt;wsp:rsid wsp:val=&quot;007930E9&quot;/&gt;&lt;wsp:rsid wsp:val=&quot;007B3419&quot;/&gt;&lt;wsp:rsid wsp:val=&quot;007B793E&quot;/&gt;&lt;wsp:rsid wsp:val=&quot;007D1D1D&quot;/&gt;&lt;wsp:rsid wsp:val=&quot;007D21B8&quot;/&gt;&lt;wsp:rsid wsp:val=&quot;007E4B38&quot;/&gt;&lt;wsp:rsid wsp:val=&quot;007F624B&quot;/&gt;&lt;wsp:rsid wsp:val=&quot;007F7F6F&quot;/&gt;&lt;wsp:rsid wsp:val=&quot;0080023B&quot;/&gt;&lt;wsp:rsid wsp:val=&quot;00802344&quot;/&gt;&lt;wsp:rsid wsp:val=&quot;00810AE7&quot;/&gt;&lt;wsp:rsid wsp:val=&quot;008206E3&quot;/&gt;&lt;wsp:rsid wsp:val=&quot;00833F3E&quot;/&gt;&lt;wsp:rsid wsp:val=&quot;00847374&quot;/&gt;&lt;wsp:rsid wsp:val=&quot;00854BB1&quot;/&gt;&lt;wsp:rsid wsp:val=&quot;00880750&quot;/&gt;&lt;wsp:rsid wsp:val=&quot;00881DC4&quot;/&gt;&lt;wsp:rsid wsp:val=&quot;00885D1B&quot;/&gt;&lt;wsp:rsid wsp:val=&quot;008A3849&quot;/&gt;&lt;wsp:rsid wsp:val=&quot;008D3E46&quot;/&gt;&lt;wsp:rsid wsp:val=&quot;008D6872&quot;/&gt;&lt;wsp:rsid wsp:val=&quot;008E17C5&quot;/&gt;&lt;wsp:rsid wsp:val=&quot;008F34D6&quot;/&gt;&lt;wsp:rsid wsp:val=&quot;00911C51&quot;/&gt;&lt;wsp:rsid wsp:val=&quot;00942A8D&quot;/&gt;&lt;wsp:rsid wsp:val=&quot;00951BCD&quot;/&gt;&lt;wsp:rsid wsp:val=&quot;009675BA&quot;/&gt;&lt;wsp:rsid wsp:val=&quot;00977DC6&quot;/&gt;&lt;wsp:rsid wsp:val=&quot;00994AE4&quot;/&gt;&lt;wsp:rsid wsp:val=&quot;009B4FE5&quot;/&gt;&lt;wsp:rsid wsp:val=&quot;009D2E29&quot;/&gt;&lt;wsp:rsid wsp:val=&quot;009E7FAC&quot;/&gt;&lt;wsp:rsid wsp:val=&quot;00A0747A&quot;/&gt;&lt;wsp:rsid wsp:val=&quot;00A14031&quot;/&gt;&lt;wsp:rsid wsp:val=&quot;00A17E8D&quot;/&gt;&lt;wsp:rsid wsp:val=&quot;00A24EC6&quot;/&gt;&lt;wsp:rsid wsp:val=&quot;00A25907&quot;/&gt;&lt;wsp:rsid wsp:val=&quot;00A27198&quot;/&gt;&lt;wsp:rsid wsp:val=&quot;00A6478A&quot;/&gt;&lt;wsp:rsid wsp:val=&quot;00A72BE0&quot;/&gt;&lt;wsp:rsid wsp:val=&quot;00A75690&quot;/&gt;&lt;wsp:rsid wsp:val=&quot;00A956A8&quot;/&gt;&lt;wsp:rsid wsp:val=&quot;00AE7D56&quot;/&gt;&lt;wsp:rsid wsp:val=&quot;00AF5D5A&quot;/&gt;&lt;wsp:rsid wsp:val=&quot;00B6067F&quot;/&gt;&lt;wsp:rsid wsp:val=&quot;00B71148&quot;/&gt;&lt;wsp:rsid wsp:val=&quot;00B729C9&quot;/&gt;&lt;wsp:rsid wsp:val=&quot;00B772AB&quot;/&gt;&lt;wsp:rsid wsp:val=&quot;00BA34CB&quot;/&gt;&lt;wsp:rsid wsp:val=&quot;00BB04F5&quot;/&gt;&lt;wsp:rsid wsp:val=&quot;00BD2343&quot;/&gt;&lt;wsp:rsid wsp:val=&quot;00BE3470&quot;/&gt;&lt;wsp:rsid wsp:val=&quot;00BE3DDD&quot;/&gt;&lt;wsp:rsid wsp:val=&quot;00BE46E2&quot;/&gt;&lt;wsp:rsid wsp:val=&quot;00BF3138&quot;/&gt;&lt;wsp:rsid wsp:val=&quot;00C01E6E&quot;/&gt;&lt;wsp:rsid wsp:val=&quot;00C04A83&quot;/&gt;&lt;wsp:rsid wsp:val=&quot;00C164C9&quot;/&gt;&lt;wsp:rsid wsp:val=&quot;00C335F1&quot;/&gt;&lt;wsp:rsid wsp:val=&quot;00C572D1&quot;/&gt;&lt;wsp:rsid wsp:val=&quot;00C64B1D&quot;/&gt;&lt;wsp:rsid wsp:val=&quot;00C76A85&quot;/&gt;&lt;wsp:rsid wsp:val=&quot;00C9712C&quot;/&gt;&lt;wsp:rsid wsp:val=&quot;00CA702E&quot;/&gt;&lt;wsp:rsid wsp:val=&quot;00CC0E30&quot;/&gt;&lt;wsp:rsid wsp:val=&quot;00CC6F9A&quot;/&gt;&lt;wsp:rsid wsp:val=&quot;00CE3DBA&quot;/&gt;&lt;wsp:rsid wsp:val=&quot;00CF2C88&quot;/&gt;&lt;wsp:rsid wsp:val=&quot;00D301CA&quot;/&gt;&lt;wsp:rsid wsp:val=&quot;00D43350&quot;/&gt;&lt;wsp:rsid wsp:val=&quot;00D70EF4&quot;/&gt;&lt;wsp:rsid wsp:val=&quot;00D8025C&quot;/&gt;&lt;wsp:rsid wsp:val=&quot;00D85C3B&quot;/&gt;&lt;wsp:rsid wsp:val=&quot;00D85FB4&quot;/&gt;&lt;wsp:rsid wsp:val=&quot;00DC58DD&quot;/&gt;&lt;wsp:rsid wsp:val=&quot;00DD4D11&quot;/&gt;&lt;wsp:rsid wsp:val=&quot;00E07445&quot;/&gt;&lt;wsp:rsid wsp:val=&quot;00E100D0&quot;/&gt;&lt;wsp:rsid wsp:val=&quot;00E31A2C&quot;/&gt;&lt;wsp:rsid wsp:val=&quot;00E33D25&quot;/&gt;&lt;wsp:rsid wsp:val=&quot;00E51F0F&quot;/&gt;&lt;wsp:rsid wsp:val=&quot;00E62292&quot;/&gt;&lt;wsp:rsid wsp:val=&quot;00E92378&quot;/&gt;&lt;wsp:rsid wsp:val=&quot;00EA1A89&quot;/&gt;&lt;wsp:rsid wsp:val=&quot;00EA3325&quot;/&gt;&lt;wsp:rsid wsp:val=&quot;00EA3589&quot;/&gt;&lt;wsp:rsid wsp:val=&quot;00EC2BDA&quot;/&gt;&lt;wsp:rsid wsp:val=&quot;00ED35C7&quot;/&gt;&lt;wsp:rsid wsp:val=&quot;00ED42B6&quot;/&gt;&lt;wsp:rsid wsp:val=&quot;00EE32AF&quot;/&gt;&lt;wsp:rsid wsp:val=&quot;00EE5253&quot;/&gt;&lt;wsp:rsid wsp:val=&quot;00F104D1&quot;/&gt;&lt;wsp:rsid wsp:val=&quot;00F2677F&quot;/&gt;&lt;wsp:rsid wsp:val=&quot;00F33270&quot;/&gt;&lt;wsp:rsid wsp:val=&quot;00F4011F&quot;/&gt;&lt;wsp:rsid wsp:val=&quot;00F44CB1&quot;/&gt;&lt;wsp:rsid wsp:val=&quot;00F44EDE&quot;/&gt;&lt;wsp:rsid wsp:val=&quot;00F622A0&quot;/&gt;&lt;wsp:rsid wsp:val=&quot;00F75CF1&quot;/&gt;&lt;wsp:rsid wsp:val=&quot;00F82078&quot;/&gt;&lt;wsp:rsid wsp:val=&quot;00FC25BE&quot;/&gt;&lt;wsp:rsid wsp:val=&quot;00FF7FCC&quot;/&gt;&lt;wsp:rsid wsp:val=&quot;0103434B&quot;/&gt;&lt;wsp:rsid wsp:val=&quot;01253230&quot;/&gt;&lt;wsp:rsid wsp:val=&quot;01426AEA&quot;/&gt;&lt;wsp:rsid wsp:val=&quot;01455E23&quot;/&gt;&lt;wsp:rsid wsp:val=&quot;014C2352&quot;/&gt;&lt;wsp:rsid wsp:val=&quot;015B4BE0&quot;/&gt;&lt;wsp:rsid wsp:val=&quot;01747637&quot;/&gt;&lt;wsp:rsid wsp:val=&quot;01781E17&quot;/&gt;&lt;wsp:rsid wsp:val=&quot;01992DF2&quot;/&gt;&lt;wsp:rsid wsp:val=&quot;01C90B3E&quot;/&gt;&lt;wsp:rsid wsp:val=&quot;01E64538&quot;/&gt;&lt;wsp:rsid wsp:val=&quot;01E976C2&quot;/&gt;&lt;wsp:rsid wsp:val=&quot;01EC0A3E&quot;/&gt;&lt;wsp:rsid wsp:val=&quot;01F56E1D&quot;/&gt;&lt;wsp:rsid wsp:val=&quot;020557CF&quot;/&gt;&lt;wsp:rsid wsp:val=&quot;02254DFB&quot;/&gt;&lt;wsp:rsid wsp:val=&quot;02286248&quot;/&gt;&lt;wsp:rsid wsp:val=&quot;022C5747&quot;/&gt;&lt;wsp:rsid wsp:val=&quot;027D0BC3&quot;/&gt;&lt;wsp:rsid wsp:val=&quot;028A10E9&quot;/&gt;&lt;wsp:rsid wsp:val=&quot;02C65A23&quot;/&gt;&lt;wsp:rsid wsp:val=&quot;02D26338&quot;/&gt;&lt;wsp:rsid wsp:val=&quot;02F94132&quot;/&gt;&lt;wsp:rsid wsp:val=&quot;03064C46&quot;/&gt;&lt;wsp:rsid wsp:val=&quot;030832E0&quot;/&gt;&lt;wsp:rsid wsp:val=&quot;031814B1&quot;/&gt;&lt;wsp:rsid wsp:val=&quot;0319633C&quot;/&gt;&lt;wsp:rsid wsp:val=&quot;034E01D8&quot;/&gt;&lt;wsp:rsid wsp:val=&quot;035173AC&quot;/&gt;&lt;wsp:rsid wsp:val=&quot;035464C7&quot;/&gt;&lt;wsp:rsid wsp:val=&quot;035723C9&quot;/&gt;&lt;wsp:rsid wsp:val=&quot;035C45EC&quot;/&gt;&lt;wsp:rsid wsp:val=&quot;0361208F&quot;/&gt;&lt;wsp:rsid wsp:val=&quot;036B692E&quot;/&gt;&lt;wsp:rsid wsp:val=&quot;039061B5&quot;/&gt;&lt;wsp:rsid wsp:val=&quot;03A032E0&quot;/&gt;&lt;wsp:rsid wsp:val=&quot;03BC1713&quot;/&gt;&lt;wsp:rsid wsp:val=&quot;03CD5519&quot;/&gt;&lt;wsp:rsid wsp:val=&quot;03CF0B53&quot;/&gt;&lt;wsp:rsid wsp:val=&quot;03DF2D5F&quot;/&gt;&lt;wsp:rsid wsp:val=&quot;0406184B&quot;/&gt;&lt;wsp:rsid wsp:val=&quot;042A297F&quot;/&gt;&lt;wsp:rsid wsp:val=&quot;04301080&quot;/&gt;&lt;wsp:rsid wsp:val=&quot;043054B0&quot;/&gt;&lt;wsp:rsid wsp:val=&quot;043704B9&quot;/&gt;&lt;wsp:rsid wsp:val=&quot;043C1DED&quot;/&gt;&lt;wsp:rsid wsp:val=&quot;045F5C25&quot;/&gt;&lt;wsp:rsid wsp:val=&quot;046A41ED&quot;/&gt;&lt;wsp:rsid wsp:val=&quot;04790465&quot;/&gt;&lt;wsp:rsid wsp:val=&quot;04865A35&quot;/&gt;&lt;wsp:rsid wsp:val=&quot;049C43C2&quot;/&gt;&lt;wsp:rsid wsp:val=&quot;04B108A3&quot;/&gt;&lt;wsp:rsid wsp:val=&quot;04CF7070&quot;/&gt;&lt;wsp:rsid wsp:val=&quot;04D467FB&quot;/&gt;&lt;wsp:rsid wsp:val=&quot;04E961EB&quot;/&gt;&lt;wsp:rsid wsp:val=&quot;04F74491&quot;/&gt;&lt;wsp:rsid wsp:val=&quot;04FD67E9&quot;/&gt;&lt;wsp:rsid wsp:val=&quot;051A37A4&quot;/&gt;&lt;wsp:rsid wsp:val=&quot;0534279B&quot;/&gt;&lt;wsp:rsid wsp:val=&quot;0578543F&quot;/&gt;&lt;wsp:rsid wsp:val=&quot;059751B2&quot;/&gt;&lt;wsp:rsid wsp:val=&quot;05DD046E&quot;/&gt;&lt;wsp:rsid wsp:val=&quot;05F6233E&quot;/&gt;&lt;wsp:rsid wsp:val=&quot;06001288&quot;/&gt;&lt;wsp:rsid wsp:val=&quot;060507E5&quot;/&gt;&lt;wsp:rsid wsp:val=&quot;061435E8&quot;/&gt;&lt;wsp:rsid wsp:val=&quot;0632638E&quot;/&gt;&lt;wsp:rsid wsp:val=&quot;065705A3&quot;/&gt;&lt;wsp:rsid wsp:val=&quot;065B310D&quot;/&gt;&lt;wsp:rsid wsp:val=&quot;06624D87&quot;/&gt;&lt;wsp:rsid wsp:val=&quot;06833976&quot;/&gt;&lt;wsp:rsid wsp:val=&quot;0692592D&quot;/&gt;&lt;wsp:rsid wsp:val=&quot;069B500E&quot;/&gt;&lt;wsp:rsid wsp:val=&quot;06A7622B&quot;/&gt;&lt;wsp:rsid wsp:val=&quot;06EF5BA1&quot;/&gt;&lt;wsp:rsid wsp:val=&quot;07045B89&quot;/&gt;&lt;wsp:rsid wsp:val=&quot;070E1A61&quot;/&gt;&lt;wsp:rsid wsp:val=&quot;072948AA&quot;/&gt;&lt;wsp:rsid wsp:val=&quot;073E608F&quot;/&gt;&lt;wsp:rsid wsp:val=&quot;077F37B5&quot;/&gt;&lt;wsp:rsid wsp:val=&quot;07A67F78&quot;/&gt;&lt;wsp:rsid wsp:val=&quot;07C9055F&quot;/&gt;&lt;wsp:rsid wsp:val=&quot;07D730E2&quot;/&gt;&lt;wsp:rsid wsp:val=&quot;07DF598A&quot;/&gt;&lt;wsp:rsid wsp:val=&quot;07E92CE3&quot;/&gt;&lt;wsp:rsid wsp:val=&quot;08167D1F&quot;/&gt;&lt;wsp:rsid wsp:val=&quot;08251774&quot;/&gt;&lt;wsp:rsid wsp:val=&quot;084C407C&quot;/&gt;&lt;wsp:rsid wsp:val=&quot;085619F1&quot;/&gt;&lt;wsp:rsid wsp:val=&quot;08A5021A&quot;/&gt;&lt;wsp:rsid wsp:val=&quot;08A92F74&quot;/&gt;&lt;wsp:rsid wsp:val=&quot;08AA53C2&quot;/&gt;&lt;wsp:rsid wsp:val=&quot;091571A1&quot;/&gt;&lt;wsp:rsid wsp:val=&quot;092C337E&quot;/&gt;&lt;wsp:rsid wsp:val=&quot;09624D89&quot;/&gt;&lt;wsp:rsid wsp:val=&quot;09715EDE&quot;/&gt;&lt;wsp:rsid wsp:val=&quot;09745559&quot;/&gt;&lt;wsp:rsid wsp:val=&quot;098348BB&quot;/&gt;&lt;wsp:rsid wsp:val=&quot;098521BC&quot;/&gt;&lt;wsp:rsid wsp:val=&quot;098F180D&quot;/&gt;&lt;wsp:rsid wsp:val=&quot;09B86DD8&quot;/&gt;&lt;wsp:rsid wsp:val=&quot;09CB0BE6&quot;/&gt;&lt;wsp:rsid wsp:val=&quot;09D30D74&quot;/&gt;&lt;wsp:rsid wsp:val=&quot;0A005396&quot;/&gt;&lt;wsp:rsid wsp:val=&quot;0A06731D&quot;/&gt;&lt;wsp:rsid wsp:val=&quot;0A0929B7&quot;/&gt;&lt;wsp:rsid wsp:val=&quot;0A0A71C2&quot;/&gt;&lt;wsp:rsid wsp:val=&quot;0A1512F2&quot;/&gt;&lt;wsp:rsid wsp:val=&quot;0A3965FA&quot;/&gt;&lt;wsp:rsid wsp:val=&quot;0A3B6D46&quot;/&gt;&lt;wsp:rsid wsp:val=&quot;0A421131&quot;/&gt;&lt;wsp:rsid wsp:val=&quot;0A432CAD&quot;/&gt;&lt;wsp:rsid wsp:val=&quot;0A4D7104&quot;/&gt;&lt;wsp:rsid wsp:val=&quot;0A5907FD&quot;/&gt;&lt;wsp:rsid wsp:val=&quot;0A5F4FDC&quot;/&gt;&lt;wsp:rsid wsp:val=&quot;0A7601EE&quot;/&gt;&lt;wsp:rsid wsp:val=&quot;0A956BBE&quot;/&gt;&lt;wsp:rsid wsp:val=&quot;0A965875&quot;/&gt;&lt;wsp:rsid wsp:val=&quot;0A9E7959&quot;/&gt;&lt;wsp:rsid wsp:val=&quot;0AF42CE3&quot;/&gt;&lt;wsp:rsid wsp:val=&quot;0B3D1CB6&quot;/&gt;&lt;wsp:rsid wsp:val=&quot;0B7C1ADB&quot;/&gt;&lt;wsp:rsid wsp:val=&quot;0B8F635E&quot;/&gt;&lt;wsp:rsid wsp:val=&quot;0B8F714B&quot;/&gt;&lt;wsp:rsid wsp:val=&quot;0B906419&quot;/&gt;&lt;wsp:rsid wsp:val=&quot;0BA80E71&quot;/&gt;&lt;wsp:rsid wsp:val=&quot;0BB134E6&quot;/&gt;&lt;wsp:rsid wsp:val=&quot;0BCA20D6&quot;/&gt;&lt;wsp:rsid wsp:val=&quot;0BCC1E8C&quot;/&gt;&lt;wsp:rsid wsp:val=&quot;0BD17169&quot;/&gt;&lt;wsp:rsid wsp:val=&quot;0C294FA6&quot;/&gt;&lt;wsp:rsid wsp:val=&quot;0C450190&quot;/&gt;&lt;wsp:rsid wsp:val=&quot;0C77661E&quot;/&gt;&lt;wsp:rsid wsp:val=&quot;0C7942B2&quot;/&gt;&lt;wsp:rsid wsp:val=&quot;0C797972&quot;/&gt;&lt;wsp:rsid wsp:val=&quot;0C7A2689&quot;/&gt;&lt;wsp:rsid wsp:val=&quot;0C7C6C01&quot;/&gt;&lt;wsp:rsid wsp:val=&quot;0C813314&quot;/&gt;&lt;wsp:rsid wsp:val=&quot;0C843F25&quot;/&gt;&lt;wsp:rsid wsp:val=&quot;0C9F2A76&quot;/&gt;&lt;wsp:rsid wsp:val=&quot;0CAB2232&quot;/&gt;&lt;wsp:rsid wsp:val=&quot;0CB03390&quot;/&gt;&lt;wsp:rsid wsp:val=&quot;0CB75961&quot;/&gt;&lt;wsp:rsid wsp:val=&quot;0CBF45B4&quot;/&gt;&lt;wsp:rsid wsp:val=&quot;0CC87762&quot;/&gt;&lt;wsp:rsid wsp:val=&quot;0CCB2113&quot;/&gt;&lt;wsp:rsid wsp:val=&quot;0CD8682A&quot;/&gt;&lt;wsp:rsid wsp:val=&quot;0CE27989&quot;/&gt;&lt;wsp:rsid wsp:val=&quot;0D013923&quot;/&gt;&lt;wsp:rsid wsp:val=&quot;0D0535F3&quot;/&gt;&lt;wsp:rsid wsp:val=&quot;0D375803&quot;/&gt;&lt;wsp:rsid wsp:val=&quot;0D434DE7&quot;/&gt;&lt;wsp:rsid wsp:val=&quot;0D652531&quot;/&gt;&lt;wsp:rsid wsp:val=&quot;0D752A3C&quot;/&gt;&lt;wsp:rsid wsp:val=&quot;0D947AB0&quot;/&gt;&lt;wsp:rsid wsp:val=&quot;0DA518FF&quot;/&gt;&lt;wsp:rsid wsp:val=&quot;0DB679CB&quot;/&gt;&lt;wsp:rsid wsp:val=&quot;0DC056D2&quot;/&gt;&lt;wsp:rsid wsp:val=&quot;0DED3D64&quot;/&gt;&lt;wsp:rsid wsp:val=&quot;0DEF466B&quot;/&gt;&lt;wsp:rsid wsp:val=&quot;0E155E13&quot;/&gt;&lt;wsp:rsid wsp:val=&quot;0E3A0399&quot;/&gt;&lt;wsp:rsid wsp:val=&quot;0E412652&quot;/&gt;&lt;wsp:rsid wsp:val=&quot;0E4C4CB0&quot;/&gt;&lt;wsp:rsid wsp:val=&quot;0E784CF2&quot;/&gt;&lt;wsp:rsid wsp:val=&quot;0E93799B&quot;/&gt;&lt;wsp:rsid wsp:val=&quot;0EBE1A91&quot;/&gt;&lt;wsp:rsid wsp:val=&quot;0ED93AE8&quot;/&gt;&lt;wsp:rsid wsp:val=&quot;0EDE0F52&quot;/&gt;&lt;wsp:rsid wsp:val=&quot;0F04144F&quot;/&gt;&lt;wsp:rsid wsp:val=&quot;0F17310F&quot;/&gt;&lt;wsp:rsid wsp:val=&quot;0F3C5FB6&quot;/&gt;&lt;wsp:rsid wsp:val=&quot;0F404B70&quot;/&gt;&lt;wsp:rsid wsp:val=&quot;0F687166&quot;/&gt;&lt;wsp:rsid wsp:val=&quot;0F6E01C5&quot;/&gt;&lt;wsp:rsid wsp:val=&quot;0F7E13CD&quot;/&gt;&lt;wsp:rsid wsp:val=&quot;0F8F1C0B&quot;/&gt;&lt;wsp:rsid wsp:val=&quot;0FB47DE7&quot;/&gt;&lt;wsp:rsid wsp:val=&quot;0FCC517C&quot;/&gt;&lt;wsp:rsid wsp:val=&quot;100A42E4&quot;/&gt;&lt;wsp:rsid wsp:val=&quot;1045096A&quot;/&gt;&lt;wsp:rsid wsp:val=&quot;10457D81&quot;/&gt;&lt;wsp:rsid wsp:val=&quot;104D38B6&quot;/&gt;&lt;wsp:rsid wsp:val=&quot;106A5F4D&quot;/&gt;&lt;wsp:rsid wsp:val=&quot;107766C4&quot;/&gt;&lt;wsp:rsid wsp:val=&quot;1094132B&quot;/&gt;&lt;wsp:rsid wsp:val=&quot;10952B8A&quot;/&gt;&lt;wsp:rsid wsp:val=&quot;10A75110&quot;/&gt;&lt;wsp:rsid wsp:val=&quot;10C05269&quot;/&gt;&lt;wsp:rsid wsp:val=&quot;110B68D5&quot;/&gt;&lt;wsp:rsid wsp:val=&quot;111A766A&quot;/&gt;&lt;wsp:rsid wsp:val=&quot;113178C9&quot;/&gt;&lt;wsp:rsid wsp:val=&quot;114625AD&quot;/&gt;&lt;wsp:rsid wsp:val=&quot;11513B54&quot;/&gt;&lt;wsp:rsid wsp:val=&quot;11691708&quot;/&gt;&lt;wsp:rsid wsp:val=&quot;11787F03&quot;/&gt;&lt;wsp:rsid wsp:val=&quot;118C2366&quot;/&gt;&lt;wsp:rsid wsp:val=&quot;11A96D61&quot;/&gt;&lt;wsp:rsid wsp:val=&quot;11C26013&quot;/&gt;&lt;wsp:rsid wsp:val=&quot;11C467FC&quot;/&gt;&lt;wsp:rsid wsp:val=&quot;11F043C1&quot;/&gt;&lt;wsp:rsid wsp:val=&quot;11F24DFD&quot;/&gt;&lt;wsp:rsid wsp:val=&quot;121054D1&quot;/&gt;&lt;wsp:rsid wsp:val=&quot;12396B5A&quot;/&gt;&lt;wsp:rsid wsp:val=&quot;1254539C&quot;/&gt;&lt;wsp:rsid wsp:val=&quot;12704774&quot;/&gt;&lt;wsp:rsid wsp:val=&quot;128B267E&quot;/&gt;&lt;wsp:rsid wsp:val=&quot;129E76D2&quot;/&gt;&lt;wsp:rsid wsp:val=&quot;129F0CCC&quot;/&gt;&lt;wsp:rsid wsp:val=&quot;12A7263D&quot;/&gt;&lt;wsp:rsid wsp:val=&quot;12DE7B6C&quot;/&gt;&lt;wsp:rsid wsp:val=&quot;12EA6F16&quot;/&gt;&lt;wsp:rsid wsp:val=&quot;132C4EFB&quot;/&gt;&lt;wsp:rsid wsp:val=&quot;135A5F55&quot;/&gt;&lt;wsp:rsid wsp:val=&quot;13BC1186&quot;/&gt;&lt;wsp:rsid wsp:val=&quot;13D62F71&quot;/&gt;&lt;wsp:rsid wsp:val=&quot;13E73634&quot;/&gt;&lt;wsp:rsid wsp:val=&quot;13EB5A6E&quot;/&gt;&lt;wsp:rsid wsp:val=&quot;13F313B9&quot;/&gt;&lt;wsp:rsid wsp:val=&quot;140C0C24&quot;/&gt;&lt;wsp:rsid wsp:val=&quot;1411193A&quot;/&gt;&lt;wsp:rsid wsp:val=&quot;142D58CD&quot;/&gt;&lt;wsp:rsid wsp:val=&quot;14496E97&quot;/&gt;&lt;wsp:rsid wsp:val=&quot;144D3707&quot;/&gt;&lt;wsp:rsid wsp:val=&quot;14514364&quot;/&gt;&lt;wsp:rsid wsp:val=&quot;146362D7&quot;/&gt;&lt;wsp:rsid wsp:val=&quot;14770915&quot;/&gt;&lt;wsp:rsid wsp:val=&quot;14773EFB&quot;/&gt;&lt;wsp:rsid wsp:val=&quot;14955E10&quot;/&gt;&lt;wsp:rsid wsp:val=&quot;149910E2&quot;/&gt;&lt;wsp:rsid wsp:val=&quot;14A820D8&quot;/&gt;&lt;wsp:rsid wsp:val=&quot;14AE3BFB&quot;/&gt;&lt;wsp:rsid wsp:val=&quot;14B50CB3&quot;/&gt;&lt;wsp:rsid wsp:val=&quot;14C81550&quot;/&gt;&lt;wsp:rsid wsp:val=&quot;14DA3EB7&quot;/&gt;&lt;wsp:rsid wsp:val=&quot;14E10F52&quot;/&gt;&lt;wsp:rsid wsp:val=&quot;14E70D3B&quot;/&gt;&lt;wsp:rsid wsp:val=&quot;150D1A18&quot;/&gt;&lt;wsp:rsid wsp:val=&quot;15271383&quot;/&gt;&lt;wsp:rsid wsp:val=&quot;153F0AE5&quot;/&gt;&lt;wsp:rsid wsp:val=&quot;15621F21&quot;/&gt;&lt;wsp:rsid wsp:val=&quot;15837067&quot;/&gt;&lt;wsp:rsid wsp:val=&quot;15A429B1&quot;/&gt;&lt;wsp:rsid wsp:val=&quot;15E35E1E&quot;/&gt;&lt;wsp:rsid wsp:val=&quot;15ED2A93&quot;/&gt;&lt;wsp:rsid wsp:val=&quot;15F93C84&quot;/&gt;&lt;wsp:rsid wsp:val=&quot;15FC1325&quot;/&gt;&lt;wsp:rsid wsp:val=&quot;161134E2&quot;/&gt;&lt;wsp:rsid wsp:val=&quot;161164C1&quot;/&gt;&lt;wsp:rsid wsp:val=&quot;16306EB4&quot;/&gt;&lt;wsp:rsid wsp:val=&quot;16551C62&quot;/&gt;&lt;wsp:rsid wsp:val=&quot;16562F1D&quot;/&gt;&lt;wsp:rsid wsp:val=&quot;16686812&quot;/&gt;&lt;wsp:rsid wsp:val=&quot;166F352F&quot;/&gt;&lt;wsp:rsid wsp:val=&quot;16A16F01&quot;/&gt;&lt;wsp:rsid wsp:val=&quot;16A251B2&quot;/&gt;&lt;wsp:rsid wsp:val=&quot;16AD3519&quot;/&gt;&lt;wsp:rsid wsp:val=&quot;16B73979&quot;/&gt;&lt;wsp:rsid wsp:val=&quot;16CA1F92&quot;/&gt;&lt;wsp:rsid wsp:val=&quot;16CA4F7F&quot;/&gt;&lt;wsp:rsid wsp:val=&quot;16CC4E97&quot;/&gt;&lt;wsp:rsid wsp:val=&quot;16D2339B&quot;/&gt;&lt;wsp:rsid wsp:val=&quot;170A025D&quot;/&gt;&lt;wsp:rsid wsp:val=&quot;170B62DD&quot;/&gt;&lt;wsp:rsid wsp:val=&quot;17551E6A&quot;/&gt;&lt;wsp:rsid wsp:val=&quot;1757148D&quot;/&gt;&lt;wsp:rsid wsp:val=&quot;176267FA&quot;/&gt;&lt;wsp:rsid wsp:val=&quot;176E15F0&quot;/&gt;&lt;wsp:rsid wsp:val=&quot;17985EA4&quot;/&gt;&lt;wsp:rsid wsp:val=&quot;17A46EA7&quot;/&gt;&lt;wsp:rsid wsp:val=&quot;17B10902&quot;/&gt;&lt;wsp:rsid wsp:val=&quot;17B91351&quot;/&gt;&lt;wsp:rsid wsp:val=&quot;17BD5E05&quot;/&gt;&lt;wsp:rsid wsp:val=&quot;17D33054&quot;/&gt;&lt;wsp:rsid wsp:val=&quot;17E51D74&quot;/&gt;&lt;wsp:rsid wsp:val=&quot;17EA746A&quot;/&gt;&lt;wsp:rsid wsp:val=&quot;17EB2816&quot;/&gt;&lt;wsp:rsid wsp:val=&quot;182A353A&quot;/&gt;&lt;wsp:rsid wsp:val=&quot;185A236E&quot;/&gt;&lt;wsp:rsid wsp:val=&quot;1860715B&quot;/&gt;&lt;wsp:rsid wsp:val=&quot;187235A2&quot;/&gt;&lt;wsp:rsid wsp:val=&quot;18913ED7&quot;/&gt;&lt;wsp:rsid wsp:val=&quot;18B52DF2&quot;/&gt;&lt;wsp:rsid wsp:val=&quot;18D17F23&quot;/&gt;&lt;wsp:rsid wsp:val=&quot;18D25135&quot;/&gt;&lt;wsp:rsid wsp:val=&quot;190C033C&quot;/&gt;&lt;wsp:rsid wsp:val=&quot;192D63FC&quot;/&gt;&lt;wsp:rsid wsp:val=&quot;195F4C7A&quot;/&gt;&lt;wsp:rsid wsp:val=&quot;197A05BF&quot;/&gt;&lt;wsp:rsid wsp:val=&quot;197B04F8&quot;/&gt;&lt;wsp:rsid wsp:val=&quot;19BF0F6E&quot;/&gt;&lt;wsp:rsid wsp:val=&quot;19F1544F&quot;/&gt;&lt;wsp:rsid wsp:val=&quot;19FB4998&quot;/&gt;&lt;wsp:rsid wsp:val=&quot;19FC26F3&quot;/&gt;&lt;wsp:rsid wsp:val=&quot;1A245448&quot;/&gt;&lt;wsp:rsid wsp:val=&quot;1A2C7361&quot;/&gt;&lt;wsp:rsid wsp:val=&quot;1A4D5F09&quot;/&gt;&lt;wsp:rsid wsp:val=&quot;1A690FF8&quot;/&gt;&lt;wsp:rsid wsp:val=&quot;1A71171D&quot;/&gt;&lt;wsp:rsid wsp:val=&quot;1A9C4571&quot;/&gt;&lt;wsp:rsid wsp:val=&quot;1AA90A84&quot;/&gt;&lt;wsp:rsid wsp:val=&quot;1AAB252E&quot;/&gt;&lt;wsp:rsid wsp:val=&quot;1ADB2088&quot;/&gt;&lt;wsp:rsid wsp:val=&quot;1ADC61AB&quot;/&gt;&lt;wsp:rsid wsp:val=&quot;1AE754DB&quot;/&gt;&lt;wsp:rsid wsp:val=&quot;1B447346&quot;/&gt;&lt;wsp:rsid wsp:val=&quot;1B4928BF&quot;/&gt;&lt;wsp:rsid wsp:val=&quot;1B616C94&quot;/&gt;&lt;wsp:rsid wsp:val=&quot;1B631D65&quot;/&gt;&lt;wsp:rsid wsp:val=&quot;1B655E8C&quot;/&gt;&lt;wsp:rsid wsp:val=&quot;1B6C3AB6&quot;/&gt;&lt;wsp:rsid wsp:val=&quot;1B8032D3&quot;/&gt;&lt;wsp:rsid wsp:val=&quot;1B982DD8&quot;/&gt;&lt;wsp:rsid wsp:val=&quot;1B9B01F8&quot;/&gt;&lt;wsp:rsid wsp:val=&quot;1B9B0C19&quot;/&gt;&lt;wsp:rsid wsp:val=&quot;1B9E563E&quot;/&gt;&lt;wsp:rsid wsp:val=&quot;1BA6035E&quot;/&gt;&lt;wsp:rsid wsp:val=&quot;1BB858C3&quot;/&gt;&lt;wsp:rsid wsp:val=&quot;1BBC27F2&quot;/&gt;&lt;wsp:rsid wsp:val=&quot;1BF90E03&quot;/&gt;&lt;wsp:rsid wsp:val=&quot;1C0A1961&quot;/&gt;&lt;wsp:rsid wsp:val=&quot;1C1F38E5&quot;/&gt;&lt;wsp:rsid wsp:val=&quot;1C23000C&quot;/&gt;&lt;wsp:rsid wsp:val=&quot;1C30365F&quot;/&gt;&lt;wsp:rsid wsp:val=&quot;1C495352&quot;/&gt;&lt;wsp:rsid wsp:val=&quot;1C6121E9&quot;/&gt;&lt;wsp:rsid wsp:val=&quot;1C6348DE&quot;/&gt;&lt;wsp:rsid wsp:val=&quot;1C794653&quot;/&gt;&lt;wsp:rsid wsp:val=&quot;1C7D54C1&quot;/&gt;&lt;wsp:rsid wsp:val=&quot;1C7F6008&quot;/&gt;&lt;wsp:rsid wsp:val=&quot;1CA40FFC&quot;/&gt;&lt;wsp:rsid wsp:val=&quot;1D03063A&quot;/&gt;&lt;wsp:rsid wsp:val=&quot;1D1A2396&quot;/&gt;&lt;wsp:rsid wsp:val=&quot;1D290F86&quot;/&gt;&lt;wsp:rsid wsp:val=&quot;1D2C28BC&quot;/&gt;&lt;wsp:rsid wsp:val=&quot;1D3D1363&quot;/&gt;&lt;wsp:rsid wsp:val=&quot;1D585FE0&quot;/&gt;&lt;wsp:rsid wsp:val=&quot;1D652ECD&quot;/&gt;&lt;wsp:rsid wsp:val=&quot;1D6E647F&quot;/&gt;&lt;wsp:rsid wsp:val=&quot;1D7F31CD&quot;/&gt;&lt;wsp:rsid wsp:val=&quot;1DA21AEC&quot;/&gt;&lt;wsp:rsid wsp:val=&quot;1DB01926&quot;/&gt;&lt;wsp:rsid wsp:val=&quot;1E085DA1&quot;/&gt;&lt;wsp:rsid wsp:val=&quot;1E1B2707&quot;/&gt;&lt;wsp:rsid wsp:val=&quot;1E3D4EAA&quot;/&gt;&lt;wsp:rsid wsp:val=&quot;1E923461&quot;/&gt;&lt;wsp:rsid wsp:val=&quot;1EB35A93&quot;/&gt;&lt;wsp:rsid wsp:val=&quot;1EFA11FF&quot;/&gt;&lt;wsp:rsid wsp:val=&quot;1F326459&quot;/&gt;&lt;wsp:rsid wsp:val=&quot;1F3735A7&quot;/&gt;&lt;wsp:rsid wsp:val=&quot;1F3773CD&quot;/&gt;&lt;wsp:rsid wsp:val=&quot;1F3E4118&quot;/&gt;&lt;wsp:rsid wsp:val=&quot;1F427298&quot;/&gt;&lt;wsp:rsid wsp:val=&quot;1F446D87&quot;/&gt;&lt;wsp:rsid wsp:val=&quot;1F4B122E&quot;/&gt;&lt;wsp:rsid wsp:val=&quot;1F5B7356&quot;/&gt;&lt;wsp:rsid wsp:val=&quot;1F616B83&quot;/&gt;&lt;wsp:rsid wsp:val=&quot;1F74021D&quot;/&gt;&lt;wsp:rsid wsp:val=&quot;1F801854&quot;/&gt;&lt;wsp:rsid wsp:val=&quot;1F860D1D&quot;/&gt;&lt;wsp:rsid wsp:val=&quot;1F93162B&quot;/&gt;&lt;wsp:rsid wsp:val=&quot;1FA61CFE&quot;/&gt;&lt;wsp:rsid wsp:val=&quot;1FCA0B31&quot;/&gt;&lt;wsp:rsid wsp:val=&quot;1FE17526&quot;/&gt;&lt;wsp:rsid wsp:val=&quot;1FE5487C&quot;/&gt;&lt;wsp:rsid wsp:val=&quot;1FEC7EEB&quot;/&gt;&lt;wsp:rsid wsp:val=&quot;1FEE4973&quot;/&gt;&lt;wsp:rsid wsp:val=&quot;2001677E&quot;/&gt;&lt;wsp:rsid wsp:val=&quot;201B4C78&quot;/&gt;&lt;wsp:rsid wsp:val=&quot;202F50BD&quot;/&gt;&lt;wsp:rsid wsp:val=&quot;203634F8&quot;/&gt;&lt;wsp:rsid wsp:val=&quot;203C25AB&quot;/&gt;&lt;wsp:rsid wsp:val=&quot;20400F41&quot;/&gt;&lt;wsp:rsid wsp:val=&quot;20484AF6&quot;/&gt;&lt;wsp:rsid wsp:val=&quot;206044A6&quot;/&gt;&lt;wsp:rsid wsp:val=&quot;20645E63&quot;/&gt;&lt;wsp:rsid wsp:val=&quot;20655BA0&quot;/&gt;&lt;wsp:rsid wsp:val=&quot;20703265&quot;/&gt;&lt;wsp:rsid wsp:val=&quot;20711B1D&quot;/&gt;&lt;wsp:rsid wsp:val=&quot;20720384&quot;/&gt;&lt;wsp:rsid wsp:val=&quot;20963EF0&quot;/&gt;&lt;wsp:rsid wsp:val=&quot;20AD5A91&quot;/&gt;&lt;wsp:rsid wsp:val=&quot;21191E31&quot;/&gt;&lt;wsp:rsid wsp:val=&quot;212333BE&quot;/&gt;&lt;wsp:rsid wsp:val=&quot;212437CA&quot;/&gt;&lt;wsp:rsid wsp:val=&quot;21313439&quot;/&gt;&lt;wsp:rsid wsp:val=&quot;216C722B&quot;/&gt;&lt;wsp:rsid wsp:val=&quot;218A7F9F&quot;/&gt;&lt;wsp:rsid wsp:val=&quot;219272A9&quot;/&gt;&lt;wsp:rsid wsp:val=&quot;21C51CE3&quot;/&gt;&lt;wsp:rsid wsp:val=&quot;21C531B7&quot;/&gt;&lt;wsp:rsid wsp:val=&quot;21CF39BF&quot;/&gt;&lt;wsp:rsid wsp:val=&quot;221637FE&quot;/&gt;&lt;wsp:rsid wsp:val=&quot;224C15A1&quot;/&gt;&lt;wsp:rsid wsp:val=&quot;225234ED&quot;/&gt;&lt;wsp:rsid wsp:val=&quot;225E4B4C&quot;/&gt;&lt;wsp:rsid wsp:val=&quot;226E18E0&quot;/&gt;&lt;wsp:rsid wsp:val=&quot;22734826&quot;/&gt;&lt;wsp:rsid wsp:val=&quot;227A4B8A&quot;/&gt;&lt;wsp:rsid wsp:val=&quot;228359EC&quot;/&gt;&lt;wsp:rsid wsp:val=&quot;228B64A3&quot;/&gt;&lt;wsp:rsid wsp:val=&quot;228D37C3&quot;/&gt;&lt;wsp:rsid wsp:val=&quot;229F2605&quot;/&gt;&lt;wsp:rsid wsp:val=&quot;22A21423&quot;/&gt;&lt;wsp:rsid wsp:val=&quot;22A34E5F&quot;/&gt;&lt;wsp:rsid wsp:val=&quot;22A80EB2&quot;/&gt;&lt;wsp:rsid wsp:val=&quot;22CF5D1D&quot;/&gt;&lt;wsp:rsid wsp:val=&quot;22D6625E&quot;/&gt;&lt;wsp:rsid wsp:val=&quot;22DF3B4D&quot;/&gt;&lt;wsp:rsid wsp:val=&quot;22E60282&quot;/&gt;&lt;wsp:rsid wsp:val=&quot;232C2E5E&quot;/&gt;&lt;wsp:rsid wsp:val=&quot;233C3937&quot;/&gt;&lt;wsp:rsid wsp:val=&quot;23415FD5&quot;/&gt;&lt;wsp:rsid wsp:val=&quot;23470D6B&quot;/&gt;&lt;wsp:rsid wsp:val=&quot;234F0C33&quot;/&gt;&lt;wsp:rsid wsp:val=&quot;235D6428&quot;/&gt;&lt;wsp:rsid wsp:val=&quot;2369664B&quot;/&gt;&lt;wsp:rsid wsp:val=&quot;23796D44&quot;/&gt;&lt;wsp:rsid wsp:val=&quot;237C00BF&quot;/&gt;&lt;wsp:rsid wsp:val=&quot;238A4B05&quot;/&gt;&lt;wsp:rsid wsp:val=&quot;238B23BA&quot;/&gt;&lt;wsp:rsid wsp:val=&quot;23BD0FB6&quot;/&gt;&lt;wsp:rsid wsp:val=&quot;23CC111F&quot;/&gt;&lt;wsp:rsid wsp:val=&quot;23E82BC5&quot;/&gt;&lt;wsp:rsid wsp:val=&quot;23F50A1D&quot;/&gt;&lt;wsp:rsid wsp:val=&quot;2402729C&quot;/&gt;&lt;wsp:rsid wsp:val=&quot;240C717B&quot;/&gt;&lt;wsp:rsid wsp:val=&quot;24154A07&quot;/&gt;&lt;wsp:rsid wsp:val=&quot;24237369&quot;/&gt;&lt;wsp:rsid wsp:val=&quot;242B0ACF&quot;/&gt;&lt;wsp:rsid wsp:val=&quot;244A7782&quot;/&gt;&lt;wsp:rsid wsp:val=&quot;24744F75&quot;/&gt;&lt;wsp:rsid wsp:val=&quot;24751205&quot;/&gt;&lt;wsp:rsid wsp:val=&quot;24A9753D&quot;/&gt;&lt;wsp:rsid wsp:val=&quot;24AA55C7&quot;/&gt;&lt;wsp:rsid wsp:val=&quot;24B72751&quot;/&gt;&lt;wsp:rsid wsp:val=&quot;24BC7D81&quot;/&gt;&lt;wsp:rsid wsp:val=&quot;24C34D98&quot;/&gt;&lt;wsp:rsid wsp:val=&quot;24E55D4F&quot;/&gt;&lt;wsp:rsid wsp:val=&quot;24E800DE&quot;/&gt;&lt;wsp:rsid wsp:val=&quot;24E93A37&quot;/&gt;&lt;wsp:rsid wsp:val=&quot;24EA0E35&quot;/&gt;&lt;wsp:rsid wsp:val=&quot;2504123C&quot;/&gt;&lt;wsp:rsid wsp:val=&quot;250770DF&quot;/&gt;&lt;wsp:rsid wsp:val=&quot;251C2931&quot;/&gt;&lt;wsp:rsid wsp:val=&quot;25530A51&quot;/&gt;&lt;wsp:rsid wsp:val=&quot;255D1C96&quot;/&gt;&lt;wsp:rsid wsp:val=&quot;25634663&quot;/&gt;&lt;wsp:rsid wsp:val=&quot;256B68AD&quot;/&gt;&lt;wsp:rsid wsp:val=&quot;256F0462&quot;/&gt;&lt;wsp:rsid wsp:val=&quot;257E2CC8&quot;/&gt;&lt;wsp:rsid wsp:val=&quot;2589275C&quot;/&gt;&lt;wsp:rsid wsp:val=&quot;258C2AAF&quot;/&gt;&lt;wsp:rsid wsp:val=&quot;258D7C62&quot;/&gt;&lt;wsp:rsid wsp:val=&quot;25B430FC&quot;/&gt;&lt;wsp:rsid wsp:val=&quot;25CB697B&quot;/&gt;&lt;wsp:rsid wsp:val=&quot;25CC115B&quot;/&gt;&lt;wsp:rsid wsp:val=&quot;25D84353&quot;/&gt;&lt;wsp:rsid wsp:val=&quot;25DF64FE&quot;/&gt;&lt;wsp:rsid wsp:val=&quot;25F2131F&quot;/&gt;&lt;wsp:rsid wsp:val=&quot;26005BB9&quot;/&gt;&lt;wsp:rsid wsp:val=&quot;2608524A&quot;/&gt;&lt;wsp:rsid wsp:val=&quot;26544F08&quot;/&gt;&lt;wsp:rsid wsp:val=&quot;268A5E33&quot;/&gt;&lt;wsp:rsid wsp:val=&quot;269A78AA&quot;/&gt;&lt;wsp:rsid wsp:val=&quot;26AB543D&quot;/&gt;&lt;wsp:rsid wsp:val=&quot;26DF3838&quot;/&gt;&lt;wsp:rsid wsp:val=&quot;26E9337A&quot;/&gt;&lt;wsp:rsid wsp:val=&quot;26F17749&quot;/&gt;&lt;wsp:rsid wsp:val=&quot;271F5A9E&quot;/&gt;&lt;wsp:rsid wsp:val=&quot;272F0626&quot;/&gt;&lt;wsp:rsid wsp:val=&quot;273D0529&quot;/&gt;&lt;wsp:rsid wsp:val=&quot;2755395F&quot;/&gt;&lt;wsp:rsid wsp:val=&quot;27984E21&quot;/&gt;&lt;wsp:rsid wsp:val=&quot;27A65198&quot;/&gt;&lt;wsp:rsid wsp:val=&quot;27C94EFB&quot;/&gt;&lt;wsp:rsid wsp:val=&quot;27D1147C&quot;/&gt;&lt;wsp:rsid wsp:val=&quot;27E33990&quot;/&gt;&lt;wsp:rsid wsp:val=&quot;28142BC0&quot;/&gt;&lt;wsp:rsid wsp:val=&quot;28194CD7&quot;/&gt;&lt;wsp:rsid wsp:val=&quot;281E41F9&quot;/&gt;&lt;wsp:rsid wsp:val=&quot;28382AE2&quot;/&gt;&lt;wsp:rsid wsp:val=&quot;283C2DCC&quot;/&gt;&lt;wsp:rsid wsp:val=&quot;28654F7A&quot;/&gt;&lt;wsp:rsid wsp:val=&quot;286F1644&quot;/&gt;&lt;wsp:rsid wsp:val=&quot;287E0680&quot;/&gt;&lt;wsp:rsid wsp:val=&quot;288B243E&quot;/&gt;&lt;wsp:rsid wsp:val=&quot;288F7170&quot;/&gt;&lt;wsp:rsid wsp:val=&quot;28C11C6E&quot;/&gt;&lt;wsp:rsid wsp:val=&quot;292F32C9&quot;/&gt;&lt;wsp:rsid wsp:val=&quot;292F64E0&quot;/&gt;&lt;wsp:rsid wsp:val=&quot;292F66F7&quot;/&gt;&lt;wsp:rsid wsp:val=&quot;29465C4F&quot;/&gt;&lt;wsp:rsid wsp:val=&quot;294A57B8&quot;/&gt;&lt;wsp:rsid wsp:val=&quot;296E3B9E&quot;/&gt;&lt;wsp:rsid wsp:val=&quot;2983730D&quot;/&gt;&lt;wsp:rsid wsp:val=&quot;299E588A&quot;/&gt;&lt;wsp:rsid wsp:val=&quot;29D362FA&quot;/&gt;&lt;wsp:rsid wsp:val=&quot;29E80285&quot;/&gt;&lt;wsp:rsid wsp:val=&quot;29F40DD1&quot;/&gt;&lt;wsp:rsid wsp:val=&quot;2A174548&quot;/&gt;&lt;wsp:rsid wsp:val=&quot;2A4522EF&quot;/&gt;&lt;wsp:rsid wsp:val=&quot;2A4960CE&quot;/&gt;&lt;wsp:rsid wsp:val=&quot;2A5D3A3D&quot;/&gt;&lt;wsp:rsid wsp:val=&quot;2A752564&quot;/&gt;&lt;wsp:rsid wsp:val=&quot;2A833C9B&quot;/&gt;&lt;wsp:rsid wsp:val=&quot;2AA51F49&quot;/&gt;&lt;wsp:rsid wsp:val=&quot;2B0F5680&quot;/&gt;&lt;wsp:rsid wsp:val=&quot;2B174076&quot;/&gt;&lt;wsp:rsid wsp:val=&quot;2B2C205C&quot;/&gt;&lt;wsp:rsid wsp:val=&quot;2B4B14CF&quot;/&gt;&lt;wsp:rsid wsp:val=&quot;2B5B0DE4&quot;/&gt;&lt;wsp:rsid wsp:val=&quot;2BA501F9&quot;/&gt;&lt;wsp:rsid wsp:val=&quot;2BDA58A2&quot;/&gt;&lt;wsp:rsid wsp:val=&quot;2BE27D5C&quot;/&gt;&lt;wsp:rsid wsp:val=&quot;2BE52458&quot;/&gt;&lt;wsp:rsid wsp:val=&quot;2C147B66&quot;/&gt;&lt;wsp:rsid wsp:val=&quot;2C327E78&quot;/&gt;&lt;wsp:rsid wsp:val=&quot;2C64530F&quot;/&gt;&lt;wsp:rsid wsp:val=&quot;2C712C70&quot;/&gt;&lt;wsp:rsid wsp:val=&quot;2C7664F8&quot;/&gt;&lt;wsp:rsid wsp:val=&quot;2C845FF8&quot;/&gt;&lt;wsp:rsid wsp:val=&quot;2C8C2266&quot;/&gt;&lt;wsp:rsid wsp:val=&quot;2C9630B3&quot;/&gt;&lt;wsp:rsid wsp:val=&quot;2C9922B7&quot;/&gt;&lt;wsp:rsid wsp:val=&quot;2CBA3975&quot;/&gt;&lt;wsp:rsid wsp:val=&quot;2CD16ABF&quot;/&gt;&lt;wsp:rsid wsp:val=&quot;2CF00075&quot;/&gt;&lt;wsp:rsid wsp:val=&quot;2D0F4B1B&quot;/&gt;&lt;wsp:rsid wsp:val=&quot;2D3B2275&quot;/&gt;&lt;wsp:rsid wsp:val=&quot;2D891D74&quot;/&gt;&lt;wsp:rsid wsp:val=&quot;2D9A338B&quot;/&gt;&lt;wsp:rsid wsp:val=&quot;2D9A5077&quot;/&gt;&lt;wsp:rsid wsp:val=&quot;2DC16BCB&quot;/&gt;&lt;wsp:rsid wsp:val=&quot;2DCF45D1&quot;/&gt;&lt;wsp:rsid wsp:val=&quot;2DD349C7&quot;/&gt;&lt;wsp:rsid wsp:val=&quot;2DFF4D54&quot;/&gt;&lt;wsp:rsid wsp:val=&quot;2E1E2AA9&quot;/&gt;&lt;wsp:rsid wsp:val=&quot;2E316415&quot;/&gt;&lt;wsp:rsid wsp:val=&quot;2E441798&quot;/&gt;&lt;wsp:rsid wsp:val=&quot;2E71793E&quot;/&gt;&lt;wsp:rsid wsp:val=&quot;2E8028D7&quot;/&gt;&lt;wsp:rsid wsp:val=&quot;2E845572&quot;/&gt;&lt;wsp:rsid wsp:val=&quot;2E8E2DF7&quot;/&gt;&lt;wsp:rsid wsp:val=&quot;2E9D5D62&quot;/&gt;&lt;wsp:rsid wsp:val=&quot;2EB415AD&quot;/&gt;&lt;wsp:rsid wsp:val=&quot;2ECE348C&quot;/&gt;&lt;wsp:rsid wsp:val=&quot;2EDB55E3&quot;/&gt;&lt;wsp:rsid wsp:val=&quot;2EFD2081&quot;/&gt;&lt;wsp:rsid wsp:val=&quot;2EFD49F8&quot;/&gt;&lt;wsp:rsid wsp:val=&quot;2F3577E3&quot;/&gt;&lt;wsp:rsid wsp:val=&quot;2F42685C&quot;/&gt;&lt;wsp:rsid wsp:val=&quot;2F553B5A&quot;/&gt;&lt;wsp:rsid wsp:val=&quot;2F662872&quot;/&gt;&lt;wsp:rsid wsp:val=&quot;2F724C5F&quot;/&gt;&lt;wsp:rsid wsp:val=&quot;2F9B5AC3&quot;/&gt;&lt;wsp:rsid wsp:val=&quot;2F9F7E73&quot;/&gt;&lt;wsp:rsid wsp:val=&quot;2FFD0C20&quot;/&gt;&lt;wsp:rsid wsp:val=&quot;30130111&quot;/&gt;&lt;wsp:rsid wsp:val=&quot;30440AB7&quot;/&gt;&lt;wsp:rsid wsp:val=&quot;3049381E&quot;/&gt;&lt;wsp:rsid wsp:val=&quot;305C7F7B&quot;/&gt;&lt;wsp:rsid wsp:val=&quot;307F705C&quot;/&gt;&lt;wsp:rsid wsp:val=&quot;309A55A8&quot;/&gt;&lt;wsp:rsid wsp:val=&quot;30B74328&quot;/&gt;&lt;wsp:rsid wsp:val=&quot;30D510F7&quot;/&gt;&lt;wsp:rsid wsp:val=&quot;30D7008F&quot;/&gt;&lt;wsp:rsid wsp:val=&quot;30F67310&quot;/&gt;&lt;wsp:rsid wsp:val=&quot;31120094&quot;/&gt;&lt;wsp:rsid wsp:val=&quot;31222DDF&quot;/&gt;&lt;wsp:rsid wsp:val=&quot;315D12A0&quot;/&gt;&lt;wsp:rsid wsp:val=&quot;316A54B4&quot;/&gt;&lt;wsp:rsid wsp:val=&quot;31A850DD&quot;/&gt;&lt;wsp:rsid wsp:val=&quot;31B06674&quot;/&gt;&lt;wsp:rsid wsp:val=&quot;31BE04E6&quot;/&gt;&lt;wsp:rsid wsp:val=&quot;31C70950&quot;/&gt;&lt;wsp:rsid wsp:val=&quot;31DF3838&quot;/&gt;&lt;wsp:rsid wsp:val=&quot;31EE3B5D&quot;/&gt;&lt;wsp:rsid wsp:val=&quot;320D0DC8&quot;/&gt;&lt;wsp:rsid wsp:val=&quot;321A418E&quot;/&gt;&lt;wsp:rsid wsp:val=&quot;32401E0F&quot;/&gt;&lt;wsp:rsid wsp:val=&quot;324F7B39&quot;/&gt;&lt;wsp:rsid wsp:val=&quot;32535E36&quot;/&gt;&lt;wsp:rsid wsp:val=&quot;32562E0F&quot;/&gt;&lt;wsp:rsid wsp:val=&quot;327002B0&quot;/&gt;&lt;wsp:rsid wsp:val=&quot;32905CFD&quot;/&gt;&lt;wsp:rsid wsp:val=&quot;32B955F9&quot;/&gt;&lt;wsp:rsid wsp:val=&quot;32E056A9&quot;/&gt;&lt;wsp:rsid wsp:val=&quot;32FE20EB&quot;/&gt;&lt;wsp:rsid wsp:val=&quot;330952E7&quot;/&gt;&lt;wsp:rsid wsp:val=&quot;33135EF1&quot;/&gt;&lt;wsp:rsid wsp:val=&quot;3332192F&quot;/&gt;&lt;wsp:rsid wsp:val=&quot;33515C3E&quot;/&gt;&lt;wsp:rsid wsp:val=&quot;33533C99&quot;/&gt;&lt;wsp:rsid wsp:val=&quot;33542DD6&quot;/&gt;&lt;wsp:rsid wsp:val=&quot;339709B4&quot;/&gt;&lt;wsp:rsid wsp:val=&quot;339C2614&quot;/&gt;&lt;wsp:rsid wsp:val=&quot;33B04681&quot;/&gt;&lt;wsp:rsid wsp:val=&quot;33BD2967&quot;/&gt;&lt;wsp:rsid wsp:val=&quot;33F53425&quot;/&gt;&lt;wsp:rsid wsp:val=&quot;34034857&quot;/&gt;&lt;wsp:rsid wsp:val=&quot;343A6582&quot;/&gt;&lt;wsp:rsid wsp:val=&quot;34416822&quot;/&gt;&lt;wsp:rsid wsp:val=&quot;344626C3&quot;/&gt;&lt;wsp:rsid wsp:val=&quot;34723F91&quot;/&gt;&lt;wsp:rsid wsp:val=&quot;34795C64&quot;/&gt;&lt;wsp:rsid wsp:val=&quot;3481681D&quot;/&gt;&lt;wsp:rsid wsp:val=&quot;34D00D41&quot;/&gt;&lt;wsp:rsid wsp:val=&quot;34D7549E&quot;/&gt;&lt;wsp:rsid wsp:val=&quot;350A1296&quot;/&gt;&lt;wsp:rsid wsp:val=&quot;35150C28&quot;/&gt;&lt;wsp:rsid wsp:val=&quot;35236A40&quot;/&gt;&lt;wsp:rsid wsp:val=&quot;3524545D&quot;/&gt;&lt;wsp:rsid wsp:val=&quot;353454CA&quot;/&gt;&lt;wsp:rsid wsp:val=&quot;35524458&quot;/&gt;&lt;wsp:rsid wsp:val=&quot;3575786D&quot;/&gt;&lt;wsp:rsid wsp:val=&quot;357904D9&quot;/&gt;&lt;wsp:rsid wsp:val=&quot;35B47668&quot;/&gt;&lt;wsp:rsid wsp:val=&quot;35DA5B99&quot;/&gt;&lt;wsp:rsid wsp:val=&quot;35DB6841&quot;/&gt;&lt;wsp:rsid wsp:val=&quot;35E03827&quot;/&gt;&lt;wsp:rsid wsp:val=&quot;35F30E34&quot;/&gt;&lt;wsp:rsid wsp:val=&quot;361338AB&quot;/&gt;&lt;wsp:rsid wsp:val=&quot;362B2304&quot;/&gt;&lt;wsp:rsid wsp:val=&quot;362E16FE&quot;/&gt;&lt;wsp:rsid wsp:val=&quot;36405937&quot;/&gt;&lt;wsp:rsid wsp:val=&quot;364D6997&quot;/&gt;&lt;wsp:rsid wsp:val=&quot;365D363B&quot;/&gt;&lt;wsp:rsid wsp:val=&quot;365E171E&quot;/&gt;&lt;wsp:rsid wsp:val=&quot;36605943&quot;/&gt;&lt;wsp:rsid wsp:val=&quot;368710DC&quot;/&gt;&lt;wsp:rsid wsp:val=&quot;36973977&quot;/&gt;&lt;wsp:rsid wsp:val=&quot;36C4200F&quot;/&gt;&lt;wsp:rsid wsp:val=&quot;36C97B4E&quot;/&gt;&lt;wsp:rsid wsp:val=&quot;36D21CDD&quot;/&gt;&lt;wsp:rsid wsp:val=&quot;36D536A0&quot;/&gt;&lt;wsp:rsid wsp:val=&quot;36D65F12&quot;/&gt;&lt;wsp:rsid wsp:val=&quot;36FE2B73&quot;/&gt;&lt;wsp:rsid wsp:val=&quot;37031B34&quot;/&gt;&lt;wsp:rsid wsp:val=&quot;37543887&quot;/&gt;&lt;wsp:rsid wsp:val=&quot;376F0F93&quot;/&gt;&lt;wsp:rsid wsp:val=&quot;37717A20&quot;/&gt;&lt;wsp:rsid wsp:val=&quot;37757726&quot;/&gt;&lt;wsp:rsid wsp:val=&quot;378056A6&quot;/&gt;&lt;wsp:rsid wsp:val=&quot;37C0591F&quot;/&gt;&lt;wsp:rsid wsp:val=&quot;37C67787&quot;/&gt;&lt;wsp:rsid wsp:val=&quot;37E33A19&quot;/&gt;&lt;wsp:rsid wsp:val=&quot;37F6647B&quot;/&gt;&lt;wsp:rsid wsp:val=&quot;381E75AF&quot;/&gt;&lt;wsp:rsid wsp:val=&quot;385A4844&quot;/&gt;&lt;wsp:rsid wsp:val=&quot;387873FA&quot;/&gt;&lt;wsp:rsid wsp:val=&quot;387A4C79&quot;/&gt;&lt;wsp:rsid wsp:val=&quot;387B299E&quot;/&gt;&lt;wsp:rsid wsp:val=&quot;387F48A0&quot;/&gt;&lt;wsp:rsid wsp:val=&quot;38AD15C3&quot;/&gt;&lt;wsp:rsid wsp:val=&quot;38B51521&quot;/&gt;&lt;wsp:rsid wsp:val=&quot;38BA7D5C&quot;/&gt;&lt;wsp:rsid wsp:val=&quot;38EB664B&quot;/&gt;&lt;wsp:rsid wsp:val=&quot;38F80837&quot;/&gt;&lt;wsp:rsid wsp:val=&quot;38F91BCD&quot;/&gt;&lt;wsp:rsid wsp:val=&quot;39070AAC&quot;/&gt;&lt;wsp:rsid wsp:val=&quot;39086358&quot;/&gt;&lt;wsp:rsid wsp:val=&quot;393153B7&quot;/&gt;&lt;wsp:rsid wsp:val=&quot;394C52C9&quot;/&gt;&lt;wsp:rsid wsp:val=&quot;39697CD8&quot;/&gt;&lt;wsp:rsid wsp:val=&quot;39751EC5&quot;/&gt;&lt;wsp:rsid wsp:val=&quot;398C5842&quot;/&gt;&lt;wsp:rsid wsp:val=&quot;399C5CC5&quot;/&gt;&lt;wsp:rsid wsp:val=&quot;399E558B&quot;/&gt;&lt;wsp:rsid wsp:val=&quot;39BF6E97&quot;/&gt;&lt;wsp:rsid wsp:val=&quot;39D66A57&quot;/&gt;&lt;wsp:rsid wsp:val=&quot;39DE7E7E&quot;/&gt;&lt;wsp:rsid wsp:val=&quot;39EC17AA&quot;/&gt;&lt;wsp:rsid wsp:val=&quot;3A085559&quot;/&gt;&lt;wsp:rsid wsp:val=&quot;3A0D141A&quot;/&gt;&lt;wsp:rsid wsp:val=&quot;3A243815&quot;/&gt;&lt;wsp:rsid wsp:val=&quot;3A4B32A1&quot;/&gt;&lt;wsp:rsid wsp:val=&quot;3A5B0B30&quot;/&gt;&lt;wsp:rsid wsp:val=&quot;3A5E46D9&quot;/&gt;&lt;wsp:rsid wsp:val=&quot;3A690617&quot;/&gt;&lt;wsp:rsid wsp:val=&quot;3A6F0291&quot;/&gt;&lt;wsp:rsid wsp:val=&quot;3A8A71D1&quot;/&gt;&lt;wsp:rsid wsp:val=&quot;3AB12108&quot;/&gt;&lt;wsp:rsid wsp:val=&quot;3ABE5CE0&quot;/&gt;&lt;wsp:rsid wsp:val=&quot;3ADA1058&quot;/&gt;&lt;wsp:rsid wsp:val=&quot;3B011173&quot;/&gt;&lt;wsp:rsid wsp:val=&quot;3B104A62&quot;/&gt;&lt;wsp:rsid wsp:val=&quot;3B6363EA&quot;/&gt;&lt;wsp:rsid wsp:val=&quot;3B804D03&quot;/&gt;&lt;wsp:rsid wsp:val=&quot;3B9916CD&quot;/&gt;&lt;wsp:rsid wsp:val=&quot;3BF269D8&quot;/&gt;&lt;wsp:rsid wsp:val=&quot;3C1B4329&quot;/&gt;&lt;wsp:rsid wsp:val=&quot;3C235DF5&quot;/&gt;&lt;wsp:rsid wsp:val=&quot;3C374014&quot;/&gt;&lt;wsp:rsid wsp:val=&quot;3C405B17&quot;/&gt;&lt;wsp:rsid wsp:val=&quot;3C764C2E&quot;/&gt;&lt;wsp:rsid wsp:val=&quot;3C78126A&quot;/&gt;&lt;wsp:rsid wsp:val=&quot;3CA562E6&quot;/&gt;&lt;wsp:rsid wsp:val=&quot;3CA740F0&quot;/&gt;&lt;wsp:rsid wsp:val=&quot;3CB607D5&quot;/&gt;&lt;wsp:rsid wsp:val=&quot;3D000F92&quot;/&gt;&lt;wsp:rsid wsp:val=&quot;3D0E21B3&quot;/&gt;&lt;wsp:rsid wsp:val=&quot;3D326B36&quot;/&gt;&lt;wsp:rsid wsp:val=&quot;3D3B50E0&quot;/&gt;&lt;wsp:rsid wsp:val=&quot;3D7C2D6C&quot;/&gt;&lt;wsp:rsid wsp:val=&quot;3D9D6AC0&quot;/&gt;&lt;wsp:rsid wsp:val=&quot;3DAF6A47&quot;/&gt;&lt;wsp:rsid wsp:val=&quot;3DBD53A4&quot;/&gt;&lt;wsp:rsid wsp:val=&quot;3DC51720&quot;/&gt;&lt;wsp:rsid wsp:val=&quot;3DD3268E&quot;/&gt;&lt;wsp:rsid wsp:val=&quot;3DF05AC1&quot;/&gt;&lt;wsp:rsid wsp:val=&quot;3E085F49&quot;/&gt;&lt;wsp:rsid wsp:val=&quot;3E4E24CC&quot;/&gt;&lt;wsp:rsid wsp:val=&quot;3E5B55DC&quot;/&gt;&lt;wsp:rsid wsp:val=&quot;3E5F33E4&quot;/&gt;&lt;wsp:rsid wsp:val=&quot;3E8B042A&quot;/&gt;&lt;wsp:rsid wsp:val=&quot;3EA93C33&quot;/&gt;&lt;wsp:rsid wsp:val=&quot;3EBC620A&quot;/&gt;&lt;wsp:rsid wsp:val=&quot;3ECE6552&quot;/&gt;&lt;wsp:rsid wsp:val=&quot;3ED1585F&quot;/&gt;&lt;wsp:rsid wsp:val=&quot;3EEF7213&quot;/&gt;&lt;wsp:rsid wsp:val=&quot;3F4976AD&quot;/&gt;&lt;wsp:rsid wsp:val=&quot;3F570BE9&quot;/&gt;&lt;wsp:rsid wsp:val=&quot;3F623298&quot;/&gt;&lt;wsp:rsid wsp:val=&quot;3F786788&quot;/&gt;&lt;wsp:rsid wsp:val=&quot;3F794993&quot;/&gt;&lt;wsp:rsid wsp:val=&quot;3F984A72&quot;/&gt;&lt;wsp:rsid wsp:val=&quot;400870C2&quot;/&gt;&lt;wsp:rsid wsp:val=&quot;401A0C18&quot;/&gt;&lt;wsp:rsid wsp:val=&quot;4023326A&quot;/&gt;&lt;wsp:rsid wsp:val=&quot;40262630&quot;/&gt;&lt;wsp:rsid wsp:val=&quot;402747A2&quot;/&gt;&lt;wsp:rsid wsp:val=&quot;4049774E&quot;/&gt;&lt;wsp:rsid wsp:val=&quot;405940CB&quot;/&gt;&lt;wsp:rsid wsp:val=&quot;40A36822&quot;/&gt;&lt;wsp:rsid wsp:val=&quot;40C04433&quot;/&gt;&lt;wsp:rsid wsp:val=&quot;41077F82&quot;/&gt;&lt;wsp:rsid wsp:val=&quot;410D1033&quot;/&gt;&lt;wsp:rsid wsp:val=&quot;41395D7D&quot;/&gt;&lt;wsp:rsid wsp:val=&quot;41477B3B&quot;/&gt;&lt;wsp:rsid wsp:val=&quot;41477BA1&quot;/&gt;&lt;wsp:rsid wsp:val=&quot;41484221&quot;/&gt;&lt;wsp:rsid wsp:val=&quot;417738DA&quot;/&gt;&lt;wsp:rsid wsp:val=&quot;417D7C80&quot;/&gt;&lt;wsp:rsid wsp:val=&quot;41816113&quot;/&gt;&lt;wsp:rsid wsp:val=&quot;41AA6801&quot;/&gt;&lt;wsp:rsid wsp:val=&quot;41D36A8F&quot;/&gt;&lt;wsp:rsid wsp:val=&quot;41F35C21&quot;/&gt;&lt;wsp:rsid wsp:val=&quot;424106DB&quot;/&gt;&lt;wsp:rsid wsp:val=&quot;426C6856&quot;/&gt;&lt;wsp:rsid wsp:val=&quot;427E69B4&quot;/&gt;&lt;wsp:rsid wsp:val=&quot;428F02C5&quot;/&gt;&lt;wsp:rsid wsp:val=&quot;429D2635&quot;/&gt;&lt;wsp:rsid wsp:val=&quot;42A87357&quot;/&gt;&lt;wsp:rsid wsp:val=&quot;42AA350F&quot;/&gt;&lt;wsp:rsid wsp:val=&quot;42BD65CC&quot;/&gt;&lt;wsp:rsid wsp:val=&quot;42C24E21&quot;/&gt;&lt;wsp:rsid wsp:val=&quot;42CE5649&quot;/&gt;&lt;wsp:rsid wsp:val=&quot;42FA2A7B&quot;/&gt;&lt;wsp:rsid wsp:val=&quot;4320160B&quot;/&gt;&lt;wsp:rsid wsp:val=&quot;432C3F5D&quot;/&gt;&lt;wsp:rsid wsp:val=&quot;434B5E2D&quot;/&gt;&lt;wsp:rsid wsp:val=&quot;437D6E98&quot;/&gt;&lt;wsp:rsid wsp:val=&quot;43836645&quot;/&gt;&lt;wsp:rsid wsp:val=&quot;439169D3&quot;/&gt;&lt;wsp:rsid wsp:val=&quot;43D82842&quot;/&gt;&lt;wsp:rsid wsp:val=&quot;43EC02AC&quot;/&gt;&lt;wsp:rsid wsp:val=&quot;43FB717B&quot;/&gt;&lt;wsp:rsid wsp:val=&quot;441C3BCF&quot;/&gt;&lt;wsp:rsid wsp:val=&quot;442108A7&quot;/&gt;&lt;wsp:rsid wsp:val=&quot;442153F6&quot;/&gt;&lt;wsp:rsid wsp:val=&quot;442E12C3&quot;/&gt;&lt;wsp:rsid wsp:val=&quot;44340402&quot;/&gt;&lt;wsp:rsid wsp:val=&quot;444C72EA&quot;/&gt;&lt;wsp:rsid wsp:val=&quot;4454356C&quot;/&gt;&lt;wsp:rsid wsp:val=&quot;44754B24&quot;/&gt;&lt;wsp:rsid wsp:val=&quot;4485170E&quot;/&gt;&lt;wsp:rsid wsp:val=&quot;449F6FFD&quot;/&gt;&lt;wsp:rsid wsp:val=&quot;44C724FF&quot;/&gt;&lt;wsp:rsid wsp:val=&quot;44CD439E&quot;/&gt;&lt;wsp:rsid wsp:val=&quot;459C5113&quot;/&gt;&lt;wsp:rsid wsp:val=&quot;45DE1958&quot;/&gt;&lt;wsp:rsid wsp:val=&quot;45F71D3F&quot;/&gt;&lt;wsp:rsid wsp:val=&quot;46081FAF&quot;/&gt;&lt;wsp:rsid wsp:val=&quot;460B711F&quot;/&gt;&lt;wsp:rsid wsp:val=&quot;460F572D&quot;/&gt;&lt;wsp:rsid wsp:val=&quot;462F6A17&quot;/&gt;&lt;wsp:rsid wsp:val=&quot;4656226A&quot;/&gt;&lt;wsp:rsid wsp:val=&quot;46577F66&quot;/&gt;&lt;wsp:rsid wsp:val=&quot;466C43AB&quot;/&gt;&lt;wsp:rsid wsp:val=&quot;46840BAD&quot;/&gt;&lt;wsp:rsid wsp:val=&quot;469337F3&quot;/&gt;&lt;wsp:rsid wsp:val=&quot;469708F4&quot;/&gt;&lt;wsp:rsid wsp:val=&quot;469C4109&quot;/&gt;&lt;wsp:rsid wsp:val=&quot;46A3301B&quot;/&gt;&lt;wsp:rsid wsp:val=&quot;46AD78F9&quot;/&gt;&lt;wsp:rsid wsp:val=&quot;46C30060&quot;/&gt;&lt;wsp:rsid wsp:val=&quot;46C308C1&quot;/&gt;&lt;wsp:rsid wsp:val=&quot;46C36A8C&quot;/&gt;&lt;wsp:rsid wsp:val=&quot;470326DB&quot;/&gt;&lt;wsp:rsid wsp:val=&quot;472B4A6A&quot;/&gt;&lt;wsp:rsid wsp:val=&quot;47346D9B&quot;/&gt;&lt;wsp:rsid wsp:val=&quot;474755E1&quot;/&gt;&lt;wsp:rsid wsp:val=&quot;47652383&quot;/&gt;&lt;wsp:rsid wsp:val=&quot;47685307&quot;/&gt;&lt;wsp:rsid wsp:val=&quot;478A6976&quot;/&gt;&lt;wsp:rsid wsp:val=&quot;47AC7750&quot;/&gt;&lt;wsp:rsid wsp:val=&quot;47B635D9&quot;/&gt;&lt;wsp:rsid wsp:val=&quot;47BF26BC&quot;/&gt;&lt;wsp:rsid wsp:val=&quot;48497690&quot;/&gt;&lt;wsp:rsid wsp:val=&quot;485734FA&quot;/&gt;&lt;wsp:rsid wsp:val=&quot;4858792F&quot;/&gt;&lt;wsp:rsid wsp:val=&quot;487F4EAB&quot;/&gt;&lt;wsp:rsid wsp:val=&quot;48853399&quot;/&gt;&lt;wsp:rsid wsp:val=&quot;489020D3&quot;/&gt;&lt;wsp:rsid wsp:val=&quot;489B1A13&quot;/&gt;&lt;wsp:rsid wsp:val=&quot;48C27684&quot;/&gt;&lt;wsp:rsid wsp:val=&quot;48C804FB&quot;/&gt;&lt;wsp:rsid wsp:val=&quot;48EE1788&quot;/&gt;&lt;wsp:rsid wsp:val=&quot;48F21F15&quot;/&gt;&lt;wsp:rsid wsp:val=&quot;48F64ACF&quot;/&gt;&lt;wsp:rsid wsp:val=&quot;49202BBA&quot;/&gt;&lt;wsp:rsid wsp:val=&quot;49270D3A&quot;/&gt;&lt;wsp:rsid wsp:val=&quot;493122F2&quot;/&gt;&lt;wsp:rsid wsp:val=&quot;493356B9&quot;/&gt;&lt;wsp:rsid wsp:val=&quot;496D1E19&quot;/&gt;&lt;wsp:rsid wsp:val=&quot;49736B29&quot;/&gt;&lt;wsp:rsid wsp:val=&quot;49DC07CD&quot;/&gt;&lt;wsp:rsid wsp:val=&quot;4A2E3030&quot;/&gt;&lt;wsp:rsid wsp:val=&quot;4A3F3EF6&quot;/&gt;&lt;wsp:rsid wsp:val=&quot;4A6174E2&quot;/&gt;&lt;wsp:rsid wsp:val=&quot;4A9162C0&quot;/&gt;&lt;wsp:rsid wsp:val=&quot;4A983B3C&quot;/&gt;&lt;wsp:rsid wsp:val=&quot;4AB81A2E&quot;/&gt;&lt;wsp:rsid wsp:val=&quot;4AC07BA8&quot;/&gt;&lt;wsp:rsid wsp:val=&quot;4AC212B3&quot;/&gt;&lt;wsp:rsid wsp:val=&quot;4AC95E57&quot;/&gt;&lt;wsp:rsid wsp:val=&quot;4AF052CA&quot;/&gt;&lt;wsp:rsid wsp:val=&quot;4AFD0240&quot;/&gt;&lt;wsp:rsid wsp:val=&quot;4B050147&quot;/&gt;&lt;wsp:rsid wsp:val=&quot;4B0E54DA&quot;/&gt;&lt;wsp:rsid wsp:val=&quot;4B263B0D&quot;/&gt;&lt;wsp:rsid wsp:val=&quot;4B3165D4&quot;/&gt;&lt;wsp:rsid wsp:val=&quot;4B3F7D61&quot;/&gt;&lt;wsp:rsid wsp:val=&quot;4B5773A6&quot;/&gt;&lt;wsp:rsid wsp:val=&quot;4B717748&quot;/&gt;&lt;wsp:rsid wsp:val=&quot;4B74632E&quot;/&gt;&lt;wsp:rsid wsp:val=&quot;4B8219EF&quot;/&gt;&lt;wsp:rsid wsp:val=&quot;4BA31553&quot;/&gt;&lt;wsp:rsid wsp:val=&quot;4BAF0847&quot;/&gt;&lt;wsp:rsid wsp:val=&quot;4BB62A42&quot;/&gt;&lt;wsp:rsid wsp:val=&quot;4BF43D54&quot;/&gt;&lt;wsp:rsid wsp:val=&quot;4BF9744C&quot;/&gt;&lt;wsp:rsid wsp:val=&quot;4C0057BA&quot;/&gt;&lt;wsp:rsid wsp:val=&quot;4C255EE0&quot;/&gt;&lt;wsp:rsid wsp:val=&quot;4C2A2E2C&quot;/&gt;&lt;wsp:rsid wsp:val=&quot;4C4D6B63&quot;/&gt;&lt;wsp:rsid wsp:val=&quot;4C5377D5&quot;/&gt;&lt;wsp:rsid wsp:val=&quot;4C6004DD&quot;/&gt;&lt;wsp:rsid wsp:val=&quot;4C613502&quot;/&gt;&lt;wsp:rsid wsp:val=&quot;4C6D0F2D&quot;/&gt;&lt;wsp:rsid wsp:val=&quot;4C7D15A1&quot;/&gt;&lt;wsp:rsid wsp:val=&quot;4C83250D&quot;/&gt;&lt;wsp:rsid wsp:val=&quot;4CBF6BE0&quot;/&gt;&lt;wsp:rsid wsp:val=&quot;4CEB0267&quot;/&gt;&lt;wsp:rsid wsp:val=&quot;4CF541A9&quot;/&gt;&lt;wsp:rsid wsp:val=&quot;4D0A22A5&quot;/&gt;&lt;wsp:rsid wsp:val=&quot;4D1261CE&quot;/&gt;&lt;wsp:rsid wsp:val=&quot;4D171FFD&quot;/&gt;&lt;wsp:rsid wsp:val=&quot;4D1F1FF1&quot;/&gt;&lt;wsp:rsid wsp:val=&quot;4D340232&quot;/&gt;&lt;wsp:rsid wsp:val=&quot;4D574B88&quot;/&gt;&lt;wsp:rsid wsp:val=&quot;4D7C63F8&quot;/&gt;&lt;wsp:rsid wsp:val=&quot;4DAA7907&quot;/&gt;&lt;wsp:rsid wsp:val=&quot;4DAB3452&quot;/&gt;&lt;wsp:rsid wsp:val=&quot;4DBA2C26&quot;/&gt;&lt;wsp:rsid wsp:val=&quot;4DED4BF9&quot;/&gt;&lt;wsp:rsid wsp:val=&quot;4E0F7B4A&quot;/&gt;&lt;wsp:rsid wsp:val=&quot;4E145F58&quot;/&gt;&lt;wsp:rsid wsp:val=&quot;4E1B72DF&quot;/&gt;&lt;wsp:rsid wsp:val=&quot;4E5F5EAD&quot;/&gt;&lt;wsp:rsid wsp:val=&quot;4E9D38F9&quot;/&gt;&lt;wsp:rsid wsp:val=&quot;4EDA225F&quot;/&gt;&lt;wsp:rsid wsp:val=&quot;4EE062D0&quot;/&gt;&lt;wsp:rsid wsp:val=&quot;4EE40BEE&quot;/&gt;&lt;wsp:rsid wsp:val=&quot;4EEA1C42&quot;/&gt;&lt;wsp:rsid wsp:val=&quot;4EEE524A&quot;/&gt;&lt;wsp:rsid wsp:val=&quot;4F242985&quot;/&gt;&lt;wsp:rsid wsp:val=&quot;4F32701D&quot;/&gt;&lt;wsp:rsid wsp:val=&quot;4F3E6A2B&quot;/&gt;&lt;wsp:rsid wsp:val=&quot;4F496891&quot;/&gt;&lt;wsp:rsid wsp:val=&quot;4F632E7E&quot;/&gt;&lt;wsp:rsid wsp:val=&quot;4F6A5B37&quot;/&gt;&lt;wsp:rsid wsp:val=&quot;4F8C4CC9&quot;/&gt;&lt;wsp:rsid wsp:val=&quot;4F9A2FBA&quot;/&gt;&lt;wsp:rsid wsp:val=&quot;4FDB0046&quot;/&gt;&lt;wsp:rsid wsp:val=&quot;4FE6166E&quot;/&gt;&lt;wsp:rsid wsp:val=&quot;50074C87&quot;/&gt;&lt;wsp:rsid wsp:val=&quot;500B0181&quot;/&gt;&lt;wsp:rsid wsp:val=&quot;500C1426&quot;/&gt;&lt;wsp:rsid wsp:val=&quot;50100108&quot;/&gt;&lt;wsp:rsid wsp:val=&quot;5026432D&quot;/&gt;&lt;wsp:rsid wsp:val=&quot;50323C15&quot;/&gt;&lt;wsp:rsid wsp:val=&quot;5061391C&quot;/&gt;&lt;wsp:rsid wsp:val=&quot;506A3FA8&quot;/&gt;&lt;wsp:rsid wsp:val=&quot;507F087A&quot;/&gt;&lt;wsp:rsid wsp:val=&quot;5093708C&quot;/&gt;&lt;wsp:rsid wsp:val=&quot;50AD7FA8&quot;/&gt;&lt;wsp:rsid wsp:val=&quot;50B75A6E&quot;/&gt;&lt;wsp:rsid wsp:val=&quot;50C27880&quot;/&gt;&lt;wsp:rsid wsp:val=&quot;50CC313C&quot;/&gt;&lt;wsp:rsid wsp:val=&quot;50E561EC&quot;/&gt;&lt;wsp:rsid wsp:val=&quot;50EF51C9&quot;/&gt;&lt;wsp:rsid wsp:val=&quot;50FF7E74&quot;/&gt;&lt;wsp:rsid wsp:val=&quot;511526F3&quot;/&gt;&lt;wsp:rsid wsp:val=&quot;51594CA5&quot;/&gt;&lt;wsp:rsid wsp:val=&quot;517452DB&quot;/&gt;&lt;wsp:rsid wsp:val=&quot;519708DB&quot;/&gt;&lt;wsp:rsid wsp:val=&quot;51AB4928&quot;/&gt;&lt;wsp:rsid wsp:val=&quot;51D07439&quot;/&gt;&lt;wsp:rsid wsp:val=&quot;51D36AD4&quot;/&gt;&lt;wsp:rsid wsp:val=&quot;520D2D4D&quot;/&gt;&lt;wsp:rsid wsp:val=&quot;523F273C&quot;/&gt;&lt;wsp:rsid wsp:val=&quot;5257071E&quot;/&gt;&lt;wsp:rsid wsp:val=&quot;5268410B&quot;/&gt;&lt;wsp:rsid wsp:val=&quot;52A67B13&quot;/&gt;&lt;wsp:rsid wsp:val=&quot;52AF440E&quot;/&gt;&lt;wsp:rsid wsp:val=&quot;52BF44EE&quot;/&gt;&lt;wsp:rsid wsp:val=&quot;52CE4793&quot;/&gt;&lt;wsp:rsid wsp:val=&quot;52D132E1&quot;/&gt;&lt;wsp:rsid wsp:val=&quot;52D976E2&quot;/&gt;&lt;wsp:rsid wsp:val=&quot;52E27D55&quot;/&gt;&lt;wsp:rsid wsp:val=&quot;53204BBC&quot;/&gt;&lt;wsp:rsid wsp:val=&quot;53316718&quot;/&gt;&lt;wsp:rsid wsp:val=&quot;53401963&quot;/&gt;&lt;wsp:rsid wsp:val=&quot;53467707&quot;/&gt;&lt;wsp:rsid wsp:val=&quot;534F0B98&quot;/&gt;&lt;wsp:rsid wsp:val=&quot;535D4334&quot;/&gt;&lt;wsp:rsid wsp:val=&quot;53624B68&quot;/&gt;&lt;wsp:rsid wsp:val=&quot;537A2B9B&quot;/&gt;&lt;wsp:rsid wsp:val=&quot;539F7A99&quot;/&gt;&lt;wsp:rsid wsp:val=&quot;53B12142&quot;/&gt;&lt;wsp:rsid wsp:val=&quot;53B80C21&quot;/&gt;&lt;wsp:rsid wsp:val=&quot;53F26A5C&quot;/&gt;&lt;wsp:rsid wsp:val=&quot;54177340&quot;/&gt;&lt;wsp:rsid wsp:val=&quot;54204A87&quot;/&gt;&lt;wsp:rsid wsp:val=&quot;54264AF8&quot;/&gt;&lt;wsp:rsid wsp:val=&quot;54505B4E&quot;/&gt;&lt;wsp:rsid wsp:val=&quot;545633E6&quot;/&gt;&lt;wsp:rsid wsp:val=&quot;54743A4E&quot;/&gt;&lt;wsp:rsid wsp:val=&quot;54772EEC&quot;/&gt;&lt;wsp:rsid wsp:val=&quot;54B45049&quot;/&gt;&lt;wsp:rsid wsp:val=&quot;54B55E90&quot;/&gt;&lt;wsp:rsid wsp:val=&quot;54ED3D5F&quot;/&gt;&lt;wsp:rsid wsp:val=&quot;550F2946&quot;/&gt;&lt;wsp:rsid wsp:val=&quot;55351DD9&quot;/&gt;&lt;wsp:rsid wsp:val=&quot;553D6CE4&quot;/&gt;&lt;wsp:rsid wsp:val=&quot;555F11ED&quot;/&gt;&lt;wsp:rsid wsp:val=&quot;556A2638&quot;/&gt;&lt;wsp:rsid wsp:val=&quot;557026A6&quot;/&gt;&lt;wsp:rsid wsp:val=&quot;55C5656D&quot;/&gt;&lt;wsp:rsid wsp:val=&quot;560A4CF4&quot;/&gt;&lt;wsp:rsid wsp:val=&quot;5612022F&quot;/&gt;&lt;wsp:rsid wsp:val=&quot;56421B90&quot;/&gt;&lt;wsp:rsid wsp:val=&quot;56472402&quot;/&gt;&lt;wsp:rsid wsp:val=&quot;56666951&quot;/&gt;&lt;wsp:rsid wsp:val=&quot;568A5EF7&quot;/&gt;&lt;wsp:rsid wsp:val=&quot;569A01F5&quot;/&gt;&lt;wsp:rsid wsp:val=&quot;57045863&quot;/&gt;&lt;wsp:rsid wsp:val=&quot;5705360F&quot;/&gt;&lt;wsp:rsid wsp:val=&quot;570D094F&quot;/&gt;&lt;wsp:rsid wsp:val=&quot;57701CE1&quot;/&gt;&lt;wsp:rsid wsp:val=&quot;57742D5B&quot;/&gt;&lt;wsp:rsid wsp:val=&quot;5784353B&quot;/&gt;&lt;wsp:rsid wsp:val=&quot;57A65469&quot;/&gt;&lt;wsp:rsid wsp:val=&quot;57BB0AD9&quot;/&gt;&lt;wsp:rsid wsp:val=&quot;57E116D3&quot;/&gt;&lt;wsp:rsid wsp:val=&quot;57EC7BE9&quot;/&gt;&lt;wsp:rsid wsp:val=&quot;57F205FF&quot;/&gt;&lt;wsp:rsid wsp:val=&quot;57FB1A0A&quot;/&gt;&lt;wsp:rsid wsp:val=&quot;5802359C&quot;/&gt;&lt;wsp:rsid wsp:val=&quot;580A0C13&quot;/&gt;&lt;wsp:rsid wsp:val=&quot;580D58C7&quot;/&gt;&lt;wsp:rsid wsp:val=&quot;582746B4&quot;/&gt;&lt;wsp:rsid wsp:val=&quot;5833406E&quot;/&gt;&lt;wsp:rsid wsp:val=&quot;583E7E3D&quot;/&gt;&lt;wsp:rsid wsp:val=&quot;58776D73&quot;/&gt;&lt;wsp:rsid wsp:val=&quot;588D2C31&quot;/&gt;&lt;wsp:rsid wsp:val=&quot;589B43DD&quot;/&gt;&lt;wsp:rsid wsp:val=&quot;58AD6B4D&quot;/&gt;&lt;wsp:rsid wsp:val=&quot;58BB1973&quot;/&gt;&lt;wsp:rsid wsp:val=&quot;58BC5E1B&quot;/&gt;&lt;wsp:rsid wsp:val=&quot;58C16BCA&quot;/&gt;&lt;wsp:rsid wsp:val=&quot;58EF0F63&quot;/&gt;&lt;wsp:rsid wsp:val=&quot;58F06E3A&quot;/&gt;&lt;wsp:rsid wsp:val=&quot;58FF77DA&quot;/&gt;&lt;wsp:rsid wsp:val=&quot;59222399&quot;/&gt;&lt;wsp:rsid wsp:val=&quot;592655FD&quot;/&gt;&lt;wsp:rsid wsp:val=&quot;593E53C7&quot;/&gt;&lt;wsp:rsid wsp:val=&quot;594012D1&quot;/&gt;&lt;wsp:rsid wsp:val=&quot;59592AF7&quot;/&gt;&lt;wsp:rsid wsp:val=&quot;596F5B63&quot;/&gt;&lt;wsp:rsid wsp:val=&quot;59844B60&quot;/&gt;&lt;wsp:rsid wsp:val=&quot;59A91C39&quot;/&gt;&lt;wsp:rsid wsp:val=&quot;59CF1D3D&quot;/&gt;&lt;wsp:rsid wsp:val=&quot;59D96B24&quot;/&gt;&lt;wsp:rsid wsp:val=&quot;59F131E8&quot;/&gt;&lt;wsp:rsid wsp:val=&quot;59FA5681&quot;/&gt;&lt;wsp:rsid wsp:val=&quot;5A1C0D57&quot;/&gt;&lt;wsp:rsid wsp:val=&quot;5A2055FA&quot;/&gt;&lt;wsp:rsid wsp:val=&quot;5A4A1383&quot;/&gt;&lt;wsp:rsid wsp:val=&quot;5AAF0003&quot;/&gt;&lt;wsp:rsid wsp:val=&quot;5AC11AB0&quot;/&gt;&lt;wsp:rsid wsp:val=&quot;5AEA4FAB&quot;/&gt;&lt;wsp:rsid wsp:val=&quot;5AF4385A&quot;/&gt;&lt;wsp:rsid wsp:val=&quot;5AF64539&quot;/&gt;&lt;wsp:rsid wsp:val=&quot;5AFD2EA9&quot;/&gt;&lt;wsp:rsid wsp:val=&quot;5B1D0CF1&quot;/&gt;&lt;wsp:rsid wsp:val=&quot;5B3148A8&quot;/&gt;&lt;wsp:rsid wsp:val=&quot;5B353824&quot;/&gt;&lt;wsp:rsid wsp:val=&quot;5B390C8A&quot;/&gt;&lt;wsp:rsid wsp:val=&quot;5B606048&quot;/&gt;&lt;wsp:rsid wsp:val=&quot;5B6323B3&quot;/&gt;&lt;wsp:rsid wsp:val=&quot;5B7F3653&quot;/&gt;&lt;wsp:rsid wsp:val=&quot;5B8706B2&quot;/&gt;&lt;wsp:rsid wsp:val=&quot;5B95566A&quot;/&gt;&lt;wsp:rsid wsp:val=&quot;5BA57DC1&quot;/&gt;&lt;wsp:rsid wsp:val=&quot;5BB278B3&quot;/&gt;&lt;wsp:rsid wsp:val=&quot;5BC67C3D&quot;/&gt;&lt;wsp:rsid wsp:val=&quot;5BCD6484&quot;/&gt;&lt;wsp:rsid wsp:val=&quot;5BDB2C5E&quot;/&gt;&lt;wsp:rsid wsp:val=&quot;5BF5158C&quot;/&gt;&lt;wsp:rsid wsp:val=&quot;5BF96B26&quot;/&gt;&lt;wsp:rsid wsp:val=&quot;5C1E4E12&quot;/&gt;&lt;wsp:rsid wsp:val=&quot;5C264FCE&quot;/&gt;&lt;wsp:rsid wsp:val=&quot;5C620D5C&quot;/&gt;&lt;wsp:rsid wsp:val=&quot;5C692678&quot;/&gt;&lt;wsp:rsid wsp:val=&quot;5C6E5321&quot;/&gt;&lt;wsp:rsid wsp:val=&quot;5C6E6FB0&quot;/&gt;&lt;wsp:rsid wsp:val=&quot;5C8079BB&quot;/&gt;&lt;wsp:rsid wsp:val=&quot;5C825C30&quot;/&gt;&lt;wsp:rsid wsp:val=&quot;5C840D3A&quot;/&gt;&lt;wsp:rsid wsp:val=&quot;5C8D5E95&quot;/&gt;&lt;wsp:rsid wsp:val=&quot;5CBC6CDE&quot;/&gt;&lt;wsp:rsid wsp:val=&quot;5CDA26BC&quot;/&gt;&lt;wsp:rsid wsp:val=&quot;5CE74C7F&quot;/&gt;&lt;wsp:rsid wsp:val=&quot;5CF224BA&quot;/&gt;&lt;wsp:rsid wsp:val=&quot;5D1771B2&quot;/&gt;&lt;wsp:rsid wsp:val=&quot;5D287851&quot;/&gt;&lt;wsp:rsid wsp:val=&quot;5D393E0A&quot;/&gt;&lt;wsp:rsid wsp:val=&quot;5D590B65&quot;/&gt;&lt;wsp:rsid wsp:val=&quot;5DAB02C3&quot;/&gt;&lt;wsp:rsid wsp:val=&quot;5DE56B63&quot;/&gt;&lt;wsp:rsid wsp:val=&quot;5E0510EF&quot;/&gt;&lt;wsp:rsid wsp:val=&quot;5E293FC2&quot;/&gt;&lt;wsp:rsid wsp:val=&quot;5E347196&quot;/&gt;&lt;wsp:rsid wsp:val=&quot;5E3D30B0&quot;/&gt;&lt;wsp:rsid wsp:val=&quot;5E57036E&quot;/&gt;&lt;wsp:rsid wsp:val=&quot;5E6368FD&quot;/&gt;&lt;wsp:rsid wsp:val=&quot;5E666A3F&quot;/&gt;&lt;wsp:rsid wsp:val=&quot;5E702C84&quot;/&gt;&lt;wsp:rsid wsp:val=&quot;5E9630AB&quot;/&gt;&lt;wsp:rsid wsp:val=&quot;5E9B4927&quot;/&gt;&lt;wsp:rsid wsp:val=&quot;5E9C28C8&quot;/&gt;&lt;wsp:rsid wsp:val=&quot;5EAE0FD2&quot;/&gt;&lt;wsp:rsid wsp:val=&quot;5EBA5034&quot;/&gt;&lt;wsp:rsid wsp:val=&quot;5EC21422&quot;/&gt;&lt;wsp:rsid wsp:val=&quot;5ED0368B&quot;/&gt;&lt;wsp:rsid wsp:val=&quot;5EDF0139&quot;/&gt;&lt;wsp:rsid wsp:val=&quot;5EF83C50&quot;/&gt;&lt;wsp:rsid wsp:val=&quot;5F067FCF&quot;/&gt;&lt;wsp:rsid wsp:val=&quot;5F1D7064&quot;/&gt;&lt;wsp:rsid wsp:val=&quot;5F2A1C14&quot;/&gt;&lt;wsp:rsid wsp:val=&quot;5F444712&quot;/&gt;&lt;wsp:rsid wsp:val=&quot;5F4E4C4C&quot;/&gt;&lt;wsp:rsid wsp:val=&quot;5F7043FE&quot;/&gt;&lt;wsp:rsid wsp:val=&quot;5F710A7F&quot;/&gt;&lt;wsp:rsid wsp:val=&quot;5F780D4D&quot;/&gt;&lt;wsp:rsid wsp:val=&quot;5F8B4429&quot;/&gt;&lt;wsp:rsid wsp:val=&quot;5FBB5C02&quot;/&gt;&lt;wsp:rsid wsp:val=&quot;5FBF25E4&quot;/&gt;&lt;wsp:rsid wsp:val=&quot;5FC375E0&quot;/&gt;&lt;wsp:rsid wsp:val=&quot;5FCA599E&quot;/&gt;&lt;wsp:rsid wsp:val=&quot;5FE912CE&quot;/&gt;&lt;wsp:rsid wsp:val=&quot;5FEF3AD8&quot;/&gt;&lt;wsp:rsid wsp:val=&quot;600A4169&quot;/&gt;&lt;wsp:rsid wsp:val=&quot;60223B74&quot;/&gt;&lt;wsp:rsid wsp:val=&quot;60533D6B&quot;/&gt;&lt;wsp:rsid wsp:val=&quot;60620E30&quot;/&gt;&lt;wsp:rsid wsp:val=&quot;606547A6&quot;/&gt;&lt;wsp:rsid wsp:val=&quot;607064A8&quot;/&gt;&lt;wsp:rsid wsp:val=&quot;6089643B&quot;/&gt;&lt;wsp:rsid wsp:val=&quot;608B3518&quot;/&gt;&lt;wsp:rsid wsp:val=&quot;60B613DE&quot;/&gt;&lt;wsp:rsid wsp:val=&quot;60B8317C&quot;/&gt;&lt;wsp:rsid wsp:val=&quot;60BD49ED&quot;/&gt;&lt;wsp:rsid wsp:val=&quot;6119270A&quot;/&gt;&lt;wsp:rsid wsp:val=&quot;612D4ADF&quot;/&gt;&lt;wsp:rsid wsp:val=&quot;61333C09&quot;/&gt;&lt;wsp:rsid wsp:val=&quot;613563AB&quot;/&gt;&lt;wsp:rsid wsp:val=&quot;615B484C&quot;/&gt;&lt;wsp:rsid wsp:val=&quot;617F7063&quot;/&gt;&lt;wsp:rsid wsp:val=&quot;61885B3F&quot;/&gt;&lt;wsp:rsid wsp:val=&quot;61A87F74&quot;/&gt;&lt;wsp:rsid wsp:val=&quot;61BA4B62&quot;/&gt;&lt;wsp:rsid wsp:val=&quot;61BD1D44&quot;/&gt;&lt;wsp:rsid wsp:val=&quot;61DB12AA&quot;/&gt;&lt;wsp:rsid wsp:val=&quot;61DB4514&quot;/&gt;&lt;wsp:rsid wsp:val=&quot;62184073&quot;/&gt;&lt;wsp:rsid wsp:val=&quot;62653E93&quot;/&gt;&lt;wsp:rsid wsp:val=&quot;627F491E&quot;/&gt;&lt;wsp:rsid wsp:val=&quot;62975385&quot;/&gt;&lt;wsp:rsid wsp:val=&quot;630E29F6&quot;/&gt;&lt;wsp:rsid wsp:val=&quot;6311379D&quot;/&gt;&lt;wsp:rsid wsp:val=&quot;63267D30&quot;/&gt;&lt;wsp:rsid wsp:val=&quot;63291654&quot;/&gt;&lt;wsp:rsid wsp:val=&quot;632B44B3&quot;/&gt;&lt;wsp:rsid wsp:val=&quot;635C4DD4&quot;/&gt;&lt;wsp:rsid wsp:val=&quot;635F619D&quot;/&gt;&lt;wsp:rsid wsp:val=&quot;63A91A4E&quot;/&gt;&lt;wsp:rsid wsp:val=&quot;63A920F1&quot;/&gt;&lt;wsp:rsid wsp:val=&quot;63C52167&quot;/&gt;&lt;wsp:rsid wsp:val=&quot;63C61140&quot;/&gt;&lt;wsp:rsid wsp:val=&quot;63E3740A&quot;/&gt;&lt;wsp:rsid wsp:val=&quot;63E539DF&quot;/&gt;&lt;wsp:rsid wsp:val=&quot;63EA2F53&quot;/&gt;&lt;wsp:rsid wsp:val=&quot;64347118&quot;/&gt;&lt;wsp:rsid wsp:val=&quot;645925C1&quot;/&gt;&lt;wsp:rsid wsp:val=&quot;64925BC1&quot;/&gt;&lt;wsp:rsid wsp:val=&quot;64BD21EB&quot;/&gt;&lt;wsp:rsid wsp:val=&quot;64BD3864&quot;/&gt;&lt;wsp:rsid wsp:val=&quot;64E05334&quot;/&gt;&lt;wsp:rsid wsp:val=&quot;64E24779&quot;/&gt;&lt;wsp:rsid wsp:val=&quot;64FF31EE&quot;/&gt;&lt;wsp:rsid wsp:val=&quot;650712E0&quot;/&gt;&lt;wsp:rsid wsp:val=&quot;654357CA&quot;/&gt;&lt;wsp:rsid wsp:val=&quot;654472AC&quot;/&gt;&lt;wsp:rsid wsp:val=&quot;654D6C15&quot;/&gt;&lt;wsp:rsid wsp:val=&quot;654E1EB3&quot;/&gt;&lt;wsp:rsid wsp:val=&quot;655C5F60&quot;/&gt;&lt;wsp:rsid wsp:val=&quot;65667912&quot;/&gt;&lt;wsp:rsid wsp:val=&quot;656D4319&quot;/&gt;&lt;wsp:rsid wsp:val=&quot;6575573F&quot;/&gt;&lt;wsp:rsid wsp:val=&quot;65912AED&quot;/&gt;&lt;wsp:rsid wsp:val=&quot;65A25187&quot;/&gt;&lt;wsp:rsid wsp:val=&quot;65B87C4A&quot;/&gt;&lt;wsp:rsid wsp:val=&quot;65CF5A84&quot;/&gt;&lt;wsp:rsid wsp:val=&quot;65E72673&quot;/&gt;&lt;wsp:rsid wsp:val=&quot;66434F99&quot;/&gt;&lt;wsp:rsid wsp:val=&quot;666E744C&quot;/&gt;&lt;wsp:rsid wsp:val=&quot;66757B54&quot;/&gt;&lt;wsp:rsid wsp:val=&quot;667A3EC1&quot;/&gt;&lt;wsp:rsid wsp:val=&quot;66B172FF&quot;/&gt;&lt;wsp:rsid wsp:val=&quot;66C24222&quot;/&gt;&lt;wsp:rsid wsp:val=&quot;66EE57BF&quot;/&gt;&lt;wsp:rsid wsp:val=&quot;66F9215B&quot;/&gt;&lt;wsp:rsid wsp:val=&quot;67256437&quot;/&gt;&lt;wsp:rsid wsp:val=&quot;67354752&quot;/&gt;&lt;wsp:rsid wsp:val=&quot;6759547F&quot;/&gt;&lt;wsp:rsid wsp:val=&quot;67813D9A&quot;/&gt;&lt;wsp:rsid wsp:val=&quot;67926558&quot;/&gt;&lt;wsp:rsid wsp:val=&quot;67945EE4&quot;/&gt;&lt;wsp:rsid wsp:val=&quot;67A35A87&quot;/&gt;&lt;wsp:rsid wsp:val=&quot;67D70CBC&quot;/&gt;&lt;wsp:rsid wsp:val=&quot;67E0009B&quot;/&gt;&lt;wsp:rsid wsp:val=&quot;680D0927&quot;/&gt;&lt;wsp:rsid wsp:val=&quot;680F5930&quot;/&gt;&lt;wsp:rsid wsp:val=&quot;681704ED&quot;/&gt;&lt;wsp:rsid wsp:val=&quot;683A0C06&quot;/&gt;&lt;wsp:rsid wsp:val=&quot;68664706&quot;/&gt;&lt;wsp:rsid wsp:val=&quot;68774AEE&quot;/&gt;&lt;wsp:rsid wsp:val=&quot;687E704C&quot;/&gt;&lt;wsp:rsid wsp:val=&quot;68893BCD&quot;/&gt;&lt;wsp:rsid wsp:val=&quot;688D501B&quot;/&gt;&lt;wsp:rsid wsp:val=&quot;6900327E&quot;/&gt;&lt;wsp:rsid wsp:val=&quot;69366A3D&quot;/&gt;&lt;wsp:rsid wsp:val=&quot;69613621&quot;/&gt;&lt;wsp:rsid wsp:val=&quot;696E2C94&quot;/&gt;&lt;wsp:rsid wsp:val=&quot;6982639A&quot;/&gt;&lt;wsp:rsid wsp:val=&quot;69957638&quot;/&gt;&lt;wsp:rsid wsp:val=&quot;699C279A&quot;/&gt;&lt;wsp:rsid wsp:val=&quot;69A30758&quot;/&gt;&lt;wsp:rsid wsp:val=&quot;69AD40AA&quot;/&gt;&lt;wsp:rsid wsp:val=&quot;69B14C24&quot;/&gt;&lt;wsp:rsid wsp:val=&quot;69B71201&quot;/&gt;&lt;wsp:rsid wsp:val=&quot;69CB07CB&quot;/&gt;&lt;wsp:rsid wsp:val=&quot;69D756EB&quot;/&gt;&lt;wsp:rsid wsp:val=&quot;69EB3FE6&quot;/&gt;&lt;wsp:rsid wsp:val=&quot;69FB7AAC&quot;/&gt;&lt;wsp:rsid wsp:val=&quot;6A0D1BAE&quot;/&gt;&lt;wsp:rsid wsp:val=&quot;6A167AAB&quot;/&gt;&lt;wsp:rsid wsp:val=&quot;6A2629A7&quot;/&gt;&lt;wsp:rsid wsp:val=&quot;6A2D7FEB&quot;/&gt;&lt;wsp:rsid wsp:val=&quot;6A332AE7&quot;/&gt;&lt;wsp:rsid wsp:val=&quot;6A3860C1&quot;/&gt;&lt;wsp:rsid wsp:val=&quot;6A5467B5&quot;/&gt;&lt;wsp:rsid wsp:val=&quot;6A6D00F1&quot;/&gt;&lt;wsp:rsid wsp:val=&quot;6A777167&quot;/&gt;&lt;wsp:rsid wsp:val=&quot;6A8A2827&quot;/&gt;&lt;wsp:rsid wsp:val=&quot;6A9117B3&quot;/&gt;&lt;wsp:rsid wsp:val=&quot;6AB101F5&quot;/&gt;&lt;wsp:rsid wsp:val=&quot;6AC55968&quot;/&gt;&lt;wsp:rsid wsp:val=&quot;6AEA367C&quot;/&gt;&lt;wsp:rsid wsp:val=&quot;6B1371F3&quot;/&gt;&lt;wsp:rsid wsp:val=&quot;6B223469&quot;/&gt;&lt;wsp:rsid wsp:val=&quot;6B4C09FB&quot;/&gt;&lt;wsp:rsid wsp:val=&quot;6B570201&quot;/&gt;&lt;wsp:rsid wsp:val=&quot;6B8E54A6&quot;/&gt;&lt;wsp:rsid wsp:val=&quot;6BAF2D04&quot;/&gt;&lt;wsp:rsid wsp:val=&quot;6BEA4255&quot;/&gt;&lt;wsp:rsid wsp:val=&quot;6BEB1226&quot;/&gt;&lt;wsp:rsid wsp:val=&quot;6BFF42BB&quot;/&gt;&lt;wsp:rsid wsp:val=&quot;6BFF5D65&quot;/&gt;&lt;wsp:rsid wsp:val=&quot;6C047D50&quot;/&gt;&lt;wsp:rsid wsp:val=&quot;6C0D3505&quot;/&gt;&lt;wsp:rsid wsp:val=&quot;6C0D6F06&quot;/&gt;&lt;wsp:rsid wsp:val=&quot;6C1B2B97&quot;/&gt;&lt;wsp:rsid wsp:val=&quot;6C2728D4&quot;/&gt;&lt;wsp:rsid wsp:val=&quot;6C2A3447&quot;/&gt;&lt;wsp:rsid wsp:val=&quot;6C2F1215&quot;/&gt;&lt;wsp:rsid wsp:val=&quot;6C39511A&quot;/&gt;&lt;wsp:rsid wsp:val=&quot;6C4E3684&quot;/&gt;&lt;wsp:rsid wsp:val=&quot;6C774116&quot;/&gt;&lt;wsp:rsid wsp:val=&quot;6C822CF0&quot;/&gt;&lt;wsp:rsid wsp:val=&quot;6C8C5990&quot;/&gt;&lt;wsp:rsid wsp:val=&quot;6C8D33CD&quot;/&gt;&lt;wsp:rsid wsp:val=&quot;6C9061E3&quot;/&gt;&lt;wsp:rsid wsp:val=&quot;6C943EC3&quot;/&gt;&lt;wsp:rsid wsp:val=&quot;6C9A4A45&quot;/&gt;&lt;wsp:rsid wsp:val=&quot;6CA45133&quot;/&gt;&lt;wsp:rsid wsp:val=&quot;6CAF72A1&quot;/&gt;&lt;wsp:rsid wsp:val=&quot;6CBB04A9&quot;/&gt;&lt;wsp:rsid wsp:val=&quot;6CC23287&quot;/&gt;&lt;wsp:rsid wsp:val=&quot;6CF960CB&quot;/&gt;&lt;wsp:rsid wsp:val=&quot;6D1838BB&quot;/&gt;&lt;wsp:rsid wsp:val=&quot;6D280EDC&quot;/&gt;&lt;wsp:rsid wsp:val=&quot;6D3B4701&quot;/&gt;&lt;wsp:rsid wsp:val=&quot;6D3C4865&quot;/&gt;&lt;wsp:rsid wsp:val=&quot;6D484971&quot;/&gt;&lt;wsp:rsid wsp:val=&quot;6D4D4127&quot;/&gt;&lt;wsp:rsid wsp:val=&quot;6D595BBF&quot;/&gt;&lt;wsp:rsid wsp:val=&quot;6DEA05AF&quot;/&gt;&lt;wsp:rsid wsp:val=&quot;6DEB0BCF&quot;/&gt;&lt;wsp:rsid wsp:val=&quot;6E151906&quot;/&gt;&lt;wsp:rsid wsp:val=&quot;6E7C0354&quot;/&gt;&lt;wsp:rsid wsp:val=&quot;6E7C708C&quot;/&gt;&lt;wsp:rsid wsp:val=&quot;6E840DF5&quot;/&gt;&lt;wsp:rsid wsp:val=&quot;6EC546EB&quot;/&gt;&lt;wsp:rsid wsp:val=&quot;6ED64425&quot;/&gt;&lt;wsp:rsid wsp:val=&quot;6EF10745&quot;/&gt;&lt;wsp:rsid wsp:val=&quot;6EF1374A&quot;/&gt;&lt;wsp:rsid wsp:val=&quot;6F21721C&quot;/&gt;&lt;wsp:rsid wsp:val=&quot;6F6D686D&quot;/&gt;&lt;wsp:rsid wsp:val=&quot;6F71035C&quot;/&gt;&lt;wsp:rsid wsp:val=&quot;6F762656&quot;/&gt;&lt;wsp:rsid wsp:val=&quot;6F83400B&quot;/&gt;&lt;wsp:rsid wsp:val=&quot;6F8F31F4&quot;/&gt;&lt;wsp:rsid wsp:val=&quot;6FBE0D36&quot;/&gt;&lt;wsp:rsid wsp:val=&quot;6FBE4A5B&quot;/&gt;&lt;wsp:rsid wsp:val=&quot;6FE17273&quot;/&gt;&lt;wsp:rsid wsp:val=&quot;6FE41CD0&quot;/&gt;&lt;wsp:rsid wsp:val=&quot;6FF2025E&quot;/&gt;&lt;wsp:rsid wsp:val=&quot;6FF9532A&quot;/&gt;&lt;wsp:rsid wsp:val=&quot;702810B6&quot;/&gt;&lt;wsp:rsid wsp:val=&quot;702C3073&quot;/&gt;&lt;wsp:rsid wsp:val=&quot;702E6DD8&quot;/&gt;&lt;wsp:rsid wsp:val=&quot;7036071F&quot;/&gt;&lt;wsp:rsid wsp:val=&quot;703E3A64&quot;/&gt;&lt;wsp:rsid wsp:val=&quot;704120CB&quot;/&gt;&lt;wsp:rsid wsp:val=&quot;704D2B25&quot;/&gt;&lt;wsp:rsid wsp:val=&quot;7053590D&quot;/&gt;&lt;wsp:rsid wsp:val=&quot;70733B86&quot;/&gt;&lt;wsp:rsid wsp:val=&quot;70B35706&quot;/&gt;&lt;wsp:rsid wsp:val=&quot;70C10801&quot;/&gt;&lt;wsp:rsid wsp:val=&quot;70CB49C9&quot;/&gt;&lt;wsp:rsid wsp:val=&quot;70CE11B6&quot;/&gt;&lt;wsp:rsid wsp:val=&quot;70FE52F2&quot;/&gt;&lt;wsp:rsid wsp:val=&quot;70FF3626&quot;/&gt;&lt;wsp:rsid wsp:val=&quot;71421431&quot;/&gt;&lt;wsp:rsid wsp:val=&quot;7161524A&quot;/&gt;&lt;wsp:rsid wsp:val=&quot;71786F7B&quot;/&gt;&lt;wsp:rsid wsp:val=&quot;718A1523&quot;/&gt;&lt;wsp:rsid wsp:val=&quot;71B53056&quot;/&gt;&lt;wsp:rsid wsp:val=&quot;71C76A67&quot;/&gt;&lt;wsp:rsid wsp:val=&quot;71F22688&quot;/&gt;&lt;wsp:rsid wsp:val=&quot;72111974&quot;/&gt;&lt;wsp:rsid wsp:val=&quot;7230104F&quot;/&gt;&lt;wsp:rsid wsp:val=&quot;72353634&quot;/&gt;&lt;wsp:rsid wsp:val=&quot;72597A29&quot;/&gt;&lt;wsp:rsid wsp:val=&quot;725A105E&quot;/&gt;&lt;wsp:rsid wsp:val=&quot;726A08D6&quot;/&gt;&lt;wsp:rsid wsp:val=&quot;72841C5F&quot;/&gt;&lt;wsp:rsid wsp:val=&quot;728B594B&quot;/&gt;&lt;wsp:rsid wsp:val=&quot;72B75429&quot;/&gt;&lt;wsp:rsid wsp:val=&quot;72BA71BC&quot;/&gt;&lt;wsp:rsid wsp:val=&quot;72BF3E4D&quot;/&gt;&lt;wsp:rsid wsp:val=&quot;72CD0D98&quot;/&gt;&lt;wsp:rsid wsp:val=&quot;72E05421&quot;/&gt;&lt;wsp:rsid wsp:val=&quot;72E84E52&quot;/&gt;&lt;wsp:rsid wsp:val=&quot;72F41FCA&quot;/&gt;&lt;wsp:rsid wsp:val=&quot;731C4DAA&quot;/&gt;&lt;wsp:rsid wsp:val=&quot;733937FD&quot;/&gt;&lt;wsp:rsid wsp:val=&quot;73464BAC&quot;/&gt;&lt;wsp:rsid wsp:val=&quot;7357313A&quot;/&gt;&lt;wsp:rsid wsp:val=&quot;735F3CE7&quot;/&gt;&lt;wsp:rsid wsp:val=&quot;73751C90&quot;/&gt;&lt;wsp:rsid wsp:val=&quot;738C4C98&quot;/&gt;&lt;wsp:rsid wsp:val=&quot;738D3233&quot;/&gt;&lt;wsp:rsid wsp:val=&quot;73BB2087&quot;/&gt;&lt;wsp:rsid wsp:val=&quot;73C9322C&quot;/&gt;&lt;wsp:rsid wsp:val=&quot;73D057CC&quot;/&gt;&lt;wsp:rsid wsp:val=&quot;73D40642&quot;/&gt;&lt;wsp:rsid wsp:val=&quot;7433341C&quot;/&gt;&lt;wsp:rsid wsp:val=&quot;743B25E0&quot;/&gt;&lt;wsp:rsid wsp:val=&quot;74501315&quot;/&gt;&lt;wsp:rsid wsp:val=&quot;745032F1&quot;/&gt;&lt;wsp:rsid wsp:val=&quot;74635EDF&quot;/&gt;&lt;wsp:rsid wsp:val=&quot;748129B0&quot;/&gt;&lt;wsp:rsid wsp:val=&quot;74971A01&quot;/&gt;&lt;wsp:rsid wsp:val=&quot;74A4449E&quot;/&gt;&lt;wsp:rsid wsp:val=&quot;74B62955&quot;/&gt;&lt;wsp:rsid wsp:val=&quot;74C2592F&quot;/&gt;&lt;wsp:rsid wsp:val=&quot;74C27966&quot;/&gt;&lt;wsp:rsid wsp:val=&quot;74E811DA&quot;/&gt;&lt;wsp:rsid wsp:val=&quot;74F2321A&quot;/&gt;&lt;wsp:rsid wsp:val=&quot;7502760B&quot;/&gt;&lt;wsp:rsid wsp:val=&quot;750A1664&quot;/&gt;&lt;wsp:rsid wsp:val=&quot;75230514&quot;/&gt;&lt;wsp:rsid wsp:val=&quot;752F2B66&quot;/&gt;&lt;wsp:rsid wsp:val=&quot;753A0189&quot;/&gt;&lt;wsp:rsid wsp:val=&quot;753D271B&quot;/&gt;&lt;wsp:rsid wsp:val=&quot;754A70E4&quot;/&gt;&lt;wsp:rsid wsp:val=&quot;75643DD7&quot;/&gt;&lt;wsp:rsid wsp:val=&quot;756F21E3&quot;/&gt;&lt;wsp:rsid wsp:val=&quot;759D44AE&quot;/&gt;&lt;wsp:rsid wsp:val=&quot;75A05534&quot;/&gt;&lt;wsp:rsid wsp:val=&quot;75C01803&quot;/&gt;&lt;wsp:rsid wsp:val=&quot;75C4466C&quot;/&gt;&lt;wsp:rsid wsp:val=&quot;75E70533&quot;/&gt;&lt;wsp:rsid wsp:val=&quot;75FE28F5&quot;/&gt;&lt;wsp:rsid wsp:val=&quot;761334F2&quot;/&gt;&lt;wsp:rsid wsp:val=&quot;761840A0&quot;/&gt;&lt;wsp:rsid wsp:val=&quot;761D5980&quot;/&gt;&lt;wsp:rsid wsp:val=&quot;763A400B&quot;/&gt;&lt;wsp:rsid wsp:val=&quot;763C6284&quot;/&gt;&lt;wsp:rsid wsp:val=&quot;763F4047&quot;/&gt;&lt;wsp:rsid wsp:val=&quot;7646015A&quot;/&gt;&lt;wsp:rsid wsp:val=&quot;764B5D6E&quot;/&gt;&lt;wsp:rsid wsp:val=&quot;766151C7&quot;/&gt;&lt;wsp:rsid wsp:val=&quot;767C1AC2&quot;/&gt;&lt;wsp:rsid wsp:val=&quot;768C5F53&quot;/&gt;&lt;wsp:rsid wsp:val=&quot;76C631B4&quot;/&gt;&lt;wsp:rsid wsp:val=&quot;76DC4CC6&quot;/&gt;&lt;wsp:rsid wsp:val=&quot;76E60A66&quot;/&gt;&lt;wsp:rsid wsp:val=&quot;7700343E&quot;/&gt;&lt;wsp:rsid wsp:val=&quot;770A2B1C&quot;/&gt;&lt;wsp:rsid wsp:val=&quot;77147B5F&quot;/&gt;&lt;wsp:rsid wsp:val=&quot;77374B8E&quot;/&gt;&lt;wsp:rsid wsp:val=&quot;77501D85&quot;/&gt;&lt;wsp:rsid wsp:val=&quot;775F7AE1&quot;/&gt;&lt;wsp:rsid wsp:val=&quot;776270D4&quot;/&gt;&lt;wsp:rsid wsp:val=&quot;777A5FE9&quot;/&gt;&lt;wsp:rsid wsp:val=&quot;7785795C&quot;/&gt;&lt;wsp:rsid wsp:val=&quot;778E51A6&quot;/&gt;&lt;wsp:rsid wsp:val=&quot;779E6716&quot;/&gt;&lt;wsp:rsid wsp:val=&quot;77A90FB3&quot;/&gt;&lt;wsp:rsid wsp:val=&quot;77BA3971&quot;/&gt;&lt;wsp:rsid wsp:val=&quot;77D64857&quot;/&gt;&lt;wsp:rsid wsp:val=&quot;77D96724&quot;/&gt;&lt;wsp:rsid wsp:val=&quot;78017F77&quot;/&gt;&lt;wsp:rsid wsp:val=&quot;7851034D&quot;/&gt;&lt;wsp:rsid wsp:val=&quot;7877640B&quot;/&gt;&lt;wsp:rsid wsp:val=&quot;787B5394&quot;/&gt;&lt;wsp:rsid wsp:val=&quot;78860C41&quot;/&gt;&lt;wsp:rsid wsp:val=&quot;789D02F7&quot;/&gt;&lt;wsp:rsid wsp:val=&quot;78A221E0&quot;/&gt;&lt;wsp:rsid wsp:val=&quot;78CD15B5&quot;/&gt;&lt;wsp:rsid wsp:val=&quot;78D5459F&quot;/&gt;&lt;wsp:rsid wsp:val=&quot;78DD6192&quot;/&gt;&lt;wsp:rsid wsp:val=&quot;78F01FE6&quot;/&gt;&lt;wsp:rsid wsp:val=&quot;79194B33&quot;/&gt;&lt;wsp:rsid wsp:val=&quot;791F6322&quot;/&gt;&lt;wsp:rsid wsp:val=&quot;792C563A&quot;/&gt;&lt;wsp:rsid wsp:val=&quot;79341852&quot;/&gt;&lt;wsp:rsid wsp:val=&quot;79380549&quot;/&gt;&lt;wsp:rsid wsp:val=&quot;793B206E&quot;/&gt;&lt;wsp:rsid wsp:val=&quot;79552A46&quot;/&gt;&lt;wsp:rsid wsp:val=&quot;796F265C&quot;/&gt;&lt;wsp:rsid wsp:val=&quot;797C1682&quot;/&gt;&lt;wsp:rsid wsp:val=&quot;798D171F&quot;/&gt;&lt;wsp:rsid wsp:val=&quot;79946F00&quot;/&gt;&lt;wsp:rsid wsp:val=&quot;79A1140D&quot;/&gt;&lt;wsp:rsid wsp:val=&quot;79B43848&quot;/&gt;&lt;wsp:rsid wsp:val=&quot;79BE32D6&quot;/&gt;&lt;wsp:rsid wsp:val=&quot;79D63757&quot;/&gt;&lt;wsp:rsid wsp:val=&quot;79ED082A&quot;/&gt;&lt;wsp:rsid wsp:val=&quot;7A2920D3&quot;/&gt;&lt;wsp:rsid wsp:val=&quot;7A374FF6&quot;/&gt;&lt;wsp:rsid wsp:val=&quot;7A4E7B54&quot;/&gt;&lt;wsp:rsid wsp:val=&quot;7A592701&quot;/&gt;&lt;wsp:rsid wsp:val=&quot;7AAD64AC&quot;/&gt;&lt;wsp:rsid wsp:val=&quot;7B1D3658&quot;/&gt;&lt;wsp:rsid wsp:val=&quot;7B21328C&quot;/&gt;&lt;wsp:rsid wsp:val=&quot;7B254E2F&quot;/&gt;&lt;wsp:rsid wsp:val=&quot;7B287521&quot;/&gt;&lt;wsp:rsid wsp:val=&quot;7B4B1A98&quot;/&gt;&lt;wsp:rsid wsp:val=&quot;7B6739B1&quot;/&gt;&lt;wsp:rsid wsp:val=&quot;7B7B6496&quot;/&gt;&lt;wsp:rsid wsp:val=&quot;7BAC71CB&quot;/&gt;&lt;wsp:rsid wsp:val=&quot;7BB1041A&quot;/&gt;&lt;wsp:rsid wsp:val=&quot;7BB32D4A&quot;/&gt;&lt;wsp:rsid wsp:val=&quot;7BC5661E&quot;/&gt;&lt;wsp:rsid wsp:val=&quot;7BC90C8C&quot;/&gt;&lt;wsp:rsid wsp:val=&quot;7BD90FB6&quot;/&gt;&lt;wsp:rsid wsp:val=&quot;7C0F6E04&quot;/&gt;&lt;wsp:rsid wsp:val=&quot;7C1D2285&quot;/&gt;&lt;wsp:rsid wsp:val=&quot;7C1E6B1F&quot;/&gt;&lt;wsp:rsid wsp:val=&quot;7C2E1862&quot;/&gt;&lt;wsp:rsid wsp:val=&quot;7C5311F2&quot;/&gt;&lt;wsp:rsid wsp:val=&quot;7C8D4941&quot;/&gt;&lt;wsp:rsid wsp:val=&quot;7CA6590D&quot;/&gt;&lt;wsp:rsid wsp:val=&quot;7CB97BE8&quot;/&gt;&lt;wsp:rsid wsp:val=&quot;7CBB01E8&quot;/&gt;&lt;wsp:rsid wsp:val=&quot;7CBB0C3A&quot;/&gt;&lt;wsp:rsid wsp:val=&quot;7CC2482C&quot;/&gt;&lt;wsp:rsid wsp:val=&quot;7CCC56E8&quot;/&gt;&lt;wsp:rsid wsp:val=&quot;7CCD3BD3&quot;/&gt;&lt;wsp:rsid wsp:val=&quot;7CF95475&quot;/&gt;&lt;wsp:rsid wsp:val=&quot;7D111731&quot;/&gt;&lt;wsp:rsid wsp:val=&quot;7D397EA2&quot;/&gt;&lt;wsp:rsid wsp:val=&quot;7D500432&quot;/&gt;&lt;wsp:rsid wsp:val=&quot;7D605858&quot;/&gt;&lt;wsp:rsid wsp:val=&quot;7D723EBE&quot;/&gt;&lt;wsp:rsid wsp:val=&quot;7D781227&quot;/&gt;&lt;wsp:rsid wsp:val=&quot;7D877D43&quot;/&gt;&lt;wsp:rsid wsp:val=&quot;7D9A6DC0&quot;/&gt;&lt;wsp:rsid wsp:val=&quot;7DB36B97&quot;/&gt;&lt;wsp:rsid wsp:val=&quot;7DC703D9&quot;/&gt;&lt;wsp:rsid wsp:val=&quot;7DDB7DE7&quot;/&gt;&lt;wsp:rsid wsp:val=&quot;7DF4777E&quot;/&gt;&lt;wsp:rsid wsp:val=&quot;7DF876D3&quot;/&gt;&lt;wsp:rsid wsp:val=&quot;7DFE398D&quot;/&gt;&lt;wsp:rsid wsp:val=&quot;7E04242A&quot;/&gt;&lt;wsp:rsid wsp:val=&quot;7E0F558E&quot;/&gt;&lt;wsp:rsid wsp:val=&quot;7E351E0B&quot;/&gt;&lt;wsp:rsid wsp:val=&quot;7E673375&quot;/&gt;&lt;wsp:rsid wsp:val=&quot;7E740161&quot;/&gt;&lt;wsp:rsid wsp:val=&quot;7E7E0887&quot;/&gt;&lt;wsp:rsid wsp:val=&quot;7E8C7AAD&quot;/&gt;&lt;wsp:rsid wsp:val=&quot;7E8E54A5&quot;/&gt;&lt;wsp:rsid wsp:val=&quot;7EA06031&quot;/&gt;&lt;wsp:rsid wsp:val=&quot;7EC160B2&quot;/&gt;&lt;wsp:rsid wsp:val=&quot;7EE25C84&quot;/&gt;&lt;wsp:rsid wsp:val=&quot;7F1C0E2F&quot;/&gt;&lt;wsp:rsid wsp:val=&quot;7F545919&quot;/&gt;&lt;wsp:rsid wsp:val=&quot;7FA06728&quot;/&gt;&lt;wsp:rsid wsp:val=&quot;7FB56836&quot;/&gt;&lt;wsp:rsid wsp:val=&quot;7FF24FD3&quot;/&gt;&lt;wsp:rsid wsp:val=&quot;7FFB3DE3&quot;/&gt;&lt;/wsp:rsids&gt;&lt;/w:docPr&gt;&lt;w:body&gt;&lt;w:p wsp:rsidR=&quot;00000000&quot; wsp:rsidRDefault=&quot;00385D0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19" chromakey="#FFFFFF" o:title=""/>
                  <o:lock v:ext="edit" aspectratio="t"/>
                  <w10:wrap type="none"/>
                  <w10:anchorlock/>
                </v:shape>
              </w:pict>
            </w:r>
            <w:r>
              <w:rPr>
                <w:rFonts w:ascii="Times New Roman" w:hAnsi="Times New Roman" w:eastAsia="宋体" w:cs="Times New Roman"/>
                <w:color w:val="000000"/>
                <w:sz w:val="24"/>
                <w:szCs w:val="24"/>
              </w:rPr>
              <w:instrText xml:space="preserve">  \* MERGEFORMAT </w:instrText>
            </w:r>
            <w:r>
              <w:rPr>
                <w:rFonts w:ascii="Times New Roman" w:hAnsi="Times New Roman" w:eastAsia="宋体" w:cs="Times New Roman"/>
                <w:color w:val="000000"/>
                <w:sz w:val="24"/>
                <w:szCs w:val="24"/>
              </w:rPr>
              <w:fldChar w:fldCharType="separate"/>
            </w:r>
            <w:r>
              <w:rPr>
                <w:rFonts w:ascii="Times New Roman" w:hAnsi="Times New Roman" w:eastAsia="宋体" w:cs="Times New Roman"/>
                <w:color w:val="000000"/>
                <w:position w:val="-15"/>
                <w:sz w:val="24"/>
                <w:szCs w:val="24"/>
              </w:rPr>
              <w:pict>
                <v:shape id="_x0000_i1029" o:spt="75" type="#_x0000_t75" style="height:23.25pt;width:10.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20&quot;/&gt;&lt;w:drawingGridVerticalSpacing w:val=&quot;163&quot;/&gt;&lt;w:displayHorizontalDrawingGridEvery w:val=&quot;2&quot;/&gt;&lt;w:displayVerticalDrawingGridEvery w:val=&quot;2&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7799&quot;/&gt;&lt;wsp:rsid wsp:val=&quot;0003220E&quot;/&gt;&lt;wsp:rsid wsp:val=&quot;00041FC6&quot;/&gt;&lt;wsp:rsid wsp:val=&quot;0005182A&quot;/&gt;&lt;wsp:rsid wsp:val=&quot;00055174&quot;/&gt;&lt;wsp:rsid wsp:val=&quot;00064C91&quot;/&gt;&lt;wsp:rsid wsp:val=&quot;00085AE3&quot;/&gt;&lt;wsp:rsid wsp:val=&quot;00087D37&quot;/&gt;&lt;wsp:rsid wsp:val=&quot;000925F7&quot;/&gt;&lt;wsp:rsid wsp:val=&quot;00096B01&quot;/&gt;&lt;wsp:rsid wsp:val=&quot;000A5613&quot;/&gt;&lt;wsp:rsid wsp:val=&quot;00110596&quot;/&gt;&lt;wsp:rsid wsp:val=&quot;00125609&quot;/&gt;&lt;wsp:rsid wsp:val=&quot;00132FAD&quot;/&gt;&lt;wsp:rsid wsp:val=&quot;001400CC&quot;/&gt;&lt;wsp:rsid wsp:val=&quot;00143CEA&quot;/&gt;&lt;wsp:rsid wsp:val=&quot;00172A27&quot;/&gt;&lt;wsp:rsid wsp:val=&quot;00177A49&quot;/&gt;&lt;wsp:rsid wsp:val=&quot;001926F2&quot;/&gt;&lt;wsp:rsid wsp:val=&quot;001B66BF&quot;/&gt;&lt;wsp:rsid wsp:val=&quot;001C2BD6&quot;/&gt;&lt;wsp:rsid wsp:val=&quot;001C5F3A&quot;/&gt;&lt;wsp:rsid wsp:val=&quot;001D1D04&quot;/&gt;&lt;wsp:rsid wsp:val=&quot;001F4C9A&quot;/&gt;&lt;wsp:rsid wsp:val=&quot;00203AC0&quot;/&gt;&lt;wsp:rsid wsp:val=&quot;00236A52&quot;/&gt;&lt;wsp:rsid wsp:val=&quot;00266BC0&quot;/&gt;&lt;wsp:rsid wsp:val=&quot;00284F82&quot;/&gt;&lt;wsp:rsid wsp:val=&quot;00290962&quot;/&gt;&lt;wsp:rsid wsp:val=&quot;002914D7&quot;/&gt;&lt;wsp:rsid wsp:val=&quot;002A2E8C&quot;/&gt;&lt;wsp:rsid wsp:val=&quot;002D00AD&quot;/&gt;&lt;wsp:rsid wsp:val=&quot;00325CF4&quot;/&gt;&lt;wsp:rsid wsp:val=&quot;00332EC7&quot;/&gt;&lt;wsp:rsid wsp:val=&quot;00342E2A&quot;/&gt;&lt;wsp:rsid wsp:val=&quot;00384BE1&quot;/&gt;&lt;wsp:rsid wsp:val=&quot;00385D08&quot;/&gt;&lt;wsp:rsid wsp:val=&quot;003912CE&quot;/&gt;&lt;wsp:rsid wsp:val=&quot;00391FF3&quot;/&gt;&lt;wsp:rsid wsp:val=&quot;003A2A37&quot;/&gt;&lt;wsp:rsid wsp:val=&quot;003C5A93&quot;/&gt;&lt;wsp:rsid wsp:val=&quot;003D3AD3&quot;/&gt;&lt;wsp:rsid wsp:val=&quot;003F2C2E&quot;/&gt;&lt;wsp:rsid wsp:val=&quot;0040616E&quot;/&gt;&lt;wsp:rsid wsp:val=&quot;0044301E&quot;/&gt;&lt;wsp:rsid wsp:val=&quot;00446169&quot;/&gt;&lt;wsp:rsid wsp:val=&quot;00447EEC&quot;/&gt;&lt;wsp:rsid wsp:val=&quot;00465DF1&quot;/&gt;&lt;wsp:rsid wsp:val=&quot;00476680&quot;/&gt;&lt;wsp:rsid wsp:val=&quot;004C1271&quot;/&gt;&lt;wsp:rsid wsp:val=&quot;004E7680&quot;/&gt;&lt;wsp:rsid wsp:val=&quot;004E7A9C&quot;/&gt;&lt;wsp:rsid wsp:val=&quot;004F232C&quot;/&gt;&lt;wsp:rsid wsp:val=&quot;004F7FF9&quot;/&gt;&lt;wsp:rsid wsp:val=&quot;00500413&quot;/&gt;&lt;wsp:rsid wsp:val=&quot;00511D8F&quot;/&gt;&lt;wsp:rsid wsp:val=&quot;005140F2&quot;/&gt;&lt;wsp:rsid wsp:val=&quot;00536147&quot;/&gt;&lt;wsp:rsid wsp:val=&quot;00583612&quot;/&gt;&lt;wsp:rsid wsp:val=&quot;005A0F3F&quot;/&gt;&lt;wsp:rsid wsp:val=&quot;005A72D5&quot;/&gt;&lt;wsp:rsid wsp:val=&quot;005C3305&quot;/&gt;&lt;wsp:rsid wsp:val=&quot;005D42EF&quot;/&gt;&lt;wsp:rsid wsp:val=&quot;005E0F98&quot;/&gt;&lt;wsp:rsid wsp:val=&quot;005E11F9&quot;/&gt;&lt;wsp:rsid wsp:val=&quot;005F0BF5&quot;/&gt;&lt;wsp:rsid wsp:val=&quot;005F7CE0&quot;/&gt;&lt;wsp:rsid wsp:val=&quot;00606A27&quot;/&gt;&lt;wsp:rsid wsp:val=&quot;00625580&quot;/&gt;&lt;wsp:rsid wsp:val=&quot;00627FD1&quot;/&gt;&lt;wsp:rsid wsp:val=&quot;006374BE&quot;/&gt;&lt;wsp:rsid wsp:val=&quot;00642551&quot;/&gt;&lt;wsp:rsid wsp:val=&quot;006471C6&quot;/&gt;&lt;wsp:rsid wsp:val=&quot;006627A4&quot;/&gt;&lt;wsp:rsid wsp:val=&quot;006713C0&quot;/&gt;&lt;wsp:rsid wsp:val=&quot;0068594A&quot;/&gt;&lt;wsp:rsid wsp:val=&quot;006A4BCE&quot;/&gt;&lt;wsp:rsid wsp:val=&quot;006C5708&quot;/&gt;&lt;wsp:rsid wsp:val=&quot;006D418C&quot;/&gt;&lt;wsp:rsid wsp:val=&quot;006E4591&quot;/&gt;&lt;wsp:rsid wsp:val=&quot;00713C20&quot;/&gt;&lt;wsp:rsid wsp:val=&quot;00747650&quot;/&gt;&lt;wsp:rsid wsp:val=&quot;007534EB&quot;/&gt;&lt;wsp:rsid wsp:val=&quot;00755BD8&quot;/&gt;&lt;wsp:rsid wsp:val=&quot;00762B98&quot;/&gt;&lt;wsp:rsid wsp:val=&quot;007842C1&quot;/&gt;&lt;wsp:rsid wsp:val=&quot;0079019A&quot;/&gt;&lt;wsp:rsid wsp:val=&quot;007930E9&quot;/&gt;&lt;wsp:rsid wsp:val=&quot;007B3419&quot;/&gt;&lt;wsp:rsid wsp:val=&quot;007B793E&quot;/&gt;&lt;wsp:rsid wsp:val=&quot;007D1D1D&quot;/&gt;&lt;wsp:rsid wsp:val=&quot;007D21B8&quot;/&gt;&lt;wsp:rsid wsp:val=&quot;007E4B38&quot;/&gt;&lt;wsp:rsid wsp:val=&quot;007F624B&quot;/&gt;&lt;wsp:rsid wsp:val=&quot;007F7F6F&quot;/&gt;&lt;wsp:rsid wsp:val=&quot;0080023B&quot;/&gt;&lt;wsp:rsid wsp:val=&quot;00802344&quot;/&gt;&lt;wsp:rsid wsp:val=&quot;00810AE7&quot;/&gt;&lt;wsp:rsid wsp:val=&quot;008206E3&quot;/&gt;&lt;wsp:rsid wsp:val=&quot;00833F3E&quot;/&gt;&lt;wsp:rsid wsp:val=&quot;00847374&quot;/&gt;&lt;wsp:rsid wsp:val=&quot;00854BB1&quot;/&gt;&lt;wsp:rsid wsp:val=&quot;00880750&quot;/&gt;&lt;wsp:rsid wsp:val=&quot;00881DC4&quot;/&gt;&lt;wsp:rsid wsp:val=&quot;00885D1B&quot;/&gt;&lt;wsp:rsid wsp:val=&quot;008A3849&quot;/&gt;&lt;wsp:rsid wsp:val=&quot;008D3E46&quot;/&gt;&lt;wsp:rsid wsp:val=&quot;008D6872&quot;/&gt;&lt;wsp:rsid wsp:val=&quot;008E17C5&quot;/&gt;&lt;wsp:rsid wsp:val=&quot;008F34D6&quot;/&gt;&lt;wsp:rsid wsp:val=&quot;00911C51&quot;/&gt;&lt;wsp:rsid wsp:val=&quot;00942A8D&quot;/&gt;&lt;wsp:rsid wsp:val=&quot;00951BCD&quot;/&gt;&lt;wsp:rsid wsp:val=&quot;009675BA&quot;/&gt;&lt;wsp:rsid wsp:val=&quot;00977DC6&quot;/&gt;&lt;wsp:rsid wsp:val=&quot;00994AE4&quot;/&gt;&lt;wsp:rsid wsp:val=&quot;009B4FE5&quot;/&gt;&lt;wsp:rsid wsp:val=&quot;009D2E29&quot;/&gt;&lt;wsp:rsid wsp:val=&quot;009E7FAC&quot;/&gt;&lt;wsp:rsid wsp:val=&quot;00A0747A&quot;/&gt;&lt;wsp:rsid wsp:val=&quot;00A14031&quot;/&gt;&lt;wsp:rsid wsp:val=&quot;00A17E8D&quot;/&gt;&lt;wsp:rsid wsp:val=&quot;00A24EC6&quot;/&gt;&lt;wsp:rsid wsp:val=&quot;00A25907&quot;/&gt;&lt;wsp:rsid wsp:val=&quot;00A27198&quot;/&gt;&lt;wsp:rsid wsp:val=&quot;00A6478A&quot;/&gt;&lt;wsp:rsid wsp:val=&quot;00A72BE0&quot;/&gt;&lt;wsp:rsid wsp:val=&quot;00A75690&quot;/&gt;&lt;wsp:rsid wsp:val=&quot;00A956A8&quot;/&gt;&lt;wsp:rsid wsp:val=&quot;00AE7D56&quot;/&gt;&lt;wsp:rsid wsp:val=&quot;00AF5D5A&quot;/&gt;&lt;wsp:rsid wsp:val=&quot;00B6067F&quot;/&gt;&lt;wsp:rsid wsp:val=&quot;00B71148&quot;/&gt;&lt;wsp:rsid wsp:val=&quot;00B729C9&quot;/&gt;&lt;wsp:rsid wsp:val=&quot;00B772AB&quot;/&gt;&lt;wsp:rsid wsp:val=&quot;00BA34CB&quot;/&gt;&lt;wsp:rsid wsp:val=&quot;00BB04F5&quot;/&gt;&lt;wsp:rsid wsp:val=&quot;00BD2343&quot;/&gt;&lt;wsp:rsid wsp:val=&quot;00BE3470&quot;/&gt;&lt;wsp:rsid wsp:val=&quot;00BE3DDD&quot;/&gt;&lt;wsp:rsid wsp:val=&quot;00BE46E2&quot;/&gt;&lt;wsp:rsid wsp:val=&quot;00BF3138&quot;/&gt;&lt;wsp:rsid wsp:val=&quot;00C01E6E&quot;/&gt;&lt;wsp:rsid wsp:val=&quot;00C04A83&quot;/&gt;&lt;wsp:rsid wsp:val=&quot;00C164C9&quot;/&gt;&lt;wsp:rsid wsp:val=&quot;00C335F1&quot;/&gt;&lt;wsp:rsid wsp:val=&quot;00C572D1&quot;/&gt;&lt;wsp:rsid wsp:val=&quot;00C64B1D&quot;/&gt;&lt;wsp:rsid wsp:val=&quot;00C76A85&quot;/&gt;&lt;wsp:rsid wsp:val=&quot;00C9712C&quot;/&gt;&lt;wsp:rsid wsp:val=&quot;00CA702E&quot;/&gt;&lt;wsp:rsid wsp:val=&quot;00CC0E30&quot;/&gt;&lt;wsp:rsid wsp:val=&quot;00CC6F9A&quot;/&gt;&lt;wsp:rsid wsp:val=&quot;00CE3DBA&quot;/&gt;&lt;wsp:rsid wsp:val=&quot;00CF2C88&quot;/&gt;&lt;wsp:rsid wsp:val=&quot;00D301CA&quot;/&gt;&lt;wsp:rsid wsp:val=&quot;00D43350&quot;/&gt;&lt;wsp:rsid wsp:val=&quot;00D70EF4&quot;/&gt;&lt;wsp:rsid wsp:val=&quot;00D8025C&quot;/&gt;&lt;wsp:rsid wsp:val=&quot;00D85C3B&quot;/&gt;&lt;wsp:rsid wsp:val=&quot;00D85FB4&quot;/&gt;&lt;wsp:rsid wsp:val=&quot;00DC58DD&quot;/&gt;&lt;wsp:rsid wsp:val=&quot;00DD4D11&quot;/&gt;&lt;wsp:rsid wsp:val=&quot;00E07445&quot;/&gt;&lt;wsp:rsid wsp:val=&quot;00E100D0&quot;/&gt;&lt;wsp:rsid wsp:val=&quot;00E31A2C&quot;/&gt;&lt;wsp:rsid wsp:val=&quot;00E33D25&quot;/&gt;&lt;wsp:rsid wsp:val=&quot;00E51F0F&quot;/&gt;&lt;wsp:rsid wsp:val=&quot;00E62292&quot;/&gt;&lt;wsp:rsid wsp:val=&quot;00E92378&quot;/&gt;&lt;wsp:rsid wsp:val=&quot;00EA1A89&quot;/&gt;&lt;wsp:rsid wsp:val=&quot;00EA3325&quot;/&gt;&lt;wsp:rsid wsp:val=&quot;00EA3589&quot;/&gt;&lt;wsp:rsid wsp:val=&quot;00EC2BDA&quot;/&gt;&lt;wsp:rsid wsp:val=&quot;00ED35C7&quot;/&gt;&lt;wsp:rsid wsp:val=&quot;00ED42B6&quot;/&gt;&lt;wsp:rsid wsp:val=&quot;00EE32AF&quot;/&gt;&lt;wsp:rsid wsp:val=&quot;00EE5253&quot;/&gt;&lt;wsp:rsid wsp:val=&quot;00F104D1&quot;/&gt;&lt;wsp:rsid wsp:val=&quot;00F2677F&quot;/&gt;&lt;wsp:rsid wsp:val=&quot;00F33270&quot;/&gt;&lt;wsp:rsid wsp:val=&quot;00F4011F&quot;/&gt;&lt;wsp:rsid wsp:val=&quot;00F44CB1&quot;/&gt;&lt;wsp:rsid wsp:val=&quot;00F44EDE&quot;/&gt;&lt;wsp:rsid wsp:val=&quot;00F622A0&quot;/&gt;&lt;wsp:rsid wsp:val=&quot;00F75CF1&quot;/&gt;&lt;wsp:rsid wsp:val=&quot;00F82078&quot;/&gt;&lt;wsp:rsid wsp:val=&quot;00FC25BE&quot;/&gt;&lt;wsp:rsid wsp:val=&quot;00FF7FCC&quot;/&gt;&lt;wsp:rsid wsp:val=&quot;0103434B&quot;/&gt;&lt;wsp:rsid wsp:val=&quot;01253230&quot;/&gt;&lt;wsp:rsid wsp:val=&quot;01426AEA&quot;/&gt;&lt;wsp:rsid wsp:val=&quot;01455E23&quot;/&gt;&lt;wsp:rsid wsp:val=&quot;014C2352&quot;/&gt;&lt;wsp:rsid wsp:val=&quot;015B4BE0&quot;/&gt;&lt;wsp:rsid wsp:val=&quot;01747637&quot;/&gt;&lt;wsp:rsid wsp:val=&quot;01781E17&quot;/&gt;&lt;wsp:rsid wsp:val=&quot;01992DF2&quot;/&gt;&lt;wsp:rsid wsp:val=&quot;01C90B3E&quot;/&gt;&lt;wsp:rsid wsp:val=&quot;01E64538&quot;/&gt;&lt;wsp:rsid wsp:val=&quot;01E976C2&quot;/&gt;&lt;wsp:rsid wsp:val=&quot;01EC0A3E&quot;/&gt;&lt;wsp:rsid wsp:val=&quot;01F56E1D&quot;/&gt;&lt;wsp:rsid wsp:val=&quot;020557CF&quot;/&gt;&lt;wsp:rsid wsp:val=&quot;02254DFB&quot;/&gt;&lt;wsp:rsid wsp:val=&quot;02286248&quot;/&gt;&lt;wsp:rsid wsp:val=&quot;022C5747&quot;/&gt;&lt;wsp:rsid wsp:val=&quot;027D0BC3&quot;/&gt;&lt;wsp:rsid wsp:val=&quot;028A10E9&quot;/&gt;&lt;wsp:rsid wsp:val=&quot;02C65A23&quot;/&gt;&lt;wsp:rsid wsp:val=&quot;02D26338&quot;/&gt;&lt;wsp:rsid wsp:val=&quot;02F94132&quot;/&gt;&lt;wsp:rsid wsp:val=&quot;03064C46&quot;/&gt;&lt;wsp:rsid wsp:val=&quot;030832E0&quot;/&gt;&lt;wsp:rsid wsp:val=&quot;031814B1&quot;/&gt;&lt;wsp:rsid wsp:val=&quot;0319633C&quot;/&gt;&lt;wsp:rsid wsp:val=&quot;034E01D8&quot;/&gt;&lt;wsp:rsid wsp:val=&quot;035173AC&quot;/&gt;&lt;wsp:rsid wsp:val=&quot;035464C7&quot;/&gt;&lt;wsp:rsid wsp:val=&quot;035723C9&quot;/&gt;&lt;wsp:rsid wsp:val=&quot;035C45EC&quot;/&gt;&lt;wsp:rsid wsp:val=&quot;0361208F&quot;/&gt;&lt;wsp:rsid wsp:val=&quot;036B692E&quot;/&gt;&lt;wsp:rsid wsp:val=&quot;039061B5&quot;/&gt;&lt;wsp:rsid wsp:val=&quot;03A032E0&quot;/&gt;&lt;wsp:rsid wsp:val=&quot;03BC1713&quot;/&gt;&lt;wsp:rsid wsp:val=&quot;03CD5519&quot;/&gt;&lt;wsp:rsid wsp:val=&quot;03CF0B53&quot;/&gt;&lt;wsp:rsid wsp:val=&quot;03DF2D5F&quot;/&gt;&lt;wsp:rsid wsp:val=&quot;0406184B&quot;/&gt;&lt;wsp:rsid wsp:val=&quot;042A297F&quot;/&gt;&lt;wsp:rsid wsp:val=&quot;04301080&quot;/&gt;&lt;wsp:rsid wsp:val=&quot;043054B0&quot;/&gt;&lt;wsp:rsid wsp:val=&quot;043704B9&quot;/&gt;&lt;wsp:rsid wsp:val=&quot;043C1DED&quot;/&gt;&lt;wsp:rsid wsp:val=&quot;045F5C25&quot;/&gt;&lt;wsp:rsid wsp:val=&quot;046A41ED&quot;/&gt;&lt;wsp:rsid wsp:val=&quot;04790465&quot;/&gt;&lt;wsp:rsid wsp:val=&quot;04865A35&quot;/&gt;&lt;wsp:rsid wsp:val=&quot;049C43C2&quot;/&gt;&lt;wsp:rsid wsp:val=&quot;04B108A3&quot;/&gt;&lt;wsp:rsid wsp:val=&quot;04CF7070&quot;/&gt;&lt;wsp:rsid wsp:val=&quot;04D467FB&quot;/&gt;&lt;wsp:rsid wsp:val=&quot;04E961EB&quot;/&gt;&lt;wsp:rsid wsp:val=&quot;04F74491&quot;/&gt;&lt;wsp:rsid wsp:val=&quot;04FD67E9&quot;/&gt;&lt;wsp:rsid wsp:val=&quot;051A37A4&quot;/&gt;&lt;wsp:rsid wsp:val=&quot;0534279B&quot;/&gt;&lt;wsp:rsid wsp:val=&quot;0578543F&quot;/&gt;&lt;wsp:rsid wsp:val=&quot;059751B2&quot;/&gt;&lt;wsp:rsid wsp:val=&quot;05DD046E&quot;/&gt;&lt;wsp:rsid wsp:val=&quot;05F6233E&quot;/&gt;&lt;wsp:rsid wsp:val=&quot;06001288&quot;/&gt;&lt;wsp:rsid wsp:val=&quot;060507E5&quot;/&gt;&lt;wsp:rsid wsp:val=&quot;061435E8&quot;/&gt;&lt;wsp:rsid wsp:val=&quot;0632638E&quot;/&gt;&lt;wsp:rsid wsp:val=&quot;065705A3&quot;/&gt;&lt;wsp:rsid wsp:val=&quot;065B310D&quot;/&gt;&lt;wsp:rsid wsp:val=&quot;06624D87&quot;/&gt;&lt;wsp:rsid wsp:val=&quot;06833976&quot;/&gt;&lt;wsp:rsid wsp:val=&quot;0692592D&quot;/&gt;&lt;wsp:rsid wsp:val=&quot;069B500E&quot;/&gt;&lt;wsp:rsid wsp:val=&quot;06A7622B&quot;/&gt;&lt;wsp:rsid wsp:val=&quot;06EF5BA1&quot;/&gt;&lt;wsp:rsid wsp:val=&quot;07045B89&quot;/&gt;&lt;wsp:rsid wsp:val=&quot;070E1A61&quot;/&gt;&lt;wsp:rsid wsp:val=&quot;072948AA&quot;/&gt;&lt;wsp:rsid wsp:val=&quot;073E608F&quot;/&gt;&lt;wsp:rsid wsp:val=&quot;077F37B5&quot;/&gt;&lt;wsp:rsid wsp:val=&quot;07A67F78&quot;/&gt;&lt;wsp:rsid wsp:val=&quot;07C9055F&quot;/&gt;&lt;wsp:rsid wsp:val=&quot;07D730E2&quot;/&gt;&lt;wsp:rsid wsp:val=&quot;07DF598A&quot;/&gt;&lt;wsp:rsid wsp:val=&quot;07E92CE3&quot;/&gt;&lt;wsp:rsid wsp:val=&quot;08167D1F&quot;/&gt;&lt;wsp:rsid wsp:val=&quot;08251774&quot;/&gt;&lt;wsp:rsid wsp:val=&quot;084C407C&quot;/&gt;&lt;wsp:rsid wsp:val=&quot;085619F1&quot;/&gt;&lt;wsp:rsid wsp:val=&quot;08A5021A&quot;/&gt;&lt;wsp:rsid wsp:val=&quot;08A92F74&quot;/&gt;&lt;wsp:rsid wsp:val=&quot;08AA53C2&quot;/&gt;&lt;wsp:rsid wsp:val=&quot;091571A1&quot;/&gt;&lt;wsp:rsid wsp:val=&quot;092C337E&quot;/&gt;&lt;wsp:rsid wsp:val=&quot;09624D89&quot;/&gt;&lt;wsp:rsid wsp:val=&quot;09715EDE&quot;/&gt;&lt;wsp:rsid wsp:val=&quot;09745559&quot;/&gt;&lt;wsp:rsid wsp:val=&quot;098348BB&quot;/&gt;&lt;wsp:rsid wsp:val=&quot;098521BC&quot;/&gt;&lt;wsp:rsid wsp:val=&quot;098F180D&quot;/&gt;&lt;wsp:rsid wsp:val=&quot;09B86DD8&quot;/&gt;&lt;wsp:rsid wsp:val=&quot;09CB0BE6&quot;/&gt;&lt;wsp:rsid wsp:val=&quot;09D30D74&quot;/&gt;&lt;wsp:rsid wsp:val=&quot;0A005396&quot;/&gt;&lt;wsp:rsid wsp:val=&quot;0A06731D&quot;/&gt;&lt;wsp:rsid wsp:val=&quot;0A0929B7&quot;/&gt;&lt;wsp:rsid wsp:val=&quot;0A0A71C2&quot;/&gt;&lt;wsp:rsid wsp:val=&quot;0A1512F2&quot;/&gt;&lt;wsp:rsid wsp:val=&quot;0A3965FA&quot;/&gt;&lt;wsp:rsid wsp:val=&quot;0A3B6D46&quot;/&gt;&lt;wsp:rsid wsp:val=&quot;0A421131&quot;/&gt;&lt;wsp:rsid wsp:val=&quot;0A432CAD&quot;/&gt;&lt;wsp:rsid wsp:val=&quot;0A4D7104&quot;/&gt;&lt;wsp:rsid wsp:val=&quot;0A5907FD&quot;/&gt;&lt;wsp:rsid wsp:val=&quot;0A5F4FDC&quot;/&gt;&lt;wsp:rsid wsp:val=&quot;0A7601EE&quot;/&gt;&lt;wsp:rsid wsp:val=&quot;0A956BBE&quot;/&gt;&lt;wsp:rsid wsp:val=&quot;0A965875&quot;/&gt;&lt;wsp:rsid wsp:val=&quot;0A9E7959&quot;/&gt;&lt;wsp:rsid wsp:val=&quot;0AF42CE3&quot;/&gt;&lt;wsp:rsid wsp:val=&quot;0B3D1CB6&quot;/&gt;&lt;wsp:rsid wsp:val=&quot;0B7C1ADB&quot;/&gt;&lt;wsp:rsid wsp:val=&quot;0B8F635E&quot;/&gt;&lt;wsp:rsid wsp:val=&quot;0B8F714B&quot;/&gt;&lt;wsp:rsid wsp:val=&quot;0B906419&quot;/&gt;&lt;wsp:rsid wsp:val=&quot;0BA80E71&quot;/&gt;&lt;wsp:rsid wsp:val=&quot;0BB134E6&quot;/&gt;&lt;wsp:rsid wsp:val=&quot;0BCA20D6&quot;/&gt;&lt;wsp:rsid wsp:val=&quot;0BCC1E8C&quot;/&gt;&lt;wsp:rsid wsp:val=&quot;0BD17169&quot;/&gt;&lt;wsp:rsid wsp:val=&quot;0C294FA6&quot;/&gt;&lt;wsp:rsid wsp:val=&quot;0C450190&quot;/&gt;&lt;wsp:rsid wsp:val=&quot;0C77661E&quot;/&gt;&lt;wsp:rsid wsp:val=&quot;0C7942B2&quot;/&gt;&lt;wsp:rsid wsp:val=&quot;0C797972&quot;/&gt;&lt;wsp:rsid wsp:val=&quot;0C7A2689&quot;/&gt;&lt;wsp:rsid wsp:val=&quot;0C7C6C01&quot;/&gt;&lt;wsp:rsid wsp:val=&quot;0C813314&quot;/&gt;&lt;wsp:rsid wsp:val=&quot;0C843F25&quot;/&gt;&lt;wsp:rsid wsp:val=&quot;0C9F2A76&quot;/&gt;&lt;wsp:rsid wsp:val=&quot;0CAB2232&quot;/&gt;&lt;wsp:rsid wsp:val=&quot;0CB03390&quot;/&gt;&lt;wsp:rsid wsp:val=&quot;0CB75961&quot;/&gt;&lt;wsp:rsid wsp:val=&quot;0CBF45B4&quot;/&gt;&lt;wsp:rsid wsp:val=&quot;0CC87762&quot;/&gt;&lt;wsp:rsid wsp:val=&quot;0CCB2113&quot;/&gt;&lt;wsp:rsid wsp:val=&quot;0CD8682A&quot;/&gt;&lt;wsp:rsid wsp:val=&quot;0CE27989&quot;/&gt;&lt;wsp:rsid wsp:val=&quot;0D013923&quot;/&gt;&lt;wsp:rsid wsp:val=&quot;0D0535F3&quot;/&gt;&lt;wsp:rsid wsp:val=&quot;0D375803&quot;/&gt;&lt;wsp:rsid wsp:val=&quot;0D434DE7&quot;/&gt;&lt;wsp:rsid wsp:val=&quot;0D652531&quot;/&gt;&lt;wsp:rsid wsp:val=&quot;0D752A3C&quot;/&gt;&lt;wsp:rsid wsp:val=&quot;0D947AB0&quot;/&gt;&lt;wsp:rsid wsp:val=&quot;0DA518FF&quot;/&gt;&lt;wsp:rsid wsp:val=&quot;0DB679CB&quot;/&gt;&lt;wsp:rsid wsp:val=&quot;0DC056D2&quot;/&gt;&lt;wsp:rsid wsp:val=&quot;0DED3D64&quot;/&gt;&lt;wsp:rsid wsp:val=&quot;0DEF466B&quot;/&gt;&lt;wsp:rsid wsp:val=&quot;0E155E13&quot;/&gt;&lt;wsp:rsid wsp:val=&quot;0E3A0399&quot;/&gt;&lt;wsp:rsid wsp:val=&quot;0E412652&quot;/&gt;&lt;wsp:rsid wsp:val=&quot;0E4C4CB0&quot;/&gt;&lt;wsp:rsid wsp:val=&quot;0E784CF2&quot;/&gt;&lt;wsp:rsid wsp:val=&quot;0E93799B&quot;/&gt;&lt;wsp:rsid wsp:val=&quot;0EBE1A91&quot;/&gt;&lt;wsp:rsid wsp:val=&quot;0ED93AE8&quot;/&gt;&lt;wsp:rsid wsp:val=&quot;0EDE0F52&quot;/&gt;&lt;wsp:rsid wsp:val=&quot;0F04144F&quot;/&gt;&lt;wsp:rsid wsp:val=&quot;0F17310F&quot;/&gt;&lt;wsp:rsid wsp:val=&quot;0F3C5FB6&quot;/&gt;&lt;wsp:rsid wsp:val=&quot;0F404B70&quot;/&gt;&lt;wsp:rsid wsp:val=&quot;0F687166&quot;/&gt;&lt;wsp:rsid wsp:val=&quot;0F6E01C5&quot;/&gt;&lt;wsp:rsid wsp:val=&quot;0F7E13CD&quot;/&gt;&lt;wsp:rsid wsp:val=&quot;0F8F1C0B&quot;/&gt;&lt;wsp:rsid wsp:val=&quot;0FB47DE7&quot;/&gt;&lt;wsp:rsid wsp:val=&quot;0FCC517C&quot;/&gt;&lt;wsp:rsid wsp:val=&quot;100A42E4&quot;/&gt;&lt;wsp:rsid wsp:val=&quot;1045096A&quot;/&gt;&lt;wsp:rsid wsp:val=&quot;10457D81&quot;/&gt;&lt;wsp:rsid wsp:val=&quot;104D38B6&quot;/&gt;&lt;wsp:rsid wsp:val=&quot;106A5F4D&quot;/&gt;&lt;wsp:rsid wsp:val=&quot;107766C4&quot;/&gt;&lt;wsp:rsid wsp:val=&quot;1094132B&quot;/&gt;&lt;wsp:rsid wsp:val=&quot;10952B8A&quot;/&gt;&lt;wsp:rsid wsp:val=&quot;10A75110&quot;/&gt;&lt;wsp:rsid wsp:val=&quot;10C05269&quot;/&gt;&lt;wsp:rsid wsp:val=&quot;110B68D5&quot;/&gt;&lt;wsp:rsid wsp:val=&quot;111A766A&quot;/&gt;&lt;wsp:rsid wsp:val=&quot;113178C9&quot;/&gt;&lt;wsp:rsid wsp:val=&quot;114625AD&quot;/&gt;&lt;wsp:rsid wsp:val=&quot;11513B54&quot;/&gt;&lt;wsp:rsid wsp:val=&quot;11691708&quot;/&gt;&lt;wsp:rsid wsp:val=&quot;11787F03&quot;/&gt;&lt;wsp:rsid wsp:val=&quot;118C2366&quot;/&gt;&lt;wsp:rsid wsp:val=&quot;11A96D61&quot;/&gt;&lt;wsp:rsid wsp:val=&quot;11C26013&quot;/&gt;&lt;wsp:rsid wsp:val=&quot;11C467FC&quot;/&gt;&lt;wsp:rsid wsp:val=&quot;11F043C1&quot;/&gt;&lt;wsp:rsid wsp:val=&quot;11F24DFD&quot;/&gt;&lt;wsp:rsid wsp:val=&quot;121054D1&quot;/&gt;&lt;wsp:rsid wsp:val=&quot;12396B5A&quot;/&gt;&lt;wsp:rsid wsp:val=&quot;1254539C&quot;/&gt;&lt;wsp:rsid wsp:val=&quot;12704774&quot;/&gt;&lt;wsp:rsid wsp:val=&quot;128B267E&quot;/&gt;&lt;wsp:rsid wsp:val=&quot;129E76D2&quot;/&gt;&lt;wsp:rsid wsp:val=&quot;129F0CCC&quot;/&gt;&lt;wsp:rsid wsp:val=&quot;12A7263D&quot;/&gt;&lt;wsp:rsid wsp:val=&quot;12DE7B6C&quot;/&gt;&lt;wsp:rsid wsp:val=&quot;12EA6F16&quot;/&gt;&lt;wsp:rsid wsp:val=&quot;132C4EFB&quot;/&gt;&lt;wsp:rsid wsp:val=&quot;135A5F55&quot;/&gt;&lt;wsp:rsid wsp:val=&quot;13BC1186&quot;/&gt;&lt;wsp:rsid wsp:val=&quot;13D62F71&quot;/&gt;&lt;wsp:rsid wsp:val=&quot;13E73634&quot;/&gt;&lt;wsp:rsid wsp:val=&quot;13EB5A6E&quot;/&gt;&lt;wsp:rsid wsp:val=&quot;13F313B9&quot;/&gt;&lt;wsp:rsid wsp:val=&quot;140C0C24&quot;/&gt;&lt;wsp:rsid wsp:val=&quot;1411193A&quot;/&gt;&lt;wsp:rsid wsp:val=&quot;142D58CD&quot;/&gt;&lt;wsp:rsid wsp:val=&quot;14496E97&quot;/&gt;&lt;wsp:rsid wsp:val=&quot;144D3707&quot;/&gt;&lt;wsp:rsid wsp:val=&quot;14514364&quot;/&gt;&lt;wsp:rsid wsp:val=&quot;146362D7&quot;/&gt;&lt;wsp:rsid wsp:val=&quot;14770915&quot;/&gt;&lt;wsp:rsid wsp:val=&quot;14773EFB&quot;/&gt;&lt;wsp:rsid wsp:val=&quot;14955E10&quot;/&gt;&lt;wsp:rsid wsp:val=&quot;149910E2&quot;/&gt;&lt;wsp:rsid wsp:val=&quot;14A820D8&quot;/&gt;&lt;wsp:rsid wsp:val=&quot;14AE3BFB&quot;/&gt;&lt;wsp:rsid wsp:val=&quot;14B50CB3&quot;/&gt;&lt;wsp:rsid wsp:val=&quot;14C81550&quot;/&gt;&lt;wsp:rsid wsp:val=&quot;14DA3EB7&quot;/&gt;&lt;wsp:rsid wsp:val=&quot;14E10F52&quot;/&gt;&lt;wsp:rsid wsp:val=&quot;14E70D3B&quot;/&gt;&lt;wsp:rsid wsp:val=&quot;150D1A18&quot;/&gt;&lt;wsp:rsid wsp:val=&quot;15271383&quot;/&gt;&lt;wsp:rsid wsp:val=&quot;153F0AE5&quot;/&gt;&lt;wsp:rsid wsp:val=&quot;15621F21&quot;/&gt;&lt;wsp:rsid wsp:val=&quot;15837067&quot;/&gt;&lt;wsp:rsid wsp:val=&quot;15A429B1&quot;/&gt;&lt;wsp:rsid wsp:val=&quot;15E35E1E&quot;/&gt;&lt;wsp:rsid wsp:val=&quot;15ED2A93&quot;/&gt;&lt;wsp:rsid wsp:val=&quot;15F93C84&quot;/&gt;&lt;wsp:rsid wsp:val=&quot;15FC1325&quot;/&gt;&lt;wsp:rsid wsp:val=&quot;161134E2&quot;/&gt;&lt;wsp:rsid wsp:val=&quot;161164C1&quot;/&gt;&lt;wsp:rsid wsp:val=&quot;16306EB4&quot;/&gt;&lt;wsp:rsid wsp:val=&quot;16551C62&quot;/&gt;&lt;wsp:rsid wsp:val=&quot;16562F1D&quot;/&gt;&lt;wsp:rsid wsp:val=&quot;16686812&quot;/&gt;&lt;wsp:rsid wsp:val=&quot;166F352F&quot;/&gt;&lt;wsp:rsid wsp:val=&quot;16A16F01&quot;/&gt;&lt;wsp:rsid wsp:val=&quot;16A251B2&quot;/&gt;&lt;wsp:rsid wsp:val=&quot;16AD3519&quot;/&gt;&lt;wsp:rsid wsp:val=&quot;16B73979&quot;/&gt;&lt;wsp:rsid wsp:val=&quot;16CA1F92&quot;/&gt;&lt;wsp:rsid wsp:val=&quot;16CA4F7F&quot;/&gt;&lt;wsp:rsid wsp:val=&quot;16CC4E97&quot;/&gt;&lt;wsp:rsid wsp:val=&quot;16D2339B&quot;/&gt;&lt;wsp:rsid wsp:val=&quot;170A025D&quot;/&gt;&lt;wsp:rsid wsp:val=&quot;170B62DD&quot;/&gt;&lt;wsp:rsid wsp:val=&quot;17551E6A&quot;/&gt;&lt;wsp:rsid wsp:val=&quot;1757148D&quot;/&gt;&lt;wsp:rsid wsp:val=&quot;176267FA&quot;/&gt;&lt;wsp:rsid wsp:val=&quot;176E15F0&quot;/&gt;&lt;wsp:rsid wsp:val=&quot;17985EA4&quot;/&gt;&lt;wsp:rsid wsp:val=&quot;17A46EA7&quot;/&gt;&lt;wsp:rsid wsp:val=&quot;17B10902&quot;/&gt;&lt;wsp:rsid wsp:val=&quot;17B91351&quot;/&gt;&lt;wsp:rsid wsp:val=&quot;17BD5E05&quot;/&gt;&lt;wsp:rsid wsp:val=&quot;17D33054&quot;/&gt;&lt;wsp:rsid wsp:val=&quot;17E51D74&quot;/&gt;&lt;wsp:rsid wsp:val=&quot;17EA746A&quot;/&gt;&lt;wsp:rsid wsp:val=&quot;17EB2816&quot;/&gt;&lt;wsp:rsid wsp:val=&quot;182A353A&quot;/&gt;&lt;wsp:rsid wsp:val=&quot;185A236E&quot;/&gt;&lt;wsp:rsid wsp:val=&quot;1860715B&quot;/&gt;&lt;wsp:rsid wsp:val=&quot;187235A2&quot;/&gt;&lt;wsp:rsid wsp:val=&quot;18913ED7&quot;/&gt;&lt;wsp:rsid wsp:val=&quot;18B52DF2&quot;/&gt;&lt;wsp:rsid wsp:val=&quot;18D17F23&quot;/&gt;&lt;wsp:rsid wsp:val=&quot;18D25135&quot;/&gt;&lt;wsp:rsid wsp:val=&quot;190C033C&quot;/&gt;&lt;wsp:rsid wsp:val=&quot;192D63FC&quot;/&gt;&lt;wsp:rsid wsp:val=&quot;195F4C7A&quot;/&gt;&lt;wsp:rsid wsp:val=&quot;197A05BF&quot;/&gt;&lt;wsp:rsid wsp:val=&quot;197B04F8&quot;/&gt;&lt;wsp:rsid wsp:val=&quot;19BF0F6E&quot;/&gt;&lt;wsp:rsid wsp:val=&quot;19F1544F&quot;/&gt;&lt;wsp:rsid wsp:val=&quot;19FB4998&quot;/&gt;&lt;wsp:rsid wsp:val=&quot;19FC26F3&quot;/&gt;&lt;wsp:rsid wsp:val=&quot;1A245448&quot;/&gt;&lt;wsp:rsid wsp:val=&quot;1A2C7361&quot;/&gt;&lt;wsp:rsid wsp:val=&quot;1A4D5F09&quot;/&gt;&lt;wsp:rsid wsp:val=&quot;1A690FF8&quot;/&gt;&lt;wsp:rsid wsp:val=&quot;1A71171D&quot;/&gt;&lt;wsp:rsid wsp:val=&quot;1A9C4571&quot;/&gt;&lt;wsp:rsid wsp:val=&quot;1AA90A84&quot;/&gt;&lt;wsp:rsid wsp:val=&quot;1AAB252E&quot;/&gt;&lt;wsp:rsid wsp:val=&quot;1ADB2088&quot;/&gt;&lt;wsp:rsid wsp:val=&quot;1ADC61AB&quot;/&gt;&lt;wsp:rsid wsp:val=&quot;1AE754DB&quot;/&gt;&lt;wsp:rsid wsp:val=&quot;1B447346&quot;/&gt;&lt;wsp:rsid wsp:val=&quot;1B4928BF&quot;/&gt;&lt;wsp:rsid wsp:val=&quot;1B616C94&quot;/&gt;&lt;wsp:rsid wsp:val=&quot;1B631D65&quot;/&gt;&lt;wsp:rsid wsp:val=&quot;1B655E8C&quot;/&gt;&lt;wsp:rsid wsp:val=&quot;1B6C3AB6&quot;/&gt;&lt;wsp:rsid wsp:val=&quot;1B8032D3&quot;/&gt;&lt;wsp:rsid wsp:val=&quot;1B982DD8&quot;/&gt;&lt;wsp:rsid wsp:val=&quot;1B9B01F8&quot;/&gt;&lt;wsp:rsid wsp:val=&quot;1B9B0C19&quot;/&gt;&lt;wsp:rsid wsp:val=&quot;1B9E563E&quot;/&gt;&lt;wsp:rsid wsp:val=&quot;1BA6035E&quot;/&gt;&lt;wsp:rsid wsp:val=&quot;1BB858C3&quot;/&gt;&lt;wsp:rsid wsp:val=&quot;1BBC27F2&quot;/&gt;&lt;wsp:rsid wsp:val=&quot;1BF90E03&quot;/&gt;&lt;wsp:rsid wsp:val=&quot;1C0A1961&quot;/&gt;&lt;wsp:rsid wsp:val=&quot;1C1F38E5&quot;/&gt;&lt;wsp:rsid wsp:val=&quot;1C23000C&quot;/&gt;&lt;wsp:rsid wsp:val=&quot;1C30365F&quot;/&gt;&lt;wsp:rsid wsp:val=&quot;1C495352&quot;/&gt;&lt;wsp:rsid wsp:val=&quot;1C6121E9&quot;/&gt;&lt;wsp:rsid wsp:val=&quot;1C6348DE&quot;/&gt;&lt;wsp:rsid wsp:val=&quot;1C794653&quot;/&gt;&lt;wsp:rsid wsp:val=&quot;1C7D54C1&quot;/&gt;&lt;wsp:rsid wsp:val=&quot;1C7F6008&quot;/&gt;&lt;wsp:rsid wsp:val=&quot;1CA40FFC&quot;/&gt;&lt;wsp:rsid wsp:val=&quot;1D03063A&quot;/&gt;&lt;wsp:rsid wsp:val=&quot;1D1A2396&quot;/&gt;&lt;wsp:rsid wsp:val=&quot;1D290F86&quot;/&gt;&lt;wsp:rsid wsp:val=&quot;1D2C28BC&quot;/&gt;&lt;wsp:rsid wsp:val=&quot;1D3D1363&quot;/&gt;&lt;wsp:rsid wsp:val=&quot;1D585FE0&quot;/&gt;&lt;wsp:rsid wsp:val=&quot;1D652ECD&quot;/&gt;&lt;wsp:rsid wsp:val=&quot;1D6E647F&quot;/&gt;&lt;wsp:rsid wsp:val=&quot;1D7F31CD&quot;/&gt;&lt;wsp:rsid wsp:val=&quot;1DA21AEC&quot;/&gt;&lt;wsp:rsid wsp:val=&quot;1DB01926&quot;/&gt;&lt;wsp:rsid wsp:val=&quot;1E085DA1&quot;/&gt;&lt;wsp:rsid wsp:val=&quot;1E1B2707&quot;/&gt;&lt;wsp:rsid wsp:val=&quot;1E3D4EAA&quot;/&gt;&lt;wsp:rsid wsp:val=&quot;1E923461&quot;/&gt;&lt;wsp:rsid wsp:val=&quot;1EB35A93&quot;/&gt;&lt;wsp:rsid wsp:val=&quot;1EFA11FF&quot;/&gt;&lt;wsp:rsid wsp:val=&quot;1F326459&quot;/&gt;&lt;wsp:rsid wsp:val=&quot;1F3735A7&quot;/&gt;&lt;wsp:rsid wsp:val=&quot;1F3773CD&quot;/&gt;&lt;wsp:rsid wsp:val=&quot;1F3E4118&quot;/&gt;&lt;wsp:rsid wsp:val=&quot;1F427298&quot;/&gt;&lt;wsp:rsid wsp:val=&quot;1F446D87&quot;/&gt;&lt;wsp:rsid wsp:val=&quot;1F4B122E&quot;/&gt;&lt;wsp:rsid wsp:val=&quot;1F5B7356&quot;/&gt;&lt;wsp:rsid wsp:val=&quot;1F616B83&quot;/&gt;&lt;wsp:rsid wsp:val=&quot;1F74021D&quot;/&gt;&lt;wsp:rsid wsp:val=&quot;1F801854&quot;/&gt;&lt;wsp:rsid wsp:val=&quot;1F860D1D&quot;/&gt;&lt;wsp:rsid wsp:val=&quot;1F93162B&quot;/&gt;&lt;wsp:rsid wsp:val=&quot;1FA61CFE&quot;/&gt;&lt;wsp:rsid wsp:val=&quot;1FCA0B31&quot;/&gt;&lt;wsp:rsid wsp:val=&quot;1FE17526&quot;/&gt;&lt;wsp:rsid wsp:val=&quot;1FE5487C&quot;/&gt;&lt;wsp:rsid wsp:val=&quot;1FEC7EEB&quot;/&gt;&lt;wsp:rsid wsp:val=&quot;1FEE4973&quot;/&gt;&lt;wsp:rsid wsp:val=&quot;2001677E&quot;/&gt;&lt;wsp:rsid wsp:val=&quot;201B4C78&quot;/&gt;&lt;wsp:rsid wsp:val=&quot;202F50BD&quot;/&gt;&lt;wsp:rsid wsp:val=&quot;203634F8&quot;/&gt;&lt;wsp:rsid wsp:val=&quot;203C25AB&quot;/&gt;&lt;wsp:rsid wsp:val=&quot;20400F41&quot;/&gt;&lt;wsp:rsid wsp:val=&quot;20484AF6&quot;/&gt;&lt;wsp:rsid wsp:val=&quot;206044A6&quot;/&gt;&lt;wsp:rsid wsp:val=&quot;20645E63&quot;/&gt;&lt;wsp:rsid wsp:val=&quot;20655BA0&quot;/&gt;&lt;wsp:rsid wsp:val=&quot;20703265&quot;/&gt;&lt;wsp:rsid wsp:val=&quot;20711B1D&quot;/&gt;&lt;wsp:rsid wsp:val=&quot;20720384&quot;/&gt;&lt;wsp:rsid wsp:val=&quot;20963EF0&quot;/&gt;&lt;wsp:rsid wsp:val=&quot;20AD5A91&quot;/&gt;&lt;wsp:rsid wsp:val=&quot;21191E31&quot;/&gt;&lt;wsp:rsid wsp:val=&quot;212333BE&quot;/&gt;&lt;wsp:rsid wsp:val=&quot;212437CA&quot;/&gt;&lt;wsp:rsid wsp:val=&quot;21313439&quot;/&gt;&lt;wsp:rsid wsp:val=&quot;216C722B&quot;/&gt;&lt;wsp:rsid wsp:val=&quot;218A7F9F&quot;/&gt;&lt;wsp:rsid wsp:val=&quot;219272A9&quot;/&gt;&lt;wsp:rsid wsp:val=&quot;21C51CE3&quot;/&gt;&lt;wsp:rsid wsp:val=&quot;21C531B7&quot;/&gt;&lt;wsp:rsid wsp:val=&quot;21CF39BF&quot;/&gt;&lt;wsp:rsid wsp:val=&quot;221637FE&quot;/&gt;&lt;wsp:rsid wsp:val=&quot;224C15A1&quot;/&gt;&lt;wsp:rsid wsp:val=&quot;225234ED&quot;/&gt;&lt;wsp:rsid wsp:val=&quot;225E4B4C&quot;/&gt;&lt;wsp:rsid wsp:val=&quot;226E18E0&quot;/&gt;&lt;wsp:rsid wsp:val=&quot;22734826&quot;/&gt;&lt;wsp:rsid wsp:val=&quot;227A4B8A&quot;/&gt;&lt;wsp:rsid wsp:val=&quot;228359EC&quot;/&gt;&lt;wsp:rsid wsp:val=&quot;228B64A3&quot;/&gt;&lt;wsp:rsid wsp:val=&quot;228D37C3&quot;/&gt;&lt;wsp:rsid wsp:val=&quot;229F2605&quot;/&gt;&lt;wsp:rsid wsp:val=&quot;22A21423&quot;/&gt;&lt;wsp:rsid wsp:val=&quot;22A34E5F&quot;/&gt;&lt;wsp:rsid wsp:val=&quot;22A80EB2&quot;/&gt;&lt;wsp:rsid wsp:val=&quot;22CF5D1D&quot;/&gt;&lt;wsp:rsid wsp:val=&quot;22D6625E&quot;/&gt;&lt;wsp:rsid wsp:val=&quot;22DF3B4D&quot;/&gt;&lt;wsp:rsid wsp:val=&quot;22E60282&quot;/&gt;&lt;wsp:rsid wsp:val=&quot;232C2E5E&quot;/&gt;&lt;wsp:rsid wsp:val=&quot;233C3937&quot;/&gt;&lt;wsp:rsid wsp:val=&quot;23415FD5&quot;/&gt;&lt;wsp:rsid wsp:val=&quot;23470D6B&quot;/&gt;&lt;wsp:rsid wsp:val=&quot;234F0C33&quot;/&gt;&lt;wsp:rsid wsp:val=&quot;235D6428&quot;/&gt;&lt;wsp:rsid wsp:val=&quot;2369664B&quot;/&gt;&lt;wsp:rsid wsp:val=&quot;23796D44&quot;/&gt;&lt;wsp:rsid wsp:val=&quot;237C00BF&quot;/&gt;&lt;wsp:rsid wsp:val=&quot;238A4B05&quot;/&gt;&lt;wsp:rsid wsp:val=&quot;238B23BA&quot;/&gt;&lt;wsp:rsid wsp:val=&quot;23BD0FB6&quot;/&gt;&lt;wsp:rsid wsp:val=&quot;23CC111F&quot;/&gt;&lt;wsp:rsid wsp:val=&quot;23E82BC5&quot;/&gt;&lt;wsp:rsid wsp:val=&quot;23F50A1D&quot;/&gt;&lt;wsp:rsid wsp:val=&quot;2402729C&quot;/&gt;&lt;wsp:rsid wsp:val=&quot;240C717B&quot;/&gt;&lt;wsp:rsid wsp:val=&quot;24154A07&quot;/&gt;&lt;wsp:rsid wsp:val=&quot;24237369&quot;/&gt;&lt;wsp:rsid wsp:val=&quot;242B0ACF&quot;/&gt;&lt;wsp:rsid wsp:val=&quot;244A7782&quot;/&gt;&lt;wsp:rsid wsp:val=&quot;24744F75&quot;/&gt;&lt;wsp:rsid wsp:val=&quot;24751205&quot;/&gt;&lt;wsp:rsid wsp:val=&quot;24A9753D&quot;/&gt;&lt;wsp:rsid wsp:val=&quot;24AA55C7&quot;/&gt;&lt;wsp:rsid wsp:val=&quot;24B72751&quot;/&gt;&lt;wsp:rsid wsp:val=&quot;24BC7D81&quot;/&gt;&lt;wsp:rsid wsp:val=&quot;24C34D98&quot;/&gt;&lt;wsp:rsid wsp:val=&quot;24E55D4F&quot;/&gt;&lt;wsp:rsid wsp:val=&quot;24E800DE&quot;/&gt;&lt;wsp:rsid wsp:val=&quot;24E93A37&quot;/&gt;&lt;wsp:rsid wsp:val=&quot;24EA0E35&quot;/&gt;&lt;wsp:rsid wsp:val=&quot;2504123C&quot;/&gt;&lt;wsp:rsid wsp:val=&quot;250770DF&quot;/&gt;&lt;wsp:rsid wsp:val=&quot;251C2931&quot;/&gt;&lt;wsp:rsid wsp:val=&quot;25530A51&quot;/&gt;&lt;wsp:rsid wsp:val=&quot;255D1C96&quot;/&gt;&lt;wsp:rsid wsp:val=&quot;25634663&quot;/&gt;&lt;wsp:rsid wsp:val=&quot;256B68AD&quot;/&gt;&lt;wsp:rsid wsp:val=&quot;256F0462&quot;/&gt;&lt;wsp:rsid wsp:val=&quot;257E2CC8&quot;/&gt;&lt;wsp:rsid wsp:val=&quot;2589275C&quot;/&gt;&lt;wsp:rsid wsp:val=&quot;258C2AAF&quot;/&gt;&lt;wsp:rsid wsp:val=&quot;258D7C62&quot;/&gt;&lt;wsp:rsid wsp:val=&quot;25B430FC&quot;/&gt;&lt;wsp:rsid wsp:val=&quot;25CB697B&quot;/&gt;&lt;wsp:rsid wsp:val=&quot;25CC115B&quot;/&gt;&lt;wsp:rsid wsp:val=&quot;25D84353&quot;/&gt;&lt;wsp:rsid wsp:val=&quot;25DF64FE&quot;/&gt;&lt;wsp:rsid wsp:val=&quot;25F2131F&quot;/&gt;&lt;wsp:rsid wsp:val=&quot;26005BB9&quot;/&gt;&lt;wsp:rsid wsp:val=&quot;2608524A&quot;/&gt;&lt;wsp:rsid wsp:val=&quot;26544F08&quot;/&gt;&lt;wsp:rsid wsp:val=&quot;268A5E33&quot;/&gt;&lt;wsp:rsid wsp:val=&quot;269A78AA&quot;/&gt;&lt;wsp:rsid wsp:val=&quot;26AB543D&quot;/&gt;&lt;wsp:rsid wsp:val=&quot;26DF3838&quot;/&gt;&lt;wsp:rsid wsp:val=&quot;26E9337A&quot;/&gt;&lt;wsp:rsid wsp:val=&quot;26F17749&quot;/&gt;&lt;wsp:rsid wsp:val=&quot;271F5A9E&quot;/&gt;&lt;wsp:rsid wsp:val=&quot;272F0626&quot;/&gt;&lt;wsp:rsid wsp:val=&quot;273D0529&quot;/&gt;&lt;wsp:rsid wsp:val=&quot;2755395F&quot;/&gt;&lt;wsp:rsid wsp:val=&quot;27984E21&quot;/&gt;&lt;wsp:rsid wsp:val=&quot;27A65198&quot;/&gt;&lt;wsp:rsid wsp:val=&quot;27C94EFB&quot;/&gt;&lt;wsp:rsid wsp:val=&quot;27D1147C&quot;/&gt;&lt;wsp:rsid wsp:val=&quot;27E33990&quot;/&gt;&lt;wsp:rsid wsp:val=&quot;28142BC0&quot;/&gt;&lt;wsp:rsid wsp:val=&quot;28194CD7&quot;/&gt;&lt;wsp:rsid wsp:val=&quot;281E41F9&quot;/&gt;&lt;wsp:rsid wsp:val=&quot;28382AE2&quot;/&gt;&lt;wsp:rsid wsp:val=&quot;283C2DCC&quot;/&gt;&lt;wsp:rsid wsp:val=&quot;28654F7A&quot;/&gt;&lt;wsp:rsid wsp:val=&quot;286F1644&quot;/&gt;&lt;wsp:rsid wsp:val=&quot;287E0680&quot;/&gt;&lt;wsp:rsid wsp:val=&quot;288B243E&quot;/&gt;&lt;wsp:rsid wsp:val=&quot;288F7170&quot;/&gt;&lt;wsp:rsid wsp:val=&quot;28C11C6E&quot;/&gt;&lt;wsp:rsid wsp:val=&quot;292F32C9&quot;/&gt;&lt;wsp:rsid wsp:val=&quot;292F64E0&quot;/&gt;&lt;wsp:rsid wsp:val=&quot;292F66F7&quot;/&gt;&lt;wsp:rsid wsp:val=&quot;29465C4F&quot;/&gt;&lt;wsp:rsid wsp:val=&quot;294A57B8&quot;/&gt;&lt;wsp:rsid wsp:val=&quot;296E3B9E&quot;/&gt;&lt;wsp:rsid wsp:val=&quot;2983730D&quot;/&gt;&lt;wsp:rsid wsp:val=&quot;299E588A&quot;/&gt;&lt;wsp:rsid wsp:val=&quot;29D362FA&quot;/&gt;&lt;wsp:rsid wsp:val=&quot;29E80285&quot;/&gt;&lt;wsp:rsid wsp:val=&quot;29F40DD1&quot;/&gt;&lt;wsp:rsid wsp:val=&quot;2A174548&quot;/&gt;&lt;wsp:rsid wsp:val=&quot;2A4522EF&quot;/&gt;&lt;wsp:rsid wsp:val=&quot;2A4960CE&quot;/&gt;&lt;wsp:rsid wsp:val=&quot;2A5D3A3D&quot;/&gt;&lt;wsp:rsid wsp:val=&quot;2A752564&quot;/&gt;&lt;wsp:rsid wsp:val=&quot;2A833C9B&quot;/&gt;&lt;wsp:rsid wsp:val=&quot;2AA51F49&quot;/&gt;&lt;wsp:rsid wsp:val=&quot;2B0F5680&quot;/&gt;&lt;wsp:rsid wsp:val=&quot;2B174076&quot;/&gt;&lt;wsp:rsid wsp:val=&quot;2B2C205C&quot;/&gt;&lt;wsp:rsid wsp:val=&quot;2B4B14CF&quot;/&gt;&lt;wsp:rsid wsp:val=&quot;2B5B0DE4&quot;/&gt;&lt;wsp:rsid wsp:val=&quot;2BA501F9&quot;/&gt;&lt;wsp:rsid wsp:val=&quot;2BDA58A2&quot;/&gt;&lt;wsp:rsid wsp:val=&quot;2BE27D5C&quot;/&gt;&lt;wsp:rsid wsp:val=&quot;2BE52458&quot;/&gt;&lt;wsp:rsid wsp:val=&quot;2C147B66&quot;/&gt;&lt;wsp:rsid wsp:val=&quot;2C327E78&quot;/&gt;&lt;wsp:rsid wsp:val=&quot;2C64530F&quot;/&gt;&lt;wsp:rsid wsp:val=&quot;2C712C70&quot;/&gt;&lt;wsp:rsid wsp:val=&quot;2C7664F8&quot;/&gt;&lt;wsp:rsid wsp:val=&quot;2C845FF8&quot;/&gt;&lt;wsp:rsid wsp:val=&quot;2C8C2266&quot;/&gt;&lt;wsp:rsid wsp:val=&quot;2C9630B3&quot;/&gt;&lt;wsp:rsid wsp:val=&quot;2C9922B7&quot;/&gt;&lt;wsp:rsid wsp:val=&quot;2CBA3975&quot;/&gt;&lt;wsp:rsid wsp:val=&quot;2CD16ABF&quot;/&gt;&lt;wsp:rsid wsp:val=&quot;2CF00075&quot;/&gt;&lt;wsp:rsid wsp:val=&quot;2D0F4B1B&quot;/&gt;&lt;wsp:rsid wsp:val=&quot;2D3B2275&quot;/&gt;&lt;wsp:rsid wsp:val=&quot;2D891D74&quot;/&gt;&lt;wsp:rsid wsp:val=&quot;2D9A338B&quot;/&gt;&lt;wsp:rsid wsp:val=&quot;2D9A5077&quot;/&gt;&lt;wsp:rsid wsp:val=&quot;2DC16BCB&quot;/&gt;&lt;wsp:rsid wsp:val=&quot;2DCF45D1&quot;/&gt;&lt;wsp:rsid wsp:val=&quot;2DD349C7&quot;/&gt;&lt;wsp:rsid wsp:val=&quot;2DFF4D54&quot;/&gt;&lt;wsp:rsid wsp:val=&quot;2E1E2AA9&quot;/&gt;&lt;wsp:rsid wsp:val=&quot;2E316415&quot;/&gt;&lt;wsp:rsid wsp:val=&quot;2E441798&quot;/&gt;&lt;wsp:rsid wsp:val=&quot;2E71793E&quot;/&gt;&lt;wsp:rsid wsp:val=&quot;2E8028D7&quot;/&gt;&lt;wsp:rsid wsp:val=&quot;2E845572&quot;/&gt;&lt;wsp:rsid wsp:val=&quot;2E8E2DF7&quot;/&gt;&lt;wsp:rsid wsp:val=&quot;2E9D5D62&quot;/&gt;&lt;wsp:rsid wsp:val=&quot;2EB415AD&quot;/&gt;&lt;wsp:rsid wsp:val=&quot;2ECE348C&quot;/&gt;&lt;wsp:rsid wsp:val=&quot;2EDB55E3&quot;/&gt;&lt;wsp:rsid wsp:val=&quot;2EFD2081&quot;/&gt;&lt;wsp:rsid wsp:val=&quot;2EFD49F8&quot;/&gt;&lt;wsp:rsid wsp:val=&quot;2F3577E3&quot;/&gt;&lt;wsp:rsid wsp:val=&quot;2F42685C&quot;/&gt;&lt;wsp:rsid wsp:val=&quot;2F553B5A&quot;/&gt;&lt;wsp:rsid wsp:val=&quot;2F662872&quot;/&gt;&lt;wsp:rsid wsp:val=&quot;2F724C5F&quot;/&gt;&lt;wsp:rsid wsp:val=&quot;2F9B5AC3&quot;/&gt;&lt;wsp:rsid wsp:val=&quot;2F9F7E73&quot;/&gt;&lt;wsp:rsid wsp:val=&quot;2FFD0C20&quot;/&gt;&lt;wsp:rsid wsp:val=&quot;30130111&quot;/&gt;&lt;wsp:rsid wsp:val=&quot;30440AB7&quot;/&gt;&lt;wsp:rsid wsp:val=&quot;3049381E&quot;/&gt;&lt;wsp:rsid wsp:val=&quot;305C7F7B&quot;/&gt;&lt;wsp:rsid wsp:val=&quot;307F705C&quot;/&gt;&lt;wsp:rsid wsp:val=&quot;309A55A8&quot;/&gt;&lt;wsp:rsid wsp:val=&quot;30B74328&quot;/&gt;&lt;wsp:rsid wsp:val=&quot;30D510F7&quot;/&gt;&lt;wsp:rsid wsp:val=&quot;30D7008F&quot;/&gt;&lt;wsp:rsid wsp:val=&quot;30F67310&quot;/&gt;&lt;wsp:rsid wsp:val=&quot;31120094&quot;/&gt;&lt;wsp:rsid wsp:val=&quot;31222DDF&quot;/&gt;&lt;wsp:rsid wsp:val=&quot;315D12A0&quot;/&gt;&lt;wsp:rsid wsp:val=&quot;316A54B4&quot;/&gt;&lt;wsp:rsid wsp:val=&quot;31A850DD&quot;/&gt;&lt;wsp:rsid wsp:val=&quot;31B06674&quot;/&gt;&lt;wsp:rsid wsp:val=&quot;31BE04E6&quot;/&gt;&lt;wsp:rsid wsp:val=&quot;31C70950&quot;/&gt;&lt;wsp:rsid wsp:val=&quot;31DF3838&quot;/&gt;&lt;wsp:rsid wsp:val=&quot;31EE3B5D&quot;/&gt;&lt;wsp:rsid wsp:val=&quot;320D0DC8&quot;/&gt;&lt;wsp:rsid wsp:val=&quot;321A418E&quot;/&gt;&lt;wsp:rsid wsp:val=&quot;32401E0F&quot;/&gt;&lt;wsp:rsid wsp:val=&quot;324F7B39&quot;/&gt;&lt;wsp:rsid wsp:val=&quot;32535E36&quot;/&gt;&lt;wsp:rsid wsp:val=&quot;32562E0F&quot;/&gt;&lt;wsp:rsid wsp:val=&quot;327002B0&quot;/&gt;&lt;wsp:rsid wsp:val=&quot;32905CFD&quot;/&gt;&lt;wsp:rsid wsp:val=&quot;32B955F9&quot;/&gt;&lt;wsp:rsid wsp:val=&quot;32E056A9&quot;/&gt;&lt;wsp:rsid wsp:val=&quot;32FE20EB&quot;/&gt;&lt;wsp:rsid wsp:val=&quot;330952E7&quot;/&gt;&lt;wsp:rsid wsp:val=&quot;33135EF1&quot;/&gt;&lt;wsp:rsid wsp:val=&quot;3332192F&quot;/&gt;&lt;wsp:rsid wsp:val=&quot;33515C3E&quot;/&gt;&lt;wsp:rsid wsp:val=&quot;33533C99&quot;/&gt;&lt;wsp:rsid wsp:val=&quot;33542DD6&quot;/&gt;&lt;wsp:rsid wsp:val=&quot;339709B4&quot;/&gt;&lt;wsp:rsid wsp:val=&quot;339C2614&quot;/&gt;&lt;wsp:rsid wsp:val=&quot;33B04681&quot;/&gt;&lt;wsp:rsid wsp:val=&quot;33BD2967&quot;/&gt;&lt;wsp:rsid wsp:val=&quot;33F53425&quot;/&gt;&lt;wsp:rsid wsp:val=&quot;34034857&quot;/&gt;&lt;wsp:rsid wsp:val=&quot;343A6582&quot;/&gt;&lt;wsp:rsid wsp:val=&quot;34416822&quot;/&gt;&lt;wsp:rsid wsp:val=&quot;344626C3&quot;/&gt;&lt;wsp:rsid wsp:val=&quot;34723F91&quot;/&gt;&lt;wsp:rsid wsp:val=&quot;34795C64&quot;/&gt;&lt;wsp:rsid wsp:val=&quot;3481681D&quot;/&gt;&lt;wsp:rsid wsp:val=&quot;34D00D41&quot;/&gt;&lt;wsp:rsid wsp:val=&quot;34D7549E&quot;/&gt;&lt;wsp:rsid wsp:val=&quot;350A1296&quot;/&gt;&lt;wsp:rsid wsp:val=&quot;35150C28&quot;/&gt;&lt;wsp:rsid wsp:val=&quot;35236A40&quot;/&gt;&lt;wsp:rsid wsp:val=&quot;3524545D&quot;/&gt;&lt;wsp:rsid wsp:val=&quot;353454CA&quot;/&gt;&lt;wsp:rsid wsp:val=&quot;35524458&quot;/&gt;&lt;wsp:rsid wsp:val=&quot;3575786D&quot;/&gt;&lt;wsp:rsid wsp:val=&quot;357904D9&quot;/&gt;&lt;wsp:rsid wsp:val=&quot;35B47668&quot;/&gt;&lt;wsp:rsid wsp:val=&quot;35DA5B99&quot;/&gt;&lt;wsp:rsid wsp:val=&quot;35DB6841&quot;/&gt;&lt;wsp:rsid wsp:val=&quot;35E03827&quot;/&gt;&lt;wsp:rsid wsp:val=&quot;35F30E34&quot;/&gt;&lt;wsp:rsid wsp:val=&quot;361338AB&quot;/&gt;&lt;wsp:rsid wsp:val=&quot;362B2304&quot;/&gt;&lt;wsp:rsid wsp:val=&quot;362E16FE&quot;/&gt;&lt;wsp:rsid wsp:val=&quot;36405937&quot;/&gt;&lt;wsp:rsid wsp:val=&quot;364D6997&quot;/&gt;&lt;wsp:rsid wsp:val=&quot;365D363B&quot;/&gt;&lt;wsp:rsid wsp:val=&quot;365E171E&quot;/&gt;&lt;wsp:rsid wsp:val=&quot;36605943&quot;/&gt;&lt;wsp:rsid wsp:val=&quot;368710DC&quot;/&gt;&lt;wsp:rsid wsp:val=&quot;36973977&quot;/&gt;&lt;wsp:rsid wsp:val=&quot;36C4200F&quot;/&gt;&lt;wsp:rsid wsp:val=&quot;36C97B4E&quot;/&gt;&lt;wsp:rsid wsp:val=&quot;36D21CDD&quot;/&gt;&lt;wsp:rsid wsp:val=&quot;36D536A0&quot;/&gt;&lt;wsp:rsid wsp:val=&quot;36D65F12&quot;/&gt;&lt;wsp:rsid wsp:val=&quot;36FE2B73&quot;/&gt;&lt;wsp:rsid wsp:val=&quot;37031B34&quot;/&gt;&lt;wsp:rsid wsp:val=&quot;37543887&quot;/&gt;&lt;wsp:rsid wsp:val=&quot;376F0F93&quot;/&gt;&lt;wsp:rsid wsp:val=&quot;37717A20&quot;/&gt;&lt;wsp:rsid wsp:val=&quot;37757726&quot;/&gt;&lt;wsp:rsid wsp:val=&quot;378056A6&quot;/&gt;&lt;wsp:rsid wsp:val=&quot;37C0591F&quot;/&gt;&lt;wsp:rsid wsp:val=&quot;37C67787&quot;/&gt;&lt;wsp:rsid wsp:val=&quot;37E33A19&quot;/&gt;&lt;wsp:rsid wsp:val=&quot;37F6647B&quot;/&gt;&lt;wsp:rsid wsp:val=&quot;381E75AF&quot;/&gt;&lt;wsp:rsid wsp:val=&quot;385A4844&quot;/&gt;&lt;wsp:rsid wsp:val=&quot;387873FA&quot;/&gt;&lt;wsp:rsid wsp:val=&quot;387A4C79&quot;/&gt;&lt;wsp:rsid wsp:val=&quot;387B299E&quot;/&gt;&lt;wsp:rsid wsp:val=&quot;387F48A0&quot;/&gt;&lt;wsp:rsid wsp:val=&quot;38AD15C3&quot;/&gt;&lt;wsp:rsid wsp:val=&quot;38B51521&quot;/&gt;&lt;wsp:rsid wsp:val=&quot;38BA7D5C&quot;/&gt;&lt;wsp:rsid wsp:val=&quot;38EB664B&quot;/&gt;&lt;wsp:rsid wsp:val=&quot;38F80837&quot;/&gt;&lt;wsp:rsid wsp:val=&quot;38F91BCD&quot;/&gt;&lt;wsp:rsid wsp:val=&quot;39070AAC&quot;/&gt;&lt;wsp:rsid wsp:val=&quot;39086358&quot;/&gt;&lt;wsp:rsid wsp:val=&quot;393153B7&quot;/&gt;&lt;wsp:rsid wsp:val=&quot;394C52C9&quot;/&gt;&lt;wsp:rsid wsp:val=&quot;39697CD8&quot;/&gt;&lt;wsp:rsid wsp:val=&quot;39751EC5&quot;/&gt;&lt;wsp:rsid wsp:val=&quot;398C5842&quot;/&gt;&lt;wsp:rsid wsp:val=&quot;399C5CC5&quot;/&gt;&lt;wsp:rsid wsp:val=&quot;399E558B&quot;/&gt;&lt;wsp:rsid wsp:val=&quot;39BF6E97&quot;/&gt;&lt;wsp:rsid wsp:val=&quot;39D66A57&quot;/&gt;&lt;wsp:rsid wsp:val=&quot;39DE7E7E&quot;/&gt;&lt;wsp:rsid wsp:val=&quot;39EC17AA&quot;/&gt;&lt;wsp:rsid wsp:val=&quot;3A085559&quot;/&gt;&lt;wsp:rsid wsp:val=&quot;3A0D141A&quot;/&gt;&lt;wsp:rsid wsp:val=&quot;3A243815&quot;/&gt;&lt;wsp:rsid wsp:val=&quot;3A4B32A1&quot;/&gt;&lt;wsp:rsid wsp:val=&quot;3A5B0B30&quot;/&gt;&lt;wsp:rsid wsp:val=&quot;3A5E46D9&quot;/&gt;&lt;wsp:rsid wsp:val=&quot;3A690617&quot;/&gt;&lt;wsp:rsid wsp:val=&quot;3A6F0291&quot;/&gt;&lt;wsp:rsid wsp:val=&quot;3A8A71D1&quot;/&gt;&lt;wsp:rsid wsp:val=&quot;3AB12108&quot;/&gt;&lt;wsp:rsid wsp:val=&quot;3ABE5CE0&quot;/&gt;&lt;wsp:rsid wsp:val=&quot;3ADA1058&quot;/&gt;&lt;wsp:rsid wsp:val=&quot;3B011173&quot;/&gt;&lt;wsp:rsid wsp:val=&quot;3B104A62&quot;/&gt;&lt;wsp:rsid wsp:val=&quot;3B6363EA&quot;/&gt;&lt;wsp:rsid wsp:val=&quot;3B804D03&quot;/&gt;&lt;wsp:rsid wsp:val=&quot;3B9916CD&quot;/&gt;&lt;wsp:rsid wsp:val=&quot;3BF269D8&quot;/&gt;&lt;wsp:rsid wsp:val=&quot;3C1B4329&quot;/&gt;&lt;wsp:rsid wsp:val=&quot;3C235DF5&quot;/&gt;&lt;wsp:rsid wsp:val=&quot;3C374014&quot;/&gt;&lt;wsp:rsid wsp:val=&quot;3C405B17&quot;/&gt;&lt;wsp:rsid wsp:val=&quot;3C764C2E&quot;/&gt;&lt;wsp:rsid wsp:val=&quot;3C78126A&quot;/&gt;&lt;wsp:rsid wsp:val=&quot;3CA562E6&quot;/&gt;&lt;wsp:rsid wsp:val=&quot;3CA740F0&quot;/&gt;&lt;wsp:rsid wsp:val=&quot;3CB607D5&quot;/&gt;&lt;wsp:rsid wsp:val=&quot;3D000F92&quot;/&gt;&lt;wsp:rsid wsp:val=&quot;3D0E21B3&quot;/&gt;&lt;wsp:rsid wsp:val=&quot;3D326B36&quot;/&gt;&lt;wsp:rsid wsp:val=&quot;3D3B50E0&quot;/&gt;&lt;wsp:rsid wsp:val=&quot;3D7C2D6C&quot;/&gt;&lt;wsp:rsid wsp:val=&quot;3D9D6AC0&quot;/&gt;&lt;wsp:rsid wsp:val=&quot;3DAF6A47&quot;/&gt;&lt;wsp:rsid wsp:val=&quot;3DBD53A4&quot;/&gt;&lt;wsp:rsid wsp:val=&quot;3DC51720&quot;/&gt;&lt;wsp:rsid wsp:val=&quot;3DD3268E&quot;/&gt;&lt;wsp:rsid wsp:val=&quot;3DF05AC1&quot;/&gt;&lt;wsp:rsid wsp:val=&quot;3E085F49&quot;/&gt;&lt;wsp:rsid wsp:val=&quot;3E4E24CC&quot;/&gt;&lt;wsp:rsid wsp:val=&quot;3E5B55DC&quot;/&gt;&lt;wsp:rsid wsp:val=&quot;3E5F33E4&quot;/&gt;&lt;wsp:rsid wsp:val=&quot;3E8B042A&quot;/&gt;&lt;wsp:rsid wsp:val=&quot;3EA93C33&quot;/&gt;&lt;wsp:rsid wsp:val=&quot;3EBC620A&quot;/&gt;&lt;wsp:rsid wsp:val=&quot;3ECE6552&quot;/&gt;&lt;wsp:rsid wsp:val=&quot;3ED1585F&quot;/&gt;&lt;wsp:rsid wsp:val=&quot;3EEF7213&quot;/&gt;&lt;wsp:rsid wsp:val=&quot;3F4976AD&quot;/&gt;&lt;wsp:rsid wsp:val=&quot;3F570BE9&quot;/&gt;&lt;wsp:rsid wsp:val=&quot;3F623298&quot;/&gt;&lt;wsp:rsid wsp:val=&quot;3F786788&quot;/&gt;&lt;wsp:rsid wsp:val=&quot;3F794993&quot;/&gt;&lt;wsp:rsid wsp:val=&quot;3F984A72&quot;/&gt;&lt;wsp:rsid wsp:val=&quot;400870C2&quot;/&gt;&lt;wsp:rsid wsp:val=&quot;401A0C18&quot;/&gt;&lt;wsp:rsid wsp:val=&quot;4023326A&quot;/&gt;&lt;wsp:rsid wsp:val=&quot;40262630&quot;/&gt;&lt;wsp:rsid wsp:val=&quot;402747A2&quot;/&gt;&lt;wsp:rsid wsp:val=&quot;4049774E&quot;/&gt;&lt;wsp:rsid wsp:val=&quot;405940CB&quot;/&gt;&lt;wsp:rsid wsp:val=&quot;40A36822&quot;/&gt;&lt;wsp:rsid wsp:val=&quot;40C04433&quot;/&gt;&lt;wsp:rsid wsp:val=&quot;41077F82&quot;/&gt;&lt;wsp:rsid wsp:val=&quot;410D1033&quot;/&gt;&lt;wsp:rsid wsp:val=&quot;41395D7D&quot;/&gt;&lt;wsp:rsid wsp:val=&quot;41477B3B&quot;/&gt;&lt;wsp:rsid wsp:val=&quot;41477BA1&quot;/&gt;&lt;wsp:rsid wsp:val=&quot;41484221&quot;/&gt;&lt;wsp:rsid wsp:val=&quot;417738DA&quot;/&gt;&lt;wsp:rsid wsp:val=&quot;417D7C80&quot;/&gt;&lt;wsp:rsid wsp:val=&quot;41816113&quot;/&gt;&lt;wsp:rsid wsp:val=&quot;41AA6801&quot;/&gt;&lt;wsp:rsid wsp:val=&quot;41D36A8F&quot;/&gt;&lt;wsp:rsid wsp:val=&quot;41F35C21&quot;/&gt;&lt;wsp:rsid wsp:val=&quot;424106DB&quot;/&gt;&lt;wsp:rsid wsp:val=&quot;426C6856&quot;/&gt;&lt;wsp:rsid wsp:val=&quot;427E69B4&quot;/&gt;&lt;wsp:rsid wsp:val=&quot;428F02C5&quot;/&gt;&lt;wsp:rsid wsp:val=&quot;429D2635&quot;/&gt;&lt;wsp:rsid wsp:val=&quot;42A87357&quot;/&gt;&lt;wsp:rsid wsp:val=&quot;42AA350F&quot;/&gt;&lt;wsp:rsid wsp:val=&quot;42BD65CC&quot;/&gt;&lt;wsp:rsid wsp:val=&quot;42C24E21&quot;/&gt;&lt;wsp:rsid wsp:val=&quot;42CE5649&quot;/&gt;&lt;wsp:rsid wsp:val=&quot;42FA2A7B&quot;/&gt;&lt;wsp:rsid wsp:val=&quot;4320160B&quot;/&gt;&lt;wsp:rsid wsp:val=&quot;432C3F5D&quot;/&gt;&lt;wsp:rsid wsp:val=&quot;434B5E2D&quot;/&gt;&lt;wsp:rsid wsp:val=&quot;437D6E98&quot;/&gt;&lt;wsp:rsid wsp:val=&quot;43836645&quot;/&gt;&lt;wsp:rsid wsp:val=&quot;439169D3&quot;/&gt;&lt;wsp:rsid wsp:val=&quot;43D82842&quot;/&gt;&lt;wsp:rsid wsp:val=&quot;43EC02AC&quot;/&gt;&lt;wsp:rsid wsp:val=&quot;43FB717B&quot;/&gt;&lt;wsp:rsid wsp:val=&quot;441C3BCF&quot;/&gt;&lt;wsp:rsid wsp:val=&quot;442108A7&quot;/&gt;&lt;wsp:rsid wsp:val=&quot;442153F6&quot;/&gt;&lt;wsp:rsid wsp:val=&quot;442E12C3&quot;/&gt;&lt;wsp:rsid wsp:val=&quot;44340402&quot;/&gt;&lt;wsp:rsid wsp:val=&quot;444C72EA&quot;/&gt;&lt;wsp:rsid wsp:val=&quot;4454356C&quot;/&gt;&lt;wsp:rsid wsp:val=&quot;44754B24&quot;/&gt;&lt;wsp:rsid wsp:val=&quot;4485170E&quot;/&gt;&lt;wsp:rsid wsp:val=&quot;449F6FFD&quot;/&gt;&lt;wsp:rsid wsp:val=&quot;44C724FF&quot;/&gt;&lt;wsp:rsid wsp:val=&quot;44CD439E&quot;/&gt;&lt;wsp:rsid wsp:val=&quot;459C5113&quot;/&gt;&lt;wsp:rsid wsp:val=&quot;45DE1958&quot;/&gt;&lt;wsp:rsid wsp:val=&quot;45F71D3F&quot;/&gt;&lt;wsp:rsid wsp:val=&quot;46081FAF&quot;/&gt;&lt;wsp:rsid wsp:val=&quot;460B711F&quot;/&gt;&lt;wsp:rsid wsp:val=&quot;460F572D&quot;/&gt;&lt;wsp:rsid wsp:val=&quot;462F6A17&quot;/&gt;&lt;wsp:rsid wsp:val=&quot;4656226A&quot;/&gt;&lt;wsp:rsid wsp:val=&quot;46577F66&quot;/&gt;&lt;wsp:rsid wsp:val=&quot;466C43AB&quot;/&gt;&lt;wsp:rsid wsp:val=&quot;46840BAD&quot;/&gt;&lt;wsp:rsid wsp:val=&quot;469337F3&quot;/&gt;&lt;wsp:rsid wsp:val=&quot;469708F4&quot;/&gt;&lt;wsp:rsid wsp:val=&quot;469C4109&quot;/&gt;&lt;wsp:rsid wsp:val=&quot;46A3301B&quot;/&gt;&lt;wsp:rsid wsp:val=&quot;46AD78F9&quot;/&gt;&lt;wsp:rsid wsp:val=&quot;46C30060&quot;/&gt;&lt;wsp:rsid wsp:val=&quot;46C308C1&quot;/&gt;&lt;wsp:rsid wsp:val=&quot;46C36A8C&quot;/&gt;&lt;wsp:rsid wsp:val=&quot;470326DB&quot;/&gt;&lt;wsp:rsid wsp:val=&quot;472B4A6A&quot;/&gt;&lt;wsp:rsid wsp:val=&quot;47346D9B&quot;/&gt;&lt;wsp:rsid wsp:val=&quot;474755E1&quot;/&gt;&lt;wsp:rsid wsp:val=&quot;47652383&quot;/&gt;&lt;wsp:rsid wsp:val=&quot;47685307&quot;/&gt;&lt;wsp:rsid wsp:val=&quot;478A6976&quot;/&gt;&lt;wsp:rsid wsp:val=&quot;47AC7750&quot;/&gt;&lt;wsp:rsid wsp:val=&quot;47B635D9&quot;/&gt;&lt;wsp:rsid wsp:val=&quot;47BF26BC&quot;/&gt;&lt;wsp:rsid wsp:val=&quot;48497690&quot;/&gt;&lt;wsp:rsid wsp:val=&quot;485734FA&quot;/&gt;&lt;wsp:rsid wsp:val=&quot;4858792F&quot;/&gt;&lt;wsp:rsid wsp:val=&quot;487F4EAB&quot;/&gt;&lt;wsp:rsid wsp:val=&quot;48853399&quot;/&gt;&lt;wsp:rsid wsp:val=&quot;489020D3&quot;/&gt;&lt;wsp:rsid wsp:val=&quot;489B1A13&quot;/&gt;&lt;wsp:rsid wsp:val=&quot;48C27684&quot;/&gt;&lt;wsp:rsid wsp:val=&quot;48C804FB&quot;/&gt;&lt;wsp:rsid wsp:val=&quot;48EE1788&quot;/&gt;&lt;wsp:rsid wsp:val=&quot;48F21F15&quot;/&gt;&lt;wsp:rsid wsp:val=&quot;48F64ACF&quot;/&gt;&lt;wsp:rsid wsp:val=&quot;49202BBA&quot;/&gt;&lt;wsp:rsid wsp:val=&quot;49270D3A&quot;/&gt;&lt;wsp:rsid wsp:val=&quot;493122F2&quot;/&gt;&lt;wsp:rsid wsp:val=&quot;493356B9&quot;/&gt;&lt;wsp:rsid wsp:val=&quot;496D1E19&quot;/&gt;&lt;wsp:rsid wsp:val=&quot;49736B29&quot;/&gt;&lt;wsp:rsid wsp:val=&quot;49DC07CD&quot;/&gt;&lt;wsp:rsid wsp:val=&quot;4A2E3030&quot;/&gt;&lt;wsp:rsid wsp:val=&quot;4A3F3EF6&quot;/&gt;&lt;wsp:rsid wsp:val=&quot;4A6174E2&quot;/&gt;&lt;wsp:rsid wsp:val=&quot;4A9162C0&quot;/&gt;&lt;wsp:rsid wsp:val=&quot;4A983B3C&quot;/&gt;&lt;wsp:rsid wsp:val=&quot;4AB81A2E&quot;/&gt;&lt;wsp:rsid wsp:val=&quot;4AC07BA8&quot;/&gt;&lt;wsp:rsid wsp:val=&quot;4AC212B3&quot;/&gt;&lt;wsp:rsid wsp:val=&quot;4AC95E57&quot;/&gt;&lt;wsp:rsid wsp:val=&quot;4AF052CA&quot;/&gt;&lt;wsp:rsid wsp:val=&quot;4AFD0240&quot;/&gt;&lt;wsp:rsid wsp:val=&quot;4B050147&quot;/&gt;&lt;wsp:rsid wsp:val=&quot;4B0E54DA&quot;/&gt;&lt;wsp:rsid wsp:val=&quot;4B263B0D&quot;/&gt;&lt;wsp:rsid wsp:val=&quot;4B3165D4&quot;/&gt;&lt;wsp:rsid wsp:val=&quot;4B3F7D61&quot;/&gt;&lt;wsp:rsid wsp:val=&quot;4B5773A6&quot;/&gt;&lt;wsp:rsid wsp:val=&quot;4B717748&quot;/&gt;&lt;wsp:rsid wsp:val=&quot;4B74632E&quot;/&gt;&lt;wsp:rsid wsp:val=&quot;4B8219EF&quot;/&gt;&lt;wsp:rsid wsp:val=&quot;4BA31553&quot;/&gt;&lt;wsp:rsid wsp:val=&quot;4BAF0847&quot;/&gt;&lt;wsp:rsid wsp:val=&quot;4BB62A42&quot;/&gt;&lt;wsp:rsid wsp:val=&quot;4BF43D54&quot;/&gt;&lt;wsp:rsid wsp:val=&quot;4BF9744C&quot;/&gt;&lt;wsp:rsid wsp:val=&quot;4C0057BA&quot;/&gt;&lt;wsp:rsid wsp:val=&quot;4C255EE0&quot;/&gt;&lt;wsp:rsid wsp:val=&quot;4C2A2E2C&quot;/&gt;&lt;wsp:rsid wsp:val=&quot;4C4D6B63&quot;/&gt;&lt;wsp:rsid wsp:val=&quot;4C5377D5&quot;/&gt;&lt;wsp:rsid wsp:val=&quot;4C6004DD&quot;/&gt;&lt;wsp:rsid wsp:val=&quot;4C613502&quot;/&gt;&lt;wsp:rsid wsp:val=&quot;4C6D0F2D&quot;/&gt;&lt;wsp:rsid wsp:val=&quot;4C7D15A1&quot;/&gt;&lt;wsp:rsid wsp:val=&quot;4C83250D&quot;/&gt;&lt;wsp:rsid wsp:val=&quot;4CBF6BE0&quot;/&gt;&lt;wsp:rsid wsp:val=&quot;4CEB0267&quot;/&gt;&lt;wsp:rsid wsp:val=&quot;4CF541A9&quot;/&gt;&lt;wsp:rsid wsp:val=&quot;4D0A22A5&quot;/&gt;&lt;wsp:rsid wsp:val=&quot;4D1261CE&quot;/&gt;&lt;wsp:rsid wsp:val=&quot;4D171FFD&quot;/&gt;&lt;wsp:rsid wsp:val=&quot;4D1F1FF1&quot;/&gt;&lt;wsp:rsid wsp:val=&quot;4D340232&quot;/&gt;&lt;wsp:rsid wsp:val=&quot;4D574B88&quot;/&gt;&lt;wsp:rsid wsp:val=&quot;4D7C63F8&quot;/&gt;&lt;wsp:rsid wsp:val=&quot;4DAA7907&quot;/&gt;&lt;wsp:rsid wsp:val=&quot;4DAB3452&quot;/&gt;&lt;wsp:rsid wsp:val=&quot;4DBA2C26&quot;/&gt;&lt;wsp:rsid wsp:val=&quot;4DED4BF9&quot;/&gt;&lt;wsp:rsid wsp:val=&quot;4E0F7B4A&quot;/&gt;&lt;wsp:rsid wsp:val=&quot;4E145F58&quot;/&gt;&lt;wsp:rsid wsp:val=&quot;4E1B72DF&quot;/&gt;&lt;wsp:rsid wsp:val=&quot;4E5F5EAD&quot;/&gt;&lt;wsp:rsid wsp:val=&quot;4E9D38F9&quot;/&gt;&lt;wsp:rsid wsp:val=&quot;4EDA225F&quot;/&gt;&lt;wsp:rsid wsp:val=&quot;4EE062D0&quot;/&gt;&lt;wsp:rsid wsp:val=&quot;4EE40BEE&quot;/&gt;&lt;wsp:rsid wsp:val=&quot;4EEA1C42&quot;/&gt;&lt;wsp:rsid wsp:val=&quot;4EEE524A&quot;/&gt;&lt;wsp:rsid wsp:val=&quot;4F242985&quot;/&gt;&lt;wsp:rsid wsp:val=&quot;4F32701D&quot;/&gt;&lt;wsp:rsid wsp:val=&quot;4F3E6A2B&quot;/&gt;&lt;wsp:rsid wsp:val=&quot;4F496891&quot;/&gt;&lt;wsp:rsid wsp:val=&quot;4F632E7E&quot;/&gt;&lt;wsp:rsid wsp:val=&quot;4F6A5B37&quot;/&gt;&lt;wsp:rsid wsp:val=&quot;4F8C4CC9&quot;/&gt;&lt;wsp:rsid wsp:val=&quot;4F9A2FBA&quot;/&gt;&lt;wsp:rsid wsp:val=&quot;4FDB0046&quot;/&gt;&lt;wsp:rsid wsp:val=&quot;4FE6166E&quot;/&gt;&lt;wsp:rsid wsp:val=&quot;50074C87&quot;/&gt;&lt;wsp:rsid wsp:val=&quot;500B0181&quot;/&gt;&lt;wsp:rsid wsp:val=&quot;500C1426&quot;/&gt;&lt;wsp:rsid wsp:val=&quot;50100108&quot;/&gt;&lt;wsp:rsid wsp:val=&quot;5026432D&quot;/&gt;&lt;wsp:rsid wsp:val=&quot;50323C15&quot;/&gt;&lt;wsp:rsid wsp:val=&quot;5061391C&quot;/&gt;&lt;wsp:rsid wsp:val=&quot;506A3FA8&quot;/&gt;&lt;wsp:rsid wsp:val=&quot;507F087A&quot;/&gt;&lt;wsp:rsid wsp:val=&quot;5093708C&quot;/&gt;&lt;wsp:rsid wsp:val=&quot;50AD7FA8&quot;/&gt;&lt;wsp:rsid wsp:val=&quot;50B75A6E&quot;/&gt;&lt;wsp:rsid wsp:val=&quot;50C27880&quot;/&gt;&lt;wsp:rsid wsp:val=&quot;50CC313C&quot;/&gt;&lt;wsp:rsid wsp:val=&quot;50E561EC&quot;/&gt;&lt;wsp:rsid wsp:val=&quot;50EF51C9&quot;/&gt;&lt;wsp:rsid wsp:val=&quot;50FF7E74&quot;/&gt;&lt;wsp:rsid wsp:val=&quot;511526F3&quot;/&gt;&lt;wsp:rsid wsp:val=&quot;51594CA5&quot;/&gt;&lt;wsp:rsid wsp:val=&quot;517452DB&quot;/&gt;&lt;wsp:rsid wsp:val=&quot;519708DB&quot;/&gt;&lt;wsp:rsid wsp:val=&quot;51AB4928&quot;/&gt;&lt;wsp:rsid wsp:val=&quot;51D07439&quot;/&gt;&lt;wsp:rsid wsp:val=&quot;51D36AD4&quot;/&gt;&lt;wsp:rsid wsp:val=&quot;520D2D4D&quot;/&gt;&lt;wsp:rsid wsp:val=&quot;523F273C&quot;/&gt;&lt;wsp:rsid wsp:val=&quot;5257071E&quot;/&gt;&lt;wsp:rsid wsp:val=&quot;5268410B&quot;/&gt;&lt;wsp:rsid wsp:val=&quot;52A67B13&quot;/&gt;&lt;wsp:rsid wsp:val=&quot;52AF440E&quot;/&gt;&lt;wsp:rsid wsp:val=&quot;52BF44EE&quot;/&gt;&lt;wsp:rsid wsp:val=&quot;52CE4793&quot;/&gt;&lt;wsp:rsid wsp:val=&quot;52D132E1&quot;/&gt;&lt;wsp:rsid wsp:val=&quot;52D976E2&quot;/&gt;&lt;wsp:rsid wsp:val=&quot;52E27D55&quot;/&gt;&lt;wsp:rsid wsp:val=&quot;53204BBC&quot;/&gt;&lt;wsp:rsid wsp:val=&quot;53316718&quot;/&gt;&lt;wsp:rsid wsp:val=&quot;53401963&quot;/&gt;&lt;wsp:rsid wsp:val=&quot;53467707&quot;/&gt;&lt;wsp:rsid wsp:val=&quot;534F0B98&quot;/&gt;&lt;wsp:rsid wsp:val=&quot;535D4334&quot;/&gt;&lt;wsp:rsid wsp:val=&quot;53624B68&quot;/&gt;&lt;wsp:rsid wsp:val=&quot;537A2B9B&quot;/&gt;&lt;wsp:rsid wsp:val=&quot;539F7A99&quot;/&gt;&lt;wsp:rsid wsp:val=&quot;53B12142&quot;/&gt;&lt;wsp:rsid wsp:val=&quot;53B80C21&quot;/&gt;&lt;wsp:rsid wsp:val=&quot;53F26A5C&quot;/&gt;&lt;wsp:rsid wsp:val=&quot;54177340&quot;/&gt;&lt;wsp:rsid wsp:val=&quot;54204A87&quot;/&gt;&lt;wsp:rsid wsp:val=&quot;54264AF8&quot;/&gt;&lt;wsp:rsid wsp:val=&quot;54505B4E&quot;/&gt;&lt;wsp:rsid wsp:val=&quot;545633E6&quot;/&gt;&lt;wsp:rsid wsp:val=&quot;54743A4E&quot;/&gt;&lt;wsp:rsid wsp:val=&quot;54772EEC&quot;/&gt;&lt;wsp:rsid wsp:val=&quot;54B45049&quot;/&gt;&lt;wsp:rsid wsp:val=&quot;54B55E90&quot;/&gt;&lt;wsp:rsid wsp:val=&quot;54ED3D5F&quot;/&gt;&lt;wsp:rsid wsp:val=&quot;550F2946&quot;/&gt;&lt;wsp:rsid wsp:val=&quot;55351DD9&quot;/&gt;&lt;wsp:rsid wsp:val=&quot;553D6CE4&quot;/&gt;&lt;wsp:rsid wsp:val=&quot;555F11ED&quot;/&gt;&lt;wsp:rsid wsp:val=&quot;556A2638&quot;/&gt;&lt;wsp:rsid wsp:val=&quot;557026A6&quot;/&gt;&lt;wsp:rsid wsp:val=&quot;55C5656D&quot;/&gt;&lt;wsp:rsid wsp:val=&quot;560A4CF4&quot;/&gt;&lt;wsp:rsid wsp:val=&quot;5612022F&quot;/&gt;&lt;wsp:rsid wsp:val=&quot;56421B90&quot;/&gt;&lt;wsp:rsid wsp:val=&quot;56472402&quot;/&gt;&lt;wsp:rsid wsp:val=&quot;56666951&quot;/&gt;&lt;wsp:rsid wsp:val=&quot;568A5EF7&quot;/&gt;&lt;wsp:rsid wsp:val=&quot;569A01F5&quot;/&gt;&lt;wsp:rsid wsp:val=&quot;57045863&quot;/&gt;&lt;wsp:rsid wsp:val=&quot;5705360F&quot;/&gt;&lt;wsp:rsid wsp:val=&quot;570D094F&quot;/&gt;&lt;wsp:rsid wsp:val=&quot;57701CE1&quot;/&gt;&lt;wsp:rsid wsp:val=&quot;57742D5B&quot;/&gt;&lt;wsp:rsid wsp:val=&quot;5784353B&quot;/&gt;&lt;wsp:rsid wsp:val=&quot;57A65469&quot;/&gt;&lt;wsp:rsid wsp:val=&quot;57BB0AD9&quot;/&gt;&lt;wsp:rsid wsp:val=&quot;57E116D3&quot;/&gt;&lt;wsp:rsid wsp:val=&quot;57EC7BE9&quot;/&gt;&lt;wsp:rsid wsp:val=&quot;57F205FF&quot;/&gt;&lt;wsp:rsid wsp:val=&quot;57FB1A0A&quot;/&gt;&lt;wsp:rsid wsp:val=&quot;5802359C&quot;/&gt;&lt;wsp:rsid wsp:val=&quot;580A0C13&quot;/&gt;&lt;wsp:rsid wsp:val=&quot;580D58C7&quot;/&gt;&lt;wsp:rsid wsp:val=&quot;582746B4&quot;/&gt;&lt;wsp:rsid wsp:val=&quot;5833406E&quot;/&gt;&lt;wsp:rsid wsp:val=&quot;583E7E3D&quot;/&gt;&lt;wsp:rsid wsp:val=&quot;58776D73&quot;/&gt;&lt;wsp:rsid wsp:val=&quot;588D2C31&quot;/&gt;&lt;wsp:rsid wsp:val=&quot;589B43DD&quot;/&gt;&lt;wsp:rsid wsp:val=&quot;58AD6B4D&quot;/&gt;&lt;wsp:rsid wsp:val=&quot;58BB1973&quot;/&gt;&lt;wsp:rsid wsp:val=&quot;58BC5E1B&quot;/&gt;&lt;wsp:rsid wsp:val=&quot;58C16BCA&quot;/&gt;&lt;wsp:rsid wsp:val=&quot;58EF0F63&quot;/&gt;&lt;wsp:rsid wsp:val=&quot;58F06E3A&quot;/&gt;&lt;wsp:rsid wsp:val=&quot;58FF77DA&quot;/&gt;&lt;wsp:rsid wsp:val=&quot;59222399&quot;/&gt;&lt;wsp:rsid wsp:val=&quot;592655FD&quot;/&gt;&lt;wsp:rsid wsp:val=&quot;593E53C7&quot;/&gt;&lt;wsp:rsid wsp:val=&quot;594012D1&quot;/&gt;&lt;wsp:rsid wsp:val=&quot;59592AF7&quot;/&gt;&lt;wsp:rsid wsp:val=&quot;596F5B63&quot;/&gt;&lt;wsp:rsid wsp:val=&quot;59844B60&quot;/&gt;&lt;wsp:rsid wsp:val=&quot;59A91C39&quot;/&gt;&lt;wsp:rsid wsp:val=&quot;59CF1D3D&quot;/&gt;&lt;wsp:rsid wsp:val=&quot;59D96B24&quot;/&gt;&lt;wsp:rsid wsp:val=&quot;59F131E8&quot;/&gt;&lt;wsp:rsid wsp:val=&quot;59FA5681&quot;/&gt;&lt;wsp:rsid wsp:val=&quot;5A1C0D57&quot;/&gt;&lt;wsp:rsid wsp:val=&quot;5A2055FA&quot;/&gt;&lt;wsp:rsid wsp:val=&quot;5A4A1383&quot;/&gt;&lt;wsp:rsid wsp:val=&quot;5AAF0003&quot;/&gt;&lt;wsp:rsid wsp:val=&quot;5AC11AB0&quot;/&gt;&lt;wsp:rsid wsp:val=&quot;5AEA4FAB&quot;/&gt;&lt;wsp:rsid wsp:val=&quot;5AF4385A&quot;/&gt;&lt;wsp:rsid wsp:val=&quot;5AF64539&quot;/&gt;&lt;wsp:rsid wsp:val=&quot;5AFD2EA9&quot;/&gt;&lt;wsp:rsid wsp:val=&quot;5B1D0CF1&quot;/&gt;&lt;wsp:rsid wsp:val=&quot;5B3148A8&quot;/&gt;&lt;wsp:rsid wsp:val=&quot;5B353824&quot;/&gt;&lt;wsp:rsid wsp:val=&quot;5B390C8A&quot;/&gt;&lt;wsp:rsid wsp:val=&quot;5B606048&quot;/&gt;&lt;wsp:rsid wsp:val=&quot;5B6323B3&quot;/&gt;&lt;wsp:rsid wsp:val=&quot;5B7F3653&quot;/&gt;&lt;wsp:rsid wsp:val=&quot;5B8706B2&quot;/&gt;&lt;wsp:rsid wsp:val=&quot;5B95566A&quot;/&gt;&lt;wsp:rsid wsp:val=&quot;5BA57DC1&quot;/&gt;&lt;wsp:rsid wsp:val=&quot;5BB278B3&quot;/&gt;&lt;wsp:rsid wsp:val=&quot;5BC67C3D&quot;/&gt;&lt;wsp:rsid wsp:val=&quot;5BCD6484&quot;/&gt;&lt;wsp:rsid wsp:val=&quot;5BDB2C5E&quot;/&gt;&lt;wsp:rsid wsp:val=&quot;5BF5158C&quot;/&gt;&lt;wsp:rsid wsp:val=&quot;5BF96B26&quot;/&gt;&lt;wsp:rsid wsp:val=&quot;5C1E4E12&quot;/&gt;&lt;wsp:rsid wsp:val=&quot;5C264FCE&quot;/&gt;&lt;wsp:rsid wsp:val=&quot;5C620D5C&quot;/&gt;&lt;wsp:rsid wsp:val=&quot;5C692678&quot;/&gt;&lt;wsp:rsid wsp:val=&quot;5C6E5321&quot;/&gt;&lt;wsp:rsid wsp:val=&quot;5C6E6FB0&quot;/&gt;&lt;wsp:rsid wsp:val=&quot;5C8079BB&quot;/&gt;&lt;wsp:rsid wsp:val=&quot;5C825C30&quot;/&gt;&lt;wsp:rsid wsp:val=&quot;5C840D3A&quot;/&gt;&lt;wsp:rsid wsp:val=&quot;5C8D5E95&quot;/&gt;&lt;wsp:rsid wsp:val=&quot;5CBC6CDE&quot;/&gt;&lt;wsp:rsid wsp:val=&quot;5CDA26BC&quot;/&gt;&lt;wsp:rsid wsp:val=&quot;5CE74C7F&quot;/&gt;&lt;wsp:rsid wsp:val=&quot;5CF224BA&quot;/&gt;&lt;wsp:rsid wsp:val=&quot;5D1771B2&quot;/&gt;&lt;wsp:rsid wsp:val=&quot;5D287851&quot;/&gt;&lt;wsp:rsid wsp:val=&quot;5D393E0A&quot;/&gt;&lt;wsp:rsid wsp:val=&quot;5D590B65&quot;/&gt;&lt;wsp:rsid wsp:val=&quot;5DAB02C3&quot;/&gt;&lt;wsp:rsid wsp:val=&quot;5DE56B63&quot;/&gt;&lt;wsp:rsid wsp:val=&quot;5E0510EF&quot;/&gt;&lt;wsp:rsid wsp:val=&quot;5E293FC2&quot;/&gt;&lt;wsp:rsid wsp:val=&quot;5E347196&quot;/&gt;&lt;wsp:rsid wsp:val=&quot;5E3D30B0&quot;/&gt;&lt;wsp:rsid wsp:val=&quot;5E57036E&quot;/&gt;&lt;wsp:rsid wsp:val=&quot;5E6368FD&quot;/&gt;&lt;wsp:rsid wsp:val=&quot;5E666A3F&quot;/&gt;&lt;wsp:rsid wsp:val=&quot;5E702C84&quot;/&gt;&lt;wsp:rsid wsp:val=&quot;5E9630AB&quot;/&gt;&lt;wsp:rsid wsp:val=&quot;5E9B4927&quot;/&gt;&lt;wsp:rsid wsp:val=&quot;5E9C28C8&quot;/&gt;&lt;wsp:rsid wsp:val=&quot;5EAE0FD2&quot;/&gt;&lt;wsp:rsid wsp:val=&quot;5EBA5034&quot;/&gt;&lt;wsp:rsid wsp:val=&quot;5EC21422&quot;/&gt;&lt;wsp:rsid wsp:val=&quot;5ED0368B&quot;/&gt;&lt;wsp:rsid wsp:val=&quot;5EDF0139&quot;/&gt;&lt;wsp:rsid wsp:val=&quot;5EF83C50&quot;/&gt;&lt;wsp:rsid wsp:val=&quot;5F067FCF&quot;/&gt;&lt;wsp:rsid wsp:val=&quot;5F1D7064&quot;/&gt;&lt;wsp:rsid wsp:val=&quot;5F2A1C14&quot;/&gt;&lt;wsp:rsid wsp:val=&quot;5F444712&quot;/&gt;&lt;wsp:rsid wsp:val=&quot;5F4E4C4C&quot;/&gt;&lt;wsp:rsid wsp:val=&quot;5F7043FE&quot;/&gt;&lt;wsp:rsid wsp:val=&quot;5F710A7F&quot;/&gt;&lt;wsp:rsid wsp:val=&quot;5F780D4D&quot;/&gt;&lt;wsp:rsid wsp:val=&quot;5F8B4429&quot;/&gt;&lt;wsp:rsid wsp:val=&quot;5FBB5C02&quot;/&gt;&lt;wsp:rsid wsp:val=&quot;5FBF25E4&quot;/&gt;&lt;wsp:rsid wsp:val=&quot;5FC375E0&quot;/&gt;&lt;wsp:rsid wsp:val=&quot;5FCA599E&quot;/&gt;&lt;wsp:rsid wsp:val=&quot;5FE912CE&quot;/&gt;&lt;wsp:rsid wsp:val=&quot;5FEF3AD8&quot;/&gt;&lt;wsp:rsid wsp:val=&quot;600A4169&quot;/&gt;&lt;wsp:rsid wsp:val=&quot;60223B74&quot;/&gt;&lt;wsp:rsid wsp:val=&quot;60533D6B&quot;/&gt;&lt;wsp:rsid wsp:val=&quot;60620E30&quot;/&gt;&lt;wsp:rsid wsp:val=&quot;606547A6&quot;/&gt;&lt;wsp:rsid wsp:val=&quot;607064A8&quot;/&gt;&lt;wsp:rsid wsp:val=&quot;6089643B&quot;/&gt;&lt;wsp:rsid wsp:val=&quot;608B3518&quot;/&gt;&lt;wsp:rsid wsp:val=&quot;60B613DE&quot;/&gt;&lt;wsp:rsid wsp:val=&quot;60B8317C&quot;/&gt;&lt;wsp:rsid wsp:val=&quot;60BD49ED&quot;/&gt;&lt;wsp:rsid wsp:val=&quot;6119270A&quot;/&gt;&lt;wsp:rsid wsp:val=&quot;612D4ADF&quot;/&gt;&lt;wsp:rsid wsp:val=&quot;61333C09&quot;/&gt;&lt;wsp:rsid wsp:val=&quot;613563AB&quot;/&gt;&lt;wsp:rsid wsp:val=&quot;615B484C&quot;/&gt;&lt;wsp:rsid wsp:val=&quot;617F7063&quot;/&gt;&lt;wsp:rsid wsp:val=&quot;61885B3F&quot;/&gt;&lt;wsp:rsid wsp:val=&quot;61A87F74&quot;/&gt;&lt;wsp:rsid wsp:val=&quot;61BA4B62&quot;/&gt;&lt;wsp:rsid wsp:val=&quot;61BD1D44&quot;/&gt;&lt;wsp:rsid wsp:val=&quot;61DB12AA&quot;/&gt;&lt;wsp:rsid wsp:val=&quot;61DB4514&quot;/&gt;&lt;wsp:rsid wsp:val=&quot;62184073&quot;/&gt;&lt;wsp:rsid wsp:val=&quot;62653E93&quot;/&gt;&lt;wsp:rsid wsp:val=&quot;627F491E&quot;/&gt;&lt;wsp:rsid wsp:val=&quot;62975385&quot;/&gt;&lt;wsp:rsid wsp:val=&quot;630E29F6&quot;/&gt;&lt;wsp:rsid wsp:val=&quot;6311379D&quot;/&gt;&lt;wsp:rsid wsp:val=&quot;63267D30&quot;/&gt;&lt;wsp:rsid wsp:val=&quot;63291654&quot;/&gt;&lt;wsp:rsid wsp:val=&quot;632B44B3&quot;/&gt;&lt;wsp:rsid wsp:val=&quot;635C4DD4&quot;/&gt;&lt;wsp:rsid wsp:val=&quot;635F619D&quot;/&gt;&lt;wsp:rsid wsp:val=&quot;63A91A4E&quot;/&gt;&lt;wsp:rsid wsp:val=&quot;63A920F1&quot;/&gt;&lt;wsp:rsid wsp:val=&quot;63C52167&quot;/&gt;&lt;wsp:rsid wsp:val=&quot;63C61140&quot;/&gt;&lt;wsp:rsid wsp:val=&quot;63E3740A&quot;/&gt;&lt;wsp:rsid wsp:val=&quot;63E539DF&quot;/&gt;&lt;wsp:rsid wsp:val=&quot;63EA2F53&quot;/&gt;&lt;wsp:rsid wsp:val=&quot;64347118&quot;/&gt;&lt;wsp:rsid wsp:val=&quot;645925C1&quot;/&gt;&lt;wsp:rsid wsp:val=&quot;64925BC1&quot;/&gt;&lt;wsp:rsid wsp:val=&quot;64BD21EB&quot;/&gt;&lt;wsp:rsid wsp:val=&quot;64BD3864&quot;/&gt;&lt;wsp:rsid wsp:val=&quot;64E05334&quot;/&gt;&lt;wsp:rsid wsp:val=&quot;64E24779&quot;/&gt;&lt;wsp:rsid wsp:val=&quot;64FF31EE&quot;/&gt;&lt;wsp:rsid wsp:val=&quot;650712E0&quot;/&gt;&lt;wsp:rsid wsp:val=&quot;654357CA&quot;/&gt;&lt;wsp:rsid wsp:val=&quot;654472AC&quot;/&gt;&lt;wsp:rsid wsp:val=&quot;654D6C15&quot;/&gt;&lt;wsp:rsid wsp:val=&quot;654E1EB3&quot;/&gt;&lt;wsp:rsid wsp:val=&quot;655C5F60&quot;/&gt;&lt;wsp:rsid wsp:val=&quot;65667912&quot;/&gt;&lt;wsp:rsid wsp:val=&quot;656D4319&quot;/&gt;&lt;wsp:rsid wsp:val=&quot;6575573F&quot;/&gt;&lt;wsp:rsid wsp:val=&quot;65912AED&quot;/&gt;&lt;wsp:rsid wsp:val=&quot;65A25187&quot;/&gt;&lt;wsp:rsid wsp:val=&quot;65B87C4A&quot;/&gt;&lt;wsp:rsid wsp:val=&quot;65CF5A84&quot;/&gt;&lt;wsp:rsid wsp:val=&quot;65E72673&quot;/&gt;&lt;wsp:rsid wsp:val=&quot;66434F99&quot;/&gt;&lt;wsp:rsid wsp:val=&quot;666E744C&quot;/&gt;&lt;wsp:rsid wsp:val=&quot;66757B54&quot;/&gt;&lt;wsp:rsid wsp:val=&quot;667A3EC1&quot;/&gt;&lt;wsp:rsid wsp:val=&quot;66B172FF&quot;/&gt;&lt;wsp:rsid wsp:val=&quot;66C24222&quot;/&gt;&lt;wsp:rsid wsp:val=&quot;66EE57BF&quot;/&gt;&lt;wsp:rsid wsp:val=&quot;66F9215B&quot;/&gt;&lt;wsp:rsid wsp:val=&quot;67256437&quot;/&gt;&lt;wsp:rsid wsp:val=&quot;67354752&quot;/&gt;&lt;wsp:rsid wsp:val=&quot;6759547F&quot;/&gt;&lt;wsp:rsid wsp:val=&quot;67813D9A&quot;/&gt;&lt;wsp:rsid wsp:val=&quot;67926558&quot;/&gt;&lt;wsp:rsid wsp:val=&quot;67945EE4&quot;/&gt;&lt;wsp:rsid wsp:val=&quot;67A35A87&quot;/&gt;&lt;wsp:rsid wsp:val=&quot;67D70CBC&quot;/&gt;&lt;wsp:rsid wsp:val=&quot;67E0009B&quot;/&gt;&lt;wsp:rsid wsp:val=&quot;680D0927&quot;/&gt;&lt;wsp:rsid wsp:val=&quot;680F5930&quot;/&gt;&lt;wsp:rsid wsp:val=&quot;681704ED&quot;/&gt;&lt;wsp:rsid wsp:val=&quot;683A0C06&quot;/&gt;&lt;wsp:rsid wsp:val=&quot;68664706&quot;/&gt;&lt;wsp:rsid wsp:val=&quot;68774AEE&quot;/&gt;&lt;wsp:rsid wsp:val=&quot;687E704C&quot;/&gt;&lt;wsp:rsid wsp:val=&quot;68893BCD&quot;/&gt;&lt;wsp:rsid wsp:val=&quot;688D501B&quot;/&gt;&lt;wsp:rsid wsp:val=&quot;6900327E&quot;/&gt;&lt;wsp:rsid wsp:val=&quot;69366A3D&quot;/&gt;&lt;wsp:rsid wsp:val=&quot;69613621&quot;/&gt;&lt;wsp:rsid wsp:val=&quot;696E2C94&quot;/&gt;&lt;wsp:rsid wsp:val=&quot;6982639A&quot;/&gt;&lt;wsp:rsid wsp:val=&quot;69957638&quot;/&gt;&lt;wsp:rsid wsp:val=&quot;699C279A&quot;/&gt;&lt;wsp:rsid wsp:val=&quot;69A30758&quot;/&gt;&lt;wsp:rsid wsp:val=&quot;69AD40AA&quot;/&gt;&lt;wsp:rsid wsp:val=&quot;69B14C24&quot;/&gt;&lt;wsp:rsid wsp:val=&quot;69B71201&quot;/&gt;&lt;wsp:rsid wsp:val=&quot;69CB07CB&quot;/&gt;&lt;wsp:rsid wsp:val=&quot;69D756EB&quot;/&gt;&lt;wsp:rsid wsp:val=&quot;69EB3FE6&quot;/&gt;&lt;wsp:rsid wsp:val=&quot;69FB7AAC&quot;/&gt;&lt;wsp:rsid wsp:val=&quot;6A0D1BAE&quot;/&gt;&lt;wsp:rsid wsp:val=&quot;6A167AAB&quot;/&gt;&lt;wsp:rsid wsp:val=&quot;6A2629A7&quot;/&gt;&lt;wsp:rsid wsp:val=&quot;6A2D7FEB&quot;/&gt;&lt;wsp:rsid wsp:val=&quot;6A332AE7&quot;/&gt;&lt;wsp:rsid wsp:val=&quot;6A3860C1&quot;/&gt;&lt;wsp:rsid wsp:val=&quot;6A5467B5&quot;/&gt;&lt;wsp:rsid wsp:val=&quot;6A6D00F1&quot;/&gt;&lt;wsp:rsid wsp:val=&quot;6A777167&quot;/&gt;&lt;wsp:rsid wsp:val=&quot;6A8A2827&quot;/&gt;&lt;wsp:rsid wsp:val=&quot;6A9117B3&quot;/&gt;&lt;wsp:rsid wsp:val=&quot;6AB101F5&quot;/&gt;&lt;wsp:rsid wsp:val=&quot;6AC55968&quot;/&gt;&lt;wsp:rsid wsp:val=&quot;6AEA367C&quot;/&gt;&lt;wsp:rsid wsp:val=&quot;6B1371F3&quot;/&gt;&lt;wsp:rsid wsp:val=&quot;6B223469&quot;/&gt;&lt;wsp:rsid wsp:val=&quot;6B4C09FB&quot;/&gt;&lt;wsp:rsid wsp:val=&quot;6B570201&quot;/&gt;&lt;wsp:rsid wsp:val=&quot;6B8E54A6&quot;/&gt;&lt;wsp:rsid wsp:val=&quot;6BAF2D04&quot;/&gt;&lt;wsp:rsid wsp:val=&quot;6BEA4255&quot;/&gt;&lt;wsp:rsid wsp:val=&quot;6BEB1226&quot;/&gt;&lt;wsp:rsid wsp:val=&quot;6BFF42BB&quot;/&gt;&lt;wsp:rsid wsp:val=&quot;6BFF5D65&quot;/&gt;&lt;wsp:rsid wsp:val=&quot;6C047D50&quot;/&gt;&lt;wsp:rsid wsp:val=&quot;6C0D3505&quot;/&gt;&lt;wsp:rsid wsp:val=&quot;6C0D6F06&quot;/&gt;&lt;wsp:rsid wsp:val=&quot;6C1B2B97&quot;/&gt;&lt;wsp:rsid wsp:val=&quot;6C2728D4&quot;/&gt;&lt;wsp:rsid wsp:val=&quot;6C2A3447&quot;/&gt;&lt;wsp:rsid wsp:val=&quot;6C2F1215&quot;/&gt;&lt;wsp:rsid wsp:val=&quot;6C39511A&quot;/&gt;&lt;wsp:rsid wsp:val=&quot;6C4E3684&quot;/&gt;&lt;wsp:rsid wsp:val=&quot;6C774116&quot;/&gt;&lt;wsp:rsid wsp:val=&quot;6C822CF0&quot;/&gt;&lt;wsp:rsid wsp:val=&quot;6C8C5990&quot;/&gt;&lt;wsp:rsid wsp:val=&quot;6C8D33CD&quot;/&gt;&lt;wsp:rsid wsp:val=&quot;6C9061E3&quot;/&gt;&lt;wsp:rsid wsp:val=&quot;6C943EC3&quot;/&gt;&lt;wsp:rsid wsp:val=&quot;6C9A4A45&quot;/&gt;&lt;wsp:rsid wsp:val=&quot;6CA45133&quot;/&gt;&lt;wsp:rsid wsp:val=&quot;6CAF72A1&quot;/&gt;&lt;wsp:rsid wsp:val=&quot;6CBB04A9&quot;/&gt;&lt;wsp:rsid wsp:val=&quot;6CC23287&quot;/&gt;&lt;wsp:rsid wsp:val=&quot;6CF960CB&quot;/&gt;&lt;wsp:rsid wsp:val=&quot;6D1838BB&quot;/&gt;&lt;wsp:rsid wsp:val=&quot;6D280EDC&quot;/&gt;&lt;wsp:rsid wsp:val=&quot;6D3B4701&quot;/&gt;&lt;wsp:rsid wsp:val=&quot;6D3C4865&quot;/&gt;&lt;wsp:rsid wsp:val=&quot;6D484971&quot;/&gt;&lt;wsp:rsid wsp:val=&quot;6D4D4127&quot;/&gt;&lt;wsp:rsid wsp:val=&quot;6D595BBF&quot;/&gt;&lt;wsp:rsid wsp:val=&quot;6DEA05AF&quot;/&gt;&lt;wsp:rsid wsp:val=&quot;6DEB0BCF&quot;/&gt;&lt;wsp:rsid wsp:val=&quot;6E151906&quot;/&gt;&lt;wsp:rsid wsp:val=&quot;6E7C0354&quot;/&gt;&lt;wsp:rsid wsp:val=&quot;6E7C708C&quot;/&gt;&lt;wsp:rsid wsp:val=&quot;6E840DF5&quot;/&gt;&lt;wsp:rsid wsp:val=&quot;6EC546EB&quot;/&gt;&lt;wsp:rsid wsp:val=&quot;6ED64425&quot;/&gt;&lt;wsp:rsid wsp:val=&quot;6EF10745&quot;/&gt;&lt;wsp:rsid wsp:val=&quot;6EF1374A&quot;/&gt;&lt;wsp:rsid wsp:val=&quot;6F21721C&quot;/&gt;&lt;wsp:rsid wsp:val=&quot;6F6D686D&quot;/&gt;&lt;wsp:rsid wsp:val=&quot;6F71035C&quot;/&gt;&lt;wsp:rsid wsp:val=&quot;6F762656&quot;/&gt;&lt;wsp:rsid wsp:val=&quot;6F83400B&quot;/&gt;&lt;wsp:rsid wsp:val=&quot;6F8F31F4&quot;/&gt;&lt;wsp:rsid wsp:val=&quot;6FBE0D36&quot;/&gt;&lt;wsp:rsid wsp:val=&quot;6FBE4A5B&quot;/&gt;&lt;wsp:rsid wsp:val=&quot;6FE17273&quot;/&gt;&lt;wsp:rsid wsp:val=&quot;6FE41CD0&quot;/&gt;&lt;wsp:rsid wsp:val=&quot;6FF2025E&quot;/&gt;&lt;wsp:rsid wsp:val=&quot;6FF9532A&quot;/&gt;&lt;wsp:rsid wsp:val=&quot;702810B6&quot;/&gt;&lt;wsp:rsid wsp:val=&quot;702C3073&quot;/&gt;&lt;wsp:rsid wsp:val=&quot;702E6DD8&quot;/&gt;&lt;wsp:rsid wsp:val=&quot;7036071F&quot;/&gt;&lt;wsp:rsid wsp:val=&quot;703E3A64&quot;/&gt;&lt;wsp:rsid wsp:val=&quot;704120CB&quot;/&gt;&lt;wsp:rsid wsp:val=&quot;704D2B25&quot;/&gt;&lt;wsp:rsid wsp:val=&quot;7053590D&quot;/&gt;&lt;wsp:rsid wsp:val=&quot;70733B86&quot;/&gt;&lt;wsp:rsid wsp:val=&quot;70B35706&quot;/&gt;&lt;wsp:rsid wsp:val=&quot;70C10801&quot;/&gt;&lt;wsp:rsid wsp:val=&quot;70CB49C9&quot;/&gt;&lt;wsp:rsid wsp:val=&quot;70CE11B6&quot;/&gt;&lt;wsp:rsid wsp:val=&quot;70FE52F2&quot;/&gt;&lt;wsp:rsid wsp:val=&quot;70FF3626&quot;/&gt;&lt;wsp:rsid wsp:val=&quot;71421431&quot;/&gt;&lt;wsp:rsid wsp:val=&quot;7161524A&quot;/&gt;&lt;wsp:rsid wsp:val=&quot;71786F7B&quot;/&gt;&lt;wsp:rsid wsp:val=&quot;718A1523&quot;/&gt;&lt;wsp:rsid wsp:val=&quot;71B53056&quot;/&gt;&lt;wsp:rsid wsp:val=&quot;71C76A67&quot;/&gt;&lt;wsp:rsid wsp:val=&quot;71F22688&quot;/&gt;&lt;wsp:rsid wsp:val=&quot;72111974&quot;/&gt;&lt;wsp:rsid wsp:val=&quot;7230104F&quot;/&gt;&lt;wsp:rsid wsp:val=&quot;72353634&quot;/&gt;&lt;wsp:rsid wsp:val=&quot;72597A29&quot;/&gt;&lt;wsp:rsid wsp:val=&quot;725A105E&quot;/&gt;&lt;wsp:rsid wsp:val=&quot;726A08D6&quot;/&gt;&lt;wsp:rsid wsp:val=&quot;72841C5F&quot;/&gt;&lt;wsp:rsid wsp:val=&quot;728B594B&quot;/&gt;&lt;wsp:rsid wsp:val=&quot;72B75429&quot;/&gt;&lt;wsp:rsid wsp:val=&quot;72BA71BC&quot;/&gt;&lt;wsp:rsid wsp:val=&quot;72BF3E4D&quot;/&gt;&lt;wsp:rsid wsp:val=&quot;72CD0D98&quot;/&gt;&lt;wsp:rsid wsp:val=&quot;72E05421&quot;/&gt;&lt;wsp:rsid wsp:val=&quot;72E84E52&quot;/&gt;&lt;wsp:rsid wsp:val=&quot;72F41FCA&quot;/&gt;&lt;wsp:rsid wsp:val=&quot;731C4DAA&quot;/&gt;&lt;wsp:rsid wsp:val=&quot;733937FD&quot;/&gt;&lt;wsp:rsid wsp:val=&quot;73464BAC&quot;/&gt;&lt;wsp:rsid wsp:val=&quot;7357313A&quot;/&gt;&lt;wsp:rsid wsp:val=&quot;735F3CE7&quot;/&gt;&lt;wsp:rsid wsp:val=&quot;73751C90&quot;/&gt;&lt;wsp:rsid wsp:val=&quot;738C4C98&quot;/&gt;&lt;wsp:rsid wsp:val=&quot;738D3233&quot;/&gt;&lt;wsp:rsid wsp:val=&quot;73BB2087&quot;/&gt;&lt;wsp:rsid wsp:val=&quot;73C9322C&quot;/&gt;&lt;wsp:rsid wsp:val=&quot;73D057CC&quot;/&gt;&lt;wsp:rsid wsp:val=&quot;73D40642&quot;/&gt;&lt;wsp:rsid wsp:val=&quot;7433341C&quot;/&gt;&lt;wsp:rsid wsp:val=&quot;743B25E0&quot;/&gt;&lt;wsp:rsid wsp:val=&quot;74501315&quot;/&gt;&lt;wsp:rsid wsp:val=&quot;745032F1&quot;/&gt;&lt;wsp:rsid wsp:val=&quot;74635EDF&quot;/&gt;&lt;wsp:rsid wsp:val=&quot;748129B0&quot;/&gt;&lt;wsp:rsid wsp:val=&quot;74971A01&quot;/&gt;&lt;wsp:rsid wsp:val=&quot;74A4449E&quot;/&gt;&lt;wsp:rsid wsp:val=&quot;74B62955&quot;/&gt;&lt;wsp:rsid wsp:val=&quot;74C2592F&quot;/&gt;&lt;wsp:rsid wsp:val=&quot;74C27966&quot;/&gt;&lt;wsp:rsid wsp:val=&quot;74E811DA&quot;/&gt;&lt;wsp:rsid wsp:val=&quot;74F2321A&quot;/&gt;&lt;wsp:rsid wsp:val=&quot;7502760B&quot;/&gt;&lt;wsp:rsid wsp:val=&quot;750A1664&quot;/&gt;&lt;wsp:rsid wsp:val=&quot;75230514&quot;/&gt;&lt;wsp:rsid wsp:val=&quot;752F2B66&quot;/&gt;&lt;wsp:rsid wsp:val=&quot;753A0189&quot;/&gt;&lt;wsp:rsid wsp:val=&quot;753D271B&quot;/&gt;&lt;wsp:rsid wsp:val=&quot;754A70E4&quot;/&gt;&lt;wsp:rsid wsp:val=&quot;75643DD7&quot;/&gt;&lt;wsp:rsid wsp:val=&quot;756F21E3&quot;/&gt;&lt;wsp:rsid wsp:val=&quot;759D44AE&quot;/&gt;&lt;wsp:rsid wsp:val=&quot;75A05534&quot;/&gt;&lt;wsp:rsid wsp:val=&quot;75C01803&quot;/&gt;&lt;wsp:rsid wsp:val=&quot;75C4466C&quot;/&gt;&lt;wsp:rsid wsp:val=&quot;75E70533&quot;/&gt;&lt;wsp:rsid wsp:val=&quot;75FE28F5&quot;/&gt;&lt;wsp:rsid wsp:val=&quot;761334F2&quot;/&gt;&lt;wsp:rsid wsp:val=&quot;761840A0&quot;/&gt;&lt;wsp:rsid wsp:val=&quot;761D5980&quot;/&gt;&lt;wsp:rsid wsp:val=&quot;763A400B&quot;/&gt;&lt;wsp:rsid wsp:val=&quot;763C6284&quot;/&gt;&lt;wsp:rsid wsp:val=&quot;763F4047&quot;/&gt;&lt;wsp:rsid wsp:val=&quot;7646015A&quot;/&gt;&lt;wsp:rsid wsp:val=&quot;764B5D6E&quot;/&gt;&lt;wsp:rsid wsp:val=&quot;766151C7&quot;/&gt;&lt;wsp:rsid wsp:val=&quot;767C1AC2&quot;/&gt;&lt;wsp:rsid wsp:val=&quot;768C5F53&quot;/&gt;&lt;wsp:rsid wsp:val=&quot;76C631B4&quot;/&gt;&lt;wsp:rsid wsp:val=&quot;76DC4CC6&quot;/&gt;&lt;wsp:rsid wsp:val=&quot;76E60A66&quot;/&gt;&lt;wsp:rsid wsp:val=&quot;7700343E&quot;/&gt;&lt;wsp:rsid wsp:val=&quot;770A2B1C&quot;/&gt;&lt;wsp:rsid wsp:val=&quot;77147B5F&quot;/&gt;&lt;wsp:rsid wsp:val=&quot;77374B8E&quot;/&gt;&lt;wsp:rsid wsp:val=&quot;77501D85&quot;/&gt;&lt;wsp:rsid wsp:val=&quot;775F7AE1&quot;/&gt;&lt;wsp:rsid wsp:val=&quot;776270D4&quot;/&gt;&lt;wsp:rsid wsp:val=&quot;777A5FE9&quot;/&gt;&lt;wsp:rsid wsp:val=&quot;7785795C&quot;/&gt;&lt;wsp:rsid wsp:val=&quot;778E51A6&quot;/&gt;&lt;wsp:rsid wsp:val=&quot;779E6716&quot;/&gt;&lt;wsp:rsid wsp:val=&quot;77A90FB3&quot;/&gt;&lt;wsp:rsid wsp:val=&quot;77BA3971&quot;/&gt;&lt;wsp:rsid wsp:val=&quot;77D64857&quot;/&gt;&lt;wsp:rsid wsp:val=&quot;77D96724&quot;/&gt;&lt;wsp:rsid wsp:val=&quot;78017F77&quot;/&gt;&lt;wsp:rsid wsp:val=&quot;7851034D&quot;/&gt;&lt;wsp:rsid wsp:val=&quot;7877640B&quot;/&gt;&lt;wsp:rsid wsp:val=&quot;787B5394&quot;/&gt;&lt;wsp:rsid wsp:val=&quot;78860C41&quot;/&gt;&lt;wsp:rsid wsp:val=&quot;789D02F7&quot;/&gt;&lt;wsp:rsid wsp:val=&quot;78A221E0&quot;/&gt;&lt;wsp:rsid wsp:val=&quot;78CD15B5&quot;/&gt;&lt;wsp:rsid wsp:val=&quot;78D5459F&quot;/&gt;&lt;wsp:rsid wsp:val=&quot;78DD6192&quot;/&gt;&lt;wsp:rsid wsp:val=&quot;78F01FE6&quot;/&gt;&lt;wsp:rsid wsp:val=&quot;79194B33&quot;/&gt;&lt;wsp:rsid wsp:val=&quot;791F6322&quot;/&gt;&lt;wsp:rsid wsp:val=&quot;792C563A&quot;/&gt;&lt;wsp:rsid wsp:val=&quot;79341852&quot;/&gt;&lt;wsp:rsid wsp:val=&quot;79380549&quot;/&gt;&lt;wsp:rsid wsp:val=&quot;793B206E&quot;/&gt;&lt;wsp:rsid wsp:val=&quot;79552A46&quot;/&gt;&lt;wsp:rsid wsp:val=&quot;796F265C&quot;/&gt;&lt;wsp:rsid wsp:val=&quot;797C1682&quot;/&gt;&lt;wsp:rsid wsp:val=&quot;798D171F&quot;/&gt;&lt;wsp:rsid wsp:val=&quot;79946F00&quot;/&gt;&lt;wsp:rsid wsp:val=&quot;79A1140D&quot;/&gt;&lt;wsp:rsid wsp:val=&quot;79B43848&quot;/&gt;&lt;wsp:rsid wsp:val=&quot;79BE32D6&quot;/&gt;&lt;wsp:rsid wsp:val=&quot;79D63757&quot;/&gt;&lt;wsp:rsid wsp:val=&quot;79ED082A&quot;/&gt;&lt;wsp:rsid wsp:val=&quot;7A2920D3&quot;/&gt;&lt;wsp:rsid wsp:val=&quot;7A374FF6&quot;/&gt;&lt;wsp:rsid wsp:val=&quot;7A4E7B54&quot;/&gt;&lt;wsp:rsid wsp:val=&quot;7A592701&quot;/&gt;&lt;wsp:rsid wsp:val=&quot;7AAD64AC&quot;/&gt;&lt;wsp:rsid wsp:val=&quot;7B1D3658&quot;/&gt;&lt;wsp:rsid wsp:val=&quot;7B21328C&quot;/&gt;&lt;wsp:rsid wsp:val=&quot;7B254E2F&quot;/&gt;&lt;wsp:rsid wsp:val=&quot;7B287521&quot;/&gt;&lt;wsp:rsid wsp:val=&quot;7B4B1A98&quot;/&gt;&lt;wsp:rsid wsp:val=&quot;7B6739B1&quot;/&gt;&lt;wsp:rsid wsp:val=&quot;7B7B6496&quot;/&gt;&lt;wsp:rsid wsp:val=&quot;7BAC71CB&quot;/&gt;&lt;wsp:rsid wsp:val=&quot;7BB1041A&quot;/&gt;&lt;wsp:rsid wsp:val=&quot;7BB32D4A&quot;/&gt;&lt;wsp:rsid wsp:val=&quot;7BC5661E&quot;/&gt;&lt;wsp:rsid wsp:val=&quot;7BC90C8C&quot;/&gt;&lt;wsp:rsid wsp:val=&quot;7BD90FB6&quot;/&gt;&lt;wsp:rsid wsp:val=&quot;7C0F6E04&quot;/&gt;&lt;wsp:rsid wsp:val=&quot;7C1D2285&quot;/&gt;&lt;wsp:rsid wsp:val=&quot;7C1E6B1F&quot;/&gt;&lt;wsp:rsid wsp:val=&quot;7C2E1862&quot;/&gt;&lt;wsp:rsid wsp:val=&quot;7C5311F2&quot;/&gt;&lt;wsp:rsid wsp:val=&quot;7C8D4941&quot;/&gt;&lt;wsp:rsid wsp:val=&quot;7CA6590D&quot;/&gt;&lt;wsp:rsid wsp:val=&quot;7CB97BE8&quot;/&gt;&lt;wsp:rsid wsp:val=&quot;7CBB01E8&quot;/&gt;&lt;wsp:rsid wsp:val=&quot;7CBB0C3A&quot;/&gt;&lt;wsp:rsid wsp:val=&quot;7CC2482C&quot;/&gt;&lt;wsp:rsid wsp:val=&quot;7CCC56E8&quot;/&gt;&lt;wsp:rsid wsp:val=&quot;7CCD3BD3&quot;/&gt;&lt;wsp:rsid wsp:val=&quot;7CF95475&quot;/&gt;&lt;wsp:rsid wsp:val=&quot;7D111731&quot;/&gt;&lt;wsp:rsid wsp:val=&quot;7D397EA2&quot;/&gt;&lt;wsp:rsid wsp:val=&quot;7D500432&quot;/&gt;&lt;wsp:rsid wsp:val=&quot;7D605858&quot;/&gt;&lt;wsp:rsid wsp:val=&quot;7D723EBE&quot;/&gt;&lt;wsp:rsid wsp:val=&quot;7D781227&quot;/&gt;&lt;wsp:rsid wsp:val=&quot;7D877D43&quot;/&gt;&lt;wsp:rsid wsp:val=&quot;7D9A6DC0&quot;/&gt;&lt;wsp:rsid wsp:val=&quot;7DB36B97&quot;/&gt;&lt;wsp:rsid wsp:val=&quot;7DC703D9&quot;/&gt;&lt;wsp:rsid wsp:val=&quot;7DDB7DE7&quot;/&gt;&lt;wsp:rsid wsp:val=&quot;7DF4777E&quot;/&gt;&lt;wsp:rsid wsp:val=&quot;7DF876D3&quot;/&gt;&lt;wsp:rsid wsp:val=&quot;7DFE398D&quot;/&gt;&lt;wsp:rsid wsp:val=&quot;7E04242A&quot;/&gt;&lt;wsp:rsid wsp:val=&quot;7E0F558E&quot;/&gt;&lt;wsp:rsid wsp:val=&quot;7E351E0B&quot;/&gt;&lt;wsp:rsid wsp:val=&quot;7E673375&quot;/&gt;&lt;wsp:rsid wsp:val=&quot;7E740161&quot;/&gt;&lt;wsp:rsid wsp:val=&quot;7E7E0887&quot;/&gt;&lt;wsp:rsid wsp:val=&quot;7E8C7AAD&quot;/&gt;&lt;wsp:rsid wsp:val=&quot;7E8E54A5&quot;/&gt;&lt;wsp:rsid wsp:val=&quot;7EA06031&quot;/&gt;&lt;wsp:rsid wsp:val=&quot;7EC160B2&quot;/&gt;&lt;wsp:rsid wsp:val=&quot;7EE25C84&quot;/&gt;&lt;wsp:rsid wsp:val=&quot;7F1C0E2F&quot;/&gt;&lt;wsp:rsid wsp:val=&quot;7F545919&quot;/&gt;&lt;wsp:rsid wsp:val=&quot;7FA06728&quot;/&gt;&lt;wsp:rsid wsp:val=&quot;7FB56836&quot;/&gt;&lt;wsp:rsid wsp:val=&quot;7FF24FD3&quot;/&gt;&lt;wsp:rsid wsp:val=&quot;7FFB3DE3&quot;/&gt;&lt;/wsp:rsids&gt;&lt;/w:docPr&gt;&lt;w:body&gt;&lt;w:p wsp:rsidR=&quot;00000000&quot; wsp:rsidRDefault=&quot;00385D0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19" chromakey="#FFFFFF" o:title=""/>
                  <o:lock v:ext="edit" aspectratio="t"/>
                  <w10:wrap type="none"/>
                  <w10:anchorlock/>
                </v:shape>
              </w:pict>
            </w:r>
            <w:r>
              <w:rPr>
                <w:rFonts w:ascii="Times New Roman" w:hAnsi="Times New Roman" w:eastAsia="宋体" w:cs="Times New Roman"/>
                <w:color w:val="000000"/>
                <w:sz w:val="24"/>
                <w:szCs w:val="24"/>
              </w:rPr>
              <w:fldChar w:fldCharType="end"/>
            </w:r>
            <w:r>
              <w:rPr>
                <w:rFonts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rPr>
              <w:t>采用估算模型计算出的第</w:t>
            </w:r>
            <w:r>
              <w:rPr>
                <w:rFonts w:ascii="Times New Roman" w:hAnsi="Times New Roman" w:eastAsia="宋体" w:cs="Times New Roman"/>
                <w:color w:val="000000"/>
                <w:sz w:val="24"/>
                <w:szCs w:val="24"/>
              </w:rPr>
              <w:t>i</w:t>
            </w:r>
            <w:r>
              <w:rPr>
                <w:rFonts w:hint="eastAsia" w:ascii="Times New Roman" w:hAnsi="Times New Roman" w:eastAsia="宋体" w:cs="Times New Roman"/>
                <w:color w:val="000000"/>
                <w:sz w:val="24"/>
                <w:szCs w:val="24"/>
              </w:rPr>
              <w:t>个污染物的最大</w:t>
            </w:r>
            <w:r>
              <w:rPr>
                <w:rFonts w:ascii="Times New Roman" w:hAnsi="Times New Roman" w:eastAsia="宋体" w:cs="Times New Roman"/>
                <w:color w:val="000000"/>
                <w:sz w:val="24"/>
                <w:szCs w:val="24"/>
              </w:rPr>
              <w:t>1h</w:t>
            </w:r>
            <w:r>
              <w:rPr>
                <w:rFonts w:hint="eastAsia" w:ascii="Times New Roman" w:hAnsi="Times New Roman" w:eastAsia="宋体" w:cs="Times New Roman"/>
                <w:color w:val="000000"/>
                <w:sz w:val="24"/>
                <w:szCs w:val="24"/>
              </w:rPr>
              <w:t>地面空气质量浓度，</w:t>
            </w:r>
            <w:r>
              <w:rPr>
                <w:rFonts w:ascii="Times New Roman" w:hAnsi="Times New Roman" w:eastAsia="宋体" w:cs="Times New Roman"/>
                <w:color w:val="000000"/>
                <w:sz w:val="24"/>
                <w:szCs w:val="24"/>
              </w:rPr>
              <w:t>μg/m</w:t>
            </w:r>
            <w:r>
              <w:rPr>
                <w:rFonts w:ascii="Times New Roman" w:hAnsi="Times New Roman" w:eastAsia="宋体" w:cs="Times New Roman"/>
                <w:color w:val="000000"/>
                <w:sz w:val="24"/>
                <w:szCs w:val="24"/>
                <w:vertAlign w:val="superscript"/>
              </w:rPr>
              <w:t>3</w:t>
            </w:r>
            <w:r>
              <w:rPr>
                <w:rFonts w:hint="eastAsia" w:ascii="Times New Roman" w:hAnsi="Times New Roman" w:eastAsia="宋体" w:cs="Times New Roman"/>
                <w:color w:val="000000"/>
                <w:sz w:val="24"/>
                <w:szCs w:val="24"/>
              </w:rPr>
              <w:t>；</w:t>
            </w:r>
          </w:p>
          <w:p>
            <w:pPr>
              <w:spacing w:line="460" w:lineRule="exact"/>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fldChar w:fldCharType="begin"/>
            </w:r>
            <w:r>
              <w:rPr>
                <w:rFonts w:ascii="Times New Roman" w:hAnsi="Times New Roman" w:eastAsia="宋体" w:cs="Times New Roman"/>
                <w:color w:val="000000"/>
                <w:sz w:val="24"/>
                <w:szCs w:val="24"/>
              </w:rPr>
              <w:instrText xml:space="preserve"> QUOTE </w:instrText>
            </w:r>
            <w:r>
              <w:rPr>
                <w:rFonts w:ascii="Times New Roman" w:hAnsi="Times New Roman" w:eastAsia="宋体" w:cs="Times New Roman"/>
                <w:color w:val="000000"/>
                <w:position w:val="-15"/>
                <w:sz w:val="24"/>
                <w:szCs w:val="24"/>
              </w:rPr>
              <w:pict>
                <v:shape id="_x0000_i1030" o:spt="75" type="#_x0000_t75" style="height:23.25pt;width:1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20&quot;/&gt;&lt;w:drawingGridVerticalSpacing w:val=&quot;163&quot;/&gt;&lt;w:displayHorizontalDrawingGridEvery w:val=&quot;2&quot;/&gt;&lt;w:displayVerticalDrawingGridEvery w:val=&quot;2&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7799&quot;/&gt;&lt;wsp:rsid wsp:val=&quot;0003220E&quot;/&gt;&lt;wsp:rsid wsp:val=&quot;00041FC6&quot;/&gt;&lt;wsp:rsid wsp:val=&quot;0005182A&quot;/&gt;&lt;wsp:rsid wsp:val=&quot;00055174&quot;/&gt;&lt;wsp:rsid wsp:val=&quot;00064C91&quot;/&gt;&lt;wsp:rsid wsp:val=&quot;00085AE3&quot;/&gt;&lt;wsp:rsid wsp:val=&quot;00087D37&quot;/&gt;&lt;wsp:rsid wsp:val=&quot;000925F7&quot;/&gt;&lt;wsp:rsid wsp:val=&quot;00096B01&quot;/&gt;&lt;wsp:rsid wsp:val=&quot;000A5613&quot;/&gt;&lt;wsp:rsid wsp:val=&quot;00110596&quot;/&gt;&lt;wsp:rsid wsp:val=&quot;00125609&quot;/&gt;&lt;wsp:rsid wsp:val=&quot;00132FAD&quot;/&gt;&lt;wsp:rsid wsp:val=&quot;001400CC&quot;/&gt;&lt;wsp:rsid wsp:val=&quot;00143CEA&quot;/&gt;&lt;wsp:rsid wsp:val=&quot;00172A27&quot;/&gt;&lt;wsp:rsid wsp:val=&quot;00177A49&quot;/&gt;&lt;wsp:rsid wsp:val=&quot;001926F2&quot;/&gt;&lt;wsp:rsid wsp:val=&quot;001B66BF&quot;/&gt;&lt;wsp:rsid wsp:val=&quot;001C2BD6&quot;/&gt;&lt;wsp:rsid wsp:val=&quot;001C5F3A&quot;/&gt;&lt;wsp:rsid wsp:val=&quot;001D1D04&quot;/&gt;&lt;wsp:rsid wsp:val=&quot;001F4C9A&quot;/&gt;&lt;wsp:rsid wsp:val=&quot;00203AC0&quot;/&gt;&lt;wsp:rsid wsp:val=&quot;00236A52&quot;/&gt;&lt;wsp:rsid wsp:val=&quot;002440DE&quot;/&gt;&lt;wsp:rsid wsp:val=&quot;00266BC0&quot;/&gt;&lt;wsp:rsid wsp:val=&quot;00284F82&quot;/&gt;&lt;wsp:rsid wsp:val=&quot;00290962&quot;/&gt;&lt;wsp:rsid wsp:val=&quot;002914D7&quot;/&gt;&lt;wsp:rsid wsp:val=&quot;002A2E8C&quot;/&gt;&lt;wsp:rsid wsp:val=&quot;002D00AD&quot;/&gt;&lt;wsp:rsid wsp:val=&quot;00325CF4&quot;/&gt;&lt;wsp:rsid wsp:val=&quot;00332EC7&quot;/&gt;&lt;wsp:rsid wsp:val=&quot;00342E2A&quot;/&gt;&lt;wsp:rsid wsp:val=&quot;00384BE1&quot;/&gt;&lt;wsp:rsid wsp:val=&quot;003912CE&quot;/&gt;&lt;wsp:rsid wsp:val=&quot;00391FF3&quot;/&gt;&lt;wsp:rsid wsp:val=&quot;003A2A37&quot;/&gt;&lt;wsp:rsid wsp:val=&quot;003C5A93&quot;/&gt;&lt;wsp:rsid wsp:val=&quot;003D3AD3&quot;/&gt;&lt;wsp:rsid wsp:val=&quot;003F2C2E&quot;/&gt;&lt;wsp:rsid wsp:val=&quot;0040616E&quot;/&gt;&lt;wsp:rsid wsp:val=&quot;0044301E&quot;/&gt;&lt;wsp:rsid wsp:val=&quot;00446169&quot;/&gt;&lt;wsp:rsid wsp:val=&quot;00447EEC&quot;/&gt;&lt;wsp:rsid wsp:val=&quot;00465DF1&quot;/&gt;&lt;wsp:rsid wsp:val=&quot;00476680&quot;/&gt;&lt;wsp:rsid wsp:val=&quot;004C1271&quot;/&gt;&lt;wsp:rsid wsp:val=&quot;004E7680&quot;/&gt;&lt;wsp:rsid wsp:val=&quot;004E7A9C&quot;/&gt;&lt;wsp:rsid wsp:val=&quot;004F232C&quot;/&gt;&lt;wsp:rsid wsp:val=&quot;004F7FF9&quot;/&gt;&lt;wsp:rsid wsp:val=&quot;00500413&quot;/&gt;&lt;wsp:rsid wsp:val=&quot;00511D8F&quot;/&gt;&lt;wsp:rsid wsp:val=&quot;005140F2&quot;/&gt;&lt;wsp:rsid wsp:val=&quot;00536147&quot;/&gt;&lt;wsp:rsid wsp:val=&quot;00583612&quot;/&gt;&lt;wsp:rsid wsp:val=&quot;005A0F3F&quot;/&gt;&lt;wsp:rsid wsp:val=&quot;005A72D5&quot;/&gt;&lt;wsp:rsid wsp:val=&quot;005C3305&quot;/&gt;&lt;wsp:rsid wsp:val=&quot;005D42EF&quot;/&gt;&lt;wsp:rsid wsp:val=&quot;005E0F98&quot;/&gt;&lt;wsp:rsid wsp:val=&quot;005E11F9&quot;/&gt;&lt;wsp:rsid wsp:val=&quot;005F0BF5&quot;/&gt;&lt;wsp:rsid wsp:val=&quot;005F7CE0&quot;/&gt;&lt;wsp:rsid wsp:val=&quot;00606A27&quot;/&gt;&lt;wsp:rsid wsp:val=&quot;00625580&quot;/&gt;&lt;wsp:rsid wsp:val=&quot;00627FD1&quot;/&gt;&lt;wsp:rsid wsp:val=&quot;006374BE&quot;/&gt;&lt;wsp:rsid wsp:val=&quot;00642551&quot;/&gt;&lt;wsp:rsid wsp:val=&quot;006471C6&quot;/&gt;&lt;wsp:rsid wsp:val=&quot;006627A4&quot;/&gt;&lt;wsp:rsid wsp:val=&quot;006713C0&quot;/&gt;&lt;wsp:rsid wsp:val=&quot;0068594A&quot;/&gt;&lt;wsp:rsid wsp:val=&quot;006A4BCE&quot;/&gt;&lt;wsp:rsid wsp:val=&quot;006C5708&quot;/&gt;&lt;wsp:rsid wsp:val=&quot;006D418C&quot;/&gt;&lt;wsp:rsid wsp:val=&quot;006E4591&quot;/&gt;&lt;wsp:rsid wsp:val=&quot;00713C20&quot;/&gt;&lt;wsp:rsid wsp:val=&quot;00747650&quot;/&gt;&lt;wsp:rsid wsp:val=&quot;007534EB&quot;/&gt;&lt;wsp:rsid wsp:val=&quot;00755BD8&quot;/&gt;&lt;wsp:rsid wsp:val=&quot;00762B98&quot;/&gt;&lt;wsp:rsid wsp:val=&quot;007842C1&quot;/&gt;&lt;wsp:rsid wsp:val=&quot;0079019A&quot;/&gt;&lt;wsp:rsid wsp:val=&quot;007930E9&quot;/&gt;&lt;wsp:rsid wsp:val=&quot;007B3419&quot;/&gt;&lt;wsp:rsid wsp:val=&quot;007B793E&quot;/&gt;&lt;wsp:rsid wsp:val=&quot;007D1D1D&quot;/&gt;&lt;wsp:rsid wsp:val=&quot;007D21B8&quot;/&gt;&lt;wsp:rsid wsp:val=&quot;007E4B38&quot;/&gt;&lt;wsp:rsid wsp:val=&quot;007F624B&quot;/&gt;&lt;wsp:rsid wsp:val=&quot;007F7F6F&quot;/&gt;&lt;wsp:rsid wsp:val=&quot;0080023B&quot;/&gt;&lt;wsp:rsid wsp:val=&quot;00802344&quot;/&gt;&lt;wsp:rsid wsp:val=&quot;00810AE7&quot;/&gt;&lt;wsp:rsid wsp:val=&quot;008206E3&quot;/&gt;&lt;wsp:rsid wsp:val=&quot;00833F3E&quot;/&gt;&lt;wsp:rsid wsp:val=&quot;00847374&quot;/&gt;&lt;wsp:rsid wsp:val=&quot;00854BB1&quot;/&gt;&lt;wsp:rsid wsp:val=&quot;00880750&quot;/&gt;&lt;wsp:rsid wsp:val=&quot;00881DC4&quot;/&gt;&lt;wsp:rsid wsp:val=&quot;00885D1B&quot;/&gt;&lt;wsp:rsid wsp:val=&quot;008A3849&quot;/&gt;&lt;wsp:rsid wsp:val=&quot;008D3E46&quot;/&gt;&lt;wsp:rsid wsp:val=&quot;008D6872&quot;/&gt;&lt;wsp:rsid wsp:val=&quot;008E17C5&quot;/&gt;&lt;wsp:rsid wsp:val=&quot;008F34D6&quot;/&gt;&lt;wsp:rsid wsp:val=&quot;00911C51&quot;/&gt;&lt;wsp:rsid wsp:val=&quot;00942A8D&quot;/&gt;&lt;wsp:rsid wsp:val=&quot;00951BCD&quot;/&gt;&lt;wsp:rsid wsp:val=&quot;009675BA&quot;/&gt;&lt;wsp:rsid wsp:val=&quot;00977DC6&quot;/&gt;&lt;wsp:rsid wsp:val=&quot;00994AE4&quot;/&gt;&lt;wsp:rsid wsp:val=&quot;009B4FE5&quot;/&gt;&lt;wsp:rsid wsp:val=&quot;009D2E29&quot;/&gt;&lt;wsp:rsid wsp:val=&quot;009E7FAC&quot;/&gt;&lt;wsp:rsid wsp:val=&quot;00A0747A&quot;/&gt;&lt;wsp:rsid wsp:val=&quot;00A14031&quot;/&gt;&lt;wsp:rsid wsp:val=&quot;00A17E8D&quot;/&gt;&lt;wsp:rsid wsp:val=&quot;00A24EC6&quot;/&gt;&lt;wsp:rsid wsp:val=&quot;00A25907&quot;/&gt;&lt;wsp:rsid wsp:val=&quot;00A27198&quot;/&gt;&lt;wsp:rsid wsp:val=&quot;00A6478A&quot;/&gt;&lt;wsp:rsid wsp:val=&quot;00A72BE0&quot;/&gt;&lt;wsp:rsid wsp:val=&quot;00A75690&quot;/&gt;&lt;wsp:rsid wsp:val=&quot;00A956A8&quot;/&gt;&lt;wsp:rsid wsp:val=&quot;00AE7D56&quot;/&gt;&lt;wsp:rsid wsp:val=&quot;00AF5D5A&quot;/&gt;&lt;wsp:rsid wsp:val=&quot;00B6067F&quot;/&gt;&lt;wsp:rsid wsp:val=&quot;00B71148&quot;/&gt;&lt;wsp:rsid wsp:val=&quot;00B729C9&quot;/&gt;&lt;wsp:rsid wsp:val=&quot;00B772AB&quot;/&gt;&lt;wsp:rsid wsp:val=&quot;00BA34CB&quot;/&gt;&lt;wsp:rsid wsp:val=&quot;00BB04F5&quot;/&gt;&lt;wsp:rsid wsp:val=&quot;00BD2343&quot;/&gt;&lt;wsp:rsid wsp:val=&quot;00BE3470&quot;/&gt;&lt;wsp:rsid wsp:val=&quot;00BE3DDD&quot;/&gt;&lt;wsp:rsid wsp:val=&quot;00BE46E2&quot;/&gt;&lt;wsp:rsid wsp:val=&quot;00BF3138&quot;/&gt;&lt;wsp:rsid wsp:val=&quot;00C01E6E&quot;/&gt;&lt;wsp:rsid wsp:val=&quot;00C04A83&quot;/&gt;&lt;wsp:rsid wsp:val=&quot;00C164C9&quot;/&gt;&lt;wsp:rsid wsp:val=&quot;00C335F1&quot;/&gt;&lt;wsp:rsid wsp:val=&quot;00C572D1&quot;/&gt;&lt;wsp:rsid wsp:val=&quot;00C64B1D&quot;/&gt;&lt;wsp:rsid wsp:val=&quot;00C76A85&quot;/&gt;&lt;wsp:rsid wsp:val=&quot;00C9712C&quot;/&gt;&lt;wsp:rsid wsp:val=&quot;00CA702E&quot;/&gt;&lt;wsp:rsid wsp:val=&quot;00CC0E30&quot;/&gt;&lt;wsp:rsid wsp:val=&quot;00CC6F9A&quot;/&gt;&lt;wsp:rsid wsp:val=&quot;00CE3DBA&quot;/&gt;&lt;wsp:rsid wsp:val=&quot;00CF2C88&quot;/&gt;&lt;wsp:rsid wsp:val=&quot;00D301CA&quot;/&gt;&lt;wsp:rsid wsp:val=&quot;00D43350&quot;/&gt;&lt;wsp:rsid wsp:val=&quot;00D70EF4&quot;/&gt;&lt;wsp:rsid wsp:val=&quot;00D8025C&quot;/&gt;&lt;wsp:rsid wsp:val=&quot;00D85C3B&quot;/&gt;&lt;wsp:rsid wsp:val=&quot;00D85FB4&quot;/&gt;&lt;wsp:rsid wsp:val=&quot;00DC58DD&quot;/&gt;&lt;wsp:rsid wsp:val=&quot;00DD4D11&quot;/&gt;&lt;wsp:rsid wsp:val=&quot;00E07445&quot;/&gt;&lt;wsp:rsid wsp:val=&quot;00E100D0&quot;/&gt;&lt;wsp:rsid wsp:val=&quot;00E31A2C&quot;/&gt;&lt;wsp:rsid wsp:val=&quot;00E33D25&quot;/&gt;&lt;wsp:rsid wsp:val=&quot;00E51F0F&quot;/&gt;&lt;wsp:rsid wsp:val=&quot;00E62292&quot;/&gt;&lt;wsp:rsid wsp:val=&quot;00E92378&quot;/&gt;&lt;wsp:rsid wsp:val=&quot;00EA1A89&quot;/&gt;&lt;wsp:rsid wsp:val=&quot;00EA3325&quot;/&gt;&lt;wsp:rsid wsp:val=&quot;00EA3589&quot;/&gt;&lt;wsp:rsid wsp:val=&quot;00EC2BDA&quot;/&gt;&lt;wsp:rsid wsp:val=&quot;00ED35C7&quot;/&gt;&lt;wsp:rsid wsp:val=&quot;00ED42B6&quot;/&gt;&lt;wsp:rsid wsp:val=&quot;00EE32AF&quot;/&gt;&lt;wsp:rsid wsp:val=&quot;00EE5253&quot;/&gt;&lt;wsp:rsid wsp:val=&quot;00F104D1&quot;/&gt;&lt;wsp:rsid wsp:val=&quot;00F2677F&quot;/&gt;&lt;wsp:rsid wsp:val=&quot;00F33270&quot;/&gt;&lt;wsp:rsid wsp:val=&quot;00F4011F&quot;/&gt;&lt;wsp:rsid wsp:val=&quot;00F44CB1&quot;/&gt;&lt;wsp:rsid wsp:val=&quot;00F44EDE&quot;/&gt;&lt;wsp:rsid wsp:val=&quot;00F622A0&quot;/&gt;&lt;wsp:rsid wsp:val=&quot;00F75CF1&quot;/&gt;&lt;wsp:rsid wsp:val=&quot;00F82078&quot;/&gt;&lt;wsp:rsid wsp:val=&quot;00FC25BE&quot;/&gt;&lt;wsp:rsid wsp:val=&quot;00FF7FCC&quot;/&gt;&lt;wsp:rsid wsp:val=&quot;0103434B&quot;/&gt;&lt;wsp:rsid wsp:val=&quot;01253230&quot;/&gt;&lt;wsp:rsid wsp:val=&quot;01426AEA&quot;/&gt;&lt;wsp:rsid wsp:val=&quot;01455E23&quot;/&gt;&lt;wsp:rsid wsp:val=&quot;014C2352&quot;/&gt;&lt;wsp:rsid wsp:val=&quot;015B4BE0&quot;/&gt;&lt;wsp:rsid wsp:val=&quot;01747637&quot;/&gt;&lt;wsp:rsid wsp:val=&quot;01781E17&quot;/&gt;&lt;wsp:rsid wsp:val=&quot;01992DF2&quot;/&gt;&lt;wsp:rsid wsp:val=&quot;01C90B3E&quot;/&gt;&lt;wsp:rsid wsp:val=&quot;01E64538&quot;/&gt;&lt;wsp:rsid wsp:val=&quot;01E976C2&quot;/&gt;&lt;wsp:rsid wsp:val=&quot;01EC0A3E&quot;/&gt;&lt;wsp:rsid wsp:val=&quot;01F56E1D&quot;/&gt;&lt;wsp:rsid wsp:val=&quot;020557CF&quot;/&gt;&lt;wsp:rsid wsp:val=&quot;02254DFB&quot;/&gt;&lt;wsp:rsid wsp:val=&quot;02286248&quot;/&gt;&lt;wsp:rsid wsp:val=&quot;022C5747&quot;/&gt;&lt;wsp:rsid wsp:val=&quot;027D0BC3&quot;/&gt;&lt;wsp:rsid wsp:val=&quot;028A10E9&quot;/&gt;&lt;wsp:rsid wsp:val=&quot;02C65A23&quot;/&gt;&lt;wsp:rsid wsp:val=&quot;02D26338&quot;/&gt;&lt;wsp:rsid wsp:val=&quot;02F94132&quot;/&gt;&lt;wsp:rsid wsp:val=&quot;03064C46&quot;/&gt;&lt;wsp:rsid wsp:val=&quot;030832E0&quot;/&gt;&lt;wsp:rsid wsp:val=&quot;031814B1&quot;/&gt;&lt;wsp:rsid wsp:val=&quot;0319633C&quot;/&gt;&lt;wsp:rsid wsp:val=&quot;034E01D8&quot;/&gt;&lt;wsp:rsid wsp:val=&quot;035173AC&quot;/&gt;&lt;wsp:rsid wsp:val=&quot;035464C7&quot;/&gt;&lt;wsp:rsid wsp:val=&quot;035723C9&quot;/&gt;&lt;wsp:rsid wsp:val=&quot;035C45EC&quot;/&gt;&lt;wsp:rsid wsp:val=&quot;0361208F&quot;/&gt;&lt;wsp:rsid wsp:val=&quot;036B692E&quot;/&gt;&lt;wsp:rsid wsp:val=&quot;039061B5&quot;/&gt;&lt;wsp:rsid wsp:val=&quot;03A032E0&quot;/&gt;&lt;wsp:rsid wsp:val=&quot;03BC1713&quot;/&gt;&lt;wsp:rsid wsp:val=&quot;03CD5519&quot;/&gt;&lt;wsp:rsid wsp:val=&quot;03CF0B53&quot;/&gt;&lt;wsp:rsid wsp:val=&quot;03DF2D5F&quot;/&gt;&lt;wsp:rsid wsp:val=&quot;0406184B&quot;/&gt;&lt;wsp:rsid wsp:val=&quot;042A297F&quot;/&gt;&lt;wsp:rsid wsp:val=&quot;04301080&quot;/&gt;&lt;wsp:rsid wsp:val=&quot;043054B0&quot;/&gt;&lt;wsp:rsid wsp:val=&quot;043704B9&quot;/&gt;&lt;wsp:rsid wsp:val=&quot;043C1DED&quot;/&gt;&lt;wsp:rsid wsp:val=&quot;045F5C25&quot;/&gt;&lt;wsp:rsid wsp:val=&quot;046A41ED&quot;/&gt;&lt;wsp:rsid wsp:val=&quot;04790465&quot;/&gt;&lt;wsp:rsid wsp:val=&quot;04865A35&quot;/&gt;&lt;wsp:rsid wsp:val=&quot;049C43C2&quot;/&gt;&lt;wsp:rsid wsp:val=&quot;04B108A3&quot;/&gt;&lt;wsp:rsid wsp:val=&quot;04CF7070&quot;/&gt;&lt;wsp:rsid wsp:val=&quot;04D467FB&quot;/&gt;&lt;wsp:rsid wsp:val=&quot;04E961EB&quot;/&gt;&lt;wsp:rsid wsp:val=&quot;04F74491&quot;/&gt;&lt;wsp:rsid wsp:val=&quot;04FD67E9&quot;/&gt;&lt;wsp:rsid wsp:val=&quot;051A37A4&quot;/&gt;&lt;wsp:rsid wsp:val=&quot;0534279B&quot;/&gt;&lt;wsp:rsid wsp:val=&quot;0578543F&quot;/&gt;&lt;wsp:rsid wsp:val=&quot;059751B2&quot;/&gt;&lt;wsp:rsid wsp:val=&quot;05DD046E&quot;/&gt;&lt;wsp:rsid wsp:val=&quot;05F6233E&quot;/&gt;&lt;wsp:rsid wsp:val=&quot;06001288&quot;/&gt;&lt;wsp:rsid wsp:val=&quot;060507E5&quot;/&gt;&lt;wsp:rsid wsp:val=&quot;061435E8&quot;/&gt;&lt;wsp:rsid wsp:val=&quot;0632638E&quot;/&gt;&lt;wsp:rsid wsp:val=&quot;065705A3&quot;/&gt;&lt;wsp:rsid wsp:val=&quot;065B310D&quot;/&gt;&lt;wsp:rsid wsp:val=&quot;06624D87&quot;/&gt;&lt;wsp:rsid wsp:val=&quot;06833976&quot;/&gt;&lt;wsp:rsid wsp:val=&quot;0692592D&quot;/&gt;&lt;wsp:rsid wsp:val=&quot;069B500E&quot;/&gt;&lt;wsp:rsid wsp:val=&quot;06A7622B&quot;/&gt;&lt;wsp:rsid wsp:val=&quot;06EF5BA1&quot;/&gt;&lt;wsp:rsid wsp:val=&quot;07045B89&quot;/&gt;&lt;wsp:rsid wsp:val=&quot;070E1A61&quot;/&gt;&lt;wsp:rsid wsp:val=&quot;072948AA&quot;/&gt;&lt;wsp:rsid wsp:val=&quot;073E608F&quot;/&gt;&lt;wsp:rsid wsp:val=&quot;077F37B5&quot;/&gt;&lt;wsp:rsid wsp:val=&quot;07A67F78&quot;/&gt;&lt;wsp:rsid wsp:val=&quot;07C9055F&quot;/&gt;&lt;wsp:rsid wsp:val=&quot;07D730E2&quot;/&gt;&lt;wsp:rsid wsp:val=&quot;07DF598A&quot;/&gt;&lt;wsp:rsid wsp:val=&quot;07E92CE3&quot;/&gt;&lt;wsp:rsid wsp:val=&quot;08167D1F&quot;/&gt;&lt;wsp:rsid wsp:val=&quot;08251774&quot;/&gt;&lt;wsp:rsid wsp:val=&quot;084C407C&quot;/&gt;&lt;wsp:rsid wsp:val=&quot;085619F1&quot;/&gt;&lt;wsp:rsid wsp:val=&quot;08A5021A&quot;/&gt;&lt;wsp:rsid wsp:val=&quot;08A92F74&quot;/&gt;&lt;wsp:rsid wsp:val=&quot;08AA53C2&quot;/&gt;&lt;wsp:rsid wsp:val=&quot;091571A1&quot;/&gt;&lt;wsp:rsid wsp:val=&quot;092C337E&quot;/&gt;&lt;wsp:rsid wsp:val=&quot;09624D89&quot;/&gt;&lt;wsp:rsid wsp:val=&quot;09715EDE&quot;/&gt;&lt;wsp:rsid wsp:val=&quot;09745559&quot;/&gt;&lt;wsp:rsid wsp:val=&quot;098348BB&quot;/&gt;&lt;wsp:rsid wsp:val=&quot;098521BC&quot;/&gt;&lt;wsp:rsid wsp:val=&quot;098F180D&quot;/&gt;&lt;wsp:rsid wsp:val=&quot;09B86DD8&quot;/&gt;&lt;wsp:rsid wsp:val=&quot;09CB0BE6&quot;/&gt;&lt;wsp:rsid wsp:val=&quot;09D30D74&quot;/&gt;&lt;wsp:rsid wsp:val=&quot;0A005396&quot;/&gt;&lt;wsp:rsid wsp:val=&quot;0A06731D&quot;/&gt;&lt;wsp:rsid wsp:val=&quot;0A0929B7&quot;/&gt;&lt;wsp:rsid wsp:val=&quot;0A0A71C2&quot;/&gt;&lt;wsp:rsid wsp:val=&quot;0A1512F2&quot;/&gt;&lt;wsp:rsid wsp:val=&quot;0A3965FA&quot;/&gt;&lt;wsp:rsid wsp:val=&quot;0A3B6D46&quot;/&gt;&lt;wsp:rsid wsp:val=&quot;0A421131&quot;/&gt;&lt;wsp:rsid wsp:val=&quot;0A432CAD&quot;/&gt;&lt;wsp:rsid wsp:val=&quot;0A4D7104&quot;/&gt;&lt;wsp:rsid wsp:val=&quot;0A5907FD&quot;/&gt;&lt;wsp:rsid wsp:val=&quot;0A5F4FDC&quot;/&gt;&lt;wsp:rsid wsp:val=&quot;0A7601EE&quot;/&gt;&lt;wsp:rsid wsp:val=&quot;0A956BBE&quot;/&gt;&lt;wsp:rsid wsp:val=&quot;0A965875&quot;/&gt;&lt;wsp:rsid wsp:val=&quot;0A9E7959&quot;/&gt;&lt;wsp:rsid wsp:val=&quot;0AF42CE3&quot;/&gt;&lt;wsp:rsid wsp:val=&quot;0B3D1CB6&quot;/&gt;&lt;wsp:rsid wsp:val=&quot;0B7C1ADB&quot;/&gt;&lt;wsp:rsid wsp:val=&quot;0B8F635E&quot;/&gt;&lt;wsp:rsid wsp:val=&quot;0B8F714B&quot;/&gt;&lt;wsp:rsid wsp:val=&quot;0B906419&quot;/&gt;&lt;wsp:rsid wsp:val=&quot;0BA80E71&quot;/&gt;&lt;wsp:rsid wsp:val=&quot;0BB134E6&quot;/&gt;&lt;wsp:rsid wsp:val=&quot;0BCA20D6&quot;/&gt;&lt;wsp:rsid wsp:val=&quot;0BCC1E8C&quot;/&gt;&lt;wsp:rsid wsp:val=&quot;0BD17169&quot;/&gt;&lt;wsp:rsid wsp:val=&quot;0C294FA6&quot;/&gt;&lt;wsp:rsid wsp:val=&quot;0C450190&quot;/&gt;&lt;wsp:rsid wsp:val=&quot;0C77661E&quot;/&gt;&lt;wsp:rsid wsp:val=&quot;0C7942B2&quot;/&gt;&lt;wsp:rsid wsp:val=&quot;0C797972&quot;/&gt;&lt;wsp:rsid wsp:val=&quot;0C7A2689&quot;/&gt;&lt;wsp:rsid wsp:val=&quot;0C7C6C01&quot;/&gt;&lt;wsp:rsid wsp:val=&quot;0C813314&quot;/&gt;&lt;wsp:rsid wsp:val=&quot;0C843F25&quot;/&gt;&lt;wsp:rsid wsp:val=&quot;0C9F2A76&quot;/&gt;&lt;wsp:rsid wsp:val=&quot;0CAB2232&quot;/&gt;&lt;wsp:rsid wsp:val=&quot;0CB03390&quot;/&gt;&lt;wsp:rsid wsp:val=&quot;0CB75961&quot;/&gt;&lt;wsp:rsid wsp:val=&quot;0CBF45B4&quot;/&gt;&lt;wsp:rsid wsp:val=&quot;0CC87762&quot;/&gt;&lt;wsp:rsid wsp:val=&quot;0CCB2113&quot;/&gt;&lt;wsp:rsid wsp:val=&quot;0CD8682A&quot;/&gt;&lt;wsp:rsid wsp:val=&quot;0CE27989&quot;/&gt;&lt;wsp:rsid wsp:val=&quot;0D013923&quot;/&gt;&lt;wsp:rsid wsp:val=&quot;0D0535F3&quot;/&gt;&lt;wsp:rsid wsp:val=&quot;0D375803&quot;/&gt;&lt;wsp:rsid wsp:val=&quot;0D434DE7&quot;/&gt;&lt;wsp:rsid wsp:val=&quot;0D652531&quot;/&gt;&lt;wsp:rsid wsp:val=&quot;0D752A3C&quot;/&gt;&lt;wsp:rsid wsp:val=&quot;0D947AB0&quot;/&gt;&lt;wsp:rsid wsp:val=&quot;0DA518FF&quot;/&gt;&lt;wsp:rsid wsp:val=&quot;0DB679CB&quot;/&gt;&lt;wsp:rsid wsp:val=&quot;0DC056D2&quot;/&gt;&lt;wsp:rsid wsp:val=&quot;0DED3D64&quot;/&gt;&lt;wsp:rsid wsp:val=&quot;0DEF466B&quot;/&gt;&lt;wsp:rsid wsp:val=&quot;0E155E13&quot;/&gt;&lt;wsp:rsid wsp:val=&quot;0E3A0399&quot;/&gt;&lt;wsp:rsid wsp:val=&quot;0E412652&quot;/&gt;&lt;wsp:rsid wsp:val=&quot;0E4C4CB0&quot;/&gt;&lt;wsp:rsid wsp:val=&quot;0E784CF2&quot;/&gt;&lt;wsp:rsid wsp:val=&quot;0E93799B&quot;/&gt;&lt;wsp:rsid wsp:val=&quot;0EBE1A91&quot;/&gt;&lt;wsp:rsid wsp:val=&quot;0ED93AE8&quot;/&gt;&lt;wsp:rsid wsp:val=&quot;0EDE0F52&quot;/&gt;&lt;wsp:rsid wsp:val=&quot;0F04144F&quot;/&gt;&lt;wsp:rsid wsp:val=&quot;0F17310F&quot;/&gt;&lt;wsp:rsid wsp:val=&quot;0F3C5FB6&quot;/&gt;&lt;wsp:rsid wsp:val=&quot;0F404B70&quot;/&gt;&lt;wsp:rsid wsp:val=&quot;0F687166&quot;/&gt;&lt;wsp:rsid wsp:val=&quot;0F6E01C5&quot;/&gt;&lt;wsp:rsid wsp:val=&quot;0F7E13CD&quot;/&gt;&lt;wsp:rsid wsp:val=&quot;0F8F1C0B&quot;/&gt;&lt;wsp:rsid wsp:val=&quot;0FB47DE7&quot;/&gt;&lt;wsp:rsid wsp:val=&quot;0FCC517C&quot;/&gt;&lt;wsp:rsid wsp:val=&quot;100A42E4&quot;/&gt;&lt;wsp:rsid wsp:val=&quot;1045096A&quot;/&gt;&lt;wsp:rsid wsp:val=&quot;10457D81&quot;/&gt;&lt;wsp:rsid wsp:val=&quot;104D38B6&quot;/&gt;&lt;wsp:rsid wsp:val=&quot;106A5F4D&quot;/&gt;&lt;wsp:rsid wsp:val=&quot;107766C4&quot;/&gt;&lt;wsp:rsid wsp:val=&quot;1094132B&quot;/&gt;&lt;wsp:rsid wsp:val=&quot;10952B8A&quot;/&gt;&lt;wsp:rsid wsp:val=&quot;10A75110&quot;/&gt;&lt;wsp:rsid wsp:val=&quot;10C05269&quot;/&gt;&lt;wsp:rsid wsp:val=&quot;110B68D5&quot;/&gt;&lt;wsp:rsid wsp:val=&quot;111A766A&quot;/&gt;&lt;wsp:rsid wsp:val=&quot;113178C9&quot;/&gt;&lt;wsp:rsid wsp:val=&quot;114625AD&quot;/&gt;&lt;wsp:rsid wsp:val=&quot;11513B54&quot;/&gt;&lt;wsp:rsid wsp:val=&quot;11691708&quot;/&gt;&lt;wsp:rsid wsp:val=&quot;11787F03&quot;/&gt;&lt;wsp:rsid wsp:val=&quot;118C2366&quot;/&gt;&lt;wsp:rsid wsp:val=&quot;11A96D61&quot;/&gt;&lt;wsp:rsid wsp:val=&quot;11C26013&quot;/&gt;&lt;wsp:rsid wsp:val=&quot;11C467FC&quot;/&gt;&lt;wsp:rsid wsp:val=&quot;11F043C1&quot;/&gt;&lt;wsp:rsid wsp:val=&quot;11F24DFD&quot;/&gt;&lt;wsp:rsid wsp:val=&quot;121054D1&quot;/&gt;&lt;wsp:rsid wsp:val=&quot;12396B5A&quot;/&gt;&lt;wsp:rsid wsp:val=&quot;1254539C&quot;/&gt;&lt;wsp:rsid wsp:val=&quot;12704774&quot;/&gt;&lt;wsp:rsid wsp:val=&quot;128B267E&quot;/&gt;&lt;wsp:rsid wsp:val=&quot;129E76D2&quot;/&gt;&lt;wsp:rsid wsp:val=&quot;129F0CCC&quot;/&gt;&lt;wsp:rsid wsp:val=&quot;12A7263D&quot;/&gt;&lt;wsp:rsid wsp:val=&quot;12DE7B6C&quot;/&gt;&lt;wsp:rsid wsp:val=&quot;12EA6F16&quot;/&gt;&lt;wsp:rsid wsp:val=&quot;132C4EFB&quot;/&gt;&lt;wsp:rsid wsp:val=&quot;135A5F55&quot;/&gt;&lt;wsp:rsid wsp:val=&quot;13BC1186&quot;/&gt;&lt;wsp:rsid wsp:val=&quot;13D62F71&quot;/&gt;&lt;wsp:rsid wsp:val=&quot;13E73634&quot;/&gt;&lt;wsp:rsid wsp:val=&quot;13EB5A6E&quot;/&gt;&lt;wsp:rsid wsp:val=&quot;13F313B9&quot;/&gt;&lt;wsp:rsid wsp:val=&quot;140C0C24&quot;/&gt;&lt;wsp:rsid wsp:val=&quot;1411193A&quot;/&gt;&lt;wsp:rsid wsp:val=&quot;142D58CD&quot;/&gt;&lt;wsp:rsid wsp:val=&quot;14496E97&quot;/&gt;&lt;wsp:rsid wsp:val=&quot;144D3707&quot;/&gt;&lt;wsp:rsid wsp:val=&quot;14514364&quot;/&gt;&lt;wsp:rsid wsp:val=&quot;146362D7&quot;/&gt;&lt;wsp:rsid wsp:val=&quot;14770915&quot;/&gt;&lt;wsp:rsid wsp:val=&quot;14773EFB&quot;/&gt;&lt;wsp:rsid wsp:val=&quot;14955E10&quot;/&gt;&lt;wsp:rsid wsp:val=&quot;149910E2&quot;/&gt;&lt;wsp:rsid wsp:val=&quot;14A820D8&quot;/&gt;&lt;wsp:rsid wsp:val=&quot;14AE3BFB&quot;/&gt;&lt;wsp:rsid wsp:val=&quot;14B50CB3&quot;/&gt;&lt;wsp:rsid wsp:val=&quot;14C81550&quot;/&gt;&lt;wsp:rsid wsp:val=&quot;14DA3EB7&quot;/&gt;&lt;wsp:rsid wsp:val=&quot;14E10F52&quot;/&gt;&lt;wsp:rsid wsp:val=&quot;14E70D3B&quot;/&gt;&lt;wsp:rsid wsp:val=&quot;150D1A18&quot;/&gt;&lt;wsp:rsid wsp:val=&quot;15271383&quot;/&gt;&lt;wsp:rsid wsp:val=&quot;153F0AE5&quot;/&gt;&lt;wsp:rsid wsp:val=&quot;15621F21&quot;/&gt;&lt;wsp:rsid wsp:val=&quot;15837067&quot;/&gt;&lt;wsp:rsid wsp:val=&quot;15A429B1&quot;/&gt;&lt;wsp:rsid wsp:val=&quot;15E35E1E&quot;/&gt;&lt;wsp:rsid wsp:val=&quot;15ED2A93&quot;/&gt;&lt;wsp:rsid wsp:val=&quot;15F93C84&quot;/&gt;&lt;wsp:rsid wsp:val=&quot;15FC1325&quot;/&gt;&lt;wsp:rsid wsp:val=&quot;161134E2&quot;/&gt;&lt;wsp:rsid wsp:val=&quot;161164C1&quot;/&gt;&lt;wsp:rsid wsp:val=&quot;16306EB4&quot;/&gt;&lt;wsp:rsid wsp:val=&quot;16551C62&quot;/&gt;&lt;wsp:rsid wsp:val=&quot;16562F1D&quot;/&gt;&lt;wsp:rsid wsp:val=&quot;16686812&quot;/&gt;&lt;wsp:rsid wsp:val=&quot;166F352F&quot;/&gt;&lt;wsp:rsid wsp:val=&quot;16A16F01&quot;/&gt;&lt;wsp:rsid wsp:val=&quot;16A251B2&quot;/&gt;&lt;wsp:rsid wsp:val=&quot;16AD3519&quot;/&gt;&lt;wsp:rsid wsp:val=&quot;16B73979&quot;/&gt;&lt;wsp:rsid wsp:val=&quot;16CA1F92&quot;/&gt;&lt;wsp:rsid wsp:val=&quot;16CA4F7F&quot;/&gt;&lt;wsp:rsid wsp:val=&quot;16CC4E97&quot;/&gt;&lt;wsp:rsid wsp:val=&quot;16D2339B&quot;/&gt;&lt;wsp:rsid wsp:val=&quot;170A025D&quot;/&gt;&lt;wsp:rsid wsp:val=&quot;170B62DD&quot;/&gt;&lt;wsp:rsid wsp:val=&quot;17551E6A&quot;/&gt;&lt;wsp:rsid wsp:val=&quot;1757148D&quot;/&gt;&lt;wsp:rsid wsp:val=&quot;176267FA&quot;/&gt;&lt;wsp:rsid wsp:val=&quot;176E15F0&quot;/&gt;&lt;wsp:rsid wsp:val=&quot;17985EA4&quot;/&gt;&lt;wsp:rsid wsp:val=&quot;17A46EA7&quot;/&gt;&lt;wsp:rsid wsp:val=&quot;17B10902&quot;/&gt;&lt;wsp:rsid wsp:val=&quot;17B91351&quot;/&gt;&lt;wsp:rsid wsp:val=&quot;17BD5E05&quot;/&gt;&lt;wsp:rsid wsp:val=&quot;17D33054&quot;/&gt;&lt;wsp:rsid wsp:val=&quot;17E51D74&quot;/&gt;&lt;wsp:rsid wsp:val=&quot;17EA746A&quot;/&gt;&lt;wsp:rsid wsp:val=&quot;17EB2816&quot;/&gt;&lt;wsp:rsid wsp:val=&quot;182A353A&quot;/&gt;&lt;wsp:rsid wsp:val=&quot;185A236E&quot;/&gt;&lt;wsp:rsid wsp:val=&quot;1860715B&quot;/&gt;&lt;wsp:rsid wsp:val=&quot;187235A2&quot;/&gt;&lt;wsp:rsid wsp:val=&quot;18913ED7&quot;/&gt;&lt;wsp:rsid wsp:val=&quot;18B52DF2&quot;/&gt;&lt;wsp:rsid wsp:val=&quot;18D17F23&quot;/&gt;&lt;wsp:rsid wsp:val=&quot;18D25135&quot;/&gt;&lt;wsp:rsid wsp:val=&quot;190C033C&quot;/&gt;&lt;wsp:rsid wsp:val=&quot;192D63FC&quot;/&gt;&lt;wsp:rsid wsp:val=&quot;195F4C7A&quot;/&gt;&lt;wsp:rsid wsp:val=&quot;197A05BF&quot;/&gt;&lt;wsp:rsid wsp:val=&quot;197B04F8&quot;/&gt;&lt;wsp:rsid wsp:val=&quot;19BF0F6E&quot;/&gt;&lt;wsp:rsid wsp:val=&quot;19F1544F&quot;/&gt;&lt;wsp:rsid wsp:val=&quot;19FB4998&quot;/&gt;&lt;wsp:rsid wsp:val=&quot;19FC26F3&quot;/&gt;&lt;wsp:rsid wsp:val=&quot;1A245448&quot;/&gt;&lt;wsp:rsid wsp:val=&quot;1A2C7361&quot;/&gt;&lt;wsp:rsid wsp:val=&quot;1A4D5F09&quot;/&gt;&lt;wsp:rsid wsp:val=&quot;1A690FF8&quot;/&gt;&lt;wsp:rsid wsp:val=&quot;1A71171D&quot;/&gt;&lt;wsp:rsid wsp:val=&quot;1A9C4571&quot;/&gt;&lt;wsp:rsid wsp:val=&quot;1AA90A84&quot;/&gt;&lt;wsp:rsid wsp:val=&quot;1AAB252E&quot;/&gt;&lt;wsp:rsid wsp:val=&quot;1ADB2088&quot;/&gt;&lt;wsp:rsid wsp:val=&quot;1ADC61AB&quot;/&gt;&lt;wsp:rsid wsp:val=&quot;1AE754DB&quot;/&gt;&lt;wsp:rsid wsp:val=&quot;1B447346&quot;/&gt;&lt;wsp:rsid wsp:val=&quot;1B4928BF&quot;/&gt;&lt;wsp:rsid wsp:val=&quot;1B616C94&quot;/&gt;&lt;wsp:rsid wsp:val=&quot;1B631D65&quot;/&gt;&lt;wsp:rsid wsp:val=&quot;1B655E8C&quot;/&gt;&lt;wsp:rsid wsp:val=&quot;1B6C3AB6&quot;/&gt;&lt;wsp:rsid wsp:val=&quot;1B8032D3&quot;/&gt;&lt;wsp:rsid wsp:val=&quot;1B982DD8&quot;/&gt;&lt;wsp:rsid wsp:val=&quot;1B9B01F8&quot;/&gt;&lt;wsp:rsid wsp:val=&quot;1B9B0C19&quot;/&gt;&lt;wsp:rsid wsp:val=&quot;1B9E563E&quot;/&gt;&lt;wsp:rsid wsp:val=&quot;1BA6035E&quot;/&gt;&lt;wsp:rsid wsp:val=&quot;1BB858C3&quot;/&gt;&lt;wsp:rsid wsp:val=&quot;1BBC27F2&quot;/&gt;&lt;wsp:rsid wsp:val=&quot;1BF90E03&quot;/&gt;&lt;wsp:rsid wsp:val=&quot;1C0A1961&quot;/&gt;&lt;wsp:rsid wsp:val=&quot;1C1F38E5&quot;/&gt;&lt;wsp:rsid wsp:val=&quot;1C23000C&quot;/&gt;&lt;wsp:rsid wsp:val=&quot;1C30365F&quot;/&gt;&lt;wsp:rsid wsp:val=&quot;1C495352&quot;/&gt;&lt;wsp:rsid wsp:val=&quot;1C6121E9&quot;/&gt;&lt;wsp:rsid wsp:val=&quot;1C6348DE&quot;/&gt;&lt;wsp:rsid wsp:val=&quot;1C794653&quot;/&gt;&lt;wsp:rsid wsp:val=&quot;1C7D54C1&quot;/&gt;&lt;wsp:rsid wsp:val=&quot;1C7F6008&quot;/&gt;&lt;wsp:rsid wsp:val=&quot;1CA40FFC&quot;/&gt;&lt;wsp:rsid wsp:val=&quot;1D03063A&quot;/&gt;&lt;wsp:rsid wsp:val=&quot;1D1A2396&quot;/&gt;&lt;wsp:rsid wsp:val=&quot;1D290F86&quot;/&gt;&lt;wsp:rsid wsp:val=&quot;1D2C28BC&quot;/&gt;&lt;wsp:rsid wsp:val=&quot;1D3D1363&quot;/&gt;&lt;wsp:rsid wsp:val=&quot;1D585FE0&quot;/&gt;&lt;wsp:rsid wsp:val=&quot;1D652ECD&quot;/&gt;&lt;wsp:rsid wsp:val=&quot;1D6E647F&quot;/&gt;&lt;wsp:rsid wsp:val=&quot;1D7F31CD&quot;/&gt;&lt;wsp:rsid wsp:val=&quot;1DA21AEC&quot;/&gt;&lt;wsp:rsid wsp:val=&quot;1DB01926&quot;/&gt;&lt;wsp:rsid wsp:val=&quot;1E085DA1&quot;/&gt;&lt;wsp:rsid wsp:val=&quot;1E1B2707&quot;/&gt;&lt;wsp:rsid wsp:val=&quot;1E3D4EAA&quot;/&gt;&lt;wsp:rsid wsp:val=&quot;1E923461&quot;/&gt;&lt;wsp:rsid wsp:val=&quot;1EB35A93&quot;/&gt;&lt;wsp:rsid wsp:val=&quot;1EFA11FF&quot;/&gt;&lt;wsp:rsid wsp:val=&quot;1F326459&quot;/&gt;&lt;wsp:rsid wsp:val=&quot;1F3735A7&quot;/&gt;&lt;wsp:rsid wsp:val=&quot;1F3773CD&quot;/&gt;&lt;wsp:rsid wsp:val=&quot;1F3E4118&quot;/&gt;&lt;wsp:rsid wsp:val=&quot;1F427298&quot;/&gt;&lt;wsp:rsid wsp:val=&quot;1F446D87&quot;/&gt;&lt;wsp:rsid wsp:val=&quot;1F4B122E&quot;/&gt;&lt;wsp:rsid wsp:val=&quot;1F5B7356&quot;/&gt;&lt;wsp:rsid wsp:val=&quot;1F616B83&quot;/&gt;&lt;wsp:rsid wsp:val=&quot;1F74021D&quot;/&gt;&lt;wsp:rsid wsp:val=&quot;1F801854&quot;/&gt;&lt;wsp:rsid wsp:val=&quot;1F860D1D&quot;/&gt;&lt;wsp:rsid wsp:val=&quot;1F93162B&quot;/&gt;&lt;wsp:rsid wsp:val=&quot;1FA61CFE&quot;/&gt;&lt;wsp:rsid wsp:val=&quot;1FCA0B31&quot;/&gt;&lt;wsp:rsid wsp:val=&quot;1FE17526&quot;/&gt;&lt;wsp:rsid wsp:val=&quot;1FE5487C&quot;/&gt;&lt;wsp:rsid wsp:val=&quot;1FEC7EEB&quot;/&gt;&lt;wsp:rsid wsp:val=&quot;1FEE4973&quot;/&gt;&lt;wsp:rsid wsp:val=&quot;2001677E&quot;/&gt;&lt;wsp:rsid wsp:val=&quot;201B4C78&quot;/&gt;&lt;wsp:rsid wsp:val=&quot;202F50BD&quot;/&gt;&lt;wsp:rsid wsp:val=&quot;203634F8&quot;/&gt;&lt;wsp:rsid wsp:val=&quot;203C25AB&quot;/&gt;&lt;wsp:rsid wsp:val=&quot;20400F41&quot;/&gt;&lt;wsp:rsid wsp:val=&quot;20484AF6&quot;/&gt;&lt;wsp:rsid wsp:val=&quot;206044A6&quot;/&gt;&lt;wsp:rsid wsp:val=&quot;20645E63&quot;/&gt;&lt;wsp:rsid wsp:val=&quot;20655BA0&quot;/&gt;&lt;wsp:rsid wsp:val=&quot;20703265&quot;/&gt;&lt;wsp:rsid wsp:val=&quot;20711B1D&quot;/&gt;&lt;wsp:rsid wsp:val=&quot;20720384&quot;/&gt;&lt;wsp:rsid wsp:val=&quot;20963EF0&quot;/&gt;&lt;wsp:rsid wsp:val=&quot;20AD5A91&quot;/&gt;&lt;wsp:rsid wsp:val=&quot;21191E31&quot;/&gt;&lt;wsp:rsid wsp:val=&quot;212333BE&quot;/&gt;&lt;wsp:rsid wsp:val=&quot;212437CA&quot;/&gt;&lt;wsp:rsid wsp:val=&quot;21313439&quot;/&gt;&lt;wsp:rsid wsp:val=&quot;216C722B&quot;/&gt;&lt;wsp:rsid wsp:val=&quot;218A7F9F&quot;/&gt;&lt;wsp:rsid wsp:val=&quot;219272A9&quot;/&gt;&lt;wsp:rsid wsp:val=&quot;21C51CE3&quot;/&gt;&lt;wsp:rsid wsp:val=&quot;21C531B7&quot;/&gt;&lt;wsp:rsid wsp:val=&quot;21CF39BF&quot;/&gt;&lt;wsp:rsid wsp:val=&quot;221637FE&quot;/&gt;&lt;wsp:rsid wsp:val=&quot;224C15A1&quot;/&gt;&lt;wsp:rsid wsp:val=&quot;225234ED&quot;/&gt;&lt;wsp:rsid wsp:val=&quot;225E4B4C&quot;/&gt;&lt;wsp:rsid wsp:val=&quot;226E18E0&quot;/&gt;&lt;wsp:rsid wsp:val=&quot;22734826&quot;/&gt;&lt;wsp:rsid wsp:val=&quot;227A4B8A&quot;/&gt;&lt;wsp:rsid wsp:val=&quot;228359EC&quot;/&gt;&lt;wsp:rsid wsp:val=&quot;228B64A3&quot;/&gt;&lt;wsp:rsid wsp:val=&quot;228D37C3&quot;/&gt;&lt;wsp:rsid wsp:val=&quot;229F2605&quot;/&gt;&lt;wsp:rsid wsp:val=&quot;22A21423&quot;/&gt;&lt;wsp:rsid wsp:val=&quot;22A34E5F&quot;/&gt;&lt;wsp:rsid wsp:val=&quot;22A80EB2&quot;/&gt;&lt;wsp:rsid wsp:val=&quot;22CF5D1D&quot;/&gt;&lt;wsp:rsid wsp:val=&quot;22D6625E&quot;/&gt;&lt;wsp:rsid wsp:val=&quot;22DF3B4D&quot;/&gt;&lt;wsp:rsid wsp:val=&quot;22E60282&quot;/&gt;&lt;wsp:rsid wsp:val=&quot;232C2E5E&quot;/&gt;&lt;wsp:rsid wsp:val=&quot;233C3937&quot;/&gt;&lt;wsp:rsid wsp:val=&quot;23415FD5&quot;/&gt;&lt;wsp:rsid wsp:val=&quot;23470D6B&quot;/&gt;&lt;wsp:rsid wsp:val=&quot;234F0C33&quot;/&gt;&lt;wsp:rsid wsp:val=&quot;235D6428&quot;/&gt;&lt;wsp:rsid wsp:val=&quot;2369664B&quot;/&gt;&lt;wsp:rsid wsp:val=&quot;23796D44&quot;/&gt;&lt;wsp:rsid wsp:val=&quot;237C00BF&quot;/&gt;&lt;wsp:rsid wsp:val=&quot;238A4B05&quot;/&gt;&lt;wsp:rsid wsp:val=&quot;238B23BA&quot;/&gt;&lt;wsp:rsid wsp:val=&quot;23BD0FB6&quot;/&gt;&lt;wsp:rsid wsp:val=&quot;23CC111F&quot;/&gt;&lt;wsp:rsid wsp:val=&quot;23E82BC5&quot;/&gt;&lt;wsp:rsid wsp:val=&quot;23F50A1D&quot;/&gt;&lt;wsp:rsid wsp:val=&quot;2402729C&quot;/&gt;&lt;wsp:rsid wsp:val=&quot;240C717B&quot;/&gt;&lt;wsp:rsid wsp:val=&quot;24154A07&quot;/&gt;&lt;wsp:rsid wsp:val=&quot;24237369&quot;/&gt;&lt;wsp:rsid wsp:val=&quot;242B0ACF&quot;/&gt;&lt;wsp:rsid wsp:val=&quot;244A7782&quot;/&gt;&lt;wsp:rsid wsp:val=&quot;24744F75&quot;/&gt;&lt;wsp:rsid wsp:val=&quot;24751205&quot;/&gt;&lt;wsp:rsid wsp:val=&quot;24A9753D&quot;/&gt;&lt;wsp:rsid wsp:val=&quot;24AA55C7&quot;/&gt;&lt;wsp:rsid wsp:val=&quot;24B72751&quot;/&gt;&lt;wsp:rsid wsp:val=&quot;24BC7D81&quot;/&gt;&lt;wsp:rsid wsp:val=&quot;24C34D98&quot;/&gt;&lt;wsp:rsid wsp:val=&quot;24E55D4F&quot;/&gt;&lt;wsp:rsid wsp:val=&quot;24E800DE&quot;/&gt;&lt;wsp:rsid wsp:val=&quot;24E93A37&quot;/&gt;&lt;wsp:rsid wsp:val=&quot;24EA0E35&quot;/&gt;&lt;wsp:rsid wsp:val=&quot;2504123C&quot;/&gt;&lt;wsp:rsid wsp:val=&quot;250770DF&quot;/&gt;&lt;wsp:rsid wsp:val=&quot;251C2931&quot;/&gt;&lt;wsp:rsid wsp:val=&quot;25530A51&quot;/&gt;&lt;wsp:rsid wsp:val=&quot;255D1C96&quot;/&gt;&lt;wsp:rsid wsp:val=&quot;25634663&quot;/&gt;&lt;wsp:rsid wsp:val=&quot;256B68AD&quot;/&gt;&lt;wsp:rsid wsp:val=&quot;256F0462&quot;/&gt;&lt;wsp:rsid wsp:val=&quot;257E2CC8&quot;/&gt;&lt;wsp:rsid wsp:val=&quot;2589275C&quot;/&gt;&lt;wsp:rsid wsp:val=&quot;258C2AAF&quot;/&gt;&lt;wsp:rsid wsp:val=&quot;258D7C62&quot;/&gt;&lt;wsp:rsid wsp:val=&quot;25B430FC&quot;/&gt;&lt;wsp:rsid wsp:val=&quot;25CB697B&quot;/&gt;&lt;wsp:rsid wsp:val=&quot;25CC115B&quot;/&gt;&lt;wsp:rsid wsp:val=&quot;25D84353&quot;/&gt;&lt;wsp:rsid wsp:val=&quot;25DF64FE&quot;/&gt;&lt;wsp:rsid wsp:val=&quot;25F2131F&quot;/&gt;&lt;wsp:rsid wsp:val=&quot;26005BB9&quot;/&gt;&lt;wsp:rsid wsp:val=&quot;2608524A&quot;/&gt;&lt;wsp:rsid wsp:val=&quot;26544F08&quot;/&gt;&lt;wsp:rsid wsp:val=&quot;268A5E33&quot;/&gt;&lt;wsp:rsid wsp:val=&quot;269A78AA&quot;/&gt;&lt;wsp:rsid wsp:val=&quot;26AB543D&quot;/&gt;&lt;wsp:rsid wsp:val=&quot;26DF3838&quot;/&gt;&lt;wsp:rsid wsp:val=&quot;26E9337A&quot;/&gt;&lt;wsp:rsid wsp:val=&quot;26F17749&quot;/&gt;&lt;wsp:rsid wsp:val=&quot;271F5A9E&quot;/&gt;&lt;wsp:rsid wsp:val=&quot;272F0626&quot;/&gt;&lt;wsp:rsid wsp:val=&quot;273D0529&quot;/&gt;&lt;wsp:rsid wsp:val=&quot;2755395F&quot;/&gt;&lt;wsp:rsid wsp:val=&quot;27984E21&quot;/&gt;&lt;wsp:rsid wsp:val=&quot;27A65198&quot;/&gt;&lt;wsp:rsid wsp:val=&quot;27C94EFB&quot;/&gt;&lt;wsp:rsid wsp:val=&quot;27D1147C&quot;/&gt;&lt;wsp:rsid wsp:val=&quot;27E33990&quot;/&gt;&lt;wsp:rsid wsp:val=&quot;28142BC0&quot;/&gt;&lt;wsp:rsid wsp:val=&quot;28194CD7&quot;/&gt;&lt;wsp:rsid wsp:val=&quot;281E41F9&quot;/&gt;&lt;wsp:rsid wsp:val=&quot;28382AE2&quot;/&gt;&lt;wsp:rsid wsp:val=&quot;283C2DCC&quot;/&gt;&lt;wsp:rsid wsp:val=&quot;28654F7A&quot;/&gt;&lt;wsp:rsid wsp:val=&quot;286F1644&quot;/&gt;&lt;wsp:rsid wsp:val=&quot;287E0680&quot;/&gt;&lt;wsp:rsid wsp:val=&quot;288B243E&quot;/&gt;&lt;wsp:rsid wsp:val=&quot;288F7170&quot;/&gt;&lt;wsp:rsid wsp:val=&quot;28C11C6E&quot;/&gt;&lt;wsp:rsid wsp:val=&quot;292F32C9&quot;/&gt;&lt;wsp:rsid wsp:val=&quot;292F64E0&quot;/&gt;&lt;wsp:rsid wsp:val=&quot;292F66F7&quot;/&gt;&lt;wsp:rsid wsp:val=&quot;29465C4F&quot;/&gt;&lt;wsp:rsid wsp:val=&quot;294A57B8&quot;/&gt;&lt;wsp:rsid wsp:val=&quot;296E3B9E&quot;/&gt;&lt;wsp:rsid wsp:val=&quot;2983730D&quot;/&gt;&lt;wsp:rsid wsp:val=&quot;299E588A&quot;/&gt;&lt;wsp:rsid wsp:val=&quot;29D362FA&quot;/&gt;&lt;wsp:rsid wsp:val=&quot;29E80285&quot;/&gt;&lt;wsp:rsid wsp:val=&quot;29F40DD1&quot;/&gt;&lt;wsp:rsid wsp:val=&quot;2A174548&quot;/&gt;&lt;wsp:rsid wsp:val=&quot;2A4522EF&quot;/&gt;&lt;wsp:rsid wsp:val=&quot;2A4960CE&quot;/&gt;&lt;wsp:rsid wsp:val=&quot;2A5D3A3D&quot;/&gt;&lt;wsp:rsid wsp:val=&quot;2A752564&quot;/&gt;&lt;wsp:rsid wsp:val=&quot;2A833C9B&quot;/&gt;&lt;wsp:rsid wsp:val=&quot;2AA51F49&quot;/&gt;&lt;wsp:rsid wsp:val=&quot;2B0F5680&quot;/&gt;&lt;wsp:rsid wsp:val=&quot;2B174076&quot;/&gt;&lt;wsp:rsid wsp:val=&quot;2B2C205C&quot;/&gt;&lt;wsp:rsid wsp:val=&quot;2B4B14CF&quot;/&gt;&lt;wsp:rsid wsp:val=&quot;2B5B0DE4&quot;/&gt;&lt;wsp:rsid wsp:val=&quot;2BA501F9&quot;/&gt;&lt;wsp:rsid wsp:val=&quot;2BDA58A2&quot;/&gt;&lt;wsp:rsid wsp:val=&quot;2BE27D5C&quot;/&gt;&lt;wsp:rsid wsp:val=&quot;2BE52458&quot;/&gt;&lt;wsp:rsid wsp:val=&quot;2C147B66&quot;/&gt;&lt;wsp:rsid wsp:val=&quot;2C327E78&quot;/&gt;&lt;wsp:rsid wsp:val=&quot;2C64530F&quot;/&gt;&lt;wsp:rsid wsp:val=&quot;2C712C70&quot;/&gt;&lt;wsp:rsid wsp:val=&quot;2C7664F8&quot;/&gt;&lt;wsp:rsid wsp:val=&quot;2C845FF8&quot;/&gt;&lt;wsp:rsid wsp:val=&quot;2C8C2266&quot;/&gt;&lt;wsp:rsid wsp:val=&quot;2C9630B3&quot;/&gt;&lt;wsp:rsid wsp:val=&quot;2C9922B7&quot;/&gt;&lt;wsp:rsid wsp:val=&quot;2CBA3975&quot;/&gt;&lt;wsp:rsid wsp:val=&quot;2CD16ABF&quot;/&gt;&lt;wsp:rsid wsp:val=&quot;2CF00075&quot;/&gt;&lt;wsp:rsid wsp:val=&quot;2D0F4B1B&quot;/&gt;&lt;wsp:rsid wsp:val=&quot;2D3B2275&quot;/&gt;&lt;wsp:rsid wsp:val=&quot;2D891D74&quot;/&gt;&lt;wsp:rsid wsp:val=&quot;2D9A338B&quot;/&gt;&lt;wsp:rsid wsp:val=&quot;2D9A5077&quot;/&gt;&lt;wsp:rsid wsp:val=&quot;2DC16BCB&quot;/&gt;&lt;wsp:rsid wsp:val=&quot;2DCF45D1&quot;/&gt;&lt;wsp:rsid wsp:val=&quot;2DD349C7&quot;/&gt;&lt;wsp:rsid wsp:val=&quot;2DFF4D54&quot;/&gt;&lt;wsp:rsid wsp:val=&quot;2E1E2AA9&quot;/&gt;&lt;wsp:rsid wsp:val=&quot;2E316415&quot;/&gt;&lt;wsp:rsid wsp:val=&quot;2E441798&quot;/&gt;&lt;wsp:rsid wsp:val=&quot;2E71793E&quot;/&gt;&lt;wsp:rsid wsp:val=&quot;2E8028D7&quot;/&gt;&lt;wsp:rsid wsp:val=&quot;2E845572&quot;/&gt;&lt;wsp:rsid wsp:val=&quot;2E8E2DF7&quot;/&gt;&lt;wsp:rsid wsp:val=&quot;2E9D5D62&quot;/&gt;&lt;wsp:rsid wsp:val=&quot;2EB415AD&quot;/&gt;&lt;wsp:rsid wsp:val=&quot;2ECE348C&quot;/&gt;&lt;wsp:rsid wsp:val=&quot;2EDB55E3&quot;/&gt;&lt;wsp:rsid wsp:val=&quot;2EFD2081&quot;/&gt;&lt;wsp:rsid wsp:val=&quot;2EFD49F8&quot;/&gt;&lt;wsp:rsid wsp:val=&quot;2F3577E3&quot;/&gt;&lt;wsp:rsid wsp:val=&quot;2F42685C&quot;/&gt;&lt;wsp:rsid wsp:val=&quot;2F553B5A&quot;/&gt;&lt;wsp:rsid wsp:val=&quot;2F662872&quot;/&gt;&lt;wsp:rsid wsp:val=&quot;2F724C5F&quot;/&gt;&lt;wsp:rsid wsp:val=&quot;2F9B5AC3&quot;/&gt;&lt;wsp:rsid wsp:val=&quot;2F9F7E73&quot;/&gt;&lt;wsp:rsid wsp:val=&quot;2FFD0C20&quot;/&gt;&lt;wsp:rsid wsp:val=&quot;30130111&quot;/&gt;&lt;wsp:rsid wsp:val=&quot;30440AB7&quot;/&gt;&lt;wsp:rsid wsp:val=&quot;3049381E&quot;/&gt;&lt;wsp:rsid wsp:val=&quot;305C7F7B&quot;/&gt;&lt;wsp:rsid wsp:val=&quot;307F705C&quot;/&gt;&lt;wsp:rsid wsp:val=&quot;309A55A8&quot;/&gt;&lt;wsp:rsid wsp:val=&quot;30B74328&quot;/&gt;&lt;wsp:rsid wsp:val=&quot;30D510F7&quot;/&gt;&lt;wsp:rsid wsp:val=&quot;30D7008F&quot;/&gt;&lt;wsp:rsid wsp:val=&quot;30F67310&quot;/&gt;&lt;wsp:rsid wsp:val=&quot;31120094&quot;/&gt;&lt;wsp:rsid wsp:val=&quot;31222DDF&quot;/&gt;&lt;wsp:rsid wsp:val=&quot;315D12A0&quot;/&gt;&lt;wsp:rsid wsp:val=&quot;316A54B4&quot;/&gt;&lt;wsp:rsid wsp:val=&quot;31A850DD&quot;/&gt;&lt;wsp:rsid wsp:val=&quot;31B06674&quot;/&gt;&lt;wsp:rsid wsp:val=&quot;31BE04E6&quot;/&gt;&lt;wsp:rsid wsp:val=&quot;31C70950&quot;/&gt;&lt;wsp:rsid wsp:val=&quot;31DF3838&quot;/&gt;&lt;wsp:rsid wsp:val=&quot;31EE3B5D&quot;/&gt;&lt;wsp:rsid wsp:val=&quot;320D0DC8&quot;/&gt;&lt;wsp:rsid wsp:val=&quot;321A418E&quot;/&gt;&lt;wsp:rsid wsp:val=&quot;32401E0F&quot;/&gt;&lt;wsp:rsid wsp:val=&quot;324F7B39&quot;/&gt;&lt;wsp:rsid wsp:val=&quot;32535E36&quot;/&gt;&lt;wsp:rsid wsp:val=&quot;32562E0F&quot;/&gt;&lt;wsp:rsid wsp:val=&quot;327002B0&quot;/&gt;&lt;wsp:rsid wsp:val=&quot;32905CFD&quot;/&gt;&lt;wsp:rsid wsp:val=&quot;32B955F9&quot;/&gt;&lt;wsp:rsid wsp:val=&quot;32E056A9&quot;/&gt;&lt;wsp:rsid wsp:val=&quot;32FE20EB&quot;/&gt;&lt;wsp:rsid wsp:val=&quot;330952E7&quot;/&gt;&lt;wsp:rsid wsp:val=&quot;33135EF1&quot;/&gt;&lt;wsp:rsid wsp:val=&quot;3332192F&quot;/&gt;&lt;wsp:rsid wsp:val=&quot;33515C3E&quot;/&gt;&lt;wsp:rsid wsp:val=&quot;33533C99&quot;/&gt;&lt;wsp:rsid wsp:val=&quot;33542DD6&quot;/&gt;&lt;wsp:rsid wsp:val=&quot;339709B4&quot;/&gt;&lt;wsp:rsid wsp:val=&quot;339C2614&quot;/&gt;&lt;wsp:rsid wsp:val=&quot;33B04681&quot;/&gt;&lt;wsp:rsid wsp:val=&quot;33BD2967&quot;/&gt;&lt;wsp:rsid wsp:val=&quot;33F53425&quot;/&gt;&lt;wsp:rsid wsp:val=&quot;34034857&quot;/&gt;&lt;wsp:rsid wsp:val=&quot;343A6582&quot;/&gt;&lt;wsp:rsid wsp:val=&quot;34416822&quot;/&gt;&lt;wsp:rsid wsp:val=&quot;344626C3&quot;/&gt;&lt;wsp:rsid wsp:val=&quot;34723F91&quot;/&gt;&lt;wsp:rsid wsp:val=&quot;34795C64&quot;/&gt;&lt;wsp:rsid wsp:val=&quot;3481681D&quot;/&gt;&lt;wsp:rsid wsp:val=&quot;34D00D41&quot;/&gt;&lt;wsp:rsid wsp:val=&quot;34D7549E&quot;/&gt;&lt;wsp:rsid wsp:val=&quot;350A1296&quot;/&gt;&lt;wsp:rsid wsp:val=&quot;35150C28&quot;/&gt;&lt;wsp:rsid wsp:val=&quot;35236A40&quot;/&gt;&lt;wsp:rsid wsp:val=&quot;3524545D&quot;/&gt;&lt;wsp:rsid wsp:val=&quot;353454CA&quot;/&gt;&lt;wsp:rsid wsp:val=&quot;35524458&quot;/&gt;&lt;wsp:rsid wsp:val=&quot;3575786D&quot;/&gt;&lt;wsp:rsid wsp:val=&quot;357904D9&quot;/&gt;&lt;wsp:rsid wsp:val=&quot;35B47668&quot;/&gt;&lt;wsp:rsid wsp:val=&quot;35DA5B99&quot;/&gt;&lt;wsp:rsid wsp:val=&quot;35DB6841&quot;/&gt;&lt;wsp:rsid wsp:val=&quot;35E03827&quot;/&gt;&lt;wsp:rsid wsp:val=&quot;35F30E34&quot;/&gt;&lt;wsp:rsid wsp:val=&quot;361338AB&quot;/&gt;&lt;wsp:rsid wsp:val=&quot;362B2304&quot;/&gt;&lt;wsp:rsid wsp:val=&quot;362E16FE&quot;/&gt;&lt;wsp:rsid wsp:val=&quot;36405937&quot;/&gt;&lt;wsp:rsid wsp:val=&quot;364D6997&quot;/&gt;&lt;wsp:rsid wsp:val=&quot;365D363B&quot;/&gt;&lt;wsp:rsid wsp:val=&quot;365E171E&quot;/&gt;&lt;wsp:rsid wsp:val=&quot;36605943&quot;/&gt;&lt;wsp:rsid wsp:val=&quot;368710DC&quot;/&gt;&lt;wsp:rsid wsp:val=&quot;36973977&quot;/&gt;&lt;wsp:rsid wsp:val=&quot;36C4200F&quot;/&gt;&lt;wsp:rsid wsp:val=&quot;36C97B4E&quot;/&gt;&lt;wsp:rsid wsp:val=&quot;36D21CDD&quot;/&gt;&lt;wsp:rsid wsp:val=&quot;36D536A0&quot;/&gt;&lt;wsp:rsid wsp:val=&quot;36D65F12&quot;/&gt;&lt;wsp:rsid wsp:val=&quot;36FE2B73&quot;/&gt;&lt;wsp:rsid wsp:val=&quot;37031B34&quot;/&gt;&lt;wsp:rsid wsp:val=&quot;37543887&quot;/&gt;&lt;wsp:rsid wsp:val=&quot;376F0F93&quot;/&gt;&lt;wsp:rsid wsp:val=&quot;37717A20&quot;/&gt;&lt;wsp:rsid wsp:val=&quot;37757726&quot;/&gt;&lt;wsp:rsid wsp:val=&quot;378056A6&quot;/&gt;&lt;wsp:rsid wsp:val=&quot;37C0591F&quot;/&gt;&lt;wsp:rsid wsp:val=&quot;37C67787&quot;/&gt;&lt;wsp:rsid wsp:val=&quot;37E33A19&quot;/&gt;&lt;wsp:rsid wsp:val=&quot;37F6647B&quot;/&gt;&lt;wsp:rsid wsp:val=&quot;381E75AF&quot;/&gt;&lt;wsp:rsid wsp:val=&quot;385A4844&quot;/&gt;&lt;wsp:rsid wsp:val=&quot;387873FA&quot;/&gt;&lt;wsp:rsid wsp:val=&quot;387A4C79&quot;/&gt;&lt;wsp:rsid wsp:val=&quot;387B299E&quot;/&gt;&lt;wsp:rsid wsp:val=&quot;387F48A0&quot;/&gt;&lt;wsp:rsid wsp:val=&quot;38AD15C3&quot;/&gt;&lt;wsp:rsid wsp:val=&quot;38B51521&quot;/&gt;&lt;wsp:rsid wsp:val=&quot;38BA7D5C&quot;/&gt;&lt;wsp:rsid wsp:val=&quot;38EB664B&quot;/&gt;&lt;wsp:rsid wsp:val=&quot;38F80837&quot;/&gt;&lt;wsp:rsid wsp:val=&quot;38F91BCD&quot;/&gt;&lt;wsp:rsid wsp:val=&quot;39070AAC&quot;/&gt;&lt;wsp:rsid wsp:val=&quot;39086358&quot;/&gt;&lt;wsp:rsid wsp:val=&quot;393153B7&quot;/&gt;&lt;wsp:rsid wsp:val=&quot;394C52C9&quot;/&gt;&lt;wsp:rsid wsp:val=&quot;39697CD8&quot;/&gt;&lt;wsp:rsid wsp:val=&quot;39751EC5&quot;/&gt;&lt;wsp:rsid wsp:val=&quot;398C5842&quot;/&gt;&lt;wsp:rsid wsp:val=&quot;399C5CC5&quot;/&gt;&lt;wsp:rsid wsp:val=&quot;399E558B&quot;/&gt;&lt;wsp:rsid wsp:val=&quot;39BF6E97&quot;/&gt;&lt;wsp:rsid wsp:val=&quot;39D66A57&quot;/&gt;&lt;wsp:rsid wsp:val=&quot;39DE7E7E&quot;/&gt;&lt;wsp:rsid wsp:val=&quot;39EC17AA&quot;/&gt;&lt;wsp:rsid wsp:val=&quot;3A085559&quot;/&gt;&lt;wsp:rsid wsp:val=&quot;3A0D141A&quot;/&gt;&lt;wsp:rsid wsp:val=&quot;3A243815&quot;/&gt;&lt;wsp:rsid wsp:val=&quot;3A4B32A1&quot;/&gt;&lt;wsp:rsid wsp:val=&quot;3A5B0B30&quot;/&gt;&lt;wsp:rsid wsp:val=&quot;3A5E46D9&quot;/&gt;&lt;wsp:rsid wsp:val=&quot;3A690617&quot;/&gt;&lt;wsp:rsid wsp:val=&quot;3A6F0291&quot;/&gt;&lt;wsp:rsid wsp:val=&quot;3A8A71D1&quot;/&gt;&lt;wsp:rsid wsp:val=&quot;3AB12108&quot;/&gt;&lt;wsp:rsid wsp:val=&quot;3ABE5CE0&quot;/&gt;&lt;wsp:rsid wsp:val=&quot;3ADA1058&quot;/&gt;&lt;wsp:rsid wsp:val=&quot;3B011173&quot;/&gt;&lt;wsp:rsid wsp:val=&quot;3B104A62&quot;/&gt;&lt;wsp:rsid wsp:val=&quot;3B6363EA&quot;/&gt;&lt;wsp:rsid wsp:val=&quot;3B804D03&quot;/&gt;&lt;wsp:rsid wsp:val=&quot;3B9916CD&quot;/&gt;&lt;wsp:rsid wsp:val=&quot;3BF269D8&quot;/&gt;&lt;wsp:rsid wsp:val=&quot;3C1B4329&quot;/&gt;&lt;wsp:rsid wsp:val=&quot;3C235DF5&quot;/&gt;&lt;wsp:rsid wsp:val=&quot;3C374014&quot;/&gt;&lt;wsp:rsid wsp:val=&quot;3C405B17&quot;/&gt;&lt;wsp:rsid wsp:val=&quot;3C764C2E&quot;/&gt;&lt;wsp:rsid wsp:val=&quot;3C78126A&quot;/&gt;&lt;wsp:rsid wsp:val=&quot;3CA562E6&quot;/&gt;&lt;wsp:rsid wsp:val=&quot;3CA740F0&quot;/&gt;&lt;wsp:rsid wsp:val=&quot;3CB607D5&quot;/&gt;&lt;wsp:rsid wsp:val=&quot;3D000F92&quot;/&gt;&lt;wsp:rsid wsp:val=&quot;3D0E21B3&quot;/&gt;&lt;wsp:rsid wsp:val=&quot;3D326B36&quot;/&gt;&lt;wsp:rsid wsp:val=&quot;3D3B50E0&quot;/&gt;&lt;wsp:rsid wsp:val=&quot;3D7C2D6C&quot;/&gt;&lt;wsp:rsid wsp:val=&quot;3D9D6AC0&quot;/&gt;&lt;wsp:rsid wsp:val=&quot;3DAF6A47&quot;/&gt;&lt;wsp:rsid wsp:val=&quot;3DBD53A4&quot;/&gt;&lt;wsp:rsid wsp:val=&quot;3DC51720&quot;/&gt;&lt;wsp:rsid wsp:val=&quot;3DD3268E&quot;/&gt;&lt;wsp:rsid wsp:val=&quot;3DF05AC1&quot;/&gt;&lt;wsp:rsid wsp:val=&quot;3E085F49&quot;/&gt;&lt;wsp:rsid wsp:val=&quot;3E4E24CC&quot;/&gt;&lt;wsp:rsid wsp:val=&quot;3E5B55DC&quot;/&gt;&lt;wsp:rsid wsp:val=&quot;3E5F33E4&quot;/&gt;&lt;wsp:rsid wsp:val=&quot;3E8B042A&quot;/&gt;&lt;wsp:rsid wsp:val=&quot;3EA93C33&quot;/&gt;&lt;wsp:rsid wsp:val=&quot;3EBC620A&quot;/&gt;&lt;wsp:rsid wsp:val=&quot;3ECE6552&quot;/&gt;&lt;wsp:rsid wsp:val=&quot;3ED1585F&quot;/&gt;&lt;wsp:rsid wsp:val=&quot;3EEF7213&quot;/&gt;&lt;wsp:rsid wsp:val=&quot;3F4976AD&quot;/&gt;&lt;wsp:rsid wsp:val=&quot;3F570BE9&quot;/&gt;&lt;wsp:rsid wsp:val=&quot;3F623298&quot;/&gt;&lt;wsp:rsid wsp:val=&quot;3F786788&quot;/&gt;&lt;wsp:rsid wsp:val=&quot;3F794993&quot;/&gt;&lt;wsp:rsid wsp:val=&quot;3F984A72&quot;/&gt;&lt;wsp:rsid wsp:val=&quot;400870C2&quot;/&gt;&lt;wsp:rsid wsp:val=&quot;401A0C18&quot;/&gt;&lt;wsp:rsid wsp:val=&quot;4023326A&quot;/&gt;&lt;wsp:rsid wsp:val=&quot;40262630&quot;/&gt;&lt;wsp:rsid wsp:val=&quot;402747A2&quot;/&gt;&lt;wsp:rsid wsp:val=&quot;4049774E&quot;/&gt;&lt;wsp:rsid wsp:val=&quot;405940CB&quot;/&gt;&lt;wsp:rsid wsp:val=&quot;40A36822&quot;/&gt;&lt;wsp:rsid wsp:val=&quot;40C04433&quot;/&gt;&lt;wsp:rsid wsp:val=&quot;41077F82&quot;/&gt;&lt;wsp:rsid wsp:val=&quot;410D1033&quot;/&gt;&lt;wsp:rsid wsp:val=&quot;41395D7D&quot;/&gt;&lt;wsp:rsid wsp:val=&quot;41477B3B&quot;/&gt;&lt;wsp:rsid wsp:val=&quot;41477BA1&quot;/&gt;&lt;wsp:rsid wsp:val=&quot;41484221&quot;/&gt;&lt;wsp:rsid wsp:val=&quot;417738DA&quot;/&gt;&lt;wsp:rsid wsp:val=&quot;417D7C80&quot;/&gt;&lt;wsp:rsid wsp:val=&quot;41816113&quot;/&gt;&lt;wsp:rsid wsp:val=&quot;41AA6801&quot;/&gt;&lt;wsp:rsid wsp:val=&quot;41D36A8F&quot;/&gt;&lt;wsp:rsid wsp:val=&quot;41F35C21&quot;/&gt;&lt;wsp:rsid wsp:val=&quot;424106DB&quot;/&gt;&lt;wsp:rsid wsp:val=&quot;426C6856&quot;/&gt;&lt;wsp:rsid wsp:val=&quot;427E69B4&quot;/&gt;&lt;wsp:rsid wsp:val=&quot;428F02C5&quot;/&gt;&lt;wsp:rsid wsp:val=&quot;429D2635&quot;/&gt;&lt;wsp:rsid wsp:val=&quot;42A87357&quot;/&gt;&lt;wsp:rsid wsp:val=&quot;42AA350F&quot;/&gt;&lt;wsp:rsid wsp:val=&quot;42BD65CC&quot;/&gt;&lt;wsp:rsid wsp:val=&quot;42C24E21&quot;/&gt;&lt;wsp:rsid wsp:val=&quot;42CE5649&quot;/&gt;&lt;wsp:rsid wsp:val=&quot;42FA2A7B&quot;/&gt;&lt;wsp:rsid wsp:val=&quot;4320160B&quot;/&gt;&lt;wsp:rsid wsp:val=&quot;432C3F5D&quot;/&gt;&lt;wsp:rsid wsp:val=&quot;434B5E2D&quot;/&gt;&lt;wsp:rsid wsp:val=&quot;437D6E98&quot;/&gt;&lt;wsp:rsid wsp:val=&quot;43836645&quot;/&gt;&lt;wsp:rsid wsp:val=&quot;439169D3&quot;/&gt;&lt;wsp:rsid wsp:val=&quot;43D82842&quot;/&gt;&lt;wsp:rsid wsp:val=&quot;43EC02AC&quot;/&gt;&lt;wsp:rsid wsp:val=&quot;43FB717B&quot;/&gt;&lt;wsp:rsid wsp:val=&quot;441C3BCF&quot;/&gt;&lt;wsp:rsid wsp:val=&quot;442108A7&quot;/&gt;&lt;wsp:rsid wsp:val=&quot;442153F6&quot;/&gt;&lt;wsp:rsid wsp:val=&quot;442E12C3&quot;/&gt;&lt;wsp:rsid wsp:val=&quot;44340402&quot;/&gt;&lt;wsp:rsid wsp:val=&quot;444C72EA&quot;/&gt;&lt;wsp:rsid wsp:val=&quot;4454356C&quot;/&gt;&lt;wsp:rsid wsp:val=&quot;44754B24&quot;/&gt;&lt;wsp:rsid wsp:val=&quot;4485170E&quot;/&gt;&lt;wsp:rsid wsp:val=&quot;449F6FFD&quot;/&gt;&lt;wsp:rsid wsp:val=&quot;44C724FF&quot;/&gt;&lt;wsp:rsid wsp:val=&quot;44CD439E&quot;/&gt;&lt;wsp:rsid wsp:val=&quot;459C5113&quot;/&gt;&lt;wsp:rsid wsp:val=&quot;45DE1958&quot;/&gt;&lt;wsp:rsid wsp:val=&quot;45F71D3F&quot;/&gt;&lt;wsp:rsid wsp:val=&quot;46081FAF&quot;/&gt;&lt;wsp:rsid wsp:val=&quot;460B711F&quot;/&gt;&lt;wsp:rsid wsp:val=&quot;460F572D&quot;/&gt;&lt;wsp:rsid wsp:val=&quot;462F6A17&quot;/&gt;&lt;wsp:rsid wsp:val=&quot;4656226A&quot;/&gt;&lt;wsp:rsid wsp:val=&quot;46577F66&quot;/&gt;&lt;wsp:rsid wsp:val=&quot;466C43AB&quot;/&gt;&lt;wsp:rsid wsp:val=&quot;46840BAD&quot;/&gt;&lt;wsp:rsid wsp:val=&quot;469337F3&quot;/&gt;&lt;wsp:rsid wsp:val=&quot;469708F4&quot;/&gt;&lt;wsp:rsid wsp:val=&quot;469C4109&quot;/&gt;&lt;wsp:rsid wsp:val=&quot;46A3301B&quot;/&gt;&lt;wsp:rsid wsp:val=&quot;46AD78F9&quot;/&gt;&lt;wsp:rsid wsp:val=&quot;46C30060&quot;/&gt;&lt;wsp:rsid wsp:val=&quot;46C308C1&quot;/&gt;&lt;wsp:rsid wsp:val=&quot;46C36A8C&quot;/&gt;&lt;wsp:rsid wsp:val=&quot;470326DB&quot;/&gt;&lt;wsp:rsid wsp:val=&quot;472B4A6A&quot;/&gt;&lt;wsp:rsid wsp:val=&quot;47346D9B&quot;/&gt;&lt;wsp:rsid wsp:val=&quot;474755E1&quot;/&gt;&lt;wsp:rsid wsp:val=&quot;47652383&quot;/&gt;&lt;wsp:rsid wsp:val=&quot;47685307&quot;/&gt;&lt;wsp:rsid wsp:val=&quot;478A6976&quot;/&gt;&lt;wsp:rsid wsp:val=&quot;47AC7750&quot;/&gt;&lt;wsp:rsid wsp:val=&quot;47B635D9&quot;/&gt;&lt;wsp:rsid wsp:val=&quot;47BF26BC&quot;/&gt;&lt;wsp:rsid wsp:val=&quot;48497690&quot;/&gt;&lt;wsp:rsid wsp:val=&quot;485734FA&quot;/&gt;&lt;wsp:rsid wsp:val=&quot;4858792F&quot;/&gt;&lt;wsp:rsid wsp:val=&quot;487F4EAB&quot;/&gt;&lt;wsp:rsid wsp:val=&quot;48853399&quot;/&gt;&lt;wsp:rsid wsp:val=&quot;489020D3&quot;/&gt;&lt;wsp:rsid wsp:val=&quot;489B1A13&quot;/&gt;&lt;wsp:rsid wsp:val=&quot;48C27684&quot;/&gt;&lt;wsp:rsid wsp:val=&quot;48C804FB&quot;/&gt;&lt;wsp:rsid wsp:val=&quot;48EE1788&quot;/&gt;&lt;wsp:rsid wsp:val=&quot;48F21F15&quot;/&gt;&lt;wsp:rsid wsp:val=&quot;48F64ACF&quot;/&gt;&lt;wsp:rsid wsp:val=&quot;49202BBA&quot;/&gt;&lt;wsp:rsid wsp:val=&quot;49270D3A&quot;/&gt;&lt;wsp:rsid wsp:val=&quot;493122F2&quot;/&gt;&lt;wsp:rsid wsp:val=&quot;493356B9&quot;/&gt;&lt;wsp:rsid wsp:val=&quot;496D1E19&quot;/&gt;&lt;wsp:rsid wsp:val=&quot;49736B29&quot;/&gt;&lt;wsp:rsid wsp:val=&quot;49DC07CD&quot;/&gt;&lt;wsp:rsid wsp:val=&quot;4A2E3030&quot;/&gt;&lt;wsp:rsid wsp:val=&quot;4A3F3EF6&quot;/&gt;&lt;wsp:rsid wsp:val=&quot;4A6174E2&quot;/&gt;&lt;wsp:rsid wsp:val=&quot;4A9162C0&quot;/&gt;&lt;wsp:rsid wsp:val=&quot;4A983B3C&quot;/&gt;&lt;wsp:rsid wsp:val=&quot;4AB81A2E&quot;/&gt;&lt;wsp:rsid wsp:val=&quot;4AC07BA8&quot;/&gt;&lt;wsp:rsid wsp:val=&quot;4AC212B3&quot;/&gt;&lt;wsp:rsid wsp:val=&quot;4AC95E57&quot;/&gt;&lt;wsp:rsid wsp:val=&quot;4AF052CA&quot;/&gt;&lt;wsp:rsid wsp:val=&quot;4AFD0240&quot;/&gt;&lt;wsp:rsid wsp:val=&quot;4B050147&quot;/&gt;&lt;wsp:rsid wsp:val=&quot;4B0E54DA&quot;/&gt;&lt;wsp:rsid wsp:val=&quot;4B263B0D&quot;/&gt;&lt;wsp:rsid wsp:val=&quot;4B3165D4&quot;/&gt;&lt;wsp:rsid wsp:val=&quot;4B3F7D61&quot;/&gt;&lt;wsp:rsid wsp:val=&quot;4B5773A6&quot;/&gt;&lt;wsp:rsid wsp:val=&quot;4B717748&quot;/&gt;&lt;wsp:rsid wsp:val=&quot;4B74632E&quot;/&gt;&lt;wsp:rsid wsp:val=&quot;4B8219EF&quot;/&gt;&lt;wsp:rsid wsp:val=&quot;4BA31553&quot;/&gt;&lt;wsp:rsid wsp:val=&quot;4BAF0847&quot;/&gt;&lt;wsp:rsid wsp:val=&quot;4BB62A42&quot;/&gt;&lt;wsp:rsid wsp:val=&quot;4BF43D54&quot;/&gt;&lt;wsp:rsid wsp:val=&quot;4BF9744C&quot;/&gt;&lt;wsp:rsid wsp:val=&quot;4C0057BA&quot;/&gt;&lt;wsp:rsid wsp:val=&quot;4C255EE0&quot;/&gt;&lt;wsp:rsid wsp:val=&quot;4C2A2E2C&quot;/&gt;&lt;wsp:rsid wsp:val=&quot;4C4D6B63&quot;/&gt;&lt;wsp:rsid wsp:val=&quot;4C5377D5&quot;/&gt;&lt;wsp:rsid wsp:val=&quot;4C6004DD&quot;/&gt;&lt;wsp:rsid wsp:val=&quot;4C613502&quot;/&gt;&lt;wsp:rsid wsp:val=&quot;4C6D0F2D&quot;/&gt;&lt;wsp:rsid wsp:val=&quot;4C7D15A1&quot;/&gt;&lt;wsp:rsid wsp:val=&quot;4C83250D&quot;/&gt;&lt;wsp:rsid wsp:val=&quot;4CBF6BE0&quot;/&gt;&lt;wsp:rsid wsp:val=&quot;4CEB0267&quot;/&gt;&lt;wsp:rsid wsp:val=&quot;4CF541A9&quot;/&gt;&lt;wsp:rsid wsp:val=&quot;4D0A22A5&quot;/&gt;&lt;wsp:rsid wsp:val=&quot;4D1261CE&quot;/&gt;&lt;wsp:rsid wsp:val=&quot;4D171FFD&quot;/&gt;&lt;wsp:rsid wsp:val=&quot;4D1F1FF1&quot;/&gt;&lt;wsp:rsid wsp:val=&quot;4D340232&quot;/&gt;&lt;wsp:rsid wsp:val=&quot;4D574B88&quot;/&gt;&lt;wsp:rsid wsp:val=&quot;4D7C63F8&quot;/&gt;&lt;wsp:rsid wsp:val=&quot;4DAA7907&quot;/&gt;&lt;wsp:rsid wsp:val=&quot;4DAB3452&quot;/&gt;&lt;wsp:rsid wsp:val=&quot;4DBA2C26&quot;/&gt;&lt;wsp:rsid wsp:val=&quot;4DED4BF9&quot;/&gt;&lt;wsp:rsid wsp:val=&quot;4E0F7B4A&quot;/&gt;&lt;wsp:rsid wsp:val=&quot;4E145F58&quot;/&gt;&lt;wsp:rsid wsp:val=&quot;4E1B72DF&quot;/&gt;&lt;wsp:rsid wsp:val=&quot;4E5F5EAD&quot;/&gt;&lt;wsp:rsid wsp:val=&quot;4E9D38F9&quot;/&gt;&lt;wsp:rsid wsp:val=&quot;4EDA225F&quot;/&gt;&lt;wsp:rsid wsp:val=&quot;4EE062D0&quot;/&gt;&lt;wsp:rsid wsp:val=&quot;4EE40BEE&quot;/&gt;&lt;wsp:rsid wsp:val=&quot;4EEA1C42&quot;/&gt;&lt;wsp:rsid wsp:val=&quot;4EEE524A&quot;/&gt;&lt;wsp:rsid wsp:val=&quot;4F242985&quot;/&gt;&lt;wsp:rsid wsp:val=&quot;4F32701D&quot;/&gt;&lt;wsp:rsid wsp:val=&quot;4F3E6A2B&quot;/&gt;&lt;wsp:rsid wsp:val=&quot;4F496891&quot;/&gt;&lt;wsp:rsid wsp:val=&quot;4F632E7E&quot;/&gt;&lt;wsp:rsid wsp:val=&quot;4F6A5B37&quot;/&gt;&lt;wsp:rsid wsp:val=&quot;4F8C4CC9&quot;/&gt;&lt;wsp:rsid wsp:val=&quot;4F9A2FBA&quot;/&gt;&lt;wsp:rsid wsp:val=&quot;4FDB0046&quot;/&gt;&lt;wsp:rsid wsp:val=&quot;4FE6166E&quot;/&gt;&lt;wsp:rsid wsp:val=&quot;50074C87&quot;/&gt;&lt;wsp:rsid wsp:val=&quot;500B0181&quot;/&gt;&lt;wsp:rsid wsp:val=&quot;500C1426&quot;/&gt;&lt;wsp:rsid wsp:val=&quot;50100108&quot;/&gt;&lt;wsp:rsid wsp:val=&quot;5026432D&quot;/&gt;&lt;wsp:rsid wsp:val=&quot;50323C15&quot;/&gt;&lt;wsp:rsid wsp:val=&quot;5061391C&quot;/&gt;&lt;wsp:rsid wsp:val=&quot;506A3FA8&quot;/&gt;&lt;wsp:rsid wsp:val=&quot;507F087A&quot;/&gt;&lt;wsp:rsid wsp:val=&quot;5093708C&quot;/&gt;&lt;wsp:rsid wsp:val=&quot;50AD7FA8&quot;/&gt;&lt;wsp:rsid wsp:val=&quot;50B75A6E&quot;/&gt;&lt;wsp:rsid wsp:val=&quot;50C27880&quot;/&gt;&lt;wsp:rsid wsp:val=&quot;50CC313C&quot;/&gt;&lt;wsp:rsid wsp:val=&quot;50E561EC&quot;/&gt;&lt;wsp:rsid wsp:val=&quot;50EF51C9&quot;/&gt;&lt;wsp:rsid wsp:val=&quot;50FF7E74&quot;/&gt;&lt;wsp:rsid wsp:val=&quot;511526F3&quot;/&gt;&lt;wsp:rsid wsp:val=&quot;51594CA5&quot;/&gt;&lt;wsp:rsid wsp:val=&quot;517452DB&quot;/&gt;&lt;wsp:rsid wsp:val=&quot;519708DB&quot;/&gt;&lt;wsp:rsid wsp:val=&quot;51AB4928&quot;/&gt;&lt;wsp:rsid wsp:val=&quot;51D07439&quot;/&gt;&lt;wsp:rsid wsp:val=&quot;51D36AD4&quot;/&gt;&lt;wsp:rsid wsp:val=&quot;520D2D4D&quot;/&gt;&lt;wsp:rsid wsp:val=&quot;523F273C&quot;/&gt;&lt;wsp:rsid wsp:val=&quot;5257071E&quot;/&gt;&lt;wsp:rsid wsp:val=&quot;5268410B&quot;/&gt;&lt;wsp:rsid wsp:val=&quot;52A67B13&quot;/&gt;&lt;wsp:rsid wsp:val=&quot;52AF440E&quot;/&gt;&lt;wsp:rsid wsp:val=&quot;52BF44EE&quot;/&gt;&lt;wsp:rsid wsp:val=&quot;52CE4793&quot;/&gt;&lt;wsp:rsid wsp:val=&quot;52D132E1&quot;/&gt;&lt;wsp:rsid wsp:val=&quot;52D976E2&quot;/&gt;&lt;wsp:rsid wsp:val=&quot;52E27D55&quot;/&gt;&lt;wsp:rsid wsp:val=&quot;53204BBC&quot;/&gt;&lt;wsp:rsid wsp:val=&quot;53316718&quot;/&gt;&lt;wsp:rsid wsp:val=&quot;53401963&quot;/&gt;&lt;wsp:rsid wsp:val=&quot;53467707&quot;/&gt;&lt;wsp:rsid wsp:val=&quot;534F0B98&quot;/&gt;&lt;wsp:rsid wsp:val=&quot;535D4334&quot;/&gt;&lt;wsp:rsid wsp:val=&quot;53624B68&quot;/&gt;&lt;wsp:rsid wsp:val=&quot;537A2B9B&quot;/&gt;&lt;wsp:rsid wsp:val=&quot;539F7A99&quot;/&gt;&lt;wsp:rsid wsp:val=&quot;53B12142&quot;/&gt;&lt;wsp:rsid wsp:val=&quot;53B80C21&quot;/&gt;&lt;wsp:rsid wsp:val=&quot;53F26A5C&quot;/&gt;&lt;wsp:rsid wsp:val=&quot;54177340&quot;/&gt;&lt;wsp:rsid wsp:val=&quot;54204A87&quot;/&gt;&lt;wsp:rsid wsp:val=&quot;54264AF8&quot;/&gt;&lt;wsp:rsid wsp:val=&quot;54505B4E&quot;/&gt;&lt;wsp:rsid wsp:val=&quot;545633E6&quot;/&gt;&lt;wsp:rsid wsp:val=&quot;54743A4E&quot;/&gt;&lt;wsp:rsid wsp:val=&quot;54772EEC&quot;/&gt;&lt;wsp:rsid wsp:val=&quot;54B45049&quot;/&gt;&lt;wsp:rsid wsp:val=&quot;54B55E90&quot;/&gt;&lt;wsp:rsid wsp:val=&quot;54ED3D5F&quot;/&gt;&lt;wsp:rsid wsp:val=&quot;550F2946&quot;/&gt;&lt;wsp:rsid wsp:val=&quot;55351DD9&quot;/&gt;&lt;wsp:rsid wsp:val=&quot;553D6CE4&quot;/&gt;&lt;wsp:rsid wsp:val=&quot;555F11ED&quot;/&gt;&lt;wsp:rsid wsp:val=&quot;556A2638&quot;/&gt;&lt;wsp:rsid wsp:val=&quot;557026A6&quot;/&gt;&lt;wsp:rsid wsp:val=&quot;55C5656D&quot;/&gt;&lt;wsp:rsid wsp:val=&quot;560A4CF4&quot;/&gt;&lt;wsp:rsid wsp:val=&quot;5612022F&quot;/&gt;&lt;wsp:rsid wsp:val=&quot;56421B90&quot;/&gt;&lt;wsp:rsid wsp:val=&quot;56472402&quot;/&gt;&lt;wsp:rsid wsp:val=&quot;56666951&quot;/&gt;&lt;wsp:rsid wsp:val=&quot;568A5EF7&quot;/&gt;&lt;wsp:rsid wsp:val=&quot;569A01F5&quot;/&gt;&lt;wsp:rsid wsp:val=&quot;57045863&quot;/&gt;&lt;wsp:rsid wsp:val=&quot;5705360F&quot;/&gt;&lt;wsp:rsid wsp:val=&quot;570D094F&quot;/&gt;&lt;wsp:rsid wsp:val=&quot;57701CE1&quot;/&gt;&lt;wsp:rsid wsp:val=&quot;57742D5B&quot;/&gt;&lt;wsp:rsid wsp:val=&quot;5784353B&quot;/&gt;&lt;wsp:rsid wsp:val=&quot;57A65469&quot;/&gt;&lt;wsp:rsid wsp:val=&quot;57BB0AD9&quot;/&gt;&lt;wsp:rsid wsp:val=&quot;57E116D3&quot;/&gt;&lt;wsp:rsid wsp:val=&quot;57EC7BE9&quot;/&gt;&lt;wsp:rsid wsp:val=&quot;57F205FF&quot;/&gt;&lt;wsp:rsid wsp:val=&quot;57FB1A0A&quot;/&gt;&lt;wsp:rsid wsp:val=&quot;5802359C&quot;/&gt;&lt;wsp:rsid wsp:val=&quot;580A0C13&quot;/&gt;&lt;wsp:rsid wsp:val=&quot;580D58C7&quot;/&gt;&lt;wsp:rsid wsp:val=&quot;582746B4&quot;/&gt;&lt;wsp:rsid wsp:val=&quot;5833406E&quot;/&gt;&lt;wsp:rsid wsp:val=&quot;583E7E3D&quot;/&gt;&lt;wsp:rsid wsp:val=&quot;58776D73&quot;/&gt;&lt;wsp:rsid wsp:val=&quot;588D2C31&quot;/&gt;&lt;wsp:rsid wsp:val=&quot;589B43DD&quot;/&gt;&lt;wsp:rsid wsp:val=&quot;58AD6B4D&quot;/&gt;&lt;wsp:rsid wsp:val=&quot;58BB1973&quot;/&gt;&lt;wsp:rsid wsp:val=&quot;58BC5E1B&quot;/&gt;&lt;wsp:rsid wsp:val=&quot;58C16BCA&quot;/&gt;&lt;wsp:rsid wsp:val=&quot;58EF0F63&quot;/&gt;&lt;wsp:rsid wsp:val=&quot;58F06E3A&quot;/&gt;&lt;wsp:rsid wsp:val=&quot;58FF77DA&quot;/&gt;&lt;wsp:rsid wsp:val=&quot;59222399&quot;/&gt;&lt;wsp:rsid wsp:val=&quot;592655FD&quot;/&gt;&lt;wsp:rsid wsp:val=&quot;593E53C7&quot;/&gt;&lt;wsp:rsid wsp:val=&quot;594012D1&quot;/&gt;&lt;wsp:rsid wsp:val=&quot;59592AF7&quot;/&gt;&lt;wsp:rsid wsp:val=&quot;596F5B63&quot;/&gt;&lt;wsp:rsid wsp:val=&quot;59844B60&quot;/&gt;&lt;wsp:rsid wsp:val=&quot;59A91C39&quot;/&gt;&lt;wsp:rsid wsp:val=&quot;59CF1D3D&quot;/&gt;&lt;wsp:rsid wsp:val=&quot;59D96B24&quot;/&gt;&lt;wsp:rsid wsp:val=&quot;59F131E8&quot;/&gt;&lt;wsp:rsid wsp:val=&quot;59FA5681&quot;/&gt;&lt;wsp:rsid wsp:val=&quot;5A1C0D57&quot;/&gt;&lt;wsp:rsid wsp:val=&quot;5A2055FA&quot;/&gt;&lt;wsp:rsid wsp:val=&quot;5A4A1383&quot;/&gt;&lt;wsp:rsid wsp:val=&quot;5AAF0003&quot;/&gt;&lt;wsp:rsid wsp:val=&quot;5AC11AB0&quot;/&gt;&lt;wsp:rsid wsp:val=&quot;5AEA4FAB&quot;/&gt;&lt;wsp:rsid wsp:val=&quot;5AF4385A&quot;/&gt;&lt;wsp:rsid wsp:val=&quot;5AF64539&quot;/&gt;&lt;wsp:rsid wsp:val=&quot;5AFD2EA9&quot;/&gt;&lt;wsp:rsid wsp:val=&quot;5B1D0CF1&quot;/&gt;&lt;wsp:rsid wsp:val=&quot;5B3148A8&quot;/&gt;&lt;wsp:rsid wsp:val=&quot;5B353824&quot;/&gt;&lt;wsp:rsid wsp:val=&quot;5B390C8A&quot;/&gt;&lt;wsp:rsid wsp:val=&quot;5B606048&quot;/&gt;&lt;wsp:rsid wsp:val=&quot;5B6323B3&quot;/&gt;&lt;wsp:rsid wsp:val=&quot;5B7F3653&quot;/&gt;&lt;wsp:rsid wsp:val=&quot;5B8706B2&quot;/&gt;&lt;wsp:rsid wsp:val=&quot;5B95566A&quot;/&gt;&lt;wsp:rsid wsp:val=&quot;5BA57DC1&quot;/&gt;&lt;wsp:rsid wsp:val=&quot;5BB278B3&quot;/&gt;&lt;wsp:rsid wsp:val=&quot;5BC67C3D&quot;/&gt;&lt;wsp:rsid wsp:val=&quot;5BCD6484&quot;/&gt;&lt;wsp:rsid wsp:val=&quot;5BDB2C5E&quot;/&gt;&lt;wsp:rsid wsp:val=&quot;5BF5158C&quot;/&gt;&lt;wsp:rsid wsp:val=&quot;5BF96B26&quot;/&gt;&lt;wsp:rsid wsp:val=&quot;5C1E4E12&quot;/&gt;&lt;wsp:rsid wsp:val=&quot;5C264FCE&quot;/&gt;&lt;wsp:rsid wsp:val=&quot;5C620D5C&quot;/&gt;&lt;wsp:rsid wsp:val=&quot;5C692678&quot;/&gt;&lt;wsp:rsid wsp:val=&quot;5C6E5321&quot;/&gt;&lt;wsp:rsid wsp:val=&quot;5C6E6FB0&quot;/&gt;&lt;wsp:rsid wsp:val=&quot;5C8079BB&quot;/&gt;&lt;wsp:rsid wsp:val=&quot;5C825C30&quot;/&gt;&lt;wsp:rsid wsp:val=&quot;5C840D3A&quot;/&gt;&lt;wsp:rsid wsp:val=&quot;5C8D5E95&quot;/&gt;&lt;wsp:rsid wsp:val=&quot;5CBC6CDE&quot;/&gt;&lt;wsp:rsid wsp:val=&quot;5CDA26BC&quot;/&gt;&lt;wsp:rsid wsp:val=&quot;5CE74C7F&quot;/&gt;&lt;wsp:rsid wsp:val=&quot;5CF224BA&quot;/&gt;&lt;wsp:rsid wsp:val=&quot;5D1771B2&quot;/&gt;&lt;wsp:rsid wsp:val=&quot;5D287851&quot;/&gt;&lt;wsp:rsid wsp:val=&quot;5D393E0A&quot;/&gt;&lt;wsp:rsid wsp:val=&quot;5D590B65&quot;/&gt;&lt;wsp:rsid wsp:val=&quot;5DAB02C3&quot;/&gt;&lt;wsp:rsid wsp:val=&quot;5DE56B63&quot;/&gt;&lt;wsp:rsid wsp:val=&quot;5E0510EF&quot;/&gt;&lt;wsp:rsid wsp:val=&quot;5E293FC2&quot;/&gt;&lt;wsp:rsid wsp:val=&quot;5E347196&quot;/&gt;&lt;wsp:rsid wsp:val=&quot;5E3D30B0&quot;/&gt;&lt;wsp:rsid wsp:val=&quot;5E57036E&quot;/&gt;&lt;wsp:rsid wsp:val=&quot;5E6368FD&quot;/&gt;&lt;wsp:rsid wsp:val=&quot;5E666A3F&quot;/&gt;&lt;wsp:rsid wsp:val=&quot;5E702C84&quot;/&gt;&lt;wsp:rsid wsp:val=&quot;5E9630AB&quot;/&gt;&lt;wsp:rsid wsp:val=&quot;5E9B4927&quot;/&gt;&lt;wsp:rsid wsp:val=&quot;5E9C28C8&quot;/&gt;&lt;wsp:rsid wsp:val=&quot;5EAE0FD2&quot;/&gt;&lt;wsp:rsid wsp:val=&quot;5EBA5034&quot;/&gt;&lt;wsp:rsid wsp:val=&quot;5EC21422&quot;/&gt;&lt;wsp:rsid wsp:val=&quot;5ED0368B&quot;/&gt;&lt;wsp:rsid wsp:val=&quot;5EDF0139&quot;/&gt;&lt;wsp:rsid wsp:val=&quot;5EF83C50&quot;/&gt;&lt;wsp:rsid wsp:val=&quot;5F067FCF&quot;/&gt;&lt;wsp:rsid wsp:val=&quot;5F1D7064&quot;/&gt;&lt;wsp:rsid wsp:val=&quot;5F2A1C14&quot;/&gt;&lt;wsp:rsid wsp:val=&quot;5F444712&quot;/&gt;&lt;wsp:rsid wsp:val=&quot;5F4E4C4C&quot;/&gt;&lt;wsp:rsid wsp:val=&quot;5F7043FE&quot;/&gt;&lt;wsp:rsid wsp:val=&quot;5F710A7F&quot;/&gt;&lt;wsp:rsid wsp:val=&quot;5F780D4D&quot;/&gt;&lt;wsp:rsid wsp:val=&quot;5F8B4429&quot;/&gt;&lt;wsp:rsid wsp:val=&quot;5FBB5C02&quot;/&gt;&lt;wsp:rsid wsp:val=&quot;5FBF25E4&quot;/&gt;&lt;wsp:rsid wsp:val=&quot;5FC375E0&quot;/&gt;&lt;wsp:rsid wsp:val=&quot;5FCA599E&quot;/&gt;&lt;wsp:rsid wsp:val=&quot;5FE912CE&quot;/&gt;&lt;wsp:rsid wsp:val=&quot;5FEF3AD8&quot;/&gt;&lt;wsp:rsid wsp:val=&quot;600A4169&quot;/&gt;&lt;wsp:rsid wsp:val=&quot;60223B74&quot;/&gt;&lt;wsp:rsid wsp:val=&quot;60533D6B&quot;/&gt;&lt;wsp:rsid wsp:val=&quot;60620E30&quot;/&gt;&lt;wsp:rsid wsp:val=&quot;606547A6&quot;/&gt;&lt;wsp:rsid wsp:val=&quot;607064A8&quot;/&gt;&lt;wsp:rsid wsp:val=&quot;6089643B&quot;/&gt;&lt;wsp:rsid wsp:val=&quot;608B3518&quot;/&gt;&lt;wsp:rsid wsp:val=&quot;60B613DE&quot;/&gt;&lt;wsp:rsid wsp:val=&quot;60B8317C&quot;/&gt;&lt;wsp:rsid wsp:val=&quot;60BD49ED&quot;/&gt;&lt;wsp:rsid wsp:val=&quot;6119270A&quot;/&gt;&lt;wsp:rsid wsp:val=&quot;612D4ADF&quot;/&gt;&lt;wsp:rsid wsp:val=&quot;61333C09&quot;/&gt;&lt;wsp:rsid wsp:val=&quot;613563AB&quot;/&gt;&lt;wsp:rsid wsp:val=&quot;615B484C&quot;/&gt;&lt;wsp:rsid wsp:val=&quot;617F7063&quot;/&gt;&lt;wsp:rsid wsp:val=&quot;61885B3F&quot;/&gt;&lt;wsp:rsid wsp:val=&quot;61A87F74&quot;/&gt;&lt;wsp:rsid wsp:val=&quot;61BA4B62&quot;/&gt;&lt;wsp:rsid wsp:val=&quot;61BD1D44&quot;/&gt;&lt;wsp:rsid wsp:val=&quot;61DB12AA&quot;/&gt;&lt;wsp:rsid wsp:val=&quot;61DB4514&quot;/&gt;&lt;wsp:rsid wsp:val=&quot;62184073&quot;/&gt;&lt;wsp:rsid wsp:val=&quot;62653E93&quot;/&gt;&lt;wsp:rsid wsp:val=&quot;627F491E&quot;/&gt;&lt;wsp:rsid wsp:val=&quot;62975385&quot;/&gt;&lt;wsp:rsid wsp:val=&quot;630E29F6&quot;/&gt;&lt;wsp:rsid wsp:val=&quot;6311379D&quot;/&gt;&lt;wsp:rsid wsp:val=&quot;63267D30&quot;/&gt;&lt;wsp:rsid wsp:val=&quot;63291654&quot;/&gt;&lt;wsp:rsid wsp:val=&quot;632B44B3&quot;/&gt;&lt;wsp:rsid wsp:val=&quot;635C4DD4&quot;/&gt;&lt;wsp:rsid wsp:val=&quot;635F619D&quot;/&gt;&lt;wsp:rsid wsp:val=&quot;63A91A4E&quot;/&gt;&lt;wsp:rsid wsp:val=&quot;63A920F1&quot;/&gt;&lt;wsp:rsid wsp:val=&quot;63C52167&quot;/&gt;&lt;wsp:rsid wsp:val=&quot;63C61140&quot;/&gt;&lt;wsp:rsid wsp:val=&quot;63E3740A&quot;/&gt;&lt;wsp:rsid wsp:val=&quot;63E539DF&quot;/&gt;&lt;wsp:rsid wsp:val=&quot;63EA2F53&quot;/&gt;&lt;wsp:rsid wsp:val=&quot;64347118&quot;/&gt;&lt;wsp:rsid wsp:val=&quot;645925C1&quot;/&gt;&lt;wsp:rsid wsp:val=&quot;64925BC1&quot;/&gt;&lt;wsp:rsid wsp:val=&quot;64BD21EB&quot;/&gt;&lt;wsp:rsid wsp:val=&quot;64BD3864&quot;/&gt;&lt;wsp:rsid wsp:val=&quot;64E05334&quot;/&gt;&lt;wsp:rsid wsp:val=&quot;64E24779&quot;/&gt;&lt;wsp:rsid wsp:val=&quot;64FF31EE&quot;/&gt;&lt;wsp:rsid wsp:val=&quot;650712E0&quot;/&gt;&lt;wsp:rsid wsp:val=&quot;654357CA&quot;/&gt;&lt;wsp:rsid wsp:val=&quot;654472AC&quot;/&gt;&lt;wsp:rsid wsp:val=&quot;654D6C15&quot;/&gt;&lt;wsp:rsid wsp:val=&quot;654E1EB3&quot;/&gt;&lt;wsp:rsid wsp:val=&quot;655C5F60&quot;/&gt;&lt;wsp:rsid wsp:val=&quot;65667912&quot;/&gt;&lt;wsp:rsid wsp:val=&quot;656D4319&quot;/&gt;&lt;wsp:rsid wsp:val=&quot;6575573F&quot;/&gt;&lt;wsp:rsid wsp:val=&quot;65912AED&quot;/&gt;&lt;wsp:rsid wsp:val=&quot;65A25187&quot;/&gt;&lt;wsp:rsid wsp:val=&quot;65B87C4A&quot;/&gt;&lt;wsp:rsid wsp:val=&quot;65CF5A84&quot;/&gt;&lt;wsp:rsid wsp:val=&quot;65E72673&quot;/&gt;&lt;wsp:rsid wsp:val=&quot;66434F99&quot;/&gt;&lt;wsp:rsid wsp:val=&quot;666E744C&quot;/&gt;&lt;wsp:rsid wsp:val=&quot;66757B54&quot;/&gt;&lt;wsp:rsid wsp:val=&quot;667A3EC1&quot;/&gt;&lt;wsp:rsid wsp:val=&quot;66B172FF&quot;/&gt;&lt;wsp:rsid wsp:val=&quot;66C24222&quot;/&gt;&lt;wsp:rsid wsp:val=&quot;66EE57BF&quot;/&gt;&lt;wsp:rsid wsp:val=&quot;66F9215B&quot;/&gt;&lt;wsp:rsid wsp:val=&quot;67256437&quot;/&gt;&lt;wsp:rsid wsp:val=&quot;67354752&quot;/&gt;&lt;wsp:rsid wsp:val=&quot;6759547F&quot;/&gt;&lt;wsp:rsid wsp:val=&quot;67813D9A&quot;/&gt;&lt;wsp:rsid wsp:val=&quot;67926558&quot;/&gt;&lt;wsp:rsid wsp:val=&quot;67945EE4&quot;/&gt;&lt;wsp:rsid wsp:val=&quot;67A35A87&quot;/&gt;&lt;wsp:rsid wsp:val=&quot;67D70CBC&quot;/&gt;&lt;wsp:rsid wsp:val=&quot;67E0009B&quot;/&gt;&lt;wsp:rsid wsp:val=&quot;680D0927&quot;/&gt;&lt;wsp:rsid wsp:val=&quot;680F5930&quot;/&gt;&lt;wsp:rsid wsp:val=&quot;681704ED&quot;/&gt;&lt;wsp:rsid wsp:val=&quot;683A0C06&quot;/&gt;&lt;wsp:rsid wsp:val=&quot;68664706&quot;/&gt;&lt;wsp:rsid wsp:val=&quot;68774AEE&quot;/&gt;&lt;wsp:rsid wsp:val=&quot;687E704C&quot;/&gt;&lt;wsp:rsid wsp:val=&quot;68893BCD&quot;/&gt;&lt;wsp:rsid wsp:val=&quot;688D501B&quot;/&gt;&lt;wsp:rsid wsp:val=&quot;6900327E&quot;/&gt;&lt;wsp:rsid wsp:val=&quot;69366A3D&quot;/&gt;&lt;wsp:rsid wsp:val=&quot;69613621&quot;/&gt;&lt;wsp:rsid wsp:val=&quot;696E2C94&quot;/&gt;&lt;wsp:rsid wsp:val=&quot;6982639A&quot;/&gt;&lt;wsp:rsid wsp:val=&quot;69957638&quot;/&gt;&lt;wsp:rsid wsp:val=&quot;699C279A&quot;/&gt;&lt;wsp:rsid wsp:val=&quot;69A30758&quot;/&gt;&lt;wsp:rsid wsp:val=&quot;69AD40AA&quot;/&gt;&lt;wsp:rsid wsp:val=&quot;69B14C24&quot;/&gt;&lt;wsp:rsid wsp:val=&quot;69B71201&quot;/&gt;&lt;wsp:rsid wsp:val=&quot;69CB07CB&quot;/&gt;&lt;wsp:rsid wsp:val=&quot;69D756EB&quot;/&gt;&lt;wsp:rsid wsp:val=&quot;69EB3FE6&quot;/&gt;&lt;wsp:rsid wsp:val=&quot;69FB7AAC&quot;/&gt;&lt;wsp:rsid wsp:val=&quot;6A0D1BAE&quot;/&gt;&lt;wsp:rsid wsp:val=&quot;6A167AAB&quot;/&gt;&lt;wsp:rsid wsp:val=&quot;6A2629A7&quot;/&gt;&lt;wsp:rsid wsp:val=&quot;6A2D7FEB&quot;/&gt;&lt;wsp:rsid wsp:val=&quot;6A332AE7&quot;/&gt;&lt;wsp:rsid wsp:val=&quot;6A3860C1&quot;/&gt;&lt;wsp:rsid wsp:val=&quot;6A5467B5&quot;/&gt;&lt;wsp:rsid wsp:val=&quot;6A6D00F1&quot;/&gt;&lt;wsp:rsid wsp:val=&quot;6A777167&quot;/&gt;&lt;wsp:rsid wsp:val=&quot;6A8A2827&quot;/&gt;&lt;wsp:rsid wsp:val=&quot;6A9117B3&quot;/&gt;&lt;wsp:rsid wsp:val=&quot;6AB101F5&quot;/&gt;&lt;wsp:rsid wsp:val=&quot;6AC55968&quot;/&gt;&lt;wsp:rsid wsp:val=&quot;6AEA367C&quot;/&gt;&lt;wsp:rsid wsp:val=&quot;6B1371F3&quot;/&gt;&lt;wsp:rsid wsp:val=&quot;6B223469&quot;/&gt;&lt;wsp:rsid wsp:val=&quot;6B4C09FB&quot;/&gt;&lt;wsp:rsid wsp:val=&quot;6B570201&quot;/&gt;&lt;wsp:rsid wsp:val=&quot;6B8E54A6&quot;/&gt;&lt;wsp:rsid wsp:val=&quot;6BAF2D04&quot;/&gt;&lt;wsp:rsid wsp:val=&quot;6BEA4255&quot;/&gt;&lt;wsp:rsid wsp:val=&quot;6BEB1226&quot;/&gt;&lt;wsp:rsid wsp:val=&quot;6BFF42BB&quot;/&gt;&lt;wsp:rsid wsp:val=&quot;6BFF5D65&quot;/&gt;&lt;wsp:rsid wsp:val=&quot;6C047D50&quot;/&gt;&lt;wsp:rsid wsp:val=&quot;6C0D3505&quot;/&gt;&lt;wsp:rsid wsp:val=&quot;6C0D6F06&quot;/&gt;&lt;wsp:rsid wsp:val=&quot;6C1B2B97&quot;/&gt;&lt;wsp:rsid wsp:val=&quot;6C2728D4&quot;/&gt;&lt;wsp:rsid wsp:val=&quot;6C2A3447&quot;/&gt;&lt;wsp:rsid wsp:val=&quot;6C2F1215&quot;/&gt;&lt;wsp:rsid wsp:val=&quot;6C39511A&quot;/&gt;&lt;wsp:rsid wsp:val=&quot;6C4E3684&quot;/&gt;&lt;wsp:rsid wsp:val=&quot;6C774116&quot;/&gt;&lt;wsp:rsid wsp:val=&quot;6C822CF0&quot;/&gt;&lt;wsp:rsid wsp:val=&quot;6C8C5990&quot;/&gt;&lt;wsp:rsid wsp:val=&quot;6C8D33CD&quot;/&gt;&lt;wsp:rsid wsp:val=&quot;6C9061E3&quot;/&gt;&lt;wsp:rsid wsp:val=&quot;6C943EC3&quot;/&gt;&lt;wsp:rsid wsp:val=&quot;6C9A4A45&quot;/&gt;&lt;wsp:rsid wsp:val=&quot;6CA45133&quot;/&gt;&lt;wsp:rsid wsp:val=&quot;6CAF72A1&quot;/&gt;&lt;wsp:rsid wsp:val=&quot;6CBB04A9&quot;/&gt;&lt;wsp:rsid wsp:val=&quot;6CC23287&quot;/&gt;&lt;wsp:rsid wsp:val=&quot;6CF960CB&quot;/&gt;&lt;wsp:rsid wsp:val=&quot;6D1838BB&quot;/&gt;&lt;wsp:rsid wsp:val=&quot;6D280EDC&quot;/&gt;&lt;wsp:rsid wsp:val=&quot;6D3B4701&quot;/&gt;&lt;wsp:rsid wsp:val=&quot;6D3C4865&quot;/&gt;&lt;wsp:rsid wsp:val=&quot;6D484971&quot;/&gt;&lt;wsp:rsid wsp:val=&quot;6D4D4127&quot;/&gt;&lt;wsp:rsid wsp:val=&quot;6D595BBF&quot;/&gt;&lt;wsp:rsid wsp:val=&quot;6DEA05AF&quot;/&gt;&lt;wsp:rsid wsp:val=&quot;6DEB0BCF&quot;/&gt;&lt;wsp:rsid wsp:val=&quot;6E151906&quot;/&gt;&lt;wsp:rsid wsp:val=&quot;6E7C0354&quot;/&gt;&lt;wsp:rsid wsp:val=&quot;6E7C708C&quot;/&gt;&lt;wsp:rsid wsp:val=&quot;6E840DF5&quot;/&gt;&lt;wsp:rsid wsp:val=&quot;6EC546EB&quot;/&gt;&lt;wsp:rsid wsp:val=&quot;6ED64425&quot;/&gt;&lt;wsp:rsid wsp:val=&quot;6EF10745&quot;/&gt;&lt;wsp:rsid wsp:val=&quot;6EF1374A&quot;/&gt;&lt;wsp:rsid wsp:val=&quot;6F21721C&quot;/&gt;&lt;wsp:rsid wsp:val=&quot;6F6D686D&quot;/&gt;&lt;wsp:rsid wsp:val=&quot;6F71035C&quot;/&gt;&lt;wsp:rsid wsp:val=&quot;6F762656&quot;/&gt;&lt;wsp:rsid wsp:val=&quot;6F83400B&quot;/&gt;&lt;wsp:rsid wsp:val=&quot;6F8F31F4&quot;/&gt;&lt;wsp:rsid wsp:val=&quot;6FBE0D36&quot;/&gt;&lt;wsp:rsid wsp:val=&quot;6FBE4A5B&quot;/&gt;&lt;wsp:rsid wsp:val=&quot;6FE17273&quot;/&gt;&lt;wsp:rsid wsp:val=&quot;6FE41CD0&quot;/&gt;&lt;wsp:rsid wsp:val=&quot;6FF2025E&quot;/&gt;&lt;wsp:rsid wsp:val=&quot;6FF9532A&quot;/&gt;&lt;wsp:rsid wsp:val=&quot;702810B6&quot;/&gt;&lt;wsp:rsid wsp:val=&quot;702C3073&quot;/&gt;&lt;wsp:rsid wsp:val=&quot;702E6DD8&quot;/&gt;&lt;wsp:rsid wsp:val=&quot;7036071F&quot;/&gt;&lt;wsp:rsid wsp:val=&quot;703E3A64&quot;/&gt;&lt;wsp:rsid wsp:val=&quot;704120CB&quot;/&gt;&lt;wsp:rsid wsp:val=&quot;704D2B25&quot;/&gt;&lt;wsp:rsid wsp:val=&quot;7053590D&quot;/&gt;&lt;wsp:rsid wsp:val=&quot;70733B86&quot;/&gt;&lt;wsp:rsid wsp:val=&quot;70B35706&quot;/&gt;&lt;wsp:rsid wsp:val=&quot;70C10801&quot;/&gt;&lt;wsp:rsid wsp:val=&quot;70CB49C9&quot;/&gt;&lt;wsp:rsid wsp:val=&quot;70CE11B6&quot;/&gt;&lt;wsp:rsid wsp:val=&quot;70FE52F2&quot;/&gt;&lt;wsp:rsid wsp:val=&quot;70FF3626&quot;/&gt;&lt;wsp:rsid wsp:val=&quot;71421431&quot;/&gt;&lt;wsp:rsid wsp:val=&quot;7161524A&quot;/&gt;&lt;wsp:rsid wsp:val=&quot;71786F7B&quot;/&gt;&lt;wsp:rsid wsp:val=&quot;718A1523&quot;/&gt;&lt;wsp:rsid wsp:val=&quot;71B53056&quot;/&gt;&lt;wsp:rsid wsp:val=&quot;71C76A67&quot;/&gt;&lt;wsp:rsid wsp:val=&quot;71F22688&quot;/&gt;&lt;wsp:rsid wsp:val=&quot;72111974&quot;/&gt;&lt;wsp:rsid wsp:val=&quot;7230104F&quot;/&gt;&lt;wsp:rsid wsp:val=&quot;72353634&quot;/&gt;&lt;wsp:rsid wsp:val=&quot;72597A29&quot;/&gt;&lt;wsp:rsid wsp:val=&quot;725A105E&quot;/&gt;&lt;wsp:rsid wsp:val=&quot;726A08D6&quot;/&gt;&lt;wsp:rsid wsp:val=&quot;72841C5F&quot;/&gt;&lt;wsp:rsid wsp:val=&quot;728B594B&quot;/&gt;&lt;wsp:rsid wsp:val=&quot;72B75429&quot;/&gt;&lt;wsp:rsid wsp:val=&quot;72BA71BC&quot;/&gt;&lt;wsp:rsid wsp:val=&quot;72BF3E4D&quot;/&gt;&lt;wsp:rsid wsp:val=&quot;72CD0D98&quot;/&gt;&lt;wsp:rsid wsp:val=&quot;72E05421&quot;/&gt;&lt;wsp:rsid wsp:val=&quot;72E84E52&quot;/&gt;&lt;wsp:rsid wsp:val=&quot;72F41FCA&quot;/&gt;&lt;wsp:rsid wsp:val=&quot;731C4DAA&quot;/&gt;&lt;wsp:rsid wsp:val=&quot;733937FD&quot;/&gt;&lt;wsp:rsid wsp:val=&quot;73464BAC&quot;/&gt;&lt;wsp:rsid wsp:val=&quot;7357313A&quot;/&gt;&lt;wsp:rsid wsp:val=&quot;735F3CE7&quot;/&gt;&lt;wsp:rsid wsp:val=&quot;73751C90&quot;/&gt;&lt;wsp:rsid wsp:val=&quot;738C4C98&quot;/&gt;&lt;wsp:rsid wsp:val=&quot;738D3233&quot;/&gt;&lt;wsp:rsid wsp:val=&quot;73BB2087&quot;/&gt;&lt;wsp:rsid wsp:val=&quot;73C9322C&quot;/&gt;&lt;wsp:rsid wsp:val=&quot;73D057CC&quot;/&gt;&lt;wsp:rsid wsp:val=&quot;73D40642&quot;/&gt;&lt;wsp:rsid wsp:val=&quot;7433341C&quot;/&gt;&lt;wsp:rsid wsp:val=&quot;743B25E0&quot;/&gt;&lt;wsp:rsid wsp:val=&quot;74501315&quot;/&gt;&lt;wsp:rsid wsp:val=&quot;745032F1&quot;/&gt;&lt;wsp:rsid wsp:val=&quot;74635EDF&quot;/&gt;&lt;wsp:rsid wsp:val=&quot;748129B0&quot;/&gt;&lt;wsp:rsid wsp:val=&quot;74971A01&quot;/&gt;&lt;wsp:rsid wsp:val=&quot;74A4449E&quot;/&gt;&lt;wsp:rsid wsp:val=&quot;74B62955&quot;/&gt;&lt;wsp:rsid wsp:val=&quot;74C2592F&quot;/&gt;&lt;wsp:rsid wsp:val=&quot;74C27966&quot;/&gt;&lt;wsp:rsid wsp:val=&quot;74E811DA&quot;/&gt;&lt;wsp:rsid wsp:val=&quot;74F2321A&quot;/&gt;&lt;wsp:rsid wsp:val=&quot;7502760B&quot;/&gt;&lt;wsp:rsid wsp:val=&quot;750A1664&quot;/&gt;&lt;wsp:rsid wsp:val=&quot;75230514&quot;/&gt;&lt;wsp:rsid wsp:val=&quot;752F2B66&quot;/&gt;&lt;wsp:rsid wsp:val=&quot;753A0189&quot;/&gt;&lt;wsp:rsid wsp:val=&quot;753D271B&quot;/&gt;&lt;wsp:rsid wsp:val=&quot;754A70E4&quot;/&gt;&lt;wsp:rsid wsp:val=&quot;75643DD7&quot;/&gt;&lt;wsp:rsid wsp:val=&quot;756F21E3&quot;/&gt;&lt;wsp:rsid wsp:val=&quot;759D44AE&quot;/&gt;&lt;wsp:rsid wsp:val=&quot;75A05534&quot;/&gt;&lt;wsp:rsid wsp:val=&quot;75C01803&quot;/&gt;&lt;wsp:rsid wsp:val=&quot;75C4466C&quot;/&gt;&lt;wsp:rsid wsp:val=&quot;75E70533&quot;/&gt;&lt;wsp:rsid wsp:val=&quot;75FE28F5&quot;/&gt;&lt;wsp:rsid wsp:val=&quot;761334F2&quot;/&gt;&lt;wsp:rsid wsp:val=&quot;761840A0&quot;/&gt;&lt;wsp:rsid wsp:val=&quot;761D5980&quot;/&gt;&lt;wsp:rsid wsp:val=&quot;763A400B&quot;/&gt;&lt;wsp:rsid wsp:val=&quot;763C6284&quot;/&gt;&lt;wsp:rsid wsp:val=&quot;763F4047&quot;/&gt;&lt;wsp:rsid wsp:val=&quot;7646015A&quot;/&gt;&lt;wsp:rsid wsp:val=&quot;764B5D6E&quot;/&gt;&lt;wsp:rsid wsp:val=&quot;766151C7&quot;/&gt;&lt;wsp:rsid wsp:val=&quot;767C1AC2&quot;/&gt;&lt;wsp:rsid wsp:val=&quot;768C5F53&quot;/&gt;&lt;wsp:rsid wsp:val=&quot;76C631B4&quot;/&gt;&lt;wsp:rsid wsp:val=&quot;76DC4CC6&quot;/&gt;&lt;wsp:rsid wsp:val=&quot;76E60A66&quot;/&gt;&lt;wsp:rsid wsp:val=&quot;7700343E&quot;/&gt;&lt;wsp:rsid wsp:val=&quot;770A2B1C&quot;/&gt;&lt;wsp:rsid wsp:val=&quot;77147B5F&quot;/&gt;&lt;wsp:rsid wsp:val=&quot;77374B8E&quot;/&gt;&lt;wsp:rsid wsp:val=&quot;77501D85&quot;/&gt;&lt;wsp:rsid wsp:val=&quot;775F7AE1&quot;/&gt;&lt;wsp:rsid wsp:val=&quot;776270D4&quot;/&gt;&lt;wsp:rsid wsp:val=&quot;777A5FE9&quot;/&gt;&lt;wsp:rsid wsp:val=&quot;7785795C&quot;/&gt;&lt;wsp:rsid wsp:val=&quot;778E51A6&quot;/&gt;&lt;wsp:rsid wsp:val=&quot;779E6716&quot;/&gt;&lt;wsp:rsid wsp:val=&quot;77A90FB3&quot;/&gt;&lt;wsp:rsid wsp:val=&quot;77BA3971&quot;/&gt;&lt;wsp:rsid wsp:val=&quot;77D64857&quot;/&gt;&lt;wsp:rsid wsp:val=&quot;77D96724&quot;/&gt;&lt;wsp:rsid wsp:val=&quot;78017F77&quot;/&gt;&lt;wsp:rsid wsp:val=&quot;7851034D&quot;/&gt;&lt;wsp:rsid wsp:val=&quot;7877640B&quot;/&gt;&lt;wsp:rsid wsp:val=&quot;787B5394&quot;/&gt;&lt;wsp:rsid wsp:val=&quot;78860C41&quot;/&gt;&lt;wsp:rsid wsp:val=&quot;789D02F7&quot;/&gt;&lt;wsp:rsid wsp:val=&quot;78A221E0&quot;/&gt;&lt;wsp:rsid wsp:val=&quot;78CD15B5&quot;/&gt;&lt;wsp:rsid wsp:val=&quot;78D5459F&quot;/&gt;&lt;wsp:rsid wsp:val=&quot;78DD6192&quot;/&gt;&lt;wsp:rsid wsp:val=&quot;78F01FE6&quot;/&gt;&lt;wsp:rsid wsp:val=&quot;79194B33&quot;/&gt;&lt;wsp:rsid wsp:val=&quot;791F6322&quot;/&gt;&lt;wsp:rsid wsp:val=&quot;792C563A&quot;/&gt;&lt;wsp:rsid wsp:val=&quot;79341852&quot;/&gt;&lt;wsp:rsid wsp:val=&quot;79380549&quot;/&gt;&lt;wsp:rsid wsp:val=&quot;793B206E&quot;/&gt;&lt;wsp:rsid wsp:val=&quot;79552A46&quot;/&gt;&lt;wsp:rsid wsp:val=&quot;796F265C&quot;/&gt;&lt;wsp:rsid wsp:val=&quot;797C1682&quot;/&gt;&lt;wsp:rsid wsp:val=&quot;798D171F&quot;/&gt;&lt;wsp:rsid wsp:val=&quot;79946F00&quot;/&gt;&lt;wsp:rsid wsp:val=&quot;79A1140D&quot;/&gt;&lt;wsp:rsid wsp:val=&quot;79B43848&quot;/&gt;&lt;wsp:rsid wsp:val=&quot;79BE32D6&quot;/&gt;&lt;wsp:rsid wsp:val=&quot;79D63757&quot;/&gt;&lt;wsp:rsid wsp:val=&quot;79ED082A&quot;/&gt;&lt;wsp:rsid wsp:val=&quot;7A2920D3&quot;/&gt;&lt;wsp:rsid wsp:val=&quot;7A374FF6&quot;/&gt;&lt;wsp:rsid wsp:val=&quot;7A4E7B54&quot;/&gt;&lt;wsp:rsid wsp:val=&quot;7A592701&quot;/&gt;&lt;wsp:rsid wsp:val=&quot;7AAD64AC&quot;/&gt;&lt;wsp:rsid wsp:val=&quot;7B1D3658&quot;/&gt;&lt;wsp:rsid wsp:val=&quot;7B21328C&quot;/&gt;&lt;wsp:rsid wsp:val=&quot;7B254E2F&quot;/&gt;&lt;wsp:rsid wsp:val=&quot;7B287521&quot;/&gt;&lt;wsp:rsid wsp:val=&quot;7B4B1A98&quot;/&gt;&lt;wsp:rsid wsp:val=&quot;7B6739B1&quot;/&gt;&lt;wsp:rsid wsp:val=&quot;7B7B6496&quot;/&gt;&lt;wsp:rsid wsp:val=&quot;7BAC71CB&quot;/&gt;&lt;wsp:rsid wsp:val=&quot;7BB1041A&quot;/&gt;&lt;wsp:rsid wsp:val=&quot;7BB32D4A&quot;/&gt;&lt;wsp:rsid wsp:val=&quot;7BC5661E&quot;/&gt;&lt;wsp:rsid wsp:val=&quot;7BC90C8C&quot;/&gt;&lt;wsp:rsid wsp:val=&quot;7BD90FB6&quot;/&gt;&lt;wsp:rsid wsp:val=&quot;7C0F6E04&quot;/&gt;&lt;wsp:rsid wsp:val=&quot;7C1D2285&quot;/&gt;&lt;wsp:rsid wsp:val=&quot;7C1E6B1F&quot;/&gt;&lt;wsp:rsid wsp:val=&quot;7C2E1862&quot;/&gt;&lt;wsp:rsid wsp:val=&quot;7C5311F2&quot;/&gt;&lt;wsp:rsid wsp:val=&quot;7C8D4941&quot;/&gt;&lt;wsp:rsid wsp:val=&quot;7CA6590D&quot;/&gt;&lt;wsp:rsid wsp:val=&quot;7CB97BE8&quot;/&gt;&lt;wsp:rsid wsp:val=&quot;7CBB01E8&quot;/&gt;&lt;wsp:rsid wsp:val=&quot;7CBB0C3A&quot;/&gt;&lt;wsp:rsid wsp:val=&quot;7CC2482C&quot;/&gt;&lt;wsp:rsid wsp:val=&quot;7CCC56E8&quot;/&gt;&lt;wsp:rsid wsp:val=&quot;7CCD3BD3&quot;/&gt;&lt;wsp:rsid wsp:val=&quot;7CF95475&quot;/&gt;&lt;wsp:rsid wsp:val=&quot;7D111731&quot;/&gt;&lt;wsp:rsid wsp:val=&quot;7D397EA2&quot;/&gt;&lt;wsp:rsid wsp:val=&quot;7D500432&quot;/&gt;&lt;wsp:rsid wsp:val=&quot;7D605858&quot;/&gt;&lt;wsp:rsid wsp:val=&quot;7D723EBE&quot;/&gt;&lt;wsp:rsid wsp:val=&quot;7D781227&quot;/&gt;&lt;wsp:rsid wsp:val=&quot;7D877D43&quot;/&gt;&lt;wsp:rsid wsp:val=&quot;7D9A6DC0&quot;/&gt;&lt;wsp:rsid wsp:val=&quot;7DB36B97&quot;/&gt;&lt;wsp:rsid wsp:val=&quot;7DC703D9&quot;/&gt;&lt;wsp:rsid wsp:val=&quot;7DDB7DE7&quot;/&gt;&lt;wsp:rsid wsp:val=&quot;7DF4777E&quot;/&gt;&lt;wsp:rsid wsp:val=&quot;7DF876D3&quot;/&gt;&lt;wsp:rsid wsp:val=&quot;7DFE398D&quot;/&gt;&lt;wsp:rsid wsp:val=&quot;7E04242A&quot;/&gt;&lt;wsp:rsid wsp:val=&quot;7E0F558E&quot;/&gt;&lt;wsp:rsid wsp:val=&quot;7E351E0B&quot;/&gt;&lt;wsp:rsid wsp:val=&quot;7E673375&quot;/&gt;&lt;wsp:rsid wsp:val=&quot;7E740161&quot;/&gt;&lt;wsp:rsid wsp:val=&quot;7E7E0887&quot;/&gt;&lt;wsp:rsid wsp:val=&quot;7E8C7AAD&quot;/&gt;&lt;wsp:rsid wsp:val=&quot;7E8E54A5&quot;/&gt;&lt;wsp:rsid wsp:val=&quot;7EA06031&quot;/&gt;&lt;wsp:rsid wsp:val=&quot;7EC160B2&quot;/&gt;&lt;wsp:rsid wsp:val=&quot;7EE25C84&quot;/&gt;&lt;wsp:rsid wsp:val=&quot;7F1C0E2F&quot;/&gt;&lt;wsp:rsid wsp:val=&quot;7F545919&quot;/&gt;&lt;wsp:rsid wsp:val=&quot;7FA06728&quot;/&gt;&lt;wsp:rsid wsp:val=&quot;7FB56836&quot;/&gt;&lt;wsp:rsid wsp:val=&quot;7FF24FD3&quot;/&gt;&lt;wsp:rsid wsp:val=&quot;7FFB3DE3&quot;/&gt;&lt;/wsp:rsids&gt;&lt;/w:docPr&gt;&lt;w:body&gt;&lt;w:p wsp:rsidR=&quot;00000000&quot; wsp:rsidRDefault=&quot;002440D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0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0" chromakey="#FFFFFF" o:title=""/>
                  <o:lock v:ext="edit" aspectratio="t"/>
                  <w10:wrap type="none"/>
                  <w10:anchorlock/>
                </v:shape>
              </w:pict>
            </w:r>
            <w:r>
              <w:rPr>
                <w:rFonts w:ascii="Times New Roman" w:hAnsi="Times New Roman" w:eastAsia="宋体" w:cs="Times New Roman"/>
                <w:color w:val="000000"/>
                <w:sz w:val="24"/>
                <w:szCs w:val="24"/>
              </w:rPr>
              <w:instrText xml:space="preserve">  \* MERGEFORMAT </w:instrText>
            </w:r>
            <w:r>
              <w:rPr>
                <w:rFonts w:ascii="Times New Roman" w:hAnsi="Times New Roman" w:eastAsia="宋体" w:cs="Times New Roman"/>
                <w:color w:val="000000"/>
                <w:sz w:val="24"/>
                <w:szCs w:val="24"/>
              </w:rPr>
              <w:fldChar w:fldCharType="separate"/>
            </w:r>
            <w:r>
              <w:rPr>
                <w:rFonts w:ascii="Times New Roman" w:hAnsi="Times New Roman" w:eastAsia="宋体" w:cs="Times New Roman"/>
                <w:color w:val="000000"/>
                <w:position w:val="-15"/>
                <w:sz w:val="24"/>
                <w:szCs w:val="24"/>
              </w:rPr>
              <w:pict>
                <v:shape id="_x0000_i1031" o:spt="75" type="#_x0000_t75" style="height:23.25pt;width:1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20&quot;/&gt;&lt;w:drawingGridVerticalSpacing w:val=&quot;163&quot;/&gt;&lt;w:displayHorizontalDrawingGridEvery w:val=&quot;2&quot;/&gt;&lt;w:displayVerticalDrawingGridEvery w:val=&quot;2&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7799&quot;/&gt;&lt;wsp:rsid wsp:val=&quot;0003220E&quot;/&gt;&lt;wsp:rsid wsp:val=&quot;00041FC6&quot;/&gt;&lt;wsp:rsid wsp:val=&quot;0005182A&quot;/&gt;&lt;wsp:rsid wsp:val=&quot;00055174&quot;/&gt;&lt;wsp:rsid wsp:val=&quot;00064C91&quot;/&gt;&lt;wsp:rsid wsp:val=&quot;00085AE3&quot;/&gt;&lt;wsp:rsid wsp:val=&quot;00087D37&quot;/&gt;&lt;wsp:rsid wsp:val=&quot;000925F7&quot;/&gt;&lt;wsp:rsid wsp:val=&quot;00096B01&quot;/&gt;&lt;wsp:rsid wsp:val=&quot;000A5613&quot;/&gt;&lt;wsp:rsid wsp:val=&quot;00110596&quot;/&gt;&lt;wsp:rsid wsp:val=&quot;00125609&quot;/&gt;&lt;wsp:rsid wsp:val=&quot;00132FAD&quot;/&gt;&lt;wsp:rsid wsp:val=&quot;001400CC&quot;/&gt;&lt;wsp:rsid wsp:val=&quot;00143CEA&quot;/&gt;&lt;wsp:rsid wsp:val=&quot;00172A27&quot;/&gt;&lt;wsp:rsid wsp:val=&quot;00177A49&quot;/&gt;&lt;wsp:rsid wsp:val=&quot;001926F2&quot;/&gt;&lt;wsp:rsid wsp:val=&quot;001B66BF&quot;/&gt;&lt;wsp:rsid wsp:val=&quot;001C2BD6&quot;/&gt;&lt;wsp:rsid wsp:val=&quot;001C5F3A&quot;/&gt;&lt;wsp:rsid wsp:val=&quot;001D1D04&quot;/&gt;&lt;wsp:rsid wsp:val=&quot;001F4C9A&quot;/&gt;&lt;wsp:rsid wsp:val=&quot;00203AC0&quot;/&gt;&lt;wsp:rsid wsp:val=&quot;00236A52&quot;/&gt;&lt;wsp:rsid wsp:val=&quot;002440DE&quot;/&gt;&lt;wsp:rsid wsp:val=&quot;00266BC0&quot;/&gt;&lt;wsp:rsid wsp:val=&quot;00284F82&quot;/&gt;&lt;wsp:rsid wsp:val=&quot;00290962&quot;/&gt;&lt;wsp:rsid wsp:val=&quot;002914D7&quot;/&gt;&lt;wsp:rsid wsp:val=&quot;002A2E8C&quot;/&gt;&lt;wsp:rsid wsp:val=&quot;002D00AD&quot;/&gt;&lt;wsp:rsid wsp:val=&quot;00325CF4&quot;/&gt;&lt;wsp:rsid wsp:val=&quot;00332EC7&quot;/&gt;&lt;wsp:rsid wsp:val=&quot;00342E2A&quot;/&gt;&lt;wsp:rsid wsp:val=&quot;00384BE1&quot;/&gt;&lt;wsp:rsid wsp:val=&quot;003912CE&quot;/&gt;&lt;wsp:rsid wsp:val=&quot;00391FF3&quot;/&gt;&lt;wsp:rsid wsp:val=&quot;003A2A37&quot;/&gt;&lt;wsp:rsid wsp:val=&quot;003C5A93&quot;/&gt;&lt;wsp:rsid wsp:val=&quot;003D3AD3&quot;/&gt;&lt;wsp:rsid wsp:val=&quot;003F2C2E&quot;/&gt;&lt;wsp:rsid wsp:val=&quot;0040616E&quot;/&gt;&lt;wsp:rsid wsp:val=&quot;0044301E&quot;/&gt;&lt;wsp:rsid wsp:val=&quot;00446169&quot;/&gt;&lt;wsp:rsid wsp:val=&quot;00447EEC&quot;/&gt;&lt;wsp:rsid wsp:val=&quot;00465DF1&quot;/&gt;&lt;wsp:rsid wsp:val=&quot;00476680&quot;/&gt;&lt;wsp:rsid wsp:val=&quot;004C1271&quot;/&gt;&lt;wsp:rsid wsp:val=&quot;004E7680&quot;/&gt;&lt;wsp:rsid wsp:val=&quot;004E7A9C&quot;/&gt;&lt;wsp:rsid wsp:val=&quot;004F232C&quot;/&gt;&lt;wsp:rsid wsp:val=&quot;004F7FF9&quot;/&gt;&lt;wsp:rsid wsp:val=&quot;00500413&quot;/&gt;&lt;wsp:rsid wsp:val=&quot;00511D8F&quot;/&gt;&lt;wsp:rsid wsp:val=&quot;005140F2&quot;/&gt;&lt;wsp:rsid wsp:val=&quot;00536147&quot;/&gt;&lt;wsp:rsid wsp:val=&quot;00583612&quot;/&gt;&lt;wsp:rsid wsp:val=&quot;005A0F3F&quot;/&gt;&lt;wsp:rsid wsp:val=&quot;005A72D5&quot;/&gt;&lt;wsp:rsid wsp:val=&quot;005C3305&quot;/&gt;&lt;wsp:rsid wsp:val=&quot;005D42EF&quot;/&gt;&lt;wsp:rsid wsp:val=&quot;005E0F98&quot;/&gt;&lt;wsp:rsid wsp:val=&quot;005E11F9&quot;/&gt;&lt;wsp:rsid wsp:val=&quot;005F0BF5&quot;/&gt;&lt;wsp:rsid wsp:val=&quot;005F7CE0&quot;/&gt;&lt;wsp:rsid wsp:val=&quot;00606A27&quot;/&gt;&lt;wsp:rsid wsp:val=&quot;00625580&quot;/&gt;&lt;wsp:rsid wsp:val=&quot;00627FD1&quot;/&gt;&lt;wsp:rsid wsp:val=&quot;006374BE&quot;/&gt;&lt;wsp:rsid wsp:val=&quot;00642551&quot;/&gt;&lt;wsp:rsid wsp:val=&quot;006471C6&quot;/&gt;&lt;wsp:rsid wsp:val=&quot;006627A4&quot;/&gt;&lt;wsp:rsid wsp:val=&quot;006713C0&quot;/&gt;&lt;wsp:rsid wsp:val=&quot;0068594A&quot;/&gt;&lt;wsp:rsid wsp:val=&quot;006A4BCE&quot;/&gt;&lt;wsp:rsid wsp:val=&quot;006C5708&quot;/&gt;&lt;wsp:rsid wsp:val=&quot;006D418C&quot;/&gt;&lt;wsp:rsid wsp:val=&quot;006E4591&quot;/&gt;&lt;wsp:rsid wsp:val=&quot;00713C20&quot;/&gt;&lt;wsp:rsid wsp:val=&quot;00747650&quot;/&gt;&lt;wsp:rsid wsp:val=&quot;007534EB&quot;/&gt;&lt;wsp:rsid wsp:val=&quot;00755BD8&quot;/&gt;&lt;wsp:rsid wsp:val=&quot;00762B98&quot;/&gt;&lt;wsp:rsid wsp:val=&quot;007842C1&quot;/&gt;&lt;wsp:rsid wsp:val=&quot;0079019A&quot;/&gt;&lt;wsp:rsid wsp:val=&quot;007930E9&quot;/&gt;&lt;wsp:rsid wsp:val=&quot;007B3419&quot;/&gt;&lt;wsp:rsid wsp:val=&quot;007B793E&quot;/&gt;&lt;wsp:rsid wsp:val=&quot;007D1D1D&quot;/&gt;&lt;wsp:rsid wsp:val=&quot;007D21B8&quot;/&gt;&lt;wsp:rsid wsp:val=&quot;007E4B38&quot;/&gt;&lt;wsp:rsid wsp:val=&quot;007F624B&quot;/&gt;&lt;wsp:rsid wsp:val=&quot;007F7F6F&quot;/&gt;&lt;wsp:rsid wsp:val=&quot;0080023B&quot;/&gt;&lt;wsp:rsid wsp:val=&quot;00802344&quot;/&gt;&lt;wsp:rsid wsp:val=&quot;00810AE7&quot;/&gt;&lt;wsp:rsid wsp:val=&quot;008206E3&quot;/&gt;&lt;wsp:rsid wsp:val=&quot;00833F3E&quot;/&gt;&lt;wsp:rsid wsp:val=&quot;00847374&quot;/&gt;&lt;wsp:rsid wsp:val=&quot;00854BB1&quot;/&gt;&lt;wsp:rsid wsp:val=&quot;00880750&quot;/&gt;&lt;wsp:rsid wsp:val=&quot;00881DC4&quot;/&gt;&lt;wsp:rsid wsp:val=&quot;00885D1B&quot;/&gt;&lt;wsp:rsid wsp:val=&quot;008A3849&quot;/&gt;&lt;wsp:rsid wsp:val=&quot;008D3E46&quot;/&gt;&lt;wsp:rsid wsp:val=&quot;008D6872&quot;/&gt;&lt;wsp:rsid wsp:val=&quot;008E17C5&quot;/&gt;&lt;wsp:rsid wsp:val=&quot;008F34D6&quot;/&gt;&lt;wsp:rsid wsp:val=&quot;00911C51&quot;/&gt;&lt;wsp:rsid wsp:val=&quot;00942A8D&quot;/&gt;&lt;wsp:rsid wsp:val=&quot;00951BCD&quot;/&gt;&lt;wsp:rsid wsp:val=&quot;009675BA&quot;/&gt;&lt;wsp:rsid wsp:val=&quot;00977DC6&quot;/&gt;&lt;wsp:rsid wsp:val=&quot;00994AE4&quot;/&gt;&lt;wsp:rsid wsp:val=&quot;009B4FE5&quot;/&gt;&lt;wsp:rsid wsp:val=&quot;009D2E29&quot;/&gt;&lt;wsp:rsid wsp:val=&quot;009E7FAC&quot;/&gt;&lt;wsp:rsid wsp:val=&quot;00A0747A&quot;/&gt;&lt;wsp:rsid wsp:val=&quot;00A14031&quot;/&gt;&lt;wsp:rsid wsp:val=&quot;00A17E8D&quot;/&gt;&lt;wsp:rsid wsp:val=&quot;00A24EC6&quot;/&gt;&lt;wsp:rsid wsp:val=&quot;00A25907&quot;/&gt;&lt;wsp:rsid wsp:val=&quot;00A27198&quot;/&gt;&lt;wsp:rsid wsp:val=&quot;00A6478A&quot;/&gt;&lt;wsp:rsid wsp:val=&quot;00A72BE0&quot;/&gt;&lt;wsp:rsid wsp:val=&quot;00A75690&quot;/&gt;&lt;wsp:rsid wsp:val=&quot;00A956A8&quot;/&gt;&lt;wsp:rsid wsp:val=&quot;00AE7D56&quot;/&gt;&lt;wsp:rsid wsp:val=&quot;00AF5D5A&quot;/&gt;&lt;wsp:rsid wsp:val=&quot;00B6067F&quot;/&gt;&lt;wsp:rsid wsp:val=&quot;00B71148&quot;/&gt;&lt;wsp:rsid wsp:val=&quot;00B729C9&quot;/&gt;&lt;wsp:rsid wsp:val=&quot;00B772AB&quot;/&gt;&lt;wsp:rsid wsp:val=&quot;00BA34CB&quot;/&gt;&lt;wsp:rsid wsp:val=&quot;00BB04F5&quot;/&gt;&lt;wsp:rsid wsp:val=&quot;00BD2343&quot;/&gt;&lt;wsp:rsid wsp:val=&quot;00BE3470&quot;/&gt;&lt;wsp:rsid wsp:val=&quot;00BE3DDD&quot;/&gt;&lt;wsp:rsid wsp:val=&quot;00BE46E2&quot;/&gt;&lt;wsp:rsid wsp:val=&quot;00BF3138&quot;/&gt;&lt;wsp:rsid wsp:val=&quot;00C01E6E&quot;/&gt;&lt;wsp:rsid wsp:val=&quot;00C04A83&quot;/&gt;&lt;wsp:rsid wsp:val=&quot;00C164C9&quot;/&gt;&lt;wsp:rsid wsp:val=&quot;00C335F1&quot;/&gt;&lt;wsp:rsid wsp:val=&quot;00C572D1&quot;/&gt;&lt;wsp:rsid wsp:val=&quot;00C64B1D&quot;/&gt;&lt;wsp:rsid wsp:val=&quot;00C76A85&quot;/&gt;&lt;wsp:rsid wsp:val=&quot;00C9712C&quot;/&gt;&lt;wsp:rsid wsp:val=&quot;00CA702E&quot;/&gt;&lt;wsp:rsid wsp:val=&quot;00CC0E30&quot;/&gt;&lt;wsp:rsid wsp:val=&quot;00CC6F9A&quot;/&gt;&lt;wsp:rsid wsp:val=&quot;00CE3DBA&quot;/&gt;&lt;wsp:rsid wsp:val=&quot;00CF2C88&quot;/&gt;&lt;wsp:rsid wsp:val=&quot;00D301CA&quot;/&gt;&lt;wsp:rsid wsp:val=&quot;00D43350&quot;/&gt;&lt;wsp:rsid wsp:val=&quot;00D70EF4&quot;/&gt;&lt;wsp:rsid wsp:val=&quot;00D8025C&quot;/&gt;&lt;wsp:rsid wsp:val=&quot;00D85C3B&quot;/&gt;&lt;wsp:rsid wsp:val=&quot;00D85FB4&quot;/&gt;&lt;wsp:rsid wsp:val=&quot;00DC58DD&quot;/&gt;&lt;wsp:rsid wsp:val=&quot;00DD4D11&quot;/&gt;&lt;wsp:rsid wsp:val=&quot;00E07445&quot;/&gt;&lt;wsp:rsid wsp:val=&quot;00E100D0&quot;/&gt;&lt;wsp:rsid wsp:val=&quot;00E31A2C&quot;/&gt;&lt;wsp:rsid wsp:val=&quot;00E33D25&quot;/&gt;&lt;wsp:rsid wsp:val=&quot;00E51F0F&quot;/&gt;&lt;wsp:rsid wsp:val=&quot;00E62292&quot;/&gt;&lt;wsp:rsid wsp:val=&quot;00E92378&quot;/&gt;&lt;wsp:rsid wsp:val=&quot;00EA1A89&quot;/&gt;&lt;wsp:rsid wsp:val=&quot;00EA3325&quot;/&gt;&lt;wsp:rsid wsp:val=&quot;00EA3589&quot;/&gt;&lt;wsp:rsid wsp:val=&quot;00EC2BDA&quot;/&gt;&lt;wsp:rsid wsp:val=&quot;00ED35C7&quot;/&gt;&lt;wsp:rsid wsp:val=&quot;00ED42B6&quot;/&gt;&lt;wsp:rsid wsp:val=&quot;00EE32AF&quot;/&gt;&lt;wsp:rsid wsp:val=&quot;00EE5253&quot;/&gt;&lt;wsp:rsid wsp:val=&quot;00F104D1&quot;/&gt;&lt;wsp:rsid wsp:val=&quot;00F2677F&quot;/&gt;&lt;wsp:rsid wsp:val=&quot;00F33270&quot;/&gt;&lt;wsp:rsid wsp:val=&quot;00F4011F&quot;/&gt;&lt;wsp:rsid wsp:val=&quot;00F44CB1&quot;/&gt;&lt;wsp:rsid wsp:val=&quot;00F44EDE&quot;/&gt;&lt;wsp:rsid wsp:val=&quot;00F622A0&quot;/&gt;&lt;wsp:rsid wsp:val=&quot;00F75CF1&quot;/&gt;&lt;wsp:rsid wsp:val=&quot;00F82078&quot;/&gt;&lt;wsp:rsid wsp:val=&quot;00FC25BE&quot;/&gt;&lt;wsp:rsid wsp:val=&quot;00FF7FCC&quot;/&gt;&lt;wsp:rsid wsp:val=&quot;0103434B&quot;/&gt;&lt;wsp:rsid wsp:val=&quot;01253230&quot;/&gt;&lt;wsp:rsid wsp:val=&quot;01426AEA&quot;/&gt;&lt;wsp:rsid wsp:val=&quot;01455E23&quot;/&gt;&lt;wsp:rsid wsp:val=&quot;014C2352&quot;/&gt;&lt;wsp:rsid wsp:val=&quot;015B4BE0&quot;/&gt;&lt;wsp:rsid wsp:val=&quot;01747637&quot;/&gt;&lt;wsp:rsid wsp:val=&quot;01781E17&quot;/&gt;&lt;wsp:rsid wsp:val=&quot;01992DF2&quot;/&gt;&lt;wsp:rsid wsp:val=&quot;01C90B3E&quot;/&gt;&lt;wsp:rsid wsp:val=&quot;01E64538&quot;/&gt;&lt;wsp:rsid wsp:val=&quot;01E976C2&quot;/&gt;&lt;wsp:rsid wsp:val=&quot;01EC0A3E&quot;/&gt;&lt;wsp:rsid wsp:val=&quot;01F56E1D&quot;/&gt;&lt;wsp:rsid wsp:val=&quot;020557CF&quot;/&gt;&lt;wsp:rsid wsp:val=&quot;02254DFB&quot;/&gt;&lt;wsp:rsid wsp:val=&quot;02286248&quot;/&gt;&lt;wsp:rsid wsp:val=&quot;022C5747&quot;/&gt;&lt;wsp:rsid wsp:val=&quot;027D0BC3&quot;/&gt;&lt;wsp:rsid wsp:val=&quot;028A10E9&quot;/&gt;&lt;wsp:rsid wsp:val=&quot;02C65A23&quot;/&gt;&lt;wsp:rsid wsp:val=&quot;02D26338&quot;/&gt;&lt;wsp:rsid wsp:val=&quot;02F94132&quot;/&gt;&lt;wsp:rsid wsp:val=&quot;03064C46&quot;/&gt;&lt;wsp:rsid wsp:val=&quot;030832E0&quot;/&gt;&lt;wsp:rsid wsp:val=&quot;031814B1&quot;/&gt;&lt;wsp:rsid wsp:val=&quot;0319633C&quot;/&gt;&lt;wsp:rsid wsp:val=&quot;034E01D8&quot;/&gt;&lt;wsp:rsid wsp:val=&quot;035173AC&quot;/&gt;&lt;wsp:rsid wsp:val=&quot;035464C7&quot;/&gt;&lt;wsp:rsid wsp:val=&quot;035723C9&quot;/&gt;&lt;wsp:rsid wsp:val=&quot;035C45EC&quot;/&gt;&lt;wsp:rsid wsp:val=&quot;0361208F&quot;/&gt;&lt;wsp:rsid wsp:val=&quot;036B692E&quot;/&gt;&lt;wsp:rsid wsp:val=&quot;039061B5&quot;/&gt;&lt;wsp:rsid wsp:val=&quot;03A032E0&quot;/&gt;&lt;wsp:rsid wsp:val=&quot;03BC1713&quot;/&gt;&lt;wsp:rsid wsp:val=&quot;03CD5519&quot;/&gt;&lt;wsp:rsid wsp:val=&quot;03CF0B53&quot;/&gt;&lt;wsp:rsid wsp:val=&quot;03DF2D5F&quot;/&gt;&lt;wsp:rsid wsp:val=&quot;0406184B&quot;/&gt;&lt;wsp:rsid wsp:val=&quot;042A297F&quot;/&gt;&lt;wsp:rsid wsp:val=&quot;04301080&quot;/&gt;&lt;wsp:rsid wsp:val=&quot;043054B0&quot;/&gt;&lt;wsp:rsid wsp:val=&quot;043704B9&quot;/&gt;&lt;wsp:rsid wsp:val=&quot;043C1DED&quot;/&gt;&lt;wsp:rsid wsp:val=&quot;045F5C25&quot;/&gt;&lt;wsp:rsid wsp:val=&quot;046A41ED&quot;/&gt;&lt;wsp:rsid wsp:val=&quot;04790465&quot;/&gt;&lt;wsp:rsid wsp:val=&quot;04865A35&quot;/&gt;&lt;wsp:rsid wsp:val=&quot;049C43C2&quot;/&gt;&lt;wsp:rsid wsp:val=&quot;04B108A3&quot;/&gt;&lt;wsp:rsid wsp:val=&quot;04CF7070&quot;/&gt;&lt;wsp:rsid wsp:val=&quot;04D467FB&quot;/&gt;&lt;wsp:rsid wsp:val=&quot;04E961EB&quot;/&gt;&lt;wsp:rsid wsp:val=&quot;04F74491&quot;/&gt;&lt;wsp:rsid wsp:val=&quot;04FD67E9&quot;/&gt;&lt;wsp:rsid wsp:val=&quot;051A37A4&quot;/&gt;&lt;wsp:rsid wsp:val=&quot;0534279B&quot;/&gt;&lt;wsp:rsid wsp:val=&quot;0578543F&quot;/&gt;&lt;wsp:rsid wsp:val=&quot;059751B2&quot;/&gt;&lt;wsp:rsid wsp:val=&quot;05DD046E&quot;/&gt;&lt;wsp:rsid wsp:val=&quot;05F6233E&quot;/&gt;&lt;wsp:rsid wsp:val=&quot;06001288&quot;/&gt;&lt;wsp:rsid wsp:val=&quot;060507E5&quot;/&gt;&lt;wsp:rsid wsp:val=&quot;061435E8&quot;/&gt;&lt;wsp:rsid wsp:val=&quot;0632638E&quot;/&gt;&lt;wsp:rsid wsp:val=&quot;065705A3&quot;/&gt;&lt;wsp:rsid wsp:val=&quot;065B310D&quot;/&gt;&lt;wsp:rsid wsp:val=&quot;06624D87&quot;/&gt;&lt;wsp:rsid wsp:val=&quot;06833976&quot;/&gt;&lt;wsp:rsid wsp:val=&quot;0692592D&quot;/&gt;&lt;wsp:rsid wsp:val=&quot;069B500E&quot;/&gt;&lt;wsp:rsid wsp:val=&quot;06A7622B&quot;/&gt;&lt;wsp:rsid wsp:val=&quot;06EF5BA1&quot;/&gt;&lt;wsp:rsid wsp:val=&quot;07045B89&quot;/&gt;&lt;wsp:rsid wsp:val=&quot;070E1A61&quot;/&gt;&lt;wsp:rsid wsp:val=&quot;072948AA&quot;/&gt;&lt;wsp:rsid wsp:val=&quot;073E608F&quot;/&gt;&lt;wsp:rsid wsp:val=&quot;077F37B5&quot;/&gt;&lt;wsp:rsid wsp:val=&quot;07A67F78&quot;/&gt;&lt;wsp:rsid wsp:val=&quot;07C9055F&quot;/&gt;&lt;wsp:rsid wsp:val=&quot;07D730E2&quot;/&gt;&lt;wsp:rsid wsp:val=&quot;07DF598A&quot;/&gt;&lt;wsp:rsid wsp:val=&quot;07E92CE3&quot;/&gt;&lt;wsp:rsid wsp:val=&quot;08167D1F&quot;/&gt;&lt;wsp:rsid wsp:val=&quot;08251774&quot;/&gt;&lt;wsp:rsid wsp:val=&quot;084C407C&quot;/&gt;&lt;wsp:rsid wsp:val=&quot;085619F1&quot;/&gt;&lt;wsp:rsid wsp:val=&quot;08A5021A&quot;/&gt;&lt;wsp:rsid wsp:val=&quot;08A92F74&quot;/&gt;&lt;wsp:rsid wsp:val=&quot;08AA53C2&quot;/&gt;&lt;wsp:rsid wsp:val=&quot;091571A1&quot;/&gt;&lt;wsp:rsid wsp:val=&quot;092C337E&quot;/&gt;&lt;wsp:rsid wsp:val=&quot;09624D89&quot;/&gt;&lt;wsp:rsid wsp:val=&quot;09715EDE&quot;/&gt;&lt;wsp:rsid wsp:val=&quot;09745559&quot;/&gt;&lt;wsp:rsid wsp:val=&quot;098348BB&quot;/&gt;&lt;wsp:rsid wsp:val=&quot;098521BC&quot;/&gt;&lt;wsp:rsid wsp:val=&quot;098F180D&quot;/&gt;&lt;wsp:rsid wsp:val=&quot;09B86DD8&quot;/&gt;&lt;wsp:rsid wsp:val=&quot;09CB0BE6&quot;/&gt;&lt;wsp:rsid wsp:val=&quot;09D30D74&quot;/&gt;&lt;wsp:rsid wsp:val=&quot;0A005396&quot;/&gt;&lt;wsp:rsid wsp:val=&quot;0A06731D&quot;/&gt;&lt;wsp:rsid wsp:val=&quot;0A0929B7&quot;/&gt;&lt;wsp:rsid wsp:val=&quot;0A0A71C2&quot;/&gt;&lt;wsp:rsid wsp:val=&quot;0A1512F2&quot;/&gt;&lt;wsp:rsid wsp:val=&quot;0A3965FA&quot;/&gt;&lt;wsp:rsid wsp:val=&quot;0A3B6D46&quot;/&gt;&lt;wsp:rsid wsp:val=&quot;0A421131&quot;/&gt;&lt;wsp:rsid wsp:val=&quot;0A432CAD&quot;/&gt;&lt;wsp:rsid wsp:val=&quot;0A4D7104&quot;/&gt;&lt;wsp:rsid wsp:val=&quot;0A5907FD&quot;/&gt;&lt;wsp:rsid wsp:val=&quot;0A5F4FDC&quot;/&gt;&lt;wsp:rsid wsp:val=&quot;0A7601EE&quot;/&gt;&lt;wsp:rsid wsp:val=&quot;0A956BBE&quot;/&gt;&lt;wsp:rsid wsp:val=&quot;0A965875&quot;/&gt;&lt;wsp:rsid wsp:val=&quot;0A9E7959&quot;/&gt;&lt;wsp:rsid wsp:val=&quot;0AF42CE3&quot;/&gt;&lt;wsp:rsid wsp:val=&quot;0B3D1CB6&quot;/&gt;&lt;wsp:rsid wsp:val=&quot;0B7C1ADB&quot;/&gt;&lt;wsp:rsid wsp:val=&quot;0B8F635E&quot;/&gt;&lt;wsp:rsid wsp:val=&quot;0B8F714B&quot;/&gt;&lt;wsp:rsid wsp:val=&quot;0B906419&quot;/&gt;&lt;wsp:rsid wsp:val=&quot;0BA80E71&quot;/&gt;&lt;wsp:rsid wsp:val=&quot;0BB134E6&quot;/&gt;&lt;wsp:rsid wsp:val=&quot;0BCA20D6&quot;/&gt;&lt;wsp:rsid wsp:val=&quot;0BCC1E8C&quot;/&gt;&lt;wsp:rsid wsp:val=&quot;0BD17169&quot;/&gt;&lt;wsp:rsid wsp:val=&quot;0C294FA6&quot;/&gt;&lt;wsp:rsid wsp:val=&quot;0C450190&quot;/&gt;&lt;wsp:rsid wsp:val=&quot;0C77661E&quot;/&gt;&lt;wsp:rsid wsp:val=&quot;0C7942B2&quot;/&gt;&lt;wsp:rsid wsp:val=&quot;0C797972&quot;/&gt;&lt;wsp:rsid wsp:val=&quot;0C7A2689&quot;/&gt;&lt;wsp:rsid wsp:val=&quot;0C7C6C01&quot;/&gt;&lt;wsp:rsid wsp:val=&quot;0C813314&quot;/&gt;&lt;wsp:rsid wsp:val=&quot;0C843F25&quot;/&gt;&lt;wsp:rsid wsp:val=&quot;0C9F2A76&quot;/&gt;&lt;wsp:rsid wsp:val=&quot;0CAB2232&quot;/&gt;&lt;wsp:rsid wsp:val=&quot;0CB03390&quot;/&gt;&lt;wsp:rsid wsp:val=&quot;0CB75961&quot;/&gt;&lt;wsp:rsid wsp:val=&quot;0CBF45B4&quot;/&gt;&lt;wsp:rsid wsp:val=&quot;0CC87762&quot;/&gt;&lt;wsp:rsid wsp:val=&quot;0CCB2113&quot;/&gt;&lt;wsp:rsid wsp:val=&quot;0CD8682A&quot;/&gt;&lt;wsp:rsid wsp:val=&quot;0CE27989&quot;/&gt;&lt;wsp:rsid wsp:val=&quot;0D013923&quot;/&gt;&lt;wsp:rsid wsp:val=&quot;0D0535F3&quot;/&gt;&lt;wsp:rsid wsp:val=&quot;0D375803&quot;/&gt;&lt;wsp:rsid wsp:val=&quot;0D434DE7&quot;/&gt;&lt;wsp:rsid wsp:val=&quot;0D652531&quot;/&gt;&lt;wsp:rsid wsp:val=&quot;0D752A3C&quot;/&gt;&lt;wsp:rsid wsp:val=&quot;0D947AB0&quot;/&gt;&lt;wsp:rsid wsp:val=&quot;0DA518FF&quot;/&gt;&lt;wsp:rsid wsp:val=&quot;0DB679CB&quot;/&gt;&lt;wsp:rsid wsp:val=&quot;0DC056D2&quot;/&gt;&lt;wsp:rsid wsp:val=&quot;0DED3D64&quot;/&gt;&lt;wsp:rsid wsp:val=&quot;0DEF466B&quot;/&gt;&lt;wsp:rsid wsp:val=&quot;0E155E13&quot;/&gt;&lt;wsp:rsid wsp:val=&quot;0E3A0399&quot;/&gt;&lt;wsp:rsid wsp:val=&quot;0E412652&quot;/&gt;&lt;wsp:rsid wsp:val=&quot;0E4C4CB0&quot;/&gt;&lt;wsp:rsid wsp:val=&quot;0E784CF2&quot;/&gt;&lt;wsp:rsid wsp:val=&quot;0E93799B&quot;/&gt;&lt;wsp:rsid wsp:val=&quot;0EBE1A91&quot;/&gt;&lt;wsp:rsid wsp:val=&quot;0ED93AE8&quot;/&gt;&lt;wsp:rsid wsp:val=&quot;0EDE0F52&quot;/&gt;&lt;wsp:rsid wsp:val=&quot;0F04144F&quot;/&gt;&lt;wsp:rsid wsp:val=&quot;0F17310F&quot;/&gt;&lt;wsp:rsid wsp:val=&quot;0F3C5FB6&quot;/&gt;&lt;wsp:rsid wsp:val=&quot;0F404B70&quot;/&gt;&lt;wsp:rsid wsp:val=&quot;0F687166&quot;/&gt;&lt;wsp:rsid wsp:val=&quot;0F6E01C5&quot;/&gt;&lt;wsp:rsid wsp:val=&quot;0F7E13CD&quot;/&gt;&lt;wsp:rsid wsp:val=&quot;0F8F1C0B&quot;/&gt;&lt;wsp:rsid wsp:val=&quot;0FB47DE7&quot;/&gt;&lt;wsp:rsid wsp:val=&quot;0FCC517C&quot;/&gt;&lt;wsp:rsid wsp:val=&quot;100A42E4&quot;/&gt;&lt;wsp:rsid wsp:val=&quot;1045096A&quot;/&gt;&lt;wsp:rsid wsp:val=&quot;10457D81&quot;/&gt;&lt;wsp:rsid wsp:val=&quot;104D38B6&quot;/&gt;&lt;wsp:rsid wsp:val=&quot;106A5F4D&quot;/&gt;&lt;wsp:rsid wsp:val=&quot;107766C4&quot;/&gt;&lt;wsp:rsid wsp:val=&quot;1094132B&quot;/&gt;&lt;wsp:rsid wsp:val=&quot;10952B8A&quot;/&gt;&lt;wsp:rsid wsp:val=&quot;10A75110&quot;/&gt;&lt;wsp:rsid wsp:val=&quot;10C05269&quot;/&gt;&lt;wsp:rsid wsp:val=&quot;110B68D5&quot;/&gt;&lt;wsp:rsid wsp:val=&quot;111A766A&quot;/&gt;&lt;wsp:rsid wsp:val=&quot;113178C9&quot;/&gt;&lt;wsp:rsid wsp:val=&quot;114625AD&quot;/&gt;&lt;wsp:rsid wsp:val=&quot;11513B54&quot;/&gt;&lt;wsp:rsid wsp:val=&quot;11691708&quot;/&gt;&lt;wsp:rsid wsp:val=&quot;11787F03&quot;/&gt;&lt;wsp:rsid wsp:val=&quot;118C2366&quot;/&gt;&lt;wsp:rsid wsp:val=&quot;11A96D61&quot;/&gt;&lt;wsp:rsid wsp:val=&quot;11C26013&quot;/&gt;&lt;wsp:rsid wsp:val=&quot;11C467FC&quot;/&gt;&lt;wsp:rsid wsp:val=&quot;11F043C1&quot;/&gt;&lt;wsp:rsid wsp:val=&quot;11F24DFD&quot;/&gt;&lt;wsp:rsid wsp:val=&quot;121054D1&quot;/&gt;&lt;wsp:rsid wsp:val=&quot;12396B5A&quot;/&gt;&lt;wsp:rsid wsp:val=&quot;1254539C&quot;/&gt;&lt;wsp:rsid wsp:val=&quot;12704774&quot;/&gt;&lt;wsp:rsid wsp:val=&quot;128B267E&quot;/&gt;&lt;wsp:rsid wsp:val=&quot;129E76D2&quot;/&gt;&lt;wsp:rsid wsp:val=&quot;129F0CCC&quot;/&gt;&lt;wsp:rsid wsp:val=&quot;12A7263D&quot;/&gt;&lt;wsp:rsid wsp:val=&quot;12DE7B6C&quot;/&gt;&lt;wsp:rsid wsp:val=&quot;12EA6F16&quot;/&gt;&lt;wsp:rsid wsp:val=&quot;132C4EFB&quot;/&gt;&lt;wsp:rsid wsp:val=&quot;135A5F55&quot;/&gt;&lt;wsp:rsid wsp:val=&quot;13BC1186&quot;/&gt;&lt;wsp:rsid wsp:val=&quot;13D62F71&quot;/&gt;&lt;wsp:rsid wsp:val=&quot;13E73634&quot;/&gt;&lt;wsp:rsid wsp:val=&quot;13EB5A6E&quot;/&gt;&lt;wsp:rsid wsp:val=&quot;13F313B9&quot;/&gt;&lt;wsp:rsid wsp:val=&quot;140C0C24&quot;/&gt;&lt;wsp:rsid wsp:val=&quot;1411193A&quot;/&gt;&lt;wsp:rsid wsp:val=&quot;142D58CD&quot;/&gt;&lt;wsp:rsid wsp:val=&quot;14496E97&quot;/&gt;&lt;wsp:rsid wsp:val=&quot;144D3707&quot;/&gt;&lt;wsp:rsid wsp:val=&quot;14514364&quot;/&gt;&lt;wsp:rsid wsp:val=&quot;146362D7&quot;/&gt;&lt;wsp:rsid wsp:val=&quot;14770915&quot;/&gt;&lt;wsp:rsid wsp:val=&quot;14773EFB&quot;/&gt;&lt;wsp:rsid wsp:val=&quot;14955E10&quot;/&gt;&lt;wsp:rsid wsp:val=&quot;149910E2&quot;/&gt;&lt;wsp:rsid wsp:val=&quot;14A820D8&quot;/&gt;&lt;wsp:rsid wsp:val=&quot;14AE3BFB&quot;/&gt;&lt;wsp:rsid wsp:val=&quot;14B50CB3&quot;/&gt;&lt;wsp:rsid wsp:val=&quot;14C81550&quot;/&gt;&lt;wsp:rsid wsp:val=&quot;14DA3EB7&quot;/&gt;&lt;wsp:rsid wsp:val=&quot;14E10F52&quot;/&gt;&lt;wsp:rsid wsp:val=&quot;14E70D3B&quot;/&gt;&lt;wsp:rsid wsp:val=&quot;150D1A18&quot;/&gt;&lt;wsp:rsid wsp:val=&quot;15271383&quot;/&gt;&lt;wsp:rsid wsp:val=&quot;153F0AE5&quot;/&gt;&lt;wsp:rsid wsp:val=&quot;15621F21&quot;/&gt;&lt;wsp:rsid wsp:val=&quot;15837067&quot;/&gt;&lt;wsp:rsid wsp:val=&quot;15A429B1&quot;/&gt;&lt;wsp:rsid wsp:val=&quot;15E35E1E&quot;/&gt;&lt;wsp:rsid wsp:val=&quot;15ED2A93&quot;/&gt;&lt;wsp:rsid wsp:val=&quot;15F93C84&quot;/&gt;&lt;wsp:rsid wsp:val=&quot;15FC1325&quot;/&gt;&lt;wsp:rsid wsp:val=&quot;161134E2&quot;/&gt;&lt;wsp:rsid wsp:val=&quot;161164C1&quot;/&gt;&lt;wsp:rsid wsp:val=&quot;16306EB4&quot;/&gt;&lt;wsp:rsid wsp:val=&quot;16551C62&quot;/&gt;&lt;wsp:rsid wsp:val=&quot;16562F1D&quot;/&gt;&lt;wsp:rsid wsp:val=&quot;16686812&quot;/&gt;&lt;wsp:rsid wsp:val=&quot;166F352F&quot;/&gt;&lt;wsp:rsid wsp:val=&quot;16A16F01&quot;/&gt;&lt;wsp:rsid wsp:val=&quot;16A251B2&quot;/&gt;&lt;wsp:rsid wsp:val=&quot;16AD3519&quot;/&gt;&lt;wsp:rsid wsp:val=&quot;16B73979&quot;/&gt;&lt;wsp:rsid wsp:val=&quot;16CA1F92&quot;/&gt;&lt;wsp:rsid wsp:val=&quot;16CA4F7F&quot;/&gt;&lt;wsp:rsid wsp:val=&quot;16CC4E97&quot;/&gt;&lt;wsp:rsid wsp:val=&quot;16D2339B&quot;/&gt;&lt;wsp:rsid wsp:val=&quot;170A025D&quot;/&gt;&lt;wsp:rsid wsp:val=&quot;170B62DD&quot;/&gt;&lt;wsp:rsid wsp:val=&quot;17551E6A&quot;/&gt;&lt;wsp:rsid wsp:val=&quot;1757148D&quot;/&gt;&lt;wsp:rsid wsp:val=&quot;176267FA&quot;/&gt;&lt;wsp:rsid wsp:val=&quot;176E15F0&quot;/&gt;&lt;wsp:rsid wsp:val=&quot;17985EA4&quot;/&gt;&lt;wsp:rsid wsp:val=&quot;17A46EA7&quot;/&gt;&lt;wsp:rsid wsp:val=&quot;17B10902&quot;/&gt;&lt;wsp:rsid wsp:val=&quot;17B91351&quot;/&gt;&lt;wsp:rsid wsp:val=&quot;17BD5E05&quot;/&gt;&lt;wsp:rsid wsp:val=&quot;17D33054&quot;/&gt;&lt;wsp:rsid wsp:val=&quot;17E51D74&quot;/&gt;&lt;wsp:rsid wsp:val=&quot;17EA746A&quot;/&gt;&lt;wsp:rsid wsp:val=&quot;17EB2816&quot;/&gt;&lt;wsp:rsid wsp:val=&quot;182A353A&quot;/&gt;&lt;wsp:rsid wsp:val=&quot;185A236E&quot;/&gt;&lt;wsp:rsid wsp:val=&quot;1860715B&quot;/&gt;&lt;wsp:rsid wsp:val=&quot;187235A2&quot;/&gt;&lt;wsp:rsid wsp:val=&quot;18913ED7&quot;/&gt;&lt;wsp:rsid wsp:val=&quot;18B52DF2&quot;/&gt;&lt;wsp:rsid wsp:val=&quot;18D17F23&quot;/&gt;&lt;wsp:rsid wsp:val=&quot;18D25135&quot;/&gt;&lt;wsp:rsid wsp:val=&quot;190C033C&quot;/&gt;&lt;wsp:rsid wsp:val=&quot;192D63FC&quot;/&gt;&lt;wsp:rsid wsp:val=&quot;195F4C7A&quot;/&gt;&lt;wsp:rsid wsp:val=&quot;197A05BF&quot;/&gt;&lt;wsp:rsid wsp:val=&quot;197B04F8&quot;/&gt;&lt;wsp:rsid wsp:val=&quot;19BF0F6E&quot;/&gt;&lt;wsp:rsid wsp:val=&quot;19F1544F&quot;/&gt;&lt;wsp:rsid wsp:val=&quot;19FB4998&quot;/&gt;&lt;wsp:rsid wsp:val=&quot;19FC26F3&quot;/&gt;&lt;wsp:rsid wsp:val=&quot;1A245448&quot;/&gt;&lt;wsp:rsid wsp:val=&quot;1A2C7361&quot;/&gt;&lt;wsp:rsid wsp:val=&quot;1A4D5F09&quot;/&gt;&lt;wsp:rsid wsp:val=&quot;1A690FF8&quot;/&gt;&lt;wsp:rsid wsp:val=&quot;1A71171D&quot;/&gt;&lt;wsp:rsid wsp:val=&quot;1A9C4571&quot;/&gt;&lt;wsp:rsid wsp:val=&quot;1AA90A84&quot;/&gt;&lt;wsp:rsid wsp:val=&quot;1AAB252E&quot;/&gt;&lt;wsp:rsid wsp:val=&quot;1ADB2088&quot;/&gt;&lt;wsp:rsid wsp:val=&quot;1ADC61AB&quot;/&gt;&lt;wsp:rsid wsp:val=&quot;1AE754DB&quot;/&gt;&lt;wsp:rsid wsp:val=&quot;1B447346&quot;/&gt;&lt;wsp:rsid wsp:val=&quot;1B4928BF&quot;/&gt;&lt;wsp:rsid wsp:val=&quot;1B616C94&quot;/&gt;&lt;wsp:rsid wsp:val=&quot;1B631D65&quot;/&gt;&lt;wsp:rsid wsp:val=&quot;1B655E8C&quot;/&gt;&lt;wsp:rsid wsp:val=&quot;1B6C3AB6&quot;/&gt;&lt;wsp:rsid wsp:val=&quot;1B8032D3&quot;/&gt;&lt;wsp:rsid wsp:val=&quot;1B982DD8&quot;/&gt;&lt;wsp:rsid wsp:val=&quot;1B9B01F8&quot;/&gt;&lt;wsp:rsid wsp:val=&quot;1B9B0C19&quot;/&gt;&lt;wsp:rsid wsp:val=&quot;1B9E563E&quot;/&gt;&lt;wsp:rsid wsp:val=&quot;1BA6035E&quot;/&gt;&lt;wsp:rsid wsp:val=&quot;1BB858C3&quot;/&gt;&lt;wsp:rsid wsp:val=&quot;1BBC27F2&quot;/&gt;&lt;wsp:rsid wsp:val=&quot;1BF90E03&quot;/&gt;&lt;wsp:rsid wsp:val=&quot;1C0A1961&quot;/&gt;&lt;wsp:rsid wsp:val=&quot;1C1F38E5&quot;/&gt;&lt;wsp:rsid wsp:val=&quot;1C23000C&quot;/&gt;&lt;wsp:rsid wsp:val=&quot;1C30365F&quot;/&gt;&lt;wsp:rsid wsp:val=&quot;1C495352&quot;/&gt;&lt;wsp:rsid wsp:val=&quot;1C6121E9&quot;/&gt;&lt;wsp:rsid wsp:val=&quot;1C6348DE&quot;/&gt;&lt;wsp:rsid wsp:val=&quot;1C794653&quot;/&gt;&lt;wsp:rsid wsp:val=&quot;1C7D54C1&quot;/&gt;&lt;wsp:rsid wsp:val=&quot;1C7F6008&quot;/&gt;&lt;wsp:rsid wsp:val=&quot;1CA40FFC&quot;/&gt;&lt;wsp:rsid wsp:val=&quot;1D03063A&quot;/&gt;&lt;wsp:rsid wsp:val=&quot;1D1A2396&quot;/&gt;&lt;wsp:rsid wsp:val=&quot;1D290F86&quot;/&gt;&lt;wsp:rsid wsp:val=&quot;1D2C28BC&quot;/&gt;&lt;wsp:rsid wsp:val=&quot;1D3D1363&quot;/&gt;&lt;wsp:rsid wsp:val=&quot;1D585FE0&quot;/&gt;&lt;wsp:rsid wsp:val=&quot;1D652ECD&quot;/&gt;&lt;wsp:rsid wsp:val=&quot;1D6E647F&quot;/&gt;&lt;wsp:rsid wsp:val=&quot;1D7F31CD&quot;/&gt;&lt;wsp:rsid wsp:val=&quot;1DA21AEC&quot;/&gt;&lt;wsp:rsid wsp:val=&quot;1DB01926&quot;/&gt;&lt;wsp:rsid wsp:val=&quot;1E085DA1&quot;/&gt;&lt;wsp:rsid wsp:val=&quot;1E1B2707&quot;/&gt;&lt;wsp:rsid wsp:val=&quot;1E3D4EAA&quot;/&gt;&lt;wsp:rsid wsp:val=&quot;1E923461&quot;/&gt;&lt;wsp:rsid wsp:val=&quot;1EB35A93&quot;/&gt;&lt;wsp:rsid wsp:val=&quot;1EFA11FF&quot;/&gt;&lt;wsp:rsid wsp:val=&quot;1F326459&quot;/&gt;&lt;wsp:rsid wsp:val=&quot;1F3735A7&quot;/&gt;&lt;wsp:rsid wsp:val=&quot;1F3773CD&quot;/&gt;&lt;wsp:rsid wsp:val=&quot;1F3E4118&quot;/&gt;&lt;wsp:rsid wsp:val=&quot;1F427298&quot;/&gt;&lt;wsp:rsid wsp:val=&quot;1F446D87&quot;/&gt;&lt;wsp:rsid wsp:val=&quot;1F4B122E&quot;/&gt;&lt;wsp:rsid wsp:val=&quot;1F5B7356&quot;/&gt;&lt;wsp:rsid wsp:val=&quot;1F616B83&quot;/&gt;&lt;wsp:rsid wsp:val=&quot;1F74021D&quot;/&gt;&lt;wsp:rsid wsp:val=&quot;1F801854&quot;/&gt;&lt;wsp:rsid wsp:val=&quot;1F860D1D&quot;/&gt;&lt;wsp:rsid wsp:val=&quot;1F93162B&quot;/&gt;&lt;wsp:rsid wsp:val=&quot;1FA61CFE&quot;/&gt;&lt;wsp:rsid wsp:val=&quot;1FCA0B31&quot;/&gt;&lt;wsp:rsid wsp:val=&quot;1FE17526&quot;/&gt;&lt;wsp:rsid wsp:val=&quot;1FE5487C&quot;/&gt;&lt;wsp:rsid wsp:val=&quot;1FEC7EEB&quot;/&gt;&lt;wsp:rsid wsp:val=&quot;1FEE4973&quot;/&gt;&lt;wsp:rsid wsp:val=&quot;2001677E&quot;/&gt;&lt;wsp:rsid wsp:val=&quot;201B4C78&quot;/&gt;&lt;wsp:rsid wsp:val=&quot;202F50BD&quot;/&gt;&lt;wsp:rsid wsp:val=&quot;203634F8&quot;/&gt;&lt;wsp:rsid wsp:val=&quot;203C25AB&quot;/&gt;&lt;wsp:rsid wsp:val=&quot;20400F41&quot;/&gt;&lt;wsp:rsid wsp:val=&quot;20484AF6&quot;/&gt;&lt;wsp:rsid wsp:val=&quot;206044A6&quot;/&gt;&lt;wsp:rsid wsp:val=&quot;20645E63&quot;/&gt;&lt;wsp:rsid wsp:val=&quot;20655BA0&quot;/&gt;&lt;wsp:rsid wsp:val=&quot;20703265&quot;/&gt;&lt;wsp:rsid wsp:val=&quot;20711B1D&quot;/&gt;&lt;wsp:rsid wsp:val=&quot;20720384&quot;/&gt;&lt;wsp:rsid wsp:val=&quot;20963EF0&quot;/&gt;&lt;wsp:rsid wsp:val=&quot;20AD5A91&quot;/&gt;&lt;wsp:rsid wsp:val=&quot;21191E31&quot;/&gt;&lt;wsp:rsid wsp:val=&quot;212333BE&quot;/&gt;&lt;wsp:rsid wsp:val=&quot;212437CA&quot;/&gt;&lt;wsp:rsid wsp:val=&quot;21313439&quot;/&gt;&lt;wsp:rsid wsp:val=&quot;216C722B&quot;/&gt;&lt;wsp:rsid wsp:val=&quot;218A7F9F&quot;/&gt;&lt;wsp:rsid wsp:val=&quot;219272A9&quot;/&gt;&lt;wsp:rsid wsp:val=&quot;21C51CE3&quot;/&gt;&lt;wsp:rsid wsp:val=&quot;21C531B7&quot;/&gt;&lt;wsp:rsid wsp:val=&quot;21CF39BF&quot;/&gt;&lt;wsp:rsid wsp:val=&quot;221637FE&quot;/&gt;&lt;wsp:rsid wsp:val=&quot;224C15A1&quot;/&gt;&lt;wsp:rsid wsp:val=&quot;225234ED&quot;/&gt;&lt;wsp:rsid wsp:val=&quot;225E4B4C&quot;/&gt;&lt;wsp:rsid wsp:val=&quot;226E18E0&quot;/&gt;&lt;wsp:rsid wsp:val=&quot;22734826&quot;/&gt;&lt;wsp:rsid wsp:val=&quot;227A4B8A&quot;/&gt;&lt;wsp:rsid wsp:val=&quot;228359EC&quot;/&gt;&lt;wsp:rsid wsp:val=&quot;228B64A3&quot;/&gt;&lt;wsp:rsid wsp:val=&quot;228D37C3&quot;/&gt;&lt;wsp:rsid wsp:val=&quot;229F2605&quot;/&gt;&lt;wsp:rsid wsp:val=&quot;22A21423&quot;/&gt;&lt;wsp:rsid wsp:val=&quot;22A34E5F&quot;/&gt;&lt;wsp:rsid wsp:val=&quot;22A80EB2&quot;/&gt;&lt;wsp:rsid wsp:val=&quot;22CF5D1D&quot;/&gt;&lt;wsp:rsid wsp:val=&quot;22D6625E&quot;/&gt;&lt;wsp:rsid wsp:val=&quot;22DF3B4D&quot;/&gt;&lt;wsp:rsid wsp:val=&quot;22E60282&quot;/&gt;&lt;wsp:rsid wsp:val=&quot;232C2E5E&quot;/&gt;&lt;wsp:rsid wsp:val=&quot;233C3937&quot;/&gt;&lt;wsp:rsid wsp:val=&quot;23415FD5&quot;/&gt;&lt;wsp:rsid wsp:val=&quot;23470D6B&quot;/&gt;&lt;wsp:rsid wsp:val=&quot;234F0C33&quot;/&gt;&lt;wsp:rsid wsp:val=&quot;235D6428&quot;/&gt;&lt;wsp:rsid wsp:val=&quot;2369664B&quot;/&gt;&lt;wsp:rsid wsp:val=&quot;23796D44&quot;/&gt;&lt;wsp:rsid wsp:val=&quot;237C00BF&quot;/&gt;&lt;wsp:rsid wsp:val=&quot;238A4B05&quot;/&gt;&lt;wsp:rsid wsp:val=&quot;238B23BA&quot;/&gt;&lt;wsp:rsid wsp:val=&quot;23BD0FB6&quot;/&gt;&lt;wsp:rsid wsp:val=&quot;23CC111F&quot;/&gt;&lt;wsp:rsid wsp:val=&quot;23E82BC5&quot;/&gt;&lt;wsp:rsid wsp:val=&quot;23F50A1D&quot;/&gt;&lt;wsp:rsid wsp:val=&quot;2402729C&quot;/&gt;&lt;wsp:rsid wsp:val=&quot;240C717B&quot;/&gt;&lt;wsp:rsid wsp:val=&quot;24154A07&quot;/&gt;&lt;wsp:rsid wsp:val=&quot;24237369&quot;/&gt;&lt;wsp:rsid wsp:val=&quot;242B0ACF&quot;/&gt;&lt;wsp:rsid wsp:val=&quot;244A7782&quot;/&gt;&lt;wsp:rsid wsp:val=&quot;24744F75&quot;/&gt;&lt;wsp:rsid wsp:val=&quot;24751205&quot;/&gt;&lt;wsp:rsid wsp:val=&quot;24A9753D&quot;/&gt;&lt;wsp:rsid wsp:val=&quot;24AA55C7&quot;/&gt;&lt;wsp:rsid wsp:val=&quot;24B72751&quot;/&gt;&lt;wsp:rsid wsp:val=&quot;24BC7D81&quot;/&gt;&lt;wsp:rsid wsp:val=&quot;24C34D98&quot;/&gt;&lt;wsp:rsid wsp:val=&quot;24E55D4F&quot;/&gt;&lt;wsp:rsid wsp:val=&quot;24E800DE&quot;/&gt;&lt;wsp:rsid wsp:val=&quot;24E93A37&quot;/&gt;&lt;wsp:rsid wsp:val=&quot;24EA0E35&quot;/&gt;&lt;wsp:rsid wsp:val=&quot;2504123C&quot;/&gt;&lt;wsp:rsid wsp:val=&quot;250770DF&quot;/&gt;&lt;wsp:rsid wsp:val=&quot;251C2931&quot;/&gt;&lt;wsp:rsid wsp:val=&quot;25530A51&quot;/&gt;&lt;wsp:rsid wsp:val=&quot;255D1C96&quot;/&gt;&lt;wsp:rsid wsp:val=&quot;25634663&quot;/&gt;&lt;wsp:rsid wsp:val=&quot;256B68AD&quot;/&gt;&lt;wsp:rsid wsp:val=&quot;256F0462&quot;/&gt;&lt;wsp:rsid wsp:val=&quot;257E2CC8&quot;/&gt;&lt;wsp:rsid wsp:val=&quot;2589275C&quot;/&gt;&lt;wsp:rsid wsp:val=&quot;258C2AAF&quot;/&gt;&lt;wsp:rsid wsp:val=&quot;258D7C62&quot;/&gt;&lt;wsp:rsid wsp:val=&quot;25B430FC&quot;/&gt;&lt;wsp:rsid wsp:val=&quot;25CB697B&quot;/&gt;&lt;wsp:rsid wsp:val=&quot;25CC115B&quot;/&gt;&lt;wsp:rsid wsp:val=&quot;25D84353&quot;/&gt;&lt;wsp:rsid wsp:val=&quot;25DF64FE&quot;/&gt;&lt;wsp:rsid wsp:val=&quot;25F2131F&quot;/&gt;&lt;wsp:rsid wsp:val=&quot;26005BB9&quot;/&gt;&lt;wsp:rsid wsp:val=&quot;2608524A&quot;/&gt;&lt;wsp:rsid wsp:val=&quot;26544F08&quot;/&gt;&lt;wsp:rsid wsp:val=&quot;268A5E33&quot;/&gt;&lt;wsp:rsid wsp:val=&quot;269A78AA&quot;/&gt;&lt;wsp:rsid wsp:val=&quot;26AB543D&quot;/&gt;&lt;wsp:rsid wsp:val=&quot;26DF3838&quot;/&gt;&lt;wsp:rsid wsp:val=&quot;26E9337A&quot;/&gt;&lt;wsp:rsid wsp:val=&quot;26F17749&quot;/&gt;&lt;wsp:rsid wsp:val=&quot;271F5A9E&quot;/&gt;&lt;wsp:rsid wsp:val=&quot;272F0626&quot;/&gt;&lt;wsp:rsid wsp:val=&quot;273D0529&quot;/&gt;&lt;wsp:rsid wsp:val=&quot;2755395F&quot;/&gt;&lt;wsp:rsid wsp:val=&quot;27984E21&quot;/&gt;&lt;wsp:rsid wsp:val=&quot;27A65198&quot;/&gt;&lt;wsp:rsid wsp:val=&quot;27C94EFB&quot;/&gt;&lt;wsp:rsid wsp:val=&quot;27D1147C&quot;/&gt;&lt;wsp:rsid wsp:val=&quot;27E33990&quot;/&gt;&lt;wsp:rsid wsp:val=&quot;28142BC0&quot;/&gt;&lt;wsp:rsid wsp:val=&quot;28194CD7&quot;/&gt;&lt;wsp:rsid wsp:val=&quot;281E41F9&quot;/&gt;&lt;wsp:rsid wsp:val=&quot;28382AE2&quot;/&gt;&lt;wsp:rsid wsp:val=&quot;283C2DCC&quot;/&gt;&lt;wsp:rsid wsp:val=&quot;28654F7A&quot;/&gt;&lt;wsp:rsid wsp:val=&quot;286F1644&quot;/&gt;&lt;wsp:rsid wsp:val=&quot;287E0680&quot;/&gt;&lt;wsp:rsid wsp:val=&quot;288B243E&quot;/&gt;&lt;wsp:rsid wsp:val=&quot;288F7170&quot;/&gt;&lt;wsp:rsid wsp:val=&quot;28C11C6E&quot;/&gt;&lt;wsp:rsid wsp:val=&quot;292F32C9&quot;/&gt;&lt;wsp:rsid wsp:val=&quot;292F64E0&quot;/&gt;&lt;wsp:rsid wsp:val=&quot;292F66F7&quot;/&gt;&lt;wsp:rsid wsp:val=&quot;29465C4F&quot;/&gt;&lt;wsp:rsid wsp:val=&quot;294A57B8&quot;/&gt;&lt;wsp:rsid wsp:val=&quot;296E3B9E&quot;/&gt;&lt;wsp:rsid wsp:val=&quot;2983730D&quot;/&gt;&lt;wsp:rsid wsp:val=&quot;299E588A&quot;/&gt;&lt;wsp:rsid wsp:val=&quot;29D362FA&quot;/&gt;&lt;wsp:rsid wsp:val=&quot;29E80285&quot;/&gt;&lt;wsp:rsid wsp:val=&quot;29F40DD1&quot;/&gt;&lt;wsp:rsid wsp:val=&quot;2A174548&quot;/&gt;&lt;wsp:rsid wsp:val=&quot;2A4522EF&quot;/&gt;&lt;wsp:rsid wsp:val=&quot;2A4960CE&quot;/&gt;&lt;wsp:rsid wsp:val=&quot;2A5D3A3D&quot;/&gt;&lt;wsp:rsid wsp:val=&quot;2A752564&quot;/&gt;&lt;wsp:rsid wsp:val=&quot;2A833C9B&quot;/&gt;&lt;wsp:rsid wsp:val=&quot;2AA51F49&quot;/&gt;&lt;wsp:rsid wsp:val=&quot;2B0F5680&quot;/&gt;&lt;wsp:rsid wsp:val=&quot;2B174076&quot;/&gt;&lt;wsp:rsid wsp:val=&quot;2B2C205C&quot;/&gt;&lt;wsp:rsid wsp:val=&quot;2B4B14CF&quot;/&gt;&lt;wsp:rsid wsp:val=&quot;2B5B0DE4&quot;/&gt;&lt;wsp:rsid wsp:val=&quot;2BA501F9&quot;/&gt;&lt;wsp:rsid wsp:val=&quot;2BDA58A2&quot;/&gt;&lt;wsp:rsid wsp:val=&quot;2BE27D5C&quot;/&gt;&lt;wsp:rsid wsp:val=&quot;2BE52458&quot;/&gt;&lt;wsp:rsid wsp:val=&quot;2C147B66&quot;/&gt;&lt;wsp:rsid wsp:val=&quot;2C327E78&quot;/&gt;&lt;wsp:rsid wsp:val=&quot;2C64530F&quot;/&gt;&lt;wsp:rsid wsp:val=&quot;2C712C70&quot;/&gt;&lt;wsp:rsid wsp:val=&quot;2C7664F8&quot;/&gt;&lt;wsp:rsid wsp:val=&quot;2C845FF8&quot;/&gt;&lt;wsp:rsid wsp:val=&quot;2C8C2266&quot;/&gt;&lt;wsp:rsid wsp:val=&quot;2C9630B3&quot;/&gt;&lt;wsp:rsid wsp:val=&quot;2C9922B7&quot;/&gt;&lt;wsp:rsid wsp:val=&quot;2CBA3975&quot;/&gt;&lt;wsp:rsid wsp:val=&quot;2CD16ABF&quot;/&gt;&lt;wsp:rsid wsp:val=&quot;2CF00075&quot;/&gt;&lt;wsp:rsid wsp:val=&quot;2D0F4B1B&quot;/&gt;&lt;wsp:rsid wsp:val=&quot;2D3B2275&quot;/&gt;&lt;wsp:rsid wsp:val=&quot;2D891D74&quot;/&gt;&lt;wsp:rsid wsp:val=&quot;2D9A338B&quot;/&gt;&lt;wsp:rsid wsp:val=&quot;2D9A5077&quot;/&gt;&lt;wsp:rsid wsp:val=&quot;2DC16BCB&quot;/&gt;&lt;wsp:rsid wsp:val=&quot;2DCF45D1&quot;/&gt;&lt;wsp:rsid wsp:val=&quot;2DD349C7&quot;/&gt;&lt;wsp:rsid wsp:val=&quot;2DFF4D54&quot;/&gt;&lt;wsp:rsid wsp:val=&quot;2E1E2AA9&quot;/&gt;&lt;wsp:rsid wsp:val=&quot;2E316415&quot;/&gt;&lt;wsp:rsid wsp:val=&quot;2E441798&quot;/&gt;&lt;wsp:rsid wsp:val=&quot;2E71793E&quot;/&gt;&lt;wsp:rsid wsp:val=&quot;2E8028D7&quot;/&gt;&lt;wsp:rsid wsp:val=&quot;2E845572&quot;/&gt;&lt;wsp:rsid wsp:val=&quot;2E8E2DF7&quot;/&gt;&lt;wsp:rsid wsp:val=&quot;2E9D5D62&quot;/&gt;&lt;wsp:rsid wsp:val=&quot;2EB415AD&quot;/&gt;&lt;wsp:rsid wsp:val=&quot;2ECE348C&quot;/&gt;&lt;wsp:rsid wsp:val=&quot;2EDB55E3&quot;/&gt;&lt;wsp:rsid wsp:val=&quot;2EFD2081&quot;/&gt;&lt;wsp:rsid wsp:val=&quot;2EFD49F8&quot;/&gt;&lt;wsp:rsid wsp:val=&quot;2F3577E3&quot;/&gt;&lt;wsp:rsid wsp:val=&quot;2F42685C&quot;/&gt;&lt;wsp:rsid wsp:val=&quot;2F553B5A&quot;/&gt;&lt;wsp:rsid wsp:val=&quot;2F662872&quot;/&gt;&lt;wsp:rsid wsp:val=&quot;2F724C5F&quot;/&gt;&lt;wsp:rsid wsp:val=&quot;2F9B5AC3&quot;/&gt;&lt;wsp:rsid wsp:val=&quot;2F9F7E73&quot;/&gt;&lt;wsp:rsid wsp:val=&quot;2FFD0C20&quot;/&gt;&lt;wsp:rsid wsp:val=&quot;30130111&quot;/&gt;&lt;wsp:rsid wsp:val=&quot;30440AB7&quot;/&gt;&lt;wsp:rsid wsp:val=&quot;3049381E&quot;/&gt;&lt;wsp:rsid wsp:val=&quot;305C7F7B&quot;/&gt;&lt;wsp:rsid wsp:val=&quot;307F705C&quot;/&gt;&lt;wsp:rsid wsp:val=&quot;309A55A8&quot;/&gt;&lt;wsp:rsid wsp:val=&quot;30B74328&quot;/&gt;&lt;wsp:rsid wsp:val=&quot;30D510F7&quot;/&gt;&lt;wsp:rsid wsp:val=&quot;30D7008F&quot;/&gt;&lt;wsp:rsid wsp:val=&quot;30F67310&quot;/&gt;&lt;wsp:rsid wsp:val=&quot;31120094&quot;/&gt;&lt;wsp:rsid wsp:val=&quot;31222DDF&quot;/&gt;&lt;wsp:rsid wsp:val=&quot;315D12A0&quot;/&gt;&lt;wsp:rsid wsp:val=&quot;316A54B4&quot;/&gt;&lt;wsp:rsid wsp:val=&quot;31A850DD&quot;/&gt;&lt;wsp:rsid wsp:val=&quot;31B06674&quot;/&gt;&lt;wsp:rsid wsp:val=&quot;31BE04E6&quot;/&gt;&lt;wsp:rsid wsp:val=&quot;31C70950&quot;/&gt;&lt;wsp:rsid wsp:val=&quot;31DF3838&quot;/&gt;&lt;wsp:rsid wsp:val=&quot;31EE3B5D&quot;/&gt;&lt;wsp:rsid wsp:val=&quot;320D0DC8&quot;/&gt;&lt;wsp:rsid wsp:val=&quot;321A418E&quot;/&gt;&lt;wsp:rsid wsp:val=&quot;32401E0F&quot;/&gt;&lt;wsp:rsid wsp:val=&quot;324F7B39&quot;/&gt;&lt;wsp:rsid wsp:val=&quot;32535E36&quot;/&gt;&lt;wsp:rsid wsp:val=&quot;32562E0F&quot;/&gt;&lt;wsp:rsid wsp:val=&quot;327002B0&quot;/&gt;&lt;wsp:rsid wsp:val=&quot;32905CFD&quot;/&gt;&lt;wsp:rsid wsp:val=&quot;32B955F9&quot;/&gt;&lt;wsp:rsid wsp:val=&quot;32E056A9&quot;/&gt;&lt;wsp:rsid wsp:val=&quot;32FE20EB&quot;/&gt;&lt;wsp:rsid wsp:val=&quot;330952E7&quot;/&gt;&lt;wsp:rsid wsp:val=&quot;33135EF1&quot;/&gt;&lt;wsp:rsid wsp:val=&quot;3332192F&quot;/&gt;&lt;wsp:rsid wsp:val=&quot;33515C3E&quot;/&gt;&lt;wsp:rsid wsp:val=&quot;33533C99&quot;/&gt;&lt;wsp:rsid wsp:val=&quot;33542DD6&quot;/&gt;&lt;wsp:rsid wsp:val=&quot;339709B4&quot;/&gt;&lt;wsp:rsid wsp:val=&quot;339C2614&quot;/&gt;&lt;wsp:rsid wsp:val=&quot;33B04681&quot;/&gt;&lt;wsp:rsid wsp:val=&quot;33BD2967&quot;/&gt;&lt;wsp:rsid wsp:val=&quot;33F53425&quot;/&gt;&lt;wsp:rsid wsp:val=&quot;34034857&quot;/&gt;&lt;wsp:rsid wsp:val=&quot;343A6582&quot;/&gt;&lt;wsp:rsid wsp:val=&quot;34416822&quot;/&gt;&lt;wsp:rsid wsp:val=&quot;344626C3&quot;/&gt;&lt;wsp:rsid wsp:val=&quot;34723F91&quot;/&gt;&lt;wsp:rsid wsp:val=&quot;34795C64&quot;/&gt;&lt;wsp:rsid wsp:val=&quot;3481681D&quot;/&gt;&lt;wsp:rsid wsp:val=&quot;34D00D41&quot;/&gt;&lt;wsp:rsid wsp:val=&quot;34D7549E&quot;/&gt;&lt;wsp:rsid wsp:val=&quot;350A1296&quot;/&gt;&lt;wsp:rsid wsp:val=&quot;35150C28&quot;/&gt;&lt;wsp:rsid wsp:val=&quot;35236A40&quot;/&gt;&lt;wsp:rsid wsp:val=&quot;3524545D&quot;/&gt;&lt;wsp:rsid wsp:val=&quot;353454CA&quot;/&gt;&lt;wsp:rsid wsp:val=&quot;35524458&quot;/&gt;&lt;wsp:rsid wsp:val=&quot;3575786D&quot;/&gt;&lt;wsp:rsid wsp:val=&quot;357904D9&quot;/&gt;&lt;wsp:rsid wsp:val=&quot;35B47668&quot;/&gt;&lt;wsp:rsid wsp:val=&quot;35DA5B99&quot;/&gt;&lt;wsp:rsid wsp:val=&quot;35DB6841&quot;/&gt;&lt;wsp:rsid wsp:val=&quot;35E03827&quot;/&gt;&lt;wsp:rsid wsp:val=&quot;35F30E34&quot;/&gt;&lt;wsp:rsid wsp:val=&quot;361338AB&quot;/&gt;&lt;wsp:rsid wsp:val=&quot;362B2304&quot;/&gt;&lt;wsp:rsid wsp:val=&quot;362E16FE&quot;/&gt;&lt;wsp:rsid wsp:val=&quot;36405937&quot;/&gt;&lt;wsp:rsid wsp:val=&quot;364D6997&quot;/&gt;&lt;wsp:rsid wsp:val=&quot;365D363B&quot;/&gt;&lt;wsp:rsid wsp:val=&quot;365E171E&quot;/&gt;&lt;wsp:rsid wsp:val=&quot;36605943&quot;/&gt;&lt;wsp:rsid wsp:val=&quot;368710DC&quot;/&gt;&lt;wsp:rsid wsp:val=&quot;36973977&quot;/&gt;&lt;wsp:rsid wsp:val=&quot;36C4200F&quot;/&gt;&lt;wsp:rsid wsp:val=&quot;36C97B4E&quot;/&gt;&lt;wsp:rsid wsp:val=&quot;36D21CDD&quot;/&gt;&lt;wsp:rsid wsp:val=&quot;36D536A0&quot;/&gt;&lt;wsp:rsid wsp:val=&quot;36D65F12&quot;/&gt;&lt;wsp:rsid wsp:val=&quot;36FE2B73&quot;/&gt;&lt;wsp:rsid wsp:val=&quot;37031B34&quot;/&gt;&lt;wsp:rsid wsp:val=&quot;37543887&quot;/&gt;&lt;wsp:rsid wsp:val=&quot;376F0F93&quot;/&gt;&lt;wsp:rsid wsp:val=&quot;37717A20&quot;/&gt;&lt;wsp:rsid wsp:val=&quot;37757726&quot;/&gt;&lt;wsp:rsid wsp:val=&quot;378056A6&quot;/&gt;&lt;wsp:rsid wsp:val=&quot;37C0591F&quot;/&gt;&lt;wsp:rsid wsp:val=&quot;37C67787&quot;/&gt;&lt;wsp:rsid wsp:val=&quot;37E33A19&quot;/&gt;&lt;wsp:rsid wsp:val=&quot;37F6647B&quot;/&gt;&lt;wsp:rsid wsp:val=&quot;381E75AF&quot;/&gt;&lt;wsp:rsid wsp:val=&quot;385A4844&quot;/&gt;&lt;wsp:rsid wsp:val=&quot;387873FA&quot;/&gt;&lt;wsp:rsid wsp:val=&quot;387A4C79&quot;/&gt;&lt;wsp:rsid wsp:val=&quot;387B299E&quot;/&gt;&lt;wsp:rsid wsp:val=&quot;387F48A0&quot;/&gt;&lt;wsp:rsid wsp:val=&quot;38AD15C3&quot;/&gt;&lt;wsp:rsid wsp:val=&quot;38B51521&quot;/&gt;&lt;wsp:rsid wsp:val=&quot;38BA7D5C&quot;/&gt;&lt;wsp:rsid wsp:val=&quot;38EB664B&quot;/&gt;&lt;wsp:rsid wsp:val=&quot;38F80837&quot;/&gt;&lt;wsp:rsid wsp:val=&quot;38F91BCD&quot;/&gt;&lt;wsp:rsid wsp:val=&quot;39070AAC&quot;/&gt;&lt;wsp:rsid wsp:val=&quot;39086358&quot;/&gt;&lt;wsp:rsid wsp:val=&quot;393153B7&quot;/&gt;&lt;wsp:rsid wsp:val=&quot;394C52C9&quot;/&gt;&lt;wsp:rsid wsp:val=&quot;39697CD8&quot;/&gt;&lt;wsp:rsid wsp:val=&quot;39751EC5&quot;/&gt;&lt;wsp:rsid wsp:val=&quot;398C5842&quot;/&gt;&lt;wsp:rsid wsp:val=&quot;399C5CC5&quot;/&gt;&lt;wsp:rsid wsp:val=&quot;399E558B&quot;/&gt;&lt;wsp:rsid wsp:val=&quot;39BF6E97&quot;/&gt;&lt;wsp:rsid wsp:val=&quot;39D66A57&quot;/&gt;&lt;wsp:rsid wsp:val=&quot;39DE7E7E&quot;/&gt;&lt;wsp:rsid wsp:val=&quot;39EC17AA&quot;/&gt;&lt;wsp:rsid wsp:val=&quot;3A085559&quot;/&gt;&lt;wsp:rsid wsp:val=&quot;3A0D141A&quot;/&gt;&lt;wsp:rsid wsp:val=&quot;3A243815&quot;/&gt;&lt;wsp:rsid wsp:val=&quot;3A4B32A1&quot;/&gt;&lt;wsp:rsid wsp:val=&quot;3A5B0B30&quot;/&gt;&lt;wsp:rsid wsp:val=&quot;3A5E46D9&quot;/&gt;&lt;wsp:rsid wsp:val=&quot;3A690617&quot;/&gt;&lt;wsp:rsid wsp:val=&quot;3A6F0291&quot;/&gt;&lt;wsp:rsid wsp:val=&quot;3A8A71D1&quot;/&gt;&lt;wsp:rsid wsp:val=&quot;3AB12108&quot;/&gt;&lt;wsp:rsid wsp:val=&quot;3ABE5CE0&quot;/&gt;&lt;wsp:rsid wsp:val=&quot;3ADA1058&quot;/&gt;&lt;wsp:rsid wsp:val=&quot;3B011173&quot;/&gt;&lt;wsp:rsid wsp:val=&quot;3B104A62&quot;/&gt;&lt;wsp:rsid wsp:val=&quot;3B6363EA&quot;/&gt;&lt;wsp:rsid wsp:val=&quot;3B804D03&quot;/&gt;&lt;wsp:rsid wsp:val=&quot;3B9916CD&quot;/&gt;&lt;wsp:rsid wsp:val=&quot;3BF269D8&quot;/&gt;&lt;wsp:rsid wsp:val=&quot;3C1B4329&quot;/&gt;&lt;wsp:rsid wsp:val=&quot;3C235DF5&quot;/&gt;&lt;wsp:rsid wsp:val=&quot;3C374014&quot;/&gt;&lt;wsp:rsid wsp:val=&quot;3C405B17&quot;/&gt;&lt;wsp:rsid wsp:val=&quot;3C764C2E&quot;/&gt;&lt;wsp:rsid wsp:val=&quot;3C78126A&quot;/&gt;&lt;wsp:rsid wsp:val=&quot;3CA562E6&quot;/&gt;&lt;wsp:rsid wsp:val=&quot;3CA740F0&quot;/&gt;&lt;wsp:rsid wsp:val=&quot;3CB607D5&quot;/&gt;&lt;wsp:rsid wsp:val=&quot;3D000F92&quot;/&gt;&lt;wsp:rsid wsp:val=&quot;3D0E21B3&quot;/&gt;&lt;wsp:rsid wsp:val=&quot;3D326B36&quot;/&gt;&lt;wsp:rsid wsp:val=&quot;3D3B50E0&quot;/&gt;&lt;wsp:rsid wsp:val=&quot;3D7C2D6C&quot;/&gt;&lt;wsp:rsid wsp:val=&quot;3D9D6AC0&quot;/&gt;&lt;wsp:rsid wsp:val=&quot;3DAF6A47&quot;/&gt;&lt;wsp:rsid wsp:val=&quot;3DBD53A4&quot;/&gt;&lt;wsp:rsid wsp:val=&quot;3DC51720&quot;/&gt;&lt;wsp:rsid wsp:val=&quot;3DD3268E&quot;/&gt;&lt;wsp:rsid wsp:val=&quot;3DF05AC1&quot;/&gt;&lt;wsp:rsid wsp:val=&quot;3E085F49&quot;/&gt;&lt;wsp:rsid wsp:val=&quot;3E4E24CC&quot;/&gt;&lt;wsp:rsid wsp:val=&quot;3E5B55DC&quot;/&gt;&lt;wsp:rsid wsp:val=&quot;3E5F33E4&quot;/&gt;&lt;wsp:rsid wsp:val=&quot;3E8B042A&quot;/&gt;&lt;wsp:rsid wsp:val=&quot;3EA93C33&quot;/&gt;&lt;wsp:rsid wsp:val=&quot;3EBC620A&quot;/&gt;&lt;wsp:rsid wsp:val=&quot;3ECE6552&quot;/&gt;&lt;wsp:rsid wsp:val=&quot;3ED1585F&quot;/&gt;&lt;wsp:rsid wsp:val=&quot;3EEF7213&quot;/&gt;&lt;wsp:rsid wsp:val=&quot;3F4976AD&quot;/&gt;&lt;wsp:rsid wsp:val=&quot;3F570BE9&quot;/&gt;&lt;wsp:rsid wsp:val=&quot;3F623298&quot;/&gt;&lt;wsp:rsid wsp:val=&quot;3F786788&quot;/&gt;&lt;wsp:rsid wsp:val=&quot;3F794993&quot;/&gt;&lt;wsp:rsid wsp:val=&quot;3F984A72&quot;/&gt;&lt;wsp:rsid wsp:val=&quot;400870C2&quot;/&gt;&lt;wsp:rsid wsp:val=&quot;401A0C18&quot;/&gt;&lt;wsp:rsid wsp:val=&quot;4023326A&quot;/&gt;&lt;wsp:rsid wsp:val=&quot;40262630&quot;/&gt;&lt;wsp:rsid wsp:val=&quot;402747A2&quot;/&gt;&lt;wsp:rsid wsp:val=&quot;4049774E&quot;/&gt;&lt;wsp:rsid wsp:val=&quot;405940CB&quot;/&gt;&lt;wsp:rsid wsp:val=&quot;40A36822&quot;/&gt;&lt;wsp:rsid wsp:val=&quot;40C04433&quot;/&gt;&lt;wsp:rsid wsp:val=&quot;41077F82&quot;/&gt;&lt;wsp:rsid wsp:val=&quot;410D1033&quot;/&gt;&lt;wsp:rsid wsp:val=&quot;41395D7D&quot;/&gt;&lt;wsp:rsid wsp:val=&quot;41477B3B&quot;/&gt;&lt;wsp:rsid wsp:val=&quot;41477BA1&quot;/&gt;&lt;wsp:rsid wsp:val=&quot;41484221&quot;/&gt;&lt;wsp:rsid wsp:val=&quot;417738DA&quot;/&gt;&lt;wsp:rsid wsp:val=&quot;417D7C80&quot;/&gt;&lt;wsp:rsid wsp:val=&quot;41816113&quot;/&gt;&lt;wsp:rsid wsp:val=&quot;41AA6801&quot;/&gt;&lt;wsp:rsid wsp:val=&quot;41D36A8F&quot;/&gt;&lt;wsp:rsid wsp:val=&quot;41F35C21&quot;/&gt;&lt;wsp:rsid wsp:val=&quot;424106DB&quot;/&gt;&lt;wsp:rsid wsp:val=&quot;426C6856&quot;/&gt;&lt;wsp:rsid wsp:val=&quot;427E69B4&quot;/&gt;&lt;wsp:rsid wsp:val=&quot;428F02C5&quot;/&gt;&lt;wsp:rsid wsp:val=&quot;429D2635&quot;/&gt;&lt;wsp:rsid wsp:val=&quot;42A87357&quot;/&gt;&lt;wsp:rsid wsp:val=&quot;42AA350F&quot;/&gt;&lt;wsp:rsid wsp:val=&quot;42BD65CC&quot;/&gt;&lt;wsp:rsid wsp:val=&quot;42C24E21&quot;/&gt;&lt;wsp:rsid wsp:val=&quot;42CE5649&quot;/&gt;&lt;wsp:rsid wsp:val=&quot;42FA2A7B&quot;/&gt;&lt;wsp:rsid wsp:val=&quot;4320160B&quot;/&gt;&lt;wsp:rsid wsp:val=&quot;432C3F5D&quot;/&gt;&lt;wsp:rsid wsp:val=&quot;434B5E2D&quot;/&gt;&lt;wsp:rsid wsp:val=&quot;437D6E98&quot;/&gt;&lt;wsp:rsid wsp:val=&quot;43836645&quot;/&gt;&lt;wsp:rsid wsp:val=&quot;439169D3&quot;/&gt;&lt;wsp:rsid wsp:val=&quot;43D82842&quot;/&gt;&lt;wsp:rsid wsp:val=&quot;43EC02AC&quot;/&gt;&lt;wsp:rsid wsp:val=&quot;43FB717B&quot;/&gt;&lt;wsp:rsid wsp:val=&quot;441C3BCF&quot;/&gt;&lt;wsp:rsid wsp:val=&quot;442108A7&quot;/&gt;&lt;wsp:rsid wsp:val=&quot;442153F6&quot;/&gt;&lt;wsp:rsid wsp:val=&quot;442E12C3&quot;/&gt;&lt;wsp:rsid wsp:val=&quot;44340402&quot;/&gt;&lt;wsp:rsid wsp:val=&quot;444C72EA&quot;/&gt;&lt;wsp:rsid wsp:val=&quot;4454356C&quot;/&gt;&lt;wsp:rsid wsp:val=&quot;44754B24&quot;/&gt;&lt;wsp:rsid wsp:val=&quot;4485170E&quot;/&gt;&lt;wsp:rsid wsp:val=&quot;449F6FFD&quot;/&gt;&lt;wsp:rsid wsp:val=&quot;44C724FF&quot;/&gt;&lt;wsp:rsid wsp:val=&quot;44CD439E&quot;/&gt;&lt;wsp:rsid wsp:val=&quot;459C5113&quot;/&gt;&lt;wsp:rsid wsp:val=&quot;45DE1958&quot;/&gt;&lt;wsp:rsid wsp:val=&quot;45F71D3F&quot;/&gt;&lt;wsp:rsid wsp:val=&quot;46081FAF&quot;/&gt;&lt;wsp:rsid wsp:val=&quot;460B711F&quot;/&gt;&lt;wsp:rsid wsp:val=&quot;460F572D&quot;/&gt;&lt;wsp:rsid wsp:val=&quot;462F6A17&quot;/&gt;&lt;wsp:rsid wsp:val=&quot;4656226A&quot;/&gt;&lt;wsp:rsid wsp:val=&quot;46577F66&quot;/&gt;&lt;wsp:rsid wsp:val=&quot;466C43AB&quot;/&gt;&lt;wsp:rsid wsp:val=&quot;46840BAD&quot;/&gt;&lt;wsp:rsid wsp:val=&quot;469337F3&quot;/&gt;&lt;wsp:rsid wsp:val=&quot;469708F4&quot;/&gt;&lt;wsp:rsid wsp:val=&quot;469C4109&quot;/&gt;&lt;wsp:rsid wsp:val=&quot;46A3301B&quot;/&gt;&lt;wsp:rsid wsp:val=&quot;46AD78F9&quot;/&gt;&lt;wsp:rsid wsp:val=&quot;46C30060&quot;/&gt;&lt;wsp:rsid wsp:val=&quot;46C308C1&quot;/&gt;&lt;wsp:rsid wsp:val=&quot;46C36A8C&quot;/&gt;&lt;wsp:rsid wsp:val=&quot;470326DB&quot;/&gt;&lt;wsp:rsid wsp:val=&quot;472B4A6A&quot;/&gt;&lt;wsp:rsid wsp:val=&quot;47346D9B&quot;/&gt;&lt;wsp:rsid wsp:val=&quot;474755E1&quot;/&gt;&lt;wsp:rsid wsp:val=&quot;47652383&quot;/&gt;&lt;wsp:rsid wsp:val=&quot;47685307&quot;/&gt;&lt;wsp:rsid wsp:val=&quot;478A6976&quot;/&gt;&lt;wsp:rsid wsp:val=&quot;47AC7750&quot;/&gt;&lt;wsp:rsid wsp:val=&quot;47B635D9&quot;/&gt;&lt;wsp:rsid wsp:val=&quot;47BF26BC&quot;/&gt;&lt;wsp:rsid wsp:val=&quot;48497690&quot;/&gt;&lt;wsp:rsid wsp:val=&quot;485734FA&quot;/&gt;&lt;wsp:rsid wsp:val=&quot;4858792F&quot;/&gt;&lt;wsp:rsid wsp:val=&quot;487F4EAB&quot;/&gt;&lt;wsp:rsid wsp:val=&quot;48853399&quot;/&gt;&lt;wsp:rsid wsp:val=&quot;489020D3&quot;/&gt;&lt;wsp:rsid wsp:val=&quot;489B1A13&quot;/&gt;&lt;wsp:rsid wsp:val=&quot;48C27684&quot;/&gt;&lt;wsp:rsid wsp:val=&quot;48C804FB&quot;/&gt;&lt;wsp:rsid wsp:val=&quot;48EE1788&quot;/&gt;&lt;wsp:rsid wsp:val=&quot;48F21F15&quot;/&gt;&lt;wsp:rsid wsp:val=&quot;48F64ACF&quot;/&gt;&lt;wsp:rsid wsp:val=&quot;49202BBA&quot;/&gt;&lt;wsp:rsid wsp:val=&quot;49270D3A&quot;/&gt;&lt;wsp:rsid wsp:val=&quot;493122F2&quot;/&gt;&lt;wsp:rsid wsp:val=&quot;493356B9&quot;/&gt;&lt;wsp:rsid wsp:val=&quot;496D1E19&quot;/&gt;&lt;wsp:rsid wsp:val=&quot;49736B29&quot;/&gt;&lt;wsp:rsid wsp:val=&quot;49DC07CD&quot;/&gt;&lt;wsp:rsid wsp:val=&quot;4A2E3030&quot;/&gt;&lt;wsp:rsid wsp:val=&quot;4A3F3EF6&quot;/&gt;&lt;wsp:rsid wsp:val=&quot;4A6174E2&quot;/&gt;&lt;wsp:rsid wsp:val=&quot;4A9162C0&quot;/&gt;&lt;wsp:rsid wsp:val=&quot;4A983B3C&quot;/&gt;&lt;wsp:rsid wsp:val=&quot;4AB81A2E&quot;/&gt;&lt;wsp:rsid wsp:val=&quot;4AC07BA8&quot;/&gt;&lt;wsp:rsid wsp:val=&quot;4AC212B3&quot;/&gt;&lt;wsp:rsid wsp:val=&quot;4AC95E57&quot;/&gt;&lt;wsp:rsid wsp:val=&quot;4AF052CA&quot;/&gt;&lt;wsp:rsid wsp:val=&quot;4AFD0240&quot;/&gt;&lt;wsp:rsid wsp:val=&quot;4B050147&quot;/&gt;&lt;wsp:rsid wsp:val=&quot;4B0E54DA&quot;/&gt;&lt;wsp:rsid wsp:val=&quot;4B263B0D&quot;/&gt;&lt;wsp:rsid wsp:val=&quot;4B3165D4&quot;/&gt;&lt;wsp:rsid wsp:val=&quot;4B3F7D61&quot;/&gt;&lt;wsp:rsid wsp:val=&quot;4B5773A6&quot;/&gt;&lt;wsp:rsid wsp:val=&quot;4B717748&quot;/&gt;&lt;wsp:rsid wsp:val=&quot;4B74632E&quot;/&gt;&lt;wsp:rsid wsp:val=&quot;4B8219EF&quot;/&gt;&lt;wsp:rsid wsp:val=&quot;4BA31553&quot;/&gt;&lt;wsp:rsid wsp:val=&quot;4BAF0847&quot;/&gt;&lt;wsp:rsid wsp:val=&quot;4BB62A42&quot;/&gt;&lt;wsp:rsid wsp:val=&quot;4BF43D54&quot;/&gt;&lt;wsp:rsid wsp:val=&quot;4BF9744C&quot;/&gt;&lt;wsp:rsid wsp:val=&quot;4C0057BA&quot;/&gt;&lt;wsp:rsid wsp:val=&quot;4C255EE0&quot;/&gt;&lt;wsp:rsid wsp:val=&quot;4C2A2E2C&quot;/&gt;&lt;wsp:rsid wsp:val=&quot;4C4D6B63&quot;/&gt;&lt;wsp:rsid wsp:val=&quot;4C5377D5&quot;/&gt;&lt;wsp:rsid wsp:val=&quot;4C6004DD&quot;/&gt;&lt;wsp:rsid wsp:val=&quot;4C613502&quot;/&gt;&lt;wsp:rsid wsp:val=&quot;4C6D0F2D&quot;/&gt;&lt;wsp:rsid wsp:val=&quot;4C7D15A1&quot;/&gt;&lt;wsp:rsid wsp:val=&quot;4C83250D&quot;/&gt;&lt;wsp:rsid wsp:val=&quot;4CBF6BE0&quot;/&gt;&lt;wsp:rsid wsp:val=&quot;4CEB0267&quot;/&gt;&lt;wsp:rsid wsp:val=&quot;4CF541A9&quot;/&gt;&lt;wsp:rsid wsp:val=&quot;4D0A22A5&quot;/&gt;&lt;wsp:rsid wsp:val=&quot;4D1261CE&quot;/&gt;&lt;wsp:rsid wsp:val=&quot;4D171FFD&quot;/&gt;&lt;wsp:rsid wsp:val=&quot;4D1F1FF1&quot;/&gt;&lt;wsp:rsid wsp:val=&quot;4D340232&quot;/&gt;&lt;wsp:rsid wsp:val=&quot;4D574B88&quot;/&gt;&lt;wsp:rsid wsp:val=&quot;4D7C63F8&quot;/&gt;&lt;wsp:rsid wsp:val=&quot;4DAA7907&quot;/&gt;&lt;wsp:rsid wsp:val=&quot;4DAB3452&quot;/&gt;&lt;wsp:rsid wsp:val=&quot;4DBA2C26&quot;/&gt;&lt;wsp:rsid wsp:val=&quot;4DED4BF9&quot;/&gt;&lt;wsp:rsid wsp:val=&quot;4E0F7B4A&quot;/&gt;&lt;wsp:rsid wsp:val=&quot;4E145F58&quot;/&gt;&lt;wsp:rsid wsp:val=&quot;4E1B72DF&quot;/&gt;&lt;wsp:rsid wsp:val=&quot;4E5F5EAD&quot;/&gt;&lt;wsp:rsid wsp:val=&quot;4E9D38F9&quot;/&gt;&lt;wsp:rsid wsp:val=&quot;4EDA225F&quot;/&gt;&lt;wsp:rsid wsp:val=&quot;4EE062D0&quot;/&gt;&lt;wsp:rsid wsp:val=&quot;4EE40BEE&quot;/&gt;&lt;wsp:rsid wsp:val=&quot;4EEA1C42&quot;/&gt;&lt;wsp:rsid wsp:val=&quot;4EEE524A&quot;/&gt;&lt;wsp:rsid wsp:val=&quot;4F242985&quot;/&gt;&lt;wsp:rsid wsp:val=&quot;4F32701D&quot;/&gt;&lt;wsp:rsid wsp:val=&quot;4F3E6A2B&quot;/&gt;&lt;wsp:rsid wsp:val=&quot;4F496891&quot;/&gt;&lt;wsp:rsid wsp:val=&quot;4F632E7E&quot;/&gt;&lt;wsp:rsid wsp:val=&quot;4F6A5B37&quot;/&gt;&lt;wsp:rsid wsp:val=&quot;4F8C4CC9&quot;/&gt;&lt;wsp:rsid wsp:val=&quot;4F9A2FBA&quot;/&gt;&lt;wsp:rsid wsp:val=&quot;4FDB0046&quot;/&gt;&lt;wsp:rsid wsp:val=&quot;4FE6166E&quot;/&gt;&lt;wsp:rsid wsp:val=&quot;50074C87&quot;/&gt;&lt;wsp:rsid wsp:val=&quot;500B0181&quot;/&gt;&lt;wsp:rsid wsp:val=&quot;500C1426&quot;/&gt;&lt;wsp:rsid wsp:val=&quot;50100108&quot;/&gt;&lt;wsp:rsid wsp:val=&quot;5026432D&quot;/&gt;&lt;wsp:rsid wsp:val=&quot;50323C15&quot;/&gt;&lt;wsp:rsid wsp:val=&quot;5061391C&quot;/&gt;&lt;wsp:rsid wsp:val=&quot;506A3FA8&quot;/&gt;&lt;wsp:rsid wsp:val=&quot;507F087A&quot;/&gt;&lt;wsp:rsid wsp:val=&quot;5093708C&quot;/&gt;&lt;wsp:rsid wsp:val=&quot;50AD7FA8&quot;/&gt;&lt;wsp:rsid wsp:val=&quot;50B75A6E&quot;/&gt;&lt;wsp:rsid wsp:val=&quot;50C27880&quot;/&gt;&lt;wsp:rsid wsp:val=&quot;50CC313C&quot;/&gt;&lt;wsp:rsid wsp:val=&quot;50E561EC&quot;/&gt;&lt;wsp:rsid wsp:val=&quot;50EF51C9&quot;/&gt;&lt;wsp:rsid wsp:val=&quot;50FF7E74&quot;/&gt;&lt;wsp:rsid wsp:val=&quot;511526F3&quot;/&gt;&lt;wsp:rsid wsp:val=&quot;51594CA5&quot;/&gt;&lt;wsp:rsid wsp:val=&quot;517452DB&quot;/&gt;&lt;wsp:rsid wsp:val=&quot;519708DB&quot;/&gt;&lt;wsp:rsid wsp:val=&quot;51AB4928&quot;/&gt;&lt;wsp:rsid wsp:val=&quot;51D07439&quot;/&gt;&lt;wsp:rsid wsp:val=&quot;51D36AD4&quot;/&gt;&lt;wsp:rsid wsp:val=&quot;520D2D4D&quot;/&gt;&lt;wsp:rsid wsp:val=&quot;523F273C&quot;/&gt;&lt;wsp:rsid wsp:val=&quot;5257071E&quot;/&gt;&lt;wsp:rsid wsp:val=&quot;5268410B&quot;/&gt;&lt;wsp:rsid wsp:val=&quot;52A67B13&quot;/&gt;&lt;wsp:rsid wsp:val=&quot;52AF440E&quot;/&gt;&lt;wsp:rsid wsp:val=&quot;52BF44EE&quot;/&gt;&lt;wsp:rsid wsp:val=&quot;52CE4793&quot;/&gt;&lt;wsp:rsid wsp:val=&quot;52D132E1&quot;/&gt;&lt;wsp:rsid wsp:val=&quot;52D976E2&quot;/&gt;&lt;wsp:rsid wsp:val=&quot;52E27D55&quot;/&gt;&lt;wsp:rsid wsp:val=&quot;53204BBC&quot;/&gt;&lt;wsp:rsid wsp:val=&quot;53316718&quot;/&gt;&lt;wsp:rsid wsp:val=&quot;53401963&quot;/&gt;&lt;wsp:rsid wsp:val=&quot;53467707&quot;/&gt;&lt;wsp:rsid wsp:val=&quot;534F0B98&quot;/&gt;&lt;wsp:rsid wsp:val=&quot;535D4334&quot;/&gt;&lt;wsp:rsid wsp:val=&quot;53624B68&quot;/&gt;&lt;wsp:rsid wsp:val=&quot;537A2B9B&quot;/&gt;&lt;wsp:rsid wsp:val=&quot;539F7A99&quot;/&gt;&lt;wsp:rsid wsp:val=&quot;53B12142&quot;/&gt;&lt;wsp:rsid wsp:val=&quot;53B80C21&quot;/&gt;&lt;wsp:rsid wsp:val=&quot;53F26A5C&quot;/&gt;&lt;wsp:rsid wsp:val=&quot;54177340&quot;/&gt;&lt;wsp:rsid wsp:val=&quot;54204A87&quot;/&gt;&lt;wsp:rsid wsp:val=&quot;54264AF8&quot;/&gt;&lt;wsp:rsid wsp:val=&quot;54505B4E&quot;/&gt;&lt;wsp:rsid wsp:val=&quot;545633E6&quot;/&gt;&lt;wsp:rsid wsp:val=&quot;54743A4E&quot;/&gt;&lt;wsp:rsid wsp:val=&quot;54772EEC&quot;/&gt;&lt;wsp:rsid wsp:val=&quot;54B45049&quot;/&gt;&lt;wsp:rsid wsp:val=&quot;54B55E90&quot;/&gt;&lt;wsp:rsid wsp:val=&quot;54ED3D5F&quot;/&gt;&lt;wsp:rsid wsp:val=&quot;550F2946&quot;/&gt;&lt;wsp:rsid wsp:val=&quot;55351DD9&quot;/&gt;&lt;wsp:rsid wsp:val=&quot;553D6CE4&quot;/&gt;&lt;wsp:rsid wsp:val=&quot;555F11ED&quot;/&gt;&lt;wsp:rsid wsp:val=&quot;556A2638&quot;/&gt;&lt;wsp:rsid wsp:val=&quot;557026A6&quot;/&gt;&lt;wsp:rsid wsp:val=&quot;55C5656D&quot;/&gt;&lt;wsp:rsid wsp:val=&quot;560A4CF4&quot;/&gt;&lt;wsp:rsid wsp:val=&quot;5612022F&quot;/&gt;&lt;wsp:rsid wsp:val=&quot;56421B90&quot;/&gt;&lt;wsp:rsid wsp:val=&quot;56472402&quot;/&gt;&lt;wsp:rsid wsp:val=&quot;56666951&quot;/&gt;&lt;wsp:rsid wsp:val=&quot;568A5EF7&quot;/&gt;&lt;wsp:rsid wsp:val=&quot;569A01F5&quot;/&gt;&lt;wsp:rsid wsp:val=&quot;57045863&quot;/&gt;&lt;wsp:rsid wsp:val=&quot;5705360F&quot;/&gt;&lt;wsp:rsid wsp:val=&quot;570D094F&quot;/&gt;&lt;wsp:rsid wsp:val=&quot;57701CE1&quot;/&gt;&lt;wsp:rsid wsp:val=&quot;57742D5B&quot;/&gt;&lt;wsp:rsid wsp:val=&quot;5784353B&quot;/&gt;&lt;wsp:rsid wsp:val=&quot;57A65469&quot;/&gt;&lt;wsp:rsid wsp:val=&quot;57BB0AD9&quot;/&gt;&lt;wsp:rsid wsp:val=&quot;57E116D3&quot;/&gt;&lt;wsp:rsid wsp:val=&quot;57EC7BE9&quot;/&gt;&lt;wsp:rsid wsp:val=&quot;57F205FF&quot;/&gt;&lt;wsp:rsid wsp:val=&quot;57FB1A0A&quot;/&gt;&lt;wsp:rsid wsp:val=&quot;5802359C&quot;/&gt;&lt;wsp:rsid wsp:val=&quot;580A0C13&quot;/&gt;&lt;wsp:rsid wsp:val=&quot;580D58C7&quot;/&gt;&lt;wsp:rsid wsp:val=&quot;582746B4&quot;/&gt;&lt;wsp:rsid wsp:val=&quot;5833406E&quot;/&gt;&lt;wsp:rsid wsp:val=&quot;583E7E3D&quot;/&gt;&lt;wsp:rsid wsp:val=&quot;58776D73&quot;/&gt;&lt;wsp:rsid wsp:val=&quot;588D2C31&quot;/&gt;&lt;wsp:rsid wsp:val=&quot;589B43DD&quot;/&gt;&lt;wsp:rsid wsp:val=&quot;58AD6B4D&quot;/&gt;&lt;wsp:rsid wsp:val=&quot;58BB1973&quot;/&gt;&lt;wsp:rsid wsp:val=&quot;58BC5E1B&quot;/&gt;&lt;wsp:rsid wsp:val=&quot;58C16BCA&quot;/&gt;&lt;wsp:rsid wsp:val=&quot;58EF0F63&quot;/&gt;&lt;wsp:rsid wsp:val=&quot;58F06E3A&quot;/&gt;&lt;wsp:rsid wsp:val=&quot;58FF77DA&quot;/&gt;&lt;wsp:rsid wsp:val=&quot;59222399&quot;/&gt;&lt;wsp:rsid wsp:val=&quot;592655FD&quot;/&gt;&lt;wsp:rsid wsp:val=&quot;593E53C7&quot;/&gt;&lt;wsp:rsid wsp:val=&quot;594012D1&quot;/&gt;&lt;wsp:rsid wsp:val=&quot;59592AF7&quot;/&gt;&lt;wsp:rsid wsp:val=&quot;596F5B63&quot;/&gt;&lt;wsp:rsid wsp:val=&quot;59844B60&quot;/&gt;&lt;wsp:rsid wsp:val=&quot;59A91C39&quot;/&gt;&lt;wsp:rsid wsp:val=&quot;59CF1D3D&quot;/&gt;&lt;wsp:rsid wsp:val=&quot;59D96B24&quot;/&gt;&lt;wsp:rsid wsp:val=&quot;59F131E8&quot;/&gt;&lt;wsp:rsid wsp:val=&quot;59FA5681&quot;/&gt;&lt;wsp:rsid wsp:val=&quot;5A1C0D57&quot;/&gt;&lt;wsp:rsid wsp:val=&quot;5A2055FA&quot;/&gt;&lt;wsp:rsid wsp:val=&quot;5A4A1383&quot;/&gt;&lt;wsp:rsid wsp:val=&quot;5AAF0003&quot;/&gt;&lt;wsp:rsid wsp:val=&quot;5AC11AB0&quot;/&gt;&lt;wsp:rsid wsp:val=&quot;5AEA4FAB&quot;/&gt;&lt;wsp:rsid wsp:val=&quot;5AF4385A&quot;/&gt;&lt;wsp:rsid wsp:val=&quot;5AF64539&quot;/&gt;&lt;wsp:rsid wsp:val=&quot;5AFD2EA9&quot;/&gt;&lt;wsp:rsid wsp:val=&quot;5B1D0CF1&quot;/&gt;&lt;wsp:rsid wsp:val=&quot;5B3148A8&quot;/&gt;&lt;wsp:rsid wsp:val=&quot;5B353824&quot;/&gt;&lt;wsp:rsid wsp:val=&quot;5B390C8A&quot;/&gt;&lt;wsp:rsid wsp:val=&quot;5B606048&quot;/&gt;&lt;wsp:rsid wsp:val=&quot;5B6323B3&quot;/&gt;&lt;wsp:rsid wsp:val=&quot;5B7F3653&quot;/&gt;&lt;wsp:rsid wsp:val=&quot;5B8706B2&quot;/&gt;&lt;wsp:rsid wsp:val=&quot;5B95566A&quot;/&gt;&lt;wsp:rsid wsp:val=&quot;5BA57DC1&quot;/&gt;&lt;wsp:rsid wsp:val=&quot;5BB278B3&quot;/&gt;&lt;wsp:rsid wsp:val=&quot;5BC67C3D&quot;/&gt;&lt;wsp:rsid wsp:val=&quot;5BCD6484&quot;/&gt;&lt;wsp:rsid wsp:val=&quot;5BDB2C5E&quot;/&gt;&lt;wsp:rsid wsp:val=&quot;5BF5158C&quot;/&gt;&lt;wsp:rsid wsp:val=&quot;5BF96B26&quot;/&gt;&lt;wsp:rsid wsp:val=&quot;5C1E4E12&quot;/&gt;&lt;wsp:rsid wsp:val=&quot;5C264FCE&quot;/&gt;&lt;wsp:rsid wsp:val=&quot;5C620D5C&quot;/&gt;&lt;wsp:rsid wsp:val=&quot;5C692678&quot;/&gt;&lt;wsp:rsid wsp:val=&quot;5C6E5321&quot;/&gt;&lt;wsp:rsid wsp:val=&quot;5C6E6FB0&quot;/&gt;&lt;wsp:rsid wsp:val=&quot;5C8079BB&quot;/&gt;&lt;wsp:rsid wsp:val=&quot;5C825C30&quot;/&gt;&lt;wsp:rsid wsp:val=&quot;5C840D3A&quot;/&gt;&lt;wsp:rsid wsp:val=&quot;5C8D5E95&quot;/&gt;&lt;wsp:rsid wsp:val=&quot;5CBC6CDE&quot;/&gt;&lt;wsp:rsid wsp:val=&quot;5CDA26BC&quot;/&gt;&lt;wsp:rsid wsp:val=&quot;5CE74C7F&quot;/&gt;&lt;wsp:rsid wsp:val=&quot;5CF224BA&quot;/&gt;&lt;wsp:rsid wsp:val=&quot;5D1771B2&quot;/&gt;&lt;wsp:rsid wsp:val=&quot;5D287851&quot;/&gt;&lt;wsp:rsid wsp:val=&quot;5D393E0A&quot;/&gt;&lt;wsp:rsid wsp:val=&quot;5D590B65&quot;/&gt;&lt;wsp:rsid wsp:val=&quot;5DAB02C3&quot;/&gt;&lt;wsp:rsid wsp:val=&quot;5DE56B63&quot;/&gt;&lt;wsp:rsid wsp:val=&quot;5E0510EF&quot;/&gt;&lt;wsp:rsid wsp:val=&quot;5E293FC2&quot;/&gt;&lt;wsp:rsid wsp:val=&quot;5E347196&quot;/&gt;&lt;wsp:rsid wsp:val=&quot;5E3D30B0&quot;/&gt;&lt;wsp:rsid wsp:val=&quot;5E57036E&quot;/&gt;&lt;wsp:rsid wsp:val=&quot;5E6368FD&quot;/&gt;&lt;wsp:rsid wsp:val=&quot;5E666A3F&quot;/&gt;&lt;wsp:rsid wsp:val=&quot;5E702C84&quot;/&gt;&lt;wsp:rsid wsp:val=&quot;5E9630AB&quot;/&gt;&lt;wsp:rsid wsp:val=&quot;5E9B4927&quot;/&gt;&lt;wsp:rsid wsp:val=&quot;5E9C28C8&quot;/&gt;&lt;wsp:rsid wsp:val=&quot;5EAE0FD2&quot;/&gt;&lt;wsp:rsid wsp:val=&quot;5EBA5034&quot;/&gt;&lt;wsp:rsid wsp:val=&quot;5EC21422&quot;/&gt;&lt;wsp:rsid wsp:val=&quot;5ED0368B&quot;/&gt;&lt;wsp:rsid wsp:val=&quot;5EDF0139&quot;/&gt;&lt;wsp:rsid wsp:val=&quot;5EF83C50&quot;/&gt;&lt;wsp:rsid wsp:val=&quot;5F067FCF&quot;/&gt;&lt;wsp:rsid wsp:val=&quot;5F1D7064&quot;/&gt;&lt;wsp:rsid wsp:val=&quot;5F2A1C14&quot;/&gt;&lt;wsp:rsid wsp:val=&quot;5F444712&quot;/&gt;&lt;wsp:rsid wsp:val=&quot;5F4E4C4C&quot;/&gt;&lt;wsp:rsid wsp:val=&quot;5F7043FE&quot;/&gt;&lt;wsp:rsid wsp:val=&quot;5F710A7F&quot;/&gt;&lt;wsp:rsid wsp:val=&quot;5F780D4D&quot;/&gt;&lt;wsp:rsid wsp:val=&quot;5F8B4429&quot;/&gt;&lt;wsp:rsid wsp:val=&quot;5FBB5C02&quot;/&gt;&lt;wsp:rsid wsp:val=&quot;5FBF25E4&quot;/&gt;&lt;wsp:rsid wsp:val=&quot;5FC375E0&quot;/&gt;&lt;wsp:rsid wsp:val=&quot;5FCA599E&quot;/&gt;&lt;wsp:rsid wsp:val=&quot;5FE912CE&quot;/&gt;&lt;wsp:rsid wsp:val=&quot;5FEF3AD8&quot;/&gt;&lt;wsp:rsid wsp:val=&quot;600A4169&quot;/&gt;&lt;wsp:rsid wsp:val=&quot;60223B74&quot;/&gt;&lt;wsp:rsid wsp:val=&quot;60533D6B&quot;/&gt;&lt;wsp:rsid wsp:val=&quot;60620E30&quot;/&gt;&lt;wsp:rsid wsp:val=&quot;606547A6&quot;/&gt;&lt;wsp:rsid wsp:val=&quot;607064A8&quot;/&gt;&lt;wsp:rsid wsp:val=&quot;6089643B&quot;/&gt;&lt;wsp:rsid wsp:val=&quot;608B3518&quot;/&gt;&lt;wsp:rsid wsp:val=&quot;60B613DE&quot;/&gt;&lt;wsp:rsid wsp:val=&quot;60B8317C&quot;/&gt;&lt;wsp:rsid wsp:val=&quot;60BD49ED&quot;/&gt;&lt;wsp:rsid wsp:val=&quot;6119270A&quot;/&gt;&lt;wsp:rsid wsp:val=&quot;612D4ADF&quot;/&gt;&lt;wsp:rsid wsp:val=&quot;61333C09&quot;/&gt;&lt;wsp:rsid wsp:val=&quot;613563AB&quot;/&gt;&lt;wsp:rsid wsp:val=&quot;615B484C&quot;/&gt;&lt;wsp:rsid wsp:val=&quot;617F7063&quot;/&gt;&lt;wsp:rsid wsp:val=&quot;61885B3F&quot;/&gt;&lt;wsp:rsid wsp:val=&quot;61A87F74&quot;/&gt;&lt;wsp:rsid wsp:val=&quot;61BA4B62&quot;/&gt;&lt;wsp:rsid wsp:val=&quot;61BD1D44&quot;/&gt;&lt;wsp:rsid wsp:val=&quot;61DB12AA&quot;/&gt;&lt;wsp:rsid wsp:val=&quot;61DB4514&quot;/&gt;&lt;wsp:rsid wsp:val=&quot;62184073&quot;/&gt;&lt;wsp:rsid wsp:val=&quot;62653E93&quot;/&gt;&lt;wsp:rsid wsp:val=&quot;627F491E&quot;/&gt;&lt;wsp:rsid wsp:val=&quot;62975385&quot;/&gt;&lt;wsp:rsid wsp:val=&quot;630E29F6&quot;/&gt;&lt;wsp:rsid wsp:val=&quot;6311379D&quot;/&gt;&lt;wsp:rsid wsp:val=&quot;63267D30&quot;/&gt;&lt;wsp:rsid wsp:val=&quot;63291654&quot;/&gt;&lt;wsp:rsid wsp:val=&quot;632B44B3&quot;/&gt;&lt;wsp:rsid wsp:val=&quot;635C4DD4&quot;/&gt;&lt;wsp:rsid wsp:val=&quot;635F619D&quot;/&gt;&lt;wsp:rsid wsp:val=&quot;63A91A4E&quot;/&gt;&lt;wsp:rsid wsp:val=&quot;63A920F1&quot;/&gt;&lt;wsp:rsid wsp:val=&quot;63C52167&quot;/&gt;&lt;wsp:rsid wsp:val=&quot;63C61140&quot;/&gt;&lt;wsp:rsid wsp:val=&quot;63E3740A&quot;/&gt;&lt;wsp:rsid wsp:val=&quot;63E539DF&quot;/&gt;&lt;wsp:rsid wsp:val=&quot;63EA2F53&quot;/&gt;&lt;wsp:rsid wsp:val=&quot;64347118&quot;/&gt;&lt;wsp:rsid wsp:val=&quot;645925C1&quot;/&gt;&lt;wsp:rsid wsp:val=&quot;64925BC1&quot;/&gt;&lt;wsp:rsid wsp:val=&quot;64BD21EB&quot;/&gt;&lt;wsp:rsid wsp:val=&quot;64BD3864&quot;/&gt;&lt;wsp:rsid wsp:val=&quot;64E05334&quot;/&gt;&lt;wsp:rsid wsp:val=&quot;64E24779&quot;/&gt;&lt;wsp:rsid wsp:val=&quot;64FF31EE&quot;/&gt;&lt;wsp:rsid wsp:val=&quot;650712E0&quot;/&gt;&lt;wsp:rsid wsp:val=&quot;654357CA&quot;/&gt;&lt;wsp:rsid wsp:val=&quot;654472AC&quot;/&gt;&lt;wsp:rsid wsp:val=&quot;654D6C15&quot;/&gt;&lt;wsp:rsid wsp:val=&quot;654E1EB3&quot;/&gt;&lt;wsp:rsid wsp:val=&quot;655C5F60&quot;/&gt;&lt;wsp:rsid wsp:val=&quot;65667912&quot;/&gt;&lt;wsp:rsid wsp:val=&quot;656D4319&quot;/&gt;&lt;wsp:rsid wsp:val=&quot;6575573F&quot;/&gt;&lt;wsp:rsid wsp:val=&quot;65912AED&quot;/&gt;&lt;wsp:rsid wsp:val=&quot;65A25187&quot;/&gt;&lt;wsp:rsid wsp:val=&quot;65B87C4A&quot;/&gt;&lt;wsp:rsid wsp:val=&quot;65CF5A84&quot;/&gt;&lt;wsp:rsid wsp:val=&quot;65E72673&quot;/&gt;&lt;wsp:rsid wsp:val=&quot;66434F99&quot;/&gt;&lt;wsp:rsid wsp:val=&quot;666E744C&quot;/&gt;&lt;wsp:rsid wsp:val=&quot;66757B54&quot;/&gt;&lt;wsp:rsid wsp:val=&quot;667A3EC1&quot;/&gt;&lt;wsp:rsid wsp:val=&quot;66B172FF&quot;/&gt;&lt;wsp:rsid wsp:val=&quot;66C24222&quot;/&gt;&lt;wsp:rsid wsp:val=&quot;66EE57BF&quot;/&gt;&lt;wsp:rsid wsp:val=&quot;66F9215B&quot;/&gt;&lt;wsp:rsid wsp:val=&quot;67256437&quot;/&gt;&lt;wsp:rsid wsp:val=&quot;67354752&quot;/&gt;&lt;wsp:rsid wsp:val=&quot;6759547F&quot;/&gt;&lt;wsp:rsid wsp:val=&quot;67813D9A&quot;/&gt;&lt;wsp:rsid wsp:val=&quot;67926558&quot;/&gt;&lt;wsp:rsid wsp:val=&quot;67945EE4&quot;/&gt;&lt;wsp:rsid wsp:val=&quot;67A35A87&quot;/&gt;&lt;wsp:rsid wsp:val=&quot;67D70CBC&quot;/&gt;&lt;wsp:rsid wsp:val=&quot;67E0009B&quot;/&gt;&lt;wsp:rsid wsp:val=&quot;680D0927&quot;/&gt;&lt;wsp:rsid wsp:val=&quot;680F5930&quot;/&gt;&lt;wsp:rsid wsp:val=&quot;681704ED&quot;/&gt;&lt;wsp:rsid wsp:val=&quot;683A0C06&quot;/&gt;&lt;wsp:rsid wsp:val=&quot;68664706&quot;/&gt;&lt;wsp:rsid wsp:val=&quot;68774AEE&quot;/&gt;&lt;wsp:rsid wsp:val=&quot;687E704C&quot;/&gt;&lt;wsp:rsid wsp:val=&quot;68893BCD&quot;/&gt;&lt;wsp:rsid wsp:val=&quot;688D501B&quot;/&gt;&lt;wsp:rsid wsp:val=&quot;6900327E&quot;/&gt;&lt;wsp:rsid wsp:val=&quot;69366A3D&quot;/&gt;&lt;wsp:rsid wsp:val=&quot;69613621&quot;/&gt;&lt;wsp:rsid wsp:val=&quot;696E2C94&quot;/&gt;&lt;wsp:rsid wsp:val=&quot;6982639A&quot;/&gt;&lt;wsp:rsid wsp:val=&quot;69957638&quot;/&gt;&lt;wsp:rsid wsp:val=&quot;699C279A&quot;/&gt;&lt;wsp:rsid wsp:val=&quot;69A30758&quot;/&gt;&lt;wsp:rsid wsp:val=&quot;69AD40AA&quot;/&gt;&lt;wsp:rsid wsp:val=&quot;69B14C24&quot;/&gt;&lt;wsp:rsid wsp:val=&quot;69B71201&quot;/&gt;&lt;wsp:rsid wsp:val=&quot;69CB07CB&quot;/&gt;&lt;wsp:rsid wsp:val=&quot;69D756EB&quot;/&gt;&lt;wsp:rsid wsp:val=&quot;69EB3FE6&quot;/&gt;&lt;wsp:rsid wsp:val=&quot;69FB7AAC&quot;/&gt;&lt;wsp:rsid wsp:val=&quot;6A0D1BAE&quot;/&gt;&lt;wsp:rsid wsp:val=&quot;6A167AAB&quot;/&gt;&lt;wsp:rsid wsp:val=&quot;6A2629A7&quot;/&gt;&lt;wsp:rsid wsp:val=&quot;6A2D7FEB&quot;/&gt;&lt;wsp:rsid wsp:val=&quot;6A332AE7&quot;/&gt;&lt;wsp:rsid wsp:val=&quot;6A3860C1&quot;/&gt;&lt;wsp:rsid wsp:val=&quot;6A5467B5&quot;/&gt;&lt;wsp:rsid wsp:val=&quot;6A6D00F1&quot;/&gt;&lt;wsp:rsid wsp:val=&quot;6A777167&quot;/&gt;&lt;wsp:rsid wsp:val=&quot;6A8A2827&quot;/&gt;&lt;wsp:rsid wsp:val=&quot;6A9117B3&quot;/&gt;&lt;wsp:rsid wsp:val=&quot;6AB101F5&quot;/&gt;&lt;wsp:rsid wsp:val=&quot;6AC55968&quot;/&gt;&lt;wsp:rsid wsp:val=&quot;6AEA367C&quot;/&gt;&lt;wsp:rsid wsp:val=&quot;6B1371F3&quot;/&gt;&lt;wsp:rsid wsp:val=&quot;6B223469&quot;/&gt;&lt;wsp:rsid wsp:val=&quot;6B4C09FB&quot;/&gt;&lt;wsp:rsid wsp:val=&quot;6B570201&quot;/&gt;&lt;wsp:rsid wsp:val=&quot;6B8E54A6&quot;/&gt;&lt;wsp:rsid wsp:val=&quot;6BAF2D04&quot;/&gt;&lt;wsp:rsid wsp:val=&quot;6BEA4255&quot;/&gt;&lt;wsp:rsid wsp:val=&quot;6BEB1226&quot;/&gt;&lt;wsp:rsid wsp:val=&quot;6BFF42BB&quot;/&gt;&lt;wsp:rsid wsp:val=&quot;6BFF5D65&quot;/&gt;&lt;wsp:rsid wsp:val=&quot;6C047D50&quot;/&gt;&lt;wsp:rsid wsp:val=&quot;6C0D3505&quot;/&gt;&lt;wsp:rsid wsp:val=&quot;6C0D6F06&quot;/&gt;&lt;wsp:rsid wsp:val=&quot;6C1B2B97&quot;/&gt;&lt;wsp:rsid wsp:val=&quot;6C2728D4&quot;/&gt;&lt;wsp:rsid wsp:val=&quot;6C2A3447&quot;/&gt;&lt;wsp:rsid wsp:val=&quot;6C2F1215&quot;/&gt;&lt;wsp:rsid wsp:val=&quot;6C39511A&quot;/&gt;&lt;wsp:rsid wsp:val=&quot;6C4E3684&quot;/&gt;&lt;wsp:rsid wsp:val=&quot;6C774116&quot;/&gt;&lt;wsp:rsid wsp:val=&quot;6C822CF0&quot;/&gt;&lt;wsp:rsid wsp:val=&quot;6C8C5990&quot;/&gt;&lt;wsp:rsid wsp:val=&quot;6C8D33CD&quot;/&gt;&lt;wsp:rsid wsp:val=&quot;6C9061E3&quot;/&gt;&lt;wsp:rsid wsp:val=&quot;6C943EC3&quot;/&gt;&lt;wsp:rsid wsp:val=&quot;6C9A4A45&quot;/&gt;&lt;wsp:rsid wsp:val=&quot;6CA45133&quot;/&gt;&lt;wsp:rsid wsp:val=&quot;6CAF72A1&quot;/&gt;&lt;wsp:rsid wsp:val=&quot;6CBB04A9&quot;/&gt;&lt;wsp:rsid wsp:val=&quot;6CC23287&quot;/&gt;&lt;wsp:rsid wsp:val=&quot;6CF960CB&quot;/&gt;&lt;wsp:rsid wsp:val=&quot;6D1838BB&quot;/&gt;&lt;wsp:rsid wsp:val=&quot;6D280EDC&quot;/&gt;&lt;wsp:rsid wsp:val=&quot;6D3B4701&quot;/&gt;&lt;wsp:rsid wsp:val=&quot;6D3C4865&quot;/&gt;&lt;wsp:rsid wsp:val=&quot;6D484971&quot;/&gt;&lt;wsp:rsid wsp:val=&quot;6D4D4127&quot;/&gt;&lt;wsp:rsid wsp:val=&quot;6D595BBF&quot;/&gt;&lt;wsp:rsid wsp:val=&quot;6DEA05AF&quot;/&gt;&lt;wsp:rsid wsp:val=&quot;6DEB0BCF&quot;/&gt;&lt;wsp:rsid wsp:val=&quot;6E151906&quot;/&gt;&lt;wsp:rsid wsp:val=&quot;6E7C0354&quot;/&gt;&lt;wsp:rsid wsp:val=&quot;6E7C708C&quot;/&gt;&lt;wsp:rsid wsp:val=&quot;6E840DF5&quot;/&gt;&lt;wsp:rsid wsp:val=&quot;6EC546EB&quot;/&gt;&lt;wsp:rsid wsp:val=&quot;6ED64425&quot;/&gt;&lt;wsp:rsid wsp:val=&quot;6EF10745&quot;/&gt;&lt;wsp:rsid wsp:val=&quot;6EF1374A&quot;/&gt;&lt;wsp:rsid wsp:val=&quot;6F21721C&quot;/&gt;&lt;wsp:rsid wsp:val=&quot;6F6D686D&quot;/&gt;&lt;wsp:rsid wsp:val=&quot;6F71035C&quot;/&gt;&lt;wsp:rsid wsp:val=&quot;6F762656&quot;/&gt;&lt;wsp:rsid wsp:val=&quot;6F83400B&quot;/&gt;&lt;wsp:rsid wsp:val=&quot;6F8F31F4&quot;/&gt;&lt;wsp:rsid wsp:val=&quot;6FBE0D36&quot;/&gt;&lt;wsp:rsid wsp:val=&quot;6FBE4A5B&quot;/&gt;&lt;wsp:rsid wsp:val=&quot;6FE17273&quot;/&gt;&lt;wsp:rsid wsp:val=&quot;6FE41CD0&quot;/&gt;&lt;wsp:rsid wsp:val=&quot;6FF2025E&quot;/&gt;&lt;wsp:rsid wsp:val=&quot;6FF9532A&quot;/&gt;&lt;wsp:rsid wsp:val=&quot;702810B6&quot;/&gt;&lt;wsp:rsid wsp:val=&quot;702C3073&quot;/&gt;&lt;wsp:rsid wsp:val=&quot;702E6DD8&quot;/&gt;&lt;wsp:rsid wsp:val=&quot;7036071F&quot;/&gt;&lt;wsp:rsid wsp:val=&quot;703E3A64&quot;/&gt;&lt;wsp:rsid wsp:val=&quot;704120CB&quot;/&gt;&lt;wsp:rsid wsp:val=&quot;704D2B25&quot;/&gt;&lt;wsp:rsid wsp:val=&quot;7053590D&quot;/&gt;&lt;wsp:rsid wsp:val=&quot;70733B86&quot;/&gt;&lt;wsp:rsid wsp:val=&quot;70B35706&quot;/&gt;&lt;wsp:rsid wsp:val=&quot;70C10801&quot;/&gt;&lt;wsp:rsid wsp:val=&quot;70CB49C9&quot;/&gt;&lt;wsp:rsid wsp:val=&quot;70CE11B6&quot;/&gt;&lt;wsp:rsid wsp:val=&quot;70FE52F2&quot;/&gt;&lt;wsp:rsid wsp:val=&quot;70FF3626&quot;/&gt;&lt;wsp:rsid wsp:val=&quot;71421431&quot;/&gt;&lt;wsp:rsid wsp:val=&quot;7161524A&quot;/&gt;&lt;wsp:rsid wsp:val=&quot;71786F7B&quot;/&gt;&lt;wsp:rsid wsp:val=&quot;718A1523&quot;/&gt;&lt;wsp:rsid wsp:val=&quot;71B53056&quot;/&gt;&lt;wsp:rsid wsp:val=&quot;71C76A67&quot;/&gt;&lt;wsp:rsid wsp:val=&quot;71F22688&quot;/&gt;&lt;wsp:rsid wsp:val=&quot;72111974&quot;/&gt;&lt;wsp:rsid wsp:val=&quot;7230104F&quot;/&gt;&lt;wsp:rsid wsp:val=&quot;72353634&quot;/&gt;&lt;wsp:rsid wsp:val=&quot;72597A29&quot;/&gt;&lt;wsp:rsid wsp:val=&quot;725A105E&quot;/&gt;&lt;wsp:rsid wsp:val=&quot;726A08D6&quot;/&gt;&lt;wsp:rsid wsp:val=&quot;72841C5F&quot;/&gt;&lt;wsp:rsid wsp:val=&quot;728B594B&quot;/&gt;&lt;wsp:rsid wsp:val=&quot;72B75429&quot;/&gt;&lt;wsp:rsid wsp:val=&quot;72BA71BC&quot;/&gt;&lt;wsp:rsid wsp:val=&quot;72BF3E4D&quot;/&gt;&lt;wsp:rsid wsp:val=&quot;72CD0D98&quot;/&gt;&lt;wsp:rsid wsp:val=&quot;72E05421&quot;/&gt;&lt;wsp:rsid wsp:val=&quot;72E84E52&quot;/&gt;&lt;wsp:rsid wsp:val=&quot;72F41FCA&quot;/&gt;&lt;wsp:rsid wsp:val=&quot;731C4DAA&quot;/&gt;&lt;wsp:rsid wsp:val=&quot;733937FD&quot;/&gt;&lt;wsp:rsid wsp:val=&quot;73464BAC&quot;/&gt;&lt;wsp:rsid wsp:val=&quot;7357313A&quot;/&gt;&lt;wsp:rsid wsp:val=&quot;735F3CE7&quot;/&gt;&lt;wsp:rsid wsp:val=&quot;73751C90&quot;/&gt;&lt;wsp:rsid wsp:val=&quot;738C4C98&quot;/&gt;&lt;wsp:rsid wsp:val=&quot;738D3233&quot;/&gt;&lt;wsp:rsid wsp:val=&quot;73BB2087&quot;/&gt;&lt;wsp:rsid wsp:val=&quot;73C9322C&quot;/&gt;&lt;wsp:rsid wsp:val=&quot;73D057CC&quot;/&gt;&lt;wsp:rsid wsp:val=&quot;73D40642&quot;/&gt;&lt;wsp:rsid wsp:val=&quot;7433341C&quot;/&gt;&lt;wsp:rsid wsp:val=&quot;743B25E0&quot;/&gt;&lt;wsp:rsid wsp:val=&quot;74501315&quot;/&gt;&lt;wsp:rsid wsp:val=&quot;745032F1&quot;/&gt;&lt;wsp:rsid wsp:val=&quot;74635EDF&quot;/&gt;&lt;wsp:rsid wsp:val=&quot;748129B0&quot;/&gt;&lt;wsp:rsid wsp:val=&quot;74971A01&quot;/&gt;&lt;wsp:rsid wsp:val=&quot;74A4449E&quot;/&gt;&lt;wsp:rsid wsp:val=&quot;74B62955&quot;/&gt;&lt;wsp:rsid wsp:val=&quot;74C2592F&quot;/&gt;&lt;wsp:rsid wsp:val=&quot;74C27966&quot;/&gt;&lt;wsp:rsid wsp:val=&quot;74E811DA&quot;/&gt;&lt;wsp:rsid wsp:val=&quot;74F2321A&quot;/&gt;&lt;wsp:rsid wsp:val=&quot;7502760B&quot;/&gt;&lt;wsp:rsid wsp:val=&quot;750A1664&quot;/&gt;&lt;wsp:rsid wsp:val=&quot;75230514&quot;/&gt;&lt;wsp:rsid wsp:val=&quot;752F2B66&quot;/&gt;&lt;wsp:rsid wsp:val=&quot;753A0189&quot;/&gt;&lt;wsp:rsid wsp:val=&quot;753D271B&quot;/&gt;&lt;wsp:rsid wsp:val=&quot;754A70E4&quot;/&gt;&lt;wsp:rsid wsp:val=&quot;75643DD7&quot;/&gt;&lt;wsp:rsid wsp:val=&quot;756F21E3&quot;/&gt;&lt;wsp:rsid wsp:val=&quot;759D44AE&quot;/&gt;&lt;wsp:rsid wsp:val=&quot;75A05534&quot;/&gt;&lt;wsp:rsid wsp:val=&quot;75C01803&quot;/&gt;&lt;wsp:rsid wsp:val=&quot;75C4466C&quot;/&gt;&lt;wsp:rsid wsp:val=&quot;75E70533&quot;/&gt;&lt;wsp:rsid wsp:val=&quot;75FE28F5&quot;/&gt;&lt;wsp:rsid wsp:val=&quot;761334F2&quot;/&gt;&lt;wsp:rsid wsp:val=&quot;761840A0&quot;/&gt;&lt;wsp:rsid wsp:val=&quot;761D5980&quot;/&gt;&lt;wsp:rsid wsp:val=&quot;763A400B&quot;/&gt;&lt;wsp:rsid wsp:val=&quot;763C6284&quot;/&gt;&lt;wsp:rsid wsp:val=&quot;763F4047&quot;/&gt;&lt;wsp:rsid wsp:val=&quot;7646015A&quot;/&gt;&lt;wsp:rsid wsp:val=&quot;764B5D6E&quot;/&gt;&lt;wsp:rsid wsp:val=&quot;766151C7&quot;/&gt;&lt;wsp:rsid wsp:val=&quot;767C1AC2&quot;/&gt;&lt;wsp:rsid wsp:val=&quot;768C5F53&quot;/&gt;&lt;wsp:rsid wsp:val=&quot;76C631B4&quot;/&gt;&lt;wsp:rsid wsp:val=&quot;76DC4CC6&quot;/&gt;&lt;wsp:rsid wsp:val=&quot;76E60A66&quot;/&gt;&lt;wsp:rsid wsp:val=&quot;7700343E&quot;/&gt;&lt;wsp:rsid wsp:val=&quot;770A2B1C&quot;/&gt;&lt;wsp:rsid wsp:val=&quot;77147B5F&quot;/&gt;&lt;wsp:rsid wsp:val=&quot;77374B8E&quot;/&gt;&lt;wsp:rsid wsp:val=&quot;77501D85&quot;/&gt;&lt;wsp:rsid wsp:val=&quot;775F7AE1&quot;/&gt;&lt;wsp:rsid wsp:val=&quot;776270D4&quot;/&gt;&lt;wsp:rsid wsp:val=&quot;777A5FE9&quot;/&gt;&lt;wsp:rsid wsp:val=&quot;7785795C&quot;/&gt;&lt;wsp:rsid wsp:val=&quot;778E51A6&quot;/&gt;&lt;wsp:rsid wsp:val=&quot;779E6716&quot;/&gt;&lt;wsp:rsid wsp:val=&quot;77A90FB3&quot;/&gt;&lt;wsp:rsid wsp:val=&quot;77BA3971&quot;/&gt;&lt;wsp:rsid wsp:val=&quot;77D64857&quot;/&gt;&lt;wsp:rsid wsp:val=&quot;77D96724&quot;/&gt;&lt;wsp:rsid wsp:val=&quot;78017F77&quot;/&gt;&lt;wsp:rsid wsp:val=&quot;7851034D&quot;/&gt;&lt;wsp:rsid wsp:val=&quot;7877640B&quot;/&gt;&lt;wsp:rsid wsp:val=&quot;787B5394&quot;/&gt;&lt;wsp:rsid wsp:val=&quot;78860C41&quot;/&gt;&lt;wsp:rsid wsp:val=&quot;789D02F7&quot;/&gt;&lt;wsp:rsid wsp:val=&quot;78A221E0&quot;/&gt;&lt;wsp:rsid wsp:val=&quot;78CD15B5&quot;/&gt;&lt;wsp:rsid wsp:val=&quot;78D5459F&quot;/&gt;&lt;wsp:rsid wsp:val=&quot;78DD6192&quot;/&gt;&lt;wsp:rsid wsp:val=&quot;78F01FE6&quot;/&gt;&lt;wsp:rsid wsp:val=&quot;79194B33&quot;/&gt;&lt;wsp:rsid wsp:val=&quot;791F6322&quot;/&gt;&lt;wsp:rsid wsp:val=&quot;792C563A&quot;/&gt;&lt;wsp:rsid wsp:val=&quot;79341852&quot;/&gt;&lt;wsp:rsid wsp:val=&quot;79380549&quot;/&gt;&lt;wsp:rsid wsp:val=&quot;793B206E&quot;/&gt;&lt;wsp:rsid wsp:val=&quot;79552A46&quot;/&gt;&lt;wsp:rsid wsp:val=&quot;796F265C&quot;/&gt;&lt;wsp:rsid wsp:val=&quot;797C1682&quot;/&gt;&lt;wsp:rsid wsp:val=&quot;798D171F&quot;/&gt;&lt;wsp:rsid wsp:val=&quot;79946F00&quot;/&gt;&lt;wsp:rsid wsp:val=&quot;79A1140D&quot;/&gt;&lt;wsp:rsid wsp:val=&quot;79B43848&quot;/&gt;&lt;wsp:rsid wsp:val=&quot;79BE32D6&quot;/&gt;&lt;wsp:rsid wsp:val=&quot;79D63757&quot;/&gt;&lt;wsp:rsid wsp:val=&quot;79ED082A&quot;/&gt;&lt;wsp:rsid wsp:val=&quot;7A2920D3&quot;/&gt;&lt;wsp:rsid wsp:val=&quot;7A374FF6&quot;/&gt;&lt;wsp:rsid wsp:val=&quot;7A4E7B54&quot;/&gt;&lt;wsp:rsid wsp:val=&quot;7A592701&quot;/&gt;&lt;wsp:rsid wsp:val=&quot;7AAD64AC&quot;/&gt;&lt;wsp:rsid wsp:val=&quot;7B1D3658&quot;/&gt;&lt;wsp:rsid wsp:val=&quot;7B21328C&quot;/&gt;&lt;wsp:rsid wsp:val=&quot;7B254E2F&quot;/&gt;&lt;wsp:rsid wsp:val=&quot;7B287521&quot;/&gt;&lt;wsp:rsid wsp:val=&quot;7B4B1A98&quot;/&gt;&lt;wsp:rsid wsp:val=&quot;7B6739B1&quot;/&gt;&lt;wsp:rsid wsp:val=&quot;7B7B6496&quot;/&gt;&lt;wsp:rsid wsp:val=&quot;7BAC71CB&quot;/&gt;&lt;wsp:rsid wsp:val=&quot;7BB1041A&quot;/&gt;&lt;wsp:rsid wsp:val=&quot;7BB32D4A&quot;/&gt;&lt;wsp:rsid wsp:val=&quot;7BC5661E&quot;/&gt;&lt;wsp:rsid wsp:val=&quot;7BC90C8C&quot;/&gt;&lt;wsp:rsid wsp:val=&quot;7BD90FB6&quot;/&gt;&lt;wsp:rsid wsp:val=&quot;7C0F6E04&quot;/&gt;&lt;wsp:rsid wsp:val=&quot;7C1D2285&quot;/&gt;&lt;wsp:rsid wsp:val=&quot;7C1E6B1F&quot;/&gt;&lt;wsp:rsid wsp:val=&quot;7C2E1862&quot;/&gt;&lt;wsp:rsid wsp:val=&quot;7C5311F2&quot;/&gt;&lt;wsp:rsid wsp:val=&quot;7C8D4941&quot;/&gt;&lt;wsp:rsid wsp:val=&quot;7CA6590D&quot;/&gt;&lt;wsp:rsid wsp:val=&quot;7CB97BE8&quot;/&gt;&lt;wsp:rsid wsp:val=&quot;7CBB01E8&quot;/&gt;&lt;wsp:rsid wsp:val=&quot;7CBB0C3A&quot;/&gt;&lt;wsp:rsid wsp:val=&quot;7CC2482C&quot;/&gt;&lt;wsp:rsid wsp:val=&quot;7CCC56E8&quot;/&gt;&lt;wsp:rsid wsp:val=&quot;7CCD3BD3&quot;/&gt;&lt;wsp:rsid wsp:val=&quot;7CF95475&quot;/&gt;&lt;wsp:rsid wsp:val=&quot;7D111731&quot;/&gt;&lt;wsp:rsid wsp:val=&quot;7D397EA2&quot;/&gt;&lt;wsp:rsid wsp:val=&quot;7D500432&quot;/&gt;&lt;wsp:rsid wsp:val=&quot;7D605858&quot;/&gt;&lt;wsp:rsid wsp:val=&quot;7D723EBE&quot;/&gt;&lt;wsp:rsid wsp:val=&quot;7D781227&quot;/&gt;&lt;wsp:rsid wsp:val=&quot;7D877D43&quot;/&gt;&lt;wsp:rsid wsp:val=&quot;7D9A6DC0&quot;/&gt;&lt;wsp:rsid wsp:val=&quot;7DB36B97&quot;/&gt;&lt;wsp:rsid wsp:val=&quot;7DC703D9&quot;/&gt;&lt;wsp:rsid wsp:val=&quot;7DDB7DE7&quot;/&gt;&lt;wsp:rsid wsp:val=&quot;7DF4777E&quot;/&gt;&lt;wsp:rsid wsp:val=&quot;7DF876D3&quot;/&gt;&lt;wsp:rsid wsp:val=&quot;7DFE398D&quot;/&gt;&lt;wsp:rsid wsp:val=&quot;7E04242A&quot;/&gt;&lt;wsp:rsid wsp:val=&quot;7E0F558E&quot;/&gt;&lt;wsp:rsid wsp:val=&quot;7E351E0B&quot;/&gt;&lt;wsp:rsid wsp:val=&quot;7E673375&quot;/&gt;&lt;wsp:rsid wsp:val=&quot;7E740161&quot;/&gt;&lt;wsp:rsid wsp:val=&quot;7E7E0887&quot;/&gt;&lt;wsp:rsid wsp:val=&quot;7E8C7AAD&quot;/&gt;&lt;wsp:rsid wsp:val=&quot;7E8E54A5&quot;/&gt;&lt;wsp:rsid wsp:val=&quot;7EA06031&quot;/&gt;&lt;wsp:rsid wsp:val=&quot;7EC160B2&quot;/&gt;&lt;wsp:rsid wsp:val=&quot;7EE25C84&quot;/&gt;&lt;wsp:rsid wsp:val=&quot;7F1C0E2F&quot;/&gt;&lt;wsp:rsid wsp:val=&quot;7F545919&quot;/&gt;&lt;wsp:rsid wsp:val=&quot;7FA06728&quot;/&gt;&lt;wsp:rsid wsp:val=&quot;7FB56836&quot;/&gt;&lt;wsp:rsid wsp:val=&quot;7FF24FD3&quot;/&gt;&lt;wsp:rsid wsp:val=&quot;7FFB3DE3&quot;/&gt;&lt;/wsp:rsids&gt;&lt;/w:docPr&gt;&lt;w:body&gt;&lt;w:p wsp:rsidR=&quot;00000000&quot; wsp:rsidRDefault=&quot;002440D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0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0" chromakey="#FFFFFF" o:title=""/>
                  <o:lock v:ext="edit" aspectratio="t"/>
                  <w10:wrap type="none"/>
                  <w10:anchorlock/>
                </v:shape>
              </w:pict>
            </w:r>
            <w:r>
              <w:rPr>
                <w:rFonts w:ascii="Times New Roman" w:hAnsi="Times New Roman" w:eastAsia="宋体" w:cs="Times New Roman"/>
                <w:color w:val="000000"/>
                <w:sz w:val="24"/>
                <w:szCs w:val="24"/>
              </w:rPr>
              <w:fldChar w:fldCharType="end"/>
            </w:r>
            <w:r>
              <w:rPr>
                <w:rFonts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rPr>
              <w:t>第</w:t>
            </w:r>
            <w:r>
              <w:rPr>
                <w:rFonts w:ascii="Times New Roman" w:hAnsi="Times New Roman" w:eastAsia="宋体" w:cs="Times New Roman"/>
                <w:color w:val="000000"/>
                <w:sz w:val="24"/>
                <w:szCs w:val="24"/>
              </w:rPr>
              <w:t>i</w:t>
            </w:r>
            <w:r>
              <w:rPr>
                <w:rFonts w:hint="eastAsia" w:ascii="Times New Roman" w:hAnsi="Times New Roman" w:eastAsia="宋体" w:cs="Times New Roman"/>
                <w:color w:val="000000"/>
                <w:sz w:val="24"/>
                <w:szCs w:val="24"/>
              </w:rPr>
              <w:t>个污染物的环境空气质量浓度标准，</w:t>
            </w:r>
            <w:r>
              <w:rPr>
                <w:rFonts w:ascii="Times New Roman" w:hAnsi="Times New Roman" w:eastAsia="宋体" w:cs="Times New Roman"/>
                <w:color w:val="000000"/>
                <w:sz w:val="24"/>
                <w:szCs w:val="24"/>
              </w:rPr>
              <w:t>μg/m</w:t>
            </w:r>
            <w:r>
              <w:rPr>
                <w:rFonts w:ascii="Times New Roman" w:hAnsi="Times New Roman" w:eastAsia="宋体" w:cs="Times New Roman"/>
                <w:color w:val="000000"/>
                <w:sz w:val="24"/>
                <w:szCs w:val="24"/>
                <w:vertAlign w:val="superscript"/>
              </w:rPr>
              <w:t>3</w:t>
            </w:r>
            <w:r>
              <w:rPr>
                <w:rFonts w:hint="eastAsia" w:ascii="Times New Roman" w:hAnsi="Times New Roman" w:eastAsia="宋体" w:cs="Times New Roman"/>
                <w:color w:val="000000"/>
                <w:sz w:val="24"/>
                <w:szCs w:val="24"/>
              </w:rPr>
              <w:t>。</w:t>
            </w:r>
          </w:p>
          <w:p>
            <w:pPr>
              <w:spacing w:line="360" w:lineRule="auto"/>
              <w:ind w:firstLine="422" w:firstLineChars="176"/>
              <w:jc w:val="left"/>
              <w:rPr>
                <w:rFonts w:ascii="Times New Roman" w:hAnsi="Times New Roman" w:eastAsia="宋体" w:cs="Times New Roman"/>
                <w:color w:val="000000"/>
                <w:sz w:val="24"/>
                <w:szCs w:val="24"/>
              </w:rPr>
            </w:pPr>
            <w:r>
              <w:rPr>
                <w:rFonts w:hint="eastAsia" w:ascii="宋体" w:hAnsi="宋体" w:eastAsia="宋体" w:cs="宋体"/>
                <w:smallCaps/>
                <w:color w:val="000000"/>
                <w:sz w:val="24"/>
                <w:szCs w:val="24"/>
              </w:rPr>
              <w:t>②</w:t>
            </w:r>
            <w:r>
              <w:rPr>
                <w:rFonts w:hint="eastAsia" w:ascii="Times New Roman" w:hAnsi="Times New Roman" w:eastAsia="宋体" w:cs="Times New Roman"/>
                <w:color w:val="000000"/>
                <w:sz w:val="24"/>
                <w:szCs w:val="24"/>
              </w:rPr>
              <w:t>评价等级判别表</w:t>
            </w:r>
          </w:p>
          <w:p>
            <w:pPr>
              <w:spacing w:line="360" w:lineRule="auto"/>
              <w:ind w:firstLine="422" w:firstLineChars="176"/>
              <w:jc w:val="left"/>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评价等级按下表的分级判据进行划分：</w:t>
            </w:r>
          </w:p>
          <w:p>
            <w:pPr>
              <w:spacing w:line="240" w:lineRule="auto"/>
              <w:jc w:val="center"/>
              <w:rPr>
                <w:rFonts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rPr>
              <w:t>表</w:t>
            </w:r>
            <w:r>
              <w:rPr>
                <w:rFonts w:hint="eastAsia" w:ascii="Times New Roman" w:hAnsi="Times New Roman" w:cs="Times New Roman"/>
                <w:b/>
                <w:bCs/>
                <w:color w:val="000000"/>
                <w:sz w:val="21"/>
                <w:szCs w:val="21"/>
                <w:lang w:val="en-US" w:eastAsia="zh-CN"/>
              </w:rPr>
              <w:t>4</w:t>
            </w:r>
            <w:r>
              <w:rPr>
                <w:rFonts w:ascii="Times New Roman" w:hAnsi="Times New Roman" w:eastAsia="宋体" w:cs="Times New Roman"/>
                <w:b/>
                <w:bCs/>
                <w:color w:val="000000"/>
                <w:sz w:val="21"/>
                <w:szCs w:val="21"/>
              </w:rPr>
              <w:t>-</w:t>
            </w:r>
            <w:r>
              <w:rPr>
                <w:rFonts w:hint="eastAsia" w:ascii="Times New Roman" w:hAnsi="Times New Roman" w:cs="Times New Roman"/>
                <w:b/>
                <w:bCs/>
                <w:color w:val="000000"/>
                <w:sz w:val="21"/>
                <w:szCs w:val="21"/>
                <w:lang w:val="en-US" w:eastAsia="zh-CN"/>
              </w:rPr>
              <w:t>5</w:t>
            </w:r>
            <w:r>
              <w:rPr>
                <w:rFonts w:ascii="Times New Roman" w:hAnsi="Times New Roman" w:eastAsia="宋体" w:cs="Times New Roman"/>
                <w:b/>
                <w:bCs/>
                <w:color w:val="000000"/>
                <w:sz w:val="21"/>
                <w:szCs w:val="21"/>
              </w:rPr>
              <w:t xml:space="preserve">  </w:t>
            </w:r>
            <w:r>
              <w:rPr>
                <w:rFonts w:hint="eastAsia" w:ascii="Times New Roman" w:hAnsi="Times New Roman" w:eastAsia="宋体" w:cs="Times New Roman"/>
                <w:b/>
                <w:bCs/>
                <w:color w:val="000000"/>
                <w:sz w:val="21"/>
                <w:szCs w:val="21"/>
              </w:rPr>
              <w:t>评价等级判别表</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9"/>
              <w:gridCol w:w="4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6" w:type="pct"/>
                  <w:noWrap w:val="0"/>
                  <w:vAlign w:val="center"/>
                </w:tcPr>
                <w:p>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评价工作等级</w:t>
                  </w:r>
                </w:p>
              </w:tc>
              <w:tc>
                <w:tcPr>
                  <w:tcW w:w="2513" w:type="pct"/>
                  <w:noWrap w:val="0"/>
                  <w:vAlign w:val="center"/>
                </w:tcPr>
                <w:p>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6" w:type="pct"/>
                  <w:noWrap w:val="0"/>
                  <w:vAlign w:val="center"/>
                </w:tcPr>
                <w:p>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一级评价</w:t>
                  </w:r>
                </w:p>
              </w:tc>
              <w:tc>
                <w:tcPr>
                  <w:tcW w:w="2513"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Pmax</w:t>
                  </w:r>
                  <w:r>
                    <w:rPr>
                      <w:rFonts w:hint="eastAsia" w:ascii="Times New Roman" w:hAnsi="Times New Roman" w:eastAsia="宋体" w:cs="Times New Roman"/>
                      <w:color w:val="000000"/>
                      <w:sz w:val="21"/>
                      <w:szCs w:val="21"/>
                    </w:rPr>
                    <w:t>≧</w:t>
                  </w:r>
                  <w:r>
                    <w:rPr>
                      <w:rFonts w:ascii="Times New Roman" w:hAnsi="Times New Roman" w:eastAsia="宋体" w:cs="Times New Roman"/>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6" w:type="pct"/>
                  <w:noWrap w:val="0"/>
                  <w:vAlign w:val="center"/>
                </w:tcPr>
                <w:p>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二级评价</w:t>
                  </w:r>
                </w:p>
              </w:tc>
              <w:tc>
                <w:tcPr>
                  <w:tcW w:w="2513"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hint="eastAsia" w:ascii="Times New Roman" w:hAnsi="Times New Roman" w:eastAsia="宋体" w:cs="Times New Roman"/>
                      <w:color w:val="000000"/>
                      <w:sz w:val="21"/>
                      <w:szCs w:val="21"/>
                    </w:rPr>
                    <w:t>≦</w:t>
                  </w:r>
                  <w:r>
                    <w:rPr>
                      <w:rFonts w:ascii="Times New Roman" w:hAnsi="Times New Roman" w:eastAsia="宋体" w:cs="Times New Roman"/>
                      <w:color w:val="000000"/>
                      <w:sz w:val="21"/>
                      <w:szCs w:val="21"/>
                    </w:rPr>
                    <w:t>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6" w:type="pct"/>
                  <w:noWrap w:val="0"/>
                  <w:vAlign w:val="center"/>
                </w:tcPr>
                <w:p>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三级评价</w:t>
                  </w:r>
                </w:p>
              </w:tc>
              <w:tc>
                <w:tcPr>
                  <w:tcW w:w="2513"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Pmax&lt;1%</w:t>
                  </w:r>
                </w:p>
              </w:tc>
            </w:tr>
          </w:tbl>
          <w:p>
            <w:pPr>
              <w:widowControl w:val="0"/>
              <w:spacing w:line="360" w:lineRule="auto"/>
              <w:ind w:firstLine="480" w:firstLineChars="200"/>
              <w:jc w:val="both"/>
              <w:rPr>
                <w:rFonts w:ascii="Times New Roman" w:hAnsi="Times New Roman" w:eastAsia="宋体" w:cs="Times New Roman"/>
                <w:color w:val="000000"/>
                <w:kern w:val="2"/>
                <w:sz w:val="24"/>
                <w:szCs w:val="24"/>
                <w:lang w:val="en-US" w:eastAsia="zh-CN" w:bidi="ar-SA"/>
              </w:rPr>
            </w:pPr>
            <w:r>
              <w:rPr>
                <w:rFonts w:hint="eastAsia" w:ascii="宋体" w:hAnsi="宋体" w:eastAsia="宋体" w:cs="宋体"/>
                <w:color w:val="000000"/>
                <w:sz w:val="24"/>
                <w:szCs w:val="24"/>
              </w:rPr>
              <w:t>③</w:t>
            </w:r>
            <w:r>
              <w:rPr>
                <w:rFonts w:hint="eastAsia" w:ascii="Times New Roman" w:hAnsi="Times New Roman" w:eastAsia="宋体" w:cs="Times New Roman"/>
                <w:color w:val="000000"/>
                <w:kern w:val="2"/>
                <w:sz w:val="24"/>
                <w:szCs w:val="24"/>
                <w:lang w:val="en-US" w:eastAsia="zh-CN" w:bidi="ar-SA"/>
              </w:rPr>
              <w:t>项目参数</w:t>
            </w:r>
          </w:p>
          <w:p>
            <w:pPr>
              <w:widowControl w:val="0"/>
              <w:spacing w:line="360" w:lineRule="auto"/>
              <w:ind w:firstLine="480" w:firstLineChars="200"/>
              <w:jc w:val="both"/>
              <w:rPr>
                <w:rFonts w:hint="eastAsia" w:ascii="Times New Roman" w:hAnsi="Times New Roman" w:eastAsia="宋体" w:cs="Times New Roman"/>
                <w:b/>
                <w:bCs/>
                <w:color w:val="000000"/>
                <w:sz w:val="21"/>
                <w:szCs w:val="21"/>
              </w:rPr>
            </w:pPr>
            <w:r>
              <w:rPr>
                <w:rFonts w:hint="eastAsia" w:ascii="Times New Roman" w:hAnsi="Times New Roman" w:eastAsia="宋体" w:cs="Times New Roman"/>
                <w:color w:val="000000"/>
                <w:kern w:val="2"/>
                <w:sz w:val="24"/>
                <w:szCs w:val="24"/>
                <w:lang w:val="en-US" w:eastAsia="zh-CN" w:bidi="ar-SA"/>
              </w:rPr>
              <w:t>估算模式适用参数见表</w:t>
            </w:r>
            <w:r>
              <w:rPr>
                <w:rFonts w:hint="eastAsia" w:ascii="Times New Roman" w:hAnsi="Times New Roman" w:cs="Times New Roman"/>
                <w:color w:val="000000"/>
                <w:kern w:val="2"/>
                <w:sz w:val="24"/>
                <w:szCs w:val="24"/>
                <w:lang w:val="en-US" w:eastAsia="zh-CN" w:bidi="ar-SA"/>
              </w:rPr>
              <w:t>4</w:t>
            </w:r>
            <w:r>
              <w:rPr>
                <w:rFonts w:hint="eastAsia" w:ascii="Times New Roman" w:hAnsi="Times New Roman" w:eastAsia="宋体" w:cs="Times New Roman"/>
                <w:color w:val="000000"/>
                <w:kern w:val="2"/>
                <w:sz w:val="24"/>
                <w:szCs w:val="24"/>
                <w:lang w:val="en-US" w:eastAsia="zh-CN" w:bidi="ar-SA"/>
              </w:rPr>
              <w:t>-</w:t>
            </w:r>
            <w:r>
              <w:rPr>
                <w:rFonts w:hint="eastAsia" w:ascii="Times New Roman" w:hAnsi="Times New Roman" w:cs="Times New Roman"/>
                <w:color w:val="000000"/>
                <w:kern w:val="2"/>
                <w:sz w:val="24"/>
                <w:szCs w:val="24"/>
                <w:lang w:val="en-US" w:eastAsia="zh-CN" w:bidi="ar-SA"/>
              </w:rPr>
              <w:t>6</w:t>
            </w:r>
            <w:r>
              <w:rPr>
                <w:rFonts w:hint="eastAsia" w:ascii="Times New Roman" w:hAnsi="Times New Roman" w:eastAsia="宋体" w:cs="Times New Roman"/>
                <w:color w:val="000000"/>
                <w:kern w:val="2"/>
                <w:sz w:val="24"/>
                <w:szCs w:val="24"/>
                <w:lang w:val="en-US" w:eastAsia="zh-CN" w:bidi="ar-SA"/>
              </w:rPr>
              <w:t>，污染源参数见表</w:t>
            </w:r>
            <w:r>
              <w:rPr>
                <w:rFonts w:hint="eastAsia" w:ascii="Times New Roman" w:hAnsi="Times New Roman" w:cs="Times New Roman"/>
                <w:color w:val="000000"/>
                <w:kern w:val="2"/>
                <w:sz w:val="24"/>
                <w:szCs w:val="24"/>
                <w:lang w:val="en-US" w:eastAsia="zh-CN" w:bidi="ar-SA"/>
              </w:rPr>
              <w:t>4</w:t>
            </w:r>
            <w:r>
              <w:rPr>
                <w:rFonts w:hint="eastAsia" w:ascii="Times New Roman" w:hAnsi="Times New Roman" w:eastAsia="宋体" w:cs="Times New Roman"/>
                <w:color w:val="000000"/>
                <w:kern w:val="2"/>
                <w:sz w:val="24"/>
                <w:szCs w:val="24"/>
                <w:lang w:val="en-US" w:eastAsia="zh-CN" w:bidi="ar-SA"/>
              </w:rPr>
              <w:t>-</w:t>
            </w:r>
            <w:r>
              <w:rPr>
                <w:rFonts w:hint="eastAsia" w:ascii="Times New Roman" w:hAnsi="Times New Roman" w:cs="Times New Roman"/>
                <w:color w:val="000000"/>
                <w:kern w:val="2"/>
                <w:sz w:val="24"/>
                <w:szCs w:val="24"/>
                <w:lang w:val="en-US" w:eastAsia="zh-CN" w:bidi="ar-SA"/>
              </w:rPr>
              <w:t>7</w:t>
            </w:r>
            <w:r>
              <w:rPr>
                <w:rFonts w:hint="eastAsia" w:ascii="Times New Roman" w:hAnsi="Times New Roman" w:eastAsia="宋体" w:cs="Times New Roman"/>
                <w:color w:val="000000"/>
                <w:kern w:val="2"/>
                <w:sz w:val="24"/>
                <w:szCs w:val="24"/>
                <w:lang w:val="en-US" w:eastAsia="zh-CN" w:bidi="ar-SA"/>
              </w:rPr>
              <w:t>、表</w:t>
            </w:r>
            <w:r>
              <w:rPr>
                <w:rFonts w:hint="eastAsia" w:ascii="Times New Roman" w:hAnsi="Times New Roman" w:cs="Times New Roman"/>
                <w:color w:val="000000"/>
                <w:kern w:val="2"/>
                <w:sz w:val="24"/>
                <w:szCs w:val="24"/>
                <w:lang w:val="en-US" w:eastAsia="zh-CN" w:bidi="ar-SA"/>
              </w:rPr>
              <w:t>4</w:t>
            </w:r>
            <w:r>
              <w:rPr>
                <w:rFonts w:hint="eastAsia" w:ascii="Times New Roman" w:hAnsi="Times New Roman" w:eastAsia="宋体" w:cs="Times New Roman"/>
                <w:color w:val="000000"/>
                <w:kern w:val="2"/>
                <w:sz w:val="24"/>
                <w:szCs w:val="24"/>
                <w:lang w:val="en-US" w:eastAsia="zh-CN" w:bidi="ar-SA"/>
              </w:rPr>
              <w:t>-</w:t>
            </w:r>
            <w:r>
              <w:rPr>
                <w:rFonts w:hint="eastAsia" w:ascii="Times New Roman" w:hAnsi="Times New Roman" w:cs="Times New Roman"/>
                <w:color w:val="000000"/>
                <w:kern w:val="2"/>
                <w:sz w:val="24"/>
                <w:szCs w:val="24"/>
                <w:lang w:val="en-US" w:eastAsia="zh-CN" w:bidi="ar-SA"/>
              </w:rPr>
              <w:t>8</w:t>
            </w:r>
            <w:r>
              <w:rPr>
                <w:rFonts w:hint="eastAsia" w:ascii="Times New Roman" w:hAnsi="Times New Roman" w:eastAsia="宋体" w:cs="Times New Roman"/>
                <w:color w:val="000000"/>
                <w:kern w:val="2"/>
                <w:sz w:val="24"/>
                <w:szCs w:val="24"/>
                <w:lang w:val="en-US" w:eastAsia="zh-CN" w:bidi="ar-SA"/>
              </w:rPr>
              <w:t>。</w:t>
            </w:r>
          </w:p>
          <w:p>
            <w:pPr>
              <w:spacing w:line="240" w:lineRule="auto"/>
              <w:jc w:val="center"/>
              <w:rPr>
                <w:rFonts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rPr>
              <w:t>表</w:t>
            </w:r>
            <w:r>
              <w:rPr>
                <w:rFonts w:hint="eastAsia" w:ascii="Times New Roman" w:hAnsi="Times New Roman" w:cs="Times New Roman"/>
                <w:b/>
                <w:bCs/>
                <w:color w:val="000000"/>
                <w:sz w:val="21"/>
                <w:szCs w:val="21"/>
                <w:lang w:val="en-US" w:eastAsia="zh-CN"/>
              </w:rPr>
              <w:t>4</w:t>
            </w:r>
            <w:r>
              <w:rPr>
                <w:rFonts w:ascii="Times New Roman" w:hAnsi="Times New Roman" w:eastAsia="宋体" w:cs="Times New Roman"/>
                <w:b/>
                <w:bCs/>
                <w:color w:val="000000"/>
                <w:sz w:val="21"/>
                <w:szCs w:val="21"/>
              </w:rPr>
              <w:t>-</w:t>
            </w:r>
            <w:r>
              <w:rPr>
                <w:rFonts w:hint="eastAsia" w:ascii="Times New Roman" w:hAnsi="Times New Roman" w:cs="Times New Roman"/>
                <w:b/>
                <w:bCs/>
                <w:color w:val="000000"/>
                <w:sz w:val="21"/>
                <w:szCs w:val="21"/>
                <w:lang w:val="en-US" w:eastAsia="zh-CN"/>
              </w:rPr>
              <w:t>6</w:t>
            </w:r>
            <w:r>
              <w:rPr>
                <w:rFonts w:hint="eastAsia" w:ascii="Times New Roman" w:hAnsi="Times New Roman" w:eastAsia="宋体" w:cs="Times New Roman"/>
                <w:b/>
                <w:bCs/>
                <w:color w:val="000000"/>
                <w:sz w:val="21"/>
                <w:szCs w:val="21"/>
              </w:rPr>
              <w:t xml:space="preserve">  估算模型参数表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8"/>
              <w:gridCol w:w="2873"/>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noWrap w:val="0"/>
                  <w:vAlign w:val="center"/>
                </w:tcPr>
                <w:p>
                  <w:pPr>
                    <w:pStyle w:val="18"/>
                    <w:spacing w:line="240" w:lineRule="auto"/>
                    <w:jc w:val="center"/>
                    <w:rPr>
                      <w:rFonts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参数</w:t>
                  </w:r>
                </w:p>
              </w:tc>
              <w:tc>
                <w:tcPr>
                  <w:tcW w:w="1471" w:type="pct"/>
                  <w:noWrap w:val="0"/>
                  <w:vAlign w:val="center"/>
                </w:tcPr>
                <w:p>
                  <w:pPr>
                    <w:pStyle w:val="18"/>
                    <w:spacing w:line="240" w:lineRule="auto"/>
                    <w:jc w:val="center"/>
                    <w:rPr>
                      <w:rFonts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pct"/>
                  <w:vMerge w:val="restart"/>
                  <w:noWrap w:val="0"/>
                  <w:vAlign w:val="center"/>
                </w:tcPr>
                <w:p>
                  <w:pPr>
                    <w:pStyle w:val="18"/>
                    <w:spacing w:line="240" w:lineRule="auto"/>
                    <w:jc w:val="center"/>
                    <w:rPr>
                      <w:rFonts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城市</w:t>
                  </w:r>
                  <w:r>
                    <w:rPr>
                      <w:rFonts w:ascii="Times New Roman" w:hAnsi="Times New Roman" w:eastAsia="宋体" w:cs="Times New Roman"/>
                      <w:b w:val="0"/>
                      <w:bCs w:val="0"/>
                      <w:color w:val="000000"/>
                      <w:sz w:val="21"/>
                      <w:szCs w:val="21"/>
                      <w:lang w:val="en-US" w:eastAsia="zh-CN"/>
                    </w:rPr>
                    <w:t>/</w:t>
                  </w:r>
                  <w:r>
                    <w:rPr>
                      <w:rFonts w:hint="eastAsia" w:ascii="Times New Roman" w:hAnsi="Times New Roman" w:eastAsia="宋体" w:cs="Times New Roman"/>
                      <w:b w:val="0"/>
                      <w:bCs w:val="0"/>
                      <w:color w:val="000000"/>
                      <w:sz w:val="21"/>
                      <w:szCs w:val="21"/>
                      <w:lang w:val="en-US" w:eastAsia="zh-CN"/>
                    </w:rPr>
                    <w:t>农村选项</w:t>
                  </w:r>
                </w:p>
              </w:tc>
              <w:tc>
                <w:tcPr>
                  <w:tcW w:w="1738" w:type="pct"/>
                  <w:noWrap w:val="0"/>
                  <w:vAlign w:val="center"/>
                </w:tcPr>
                <w:p>
                  <w:pPr>
                    <w:pStyle w:val="18"/>
                    <w:spacing w:line="240" w:lineRule="auto"/>
                    <w:jc w:val="center"/>
                    <w:rPr>
                      <w:rFonts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城市</w:t>
                  </w:r>
                  <w:r>
                    <w:rPr>
                      <w:rFonts w:ascii="Times New Roman" w:hAnsi="Times New Roman" w:eastAsia="宋体" w:cs="Times New Roman"/>
                      <w:b w:val="0"/>
                      <w:bCs w:val="0"/>
                      <w:color w:val="000000"/>
                      <w:sz w:val="21"/>
                      <w:szCs w:val="21"/>
                      <w:lang w:val="en-US" w:eastAsia="zh-CN"/>
                    </w:rPr>
                    <w:t>/</w:t>
                  </w:r>
                  <w:r>
                    <w:rPr>
                      <w:rFonts w:hint="eastAsia" w:ascii="Times New Roman" w:hAnsi="Times New Roman" w:eastAsia="宋体" w:cs="Times New Roman"/>
                      <w:b w:val="0"/>
                      <w:bCs w:val="0"/>
                      <w:color w:val="000000"/>
                      <w:sz w:val="21"/>
                      <w:szCs w:val="21"/>
                      <w:lang w:val="en-US" w:eastAsia="zh-CN"/>
                    </w:rPr>
                    <w:t>农村</w:t>
                  </w:r>
                </w:p>
              </w:tc>
              <w:tc>
                <w:tcPr>
                  <w:tcW w:w="1471" w:type="pct"/>
                  <w:noWrap w:val="0"/>
                  <w:vAlign w:val="center"/>
                </w:tcPr>
                <w:p>
                  <w:pPr>
                    <w:pStyle w:val="18"/>
                    <w:spacing w:line="240" w:lineRule="auto"/>
                    <w:jc w:val="center"/>
                    <w:rPr>
                      <w:rFonts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pct"/>
                  <w:vMerge w:val="continue"/>
                  <w:noWrap w:val="0"/>
                  <w:vAlign w:val="center"/>
                </w:tcPr>
                <w:p>
                  <w:pPr>
                    <w:widowControl/>
                    <w:spacing w:line="240" w:lineRule="auto"/>
                    <w:jc w:val="left"/>
                    <w:rPr>
                      <w:rFonts w:ascii="Times New Roman" w:hAnsi="Times New Roman" w:eastAsia="宋体" w:cs="Times New Roman"/>
                      <w:bCs/>
                      <w:color w:val="000000"/>
                      <w:sz w:val="21"/>
                      <w:szCs w:val="21"/>
                    </w:rPr>
                  </w:pPr>
                </w:p>
              </w:tc>
              <w:tc>
                <w:tcPr>
                  <w:tcW w:w="1738" w:type="pct"/>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人口数</w:t>
                  </w:r>
                  <w:r>
                    <w:rPr>
                      <w:rFonts w:ascii="Times New Roman" w:hAnsi="Times New Roman" w:eastAsia="宋体" w:cs="Times New Roman"/>
                      <w:b w:val="0"/>
                      <w:color w:val="000000"/>
                      <w:sz w:val="21"/>
                      <w:szCs w:val="21"/>
                      <w:lang w:val="en-US" w:eastAsia="zh-CN"/>
                    </w:rPr>
                    <w:t>(</w:t>
                  </w:r>
                  <w:r>
                    <w:rPr>
                      <w:rFonts w:hint="eastAsia" w:ascii="Times New Roman" w:hAnsi="Times New Roman" w:eastAsia="宋体" w:cs="Times New Roman"/>
                      <w:b w:val="0"/>
                      <w:color w:val="000000"/>
                      <w:sz w:val="21"/>
                      <w:szCs w:val="21"/>
                      <w:lang w:val="en-US" w:eastAsia="zh-CN"/>
                    </w:rPr>
                    <w:t>城市选项时</w:t>
                  </w:r>
                  <w:r>
                    <w:rPr>
                      <w:rFonts w:ascii="Times New Roman" w:hAnsi="Times New Roman" w:eastAsia="宋体" w:cs="Times New Roman"/>
                      <w:b w:val="0"/>
                      <w:color w:val="000000"/>
                      <w:sz w:val="21"/>
                      <w:szCs w:val="21"/>
                      <w:lang w:val="en-US" w:eastAsia="zh-CN"/>
                    </w:rPr>
                    <w:t>)</w:t>
                  </w:r>
                </w:p>
              </w:tc>
              <w:tc>
                <w:tcPr>
                  <w:tcW w:w="1471" w:type="pct"/>
                  <w:noWrap w:val="0"/>
                  <w:vAlign w:val="center"/>
                </w:tcPr>
                <w:p>
                  <w:pPr>
                    <w:pStyle w:val="18"/>
                    <w:spacing w:line="240" w:lineRule="auto"/>
                    <w:jc w:val="center"/>
                    <w:rPr>
                      <w:rFonts w:hint="default" w:ascii="Times New Roman" w:hAnsi="Times New Roman" w:eastAsia="宋体" w:cs="Times New Roman"/>
                      <w:b w:val="0"/>
                      <w:color w:val="000000"/>
                      <w:sz w:val="21"/>
                      <w:szCs w:val="21"/>
                      <w:lang w:val="en-US" w:eastAsia="zh-CN"/>
                    </w:rPr>
                  </w:pPr>
                  <w:r>
                    <w:rPr>
                      <w:rFonts w:hint="eastAsia" w:ascii="Times New Roman" w:hAnsi="Times New Roman" w:cs="Times New Roman"/>
                      <w:b w:val="0"/>
                      <w:color w:val="000000"/>
                      <w:sz w:val="21"/>
                      <w:szCs w:val="21"/>
                      <w:lang w:val="en-US" w:eastAsia="zh-CN"/>
                    </w:rPr>
                    <w:t>50万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最高环境温度</w:t>
                  </w:r>
                  <w:r>
                    <w:rPr>
                      <w:rFonts w:ascii="Times New Roman" w:hAnsi="Times New Roman" w:eastAsia="宋体" w:cs="Times New Roman"/>
                      <w:b w:val="0"/>
                      <w:color w:val="000000"/>
                      <w:sz w:val="21"/>
                      <w:szCs w:val="21"/>
                      <w:lang w:val="en-US" w:eastAsia="zh-CN"/>
                    </w:rPr>
                    <w:t>/</w:t>
                  </w:r>
                  <w:r>
                    <w:rPr>
                      <w:rFonts w:hint="eastAsia" w:ascii="Times New Roman" w:hAnsi="Times New Roman" w:eastAsia="宋体" w:cs="Times New Roman"/>
                      <w:b w:val="0"/>
                      <w:color w:val="000000"/>
                      <w:sz w:val="21"/>
                      <w:szCs w:val="21"/>
                      <w:lang w:val="en-US" w:eastAsia="zh-CN"/>
                    </w:rPr>
                    <w:t>℃</w:t>
                  </w:r>
                </w:p>
              </w:tc>
              <w:tc>
                <w:tcPr>
                  <w:tcW w:w="1471" w:type="pct"/>
                  <w:noWrap w:val="0"/>
                  <w:vAlign w:val="center"/>
                </w:tcPr>
                <w:p>
                  <w:pPr>
                    <w:pStyle w:val="18"/>
                    <w:spacing w:line="240" w:lineRule="auto"/>
                    <w:jc w:val="center"/>
                    <w:rPr>
                      <w:rFonts w:hint="default" w:ascii="Times New Roman" w:hAnsi="Times New Roman" w:eastAsia="宋体" w:cs="Times New Roman"/>
                      <w:b w:val="0"/>
                      <w:color w:val="000000"/>
                      <w:sz w:val="21"/>
                      <w:szCs w:val="21"/>
                      <w:lang w:val="en-US" w:eastAsia="zh-CN"/>
                    </w:rPr>
                  </w:pPr>
                  <w:r>
                    <w:rPr>
                      <w:rFonts w:hint="eastAsia" w:ascii="Times New Roman" w:hAnsi="Times New Roman" w:cs="Times New Roman"/>
                      <w:b w:val="0"/>
                      <w:color w:val="000000"/>
                      <w:sz w:val="21"/>
                      <w:szCs w:val="21"/>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最低环境温度</w:t>
                  </w:r>
                  <w:r>
                    <w:rPr>
                      <w:rFonts w:ascii="Times New Roman" w:hAnsi="Times New Roman" w:eastAsia="宋体" w:cs="Times New Roman"/>
                      <w:b w:val="0"/>
                      <w:color w:val="000000"/>
                      <w:sz w:val="21"/>
                      <w:szCs w:val="21"/>
                      <w:lang w:val="en-US" w:eastAsia="zh-CN"/>
                    </w:rPr>
                    <w:t>/</w:t>
                  </w:r>
                  <w:r>
                    <w:rPr>
                      <w:rFonts w:hint="eastAsia" w:ascii="Times New Roman" w:hAnsi="Times New Roman" w:eastAsia="宋体" w:cs="Times New Roman"/>
                      <w:b w:val="0"/>
                      <w:color w:val="000000"/>
                      <w:sz w:val="21"/>
                      <w:szCs w:val="21"/>
                      <w:lang w:val="en-US" w:eastAsia="zh-CN"/>
                    </w:rPr>
                    <w:t>℃</w:t>
                  </w:r>
                </w:p>
              </w:tc>
              <w:tc>
                <w:tcPr>
                  <w:tcW w:w="1471" w:type="pct"/>
                  <w:noWrap w:val="0"/>
                  <w:vAlign w:val="center"/>
                </w:tcPr>
                <w:p>
                  <w:pPr>
                    <w:pStyle w:val="18"/>
                    <w:spacing w:line="240" w:lineRule="auto"/>
                    <w:jc w:val="center"/>
                    <w:rPr>
                      <w:rFonts w:hint="default" w:ascii="Times New Roman" w:hAnsi="Times New Roman" w:eastAsia="宋体" w:cs="Times New Roman"/>
                      <w:b w:val="0"/>
                      <w:color w:val="000000"/>
                      <w:sz w:val="21"/>
                      <w:szCs w:val="21"/>
                      <w:lang w:val="en-US" w:eastAsia="zh-CN"/>
                    </w:rPr>
                  </w:pPr>
                  <w:r>
                    <w:rPr>
                      <w:rFonts w:ascii="Times New Roman" w:hAnsi="Times New Roman" w:eastAsia="宋体" w:cs="Times New Roman"/>
                      <w:b w:val="0"/>
                      <w:color w:val="000000"/>
                      <w:sz w:val="21"/>
                      <w:szCs w:val="21"/>
                      <w:lang w:val="en-US" w:eastAsia="zh-CN"/>
                    </w:rPr>
                    <w:t>-</w:t>
                  </w:r>
                  <w:r>
                    <w:rPr>
                      <w:rFonts w:hint="eastAsia" w:ascii="Times New Roman" w:hAnsi="Times New Roman" w:cs="Times New Roman"/>
                      <w:b w:val="0"/>
                      <w:color w:val="000000"/>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土地利用类型</w:t>
                  </w:r>
                </w:p>
              </w:tc>
              <w:tc>
                <w:tcPr>
                  <w:tcW w:w="1471" w:type="pct"/>
                  <w:noWrap w:val="0"/>
                  <w:vAlign w:val="center"/>
                </w:tcPr>
                <w:p>
                  <w:pPr>
                    <w:pStyle w:val="18"/>
                    <w:spacing w:line="240" w:lineRule="auto"/>
                    <w:jc w:val="center"/>
                    <w:rPr>
                      <w:rFonts w:hint="default" w:ascii="Times New Roman" w:hAnsi="Times New Roman" w:eastAsia="宋体" w:cs="Times New Roman"/>
                      <w:b w:val="0"/>
                      <w:color w:val="000000"/>
                      <w:sz w:val="21"/>
                      <w:szCs w:val="21"/>
                      <w:lang w:val="en-US" w:eastAsia="zh-CN"/>
                    </w:rPr>
                  </w:pPr>
                  <w:r>
                    <w:rPr>
                      <w:rFonts w:hint="eastAsia" w:ascii="Times New Roman" w:hAnsi="Times New Roman" w:cs="Times New Roman"/>
                      <w:b w:val="0"/>
                      <w:color w:val="000000"/>
                      <w:sz w:val="21"/>
                      <w:szCs w:val="21"/>
                      <w:lang w:val="en-US" w:eastAsia="zh-CN"/>
                    </w:rPr>
                    <w:t>农村集体土地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区域湿度条件</w:t>
                  </w:r>
                </w:p>
              </w:tc>
              <w:tc>
                <w:tcPr>
                  <w:tcW w:w="1471" w:type="pct"/>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pct"/>
                  <w:vMerge w:val="restart"/>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是否考虑地形</w:t>
                  </w:r>
                </w:p>
              </w:tc>
              <w:tc>
                <w:tcPr>
                  <w:tcW w:w="1738" w:type="pct"/>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考虑地形</w:t>
                  </w:r>
                </w:p>
              </w:tc>
              <w:tc>
                <w:tcPr>
                  <w:tcW w:w="1471" w:type="pct"/>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ascii="Times New Roman" w:hAnsi="Times New Roman" w:eastAsia="宋体" w:cs="Times New Roman"/>
                      <w:b w:val="0"/>
                      <w:color w:val="000000"/>
                      <w:sz w:val="21"/>
                      <w:szCs w:val="21"/>
                      <w:lang w:val="en-US" w:eastAsia="zh-CN"/>
                    </w:rPr>
                    <w:t>□</w:t>
                  </w:r>
                  <w:r>
                    <w:rPr>
                      <w:rFonts w:hint="eastAsia" w:ascii="Times New Roman" w:hAnsi="Times New Roman" w:eastAsia="宋体" w:cs="Times New Roman"/>
                      <w:b w:val="0"/>
                      <w:color w:val="000000"/>
                      <w:sz w:val="21"/>
                      <w:szCs w:val="21"/>
                      <w:lang w:val="en-US" w:eastAsia="zh-CN"/>
                    </w:rPr>
                    <w:t>是</w:t>
                  </w:r>
                  <w:r>
                    <w:rPr>
                      <w:rFonts w:ascii="Times New Roman" w:hAnsi="Times New Roman" w:eastAsia="宋体" w:cs="Times New Roman"/>
                      <w:b w:val="0"/>
                      <w:color w:val="000000"/>
                      <w:sz w:val="21"/>
                      <w:szCs w:val="21"/>
                      <w:lang w:val="en-US" w:eastAsia="zh-CN"/>
                    </w:rPr>
                    <w:t xml:space="preserve">    ■</w:t>
                  </w:r>
                  <w:r>
                    <w:rPr>
                      <w:rFonts w:hint="eastAsia" w:ascii="Times New Roman" w:hAnsi="Times New Roman" w:eastAsia="宋体" w:cs="Times New Roman"/>
                      <w:b w:val="0"/>
                      <w:color w:val="000000"/>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pct"/>
                  <w:vMerge w:val="continue"/>
                  <w:noWrap w:val="0"/>
                  <w:vAlign w:val="center"/>
                </w:tcPr>
                <w:p>
                  <w:pPr>
                    <w:widowControl/>
                    <w:spacing w:line="240" w:lineRule="auto"/>
                    <w:jc w:val="left"/>
                    <w:rPr>
                      <w:rFonts w:ascii="Times New Roman" w:hAnsi="Times New Roman" w:eastAsia="宋体" w:cs="Times New Roman"/>
                      <w:bCs/>
                      <w:color w:val="000000"/>
                      <w:sz w:val="21"/>
                      <w:szCs w:val="21"/>
                    </w:rPr>
                  </w:pPr>
                </w:p>
              </w:tc>
              <w:tc>
                <w:tcPr>
                  <w:tcW w:w="1738" w:type="pct"/>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地形数据分辨率</w:t>
                  </w:r>
                  <w:r>
                    <w:rPr>
                      <w:rFonts w:ascii="Times New Roman" w:hAnsi="Times New Roman" w:eastAsia="宋体" w:cs="Times New Roman"/>
                      <w:b w:val="0"/>
                      <w:color w:val="000000"/>
                      <w:sz w:val="21"/>
                      <w:szCs w:val="21"/>
                      <w:lang w:val="en-US" w:eastAsia="zh-CN"/>
                    </w:rPr>
                    <w:t>/m</w:t>
                  </w:r>
                </w:p>
              </w:tc>
              <w:tc>
                <w:tcPr>
                  <w:tcW w:w="1471" w:type="pct"/>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ascii="Times New Roman" w:hAnsi="Times New Roman" w:eastAsia="宋体" w:cs="Times New Roman"/>
                      <w:b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pct"/>
                  <w:vMerge w:val="restart"/>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是否会考虑岸线熏烟</w:t>
                  </w:r>
                </w:p>
              </w:tc>
              <w:tc>
                <w:tcPr>
                  <w:tcW w:w="1738" w:type="pct"/>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考虑岸线熏烟</w:t>
                  </w:r>
                </w:p>
              </w:tc>
              <w:tc>
                <w:tcPr>
                  <w:tcW w:w="1471" w:type="pct"/>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ascii="Times New Roman" w:hAnsi="Times New Roman" w:eastAsia="宋体" w:cs="Times New Roman"/>
                      <w:b w:val="0"/>
                      <w:color w:val="000000"/>
                      <w:sz w:val="21"/>
                      <w:szCs w:val="21"/>
                      <w:lang w:val="en-US" w:eastAsia="zh-CN"/>
                    </w:rPr>
                    <w:t>□</w:t>
                  </w:r>
                  <w:r>
                    <w:rPr>
                      <w:rFonts w:hint="eastAsia" w:ascii="Times New Roman" w:hAnsi="Times New Roman" w:eastAsia="宋体" w:cs="Times New Roman"/>
                      <w:b w:val="0"/>
                      <w:color w:val="000000"/>
                      <w:sz w:val="21"/>
                      <w:szCs w:val="21"/>
                      <w:lang w:val="en-US" w:eastAsia="zh-CN"/>
                    </w:rPr>
                    <w:t>是</w:t>
                  </w:r>
                  <w:r>
                    <w:rPr>
                      <w:rFonts w:ascii="Times New Roman" w:hAnsi="Times New Roman" w:eastAsia="宋体" w:cs="Times New Roman"/>
                      <w:b w:val="0"/>
                      <w:color w:val="000000"/>
                      <w:sz w:val="21"/>
                      <w:szCs w:val="21"/>
                      <w:lang w:val="en-US" w:eastAsia="zh-CN"/>
                    </w:rPr>
                    <w:t xml:space="preserve">    ■</w:t>
                  </w:r>
                  <w:r>
                    <w:rPr>
                      <w:rFonts w:hint="eastAsia" w:ascii="Times New Roman" w:hAnsi="Times New Roman" w:eastAsia="宋体" w:cs="Times New Roman"/>
                      <w:b w:val="0"/>
                      <w:color w:val="000000"/>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pct"/>
                  <w:vMerge w:val="continue"/>
                  <w:noWrap w:val="0"/>
                  <w:vAlign w:val="center"/>
                </w:tcPr>
                <w:p>
                  <w:pPr>
                    <w:widowControl/>
                    <w:spacing w:line="240" w:lineRule="auto"/>
                    <w:jc w:val="left"/>
                    <w:rPr>
                      <w:rFonts w:ascii="Times New Roman" w:hAnsi="Times New Roman" w:eastAsia="宋体" w:cs="Times New Roman"/>
                      <w:bCs/>
                      <w:color w:val="000000"/>
                      <w:sz w:val="21"/>
                      <w:szCs w:val="21"/>
                    </w:rPr>
                  </w:pPr>
                </w:p>
              </w:tc>
              <w:tc>
                <w:tcPr>
                  <w:tcW w:w="1738" w:type="pct"/>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岸线距离</w:t>
                  </w:r>
                  <w:r>
                    <w:rPr>
                      <w:rFonts w:ascii="Times New Roman" w:hAnsi="Times New Roman" w:eastAsia="宋体" w:cs="Times New Roman"/>
                      <w:b w:val="0"/>
                      <w:color w:val="000000"/>
                      <w:sz w:val="21"/>
                      <w:szCs w:val="21"/>
                      <w:lang w:val="en-US" w:eastAsia="zh-CN"/>
                    </w:rPr>
                    <w:t>/km</w:t>
                  </w:r>
                </w:p>
              </w:tc>
              <w:tc>
                <w:tcPr>
                  <w:tcW w:w="1471" w:type="pct"/>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ascii="Times New Roman" w:hAnsi="Times New Roman" w:eastAsia="宋体" w:cs="Times New Roman"/>
                      <w:b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pct"/>
                  <w:vMerge w:val="continue"/>
                  <w:noWrap w:val="0"/>
                  <w:vAlign w:val="center"/>
                </w:tcPr>
                <w:p>
                  <w:pPr>
                    <w:widowControl/>
                    <w:spacing w:line="240" w:lineRule="auto"/>
                    <w:jc w:val="left"/>
                    <w:rPr>
                      <w:rFonts w:ascii="Times New Roman" w:hAnsi="Times New Roman" w:eastAsia="宋体" w:cs="Times New Roman"/>
                      <w:bCs/>
                      <w:color w:val="000000"/>
                      <w:sz w:val="21"/>
                      <w:szCs w:val="21"/>
                    </w:rPr>
                  </w:pPr>
                </w:p>
              </w:tc>
              <w:tc>
                <w:tcPr>
                  <w:tcW w:w="1738" w:type="pct"/>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岸线方向</w:t>
                  </w:r>
                  <w:r>
                    <w:rPr>
                      <w:rFonts w:ascii="Times New Roman" w:hAnsi="Times New Roman" w:eastAsia="宋体" w:cs="Times New Roman"/>
                      <w:b w:val="0"/>
                      <w:color w:val="000000"/>
                      <w:sz w:val="21"/>
                      <w:szCs w:val="21"/>
                      <w:lang w:val="en-US" w:eastAsia="zh-CN"/>
                    </w:rPr>
                    <w:t>/</w:t>
                  </w:r>
                  <w:r>
                    <w:rPr>
                      <w:rFonts w:hint="eastAsia" w:ascii="Times New Roman" w:hAnsi="Times New Roman" w:eastAsia="宋体" w:cs="Times New Roman"/>
                      <w:b w:val="0"/>
                      <w:color w:val="000000"/>
                      <w:sz w:val="21"/>
                      <w:szCs w:val="21"/>
                      <w:lang w:val="en-US" w:eastAsia="zh-CN"/>
                    </w:rPr>
                    <w:t>℃</w:t>
                  </w:r>
                </w:p>
              </w:tc>
              <w:tc>
                <w:tcPr>
                  <w:tcW w:w="1471" w:type="pct"/>
                  <w:noWrap w:val="0"/>
                  <w:vAlign w:val="center"/>
                </w:tcPr>
                <w:p>
                  <w:pPr>
                    <w:pStyle w:val="18"/>
                    <w:spacing w:line="240" w:lineRule="auto"/>
                    <w:jc w:val="center"/>
                    <w:rPr>
                      <w:rFonts w:ascii="Times New Roman" w:hAnsi="Times New Roman" w:eastAsia="宋体" w:cs="Times New Roman"/>
                      <w:b w:val="0"/>
                      <w:color w:val="000000"/>
                      <w:sz w:val="21"/>
                      <w:szCs w:val="21"/>
                      <w:lang w:val="en-US" w:eastAsia="zh-CN"/>
                    </w:rPr>
                  </w:pPr>
                  <w:r>
                    <w:rPr>
                      <w:rFonts w:ascii="Times New Roman" w:hAnsi="Times New Roman" w:eastAsia="宋体" w:cs="Times New Roman"/>
                      <w:b w:val="0"/>
                      <w:color w:val="000000"/>
                      <w:sz w:val="21"/>
                      <w:szCs w:val="21"/>
                      <w:lang w:val="en-US" w:eastAsia="zh-CN"/>
                    </w:rPr>
                    <w:t>/</w:t>
                  </w:r>
                </w:p>
              </w:tc>
            </w:tr>
          </w:tbl>
          <w:p>
            <w:pPr>
              <w:spacing w:line="240" w:lineRule="auto"/>
              <w:jc w:val="center"/>
              <w:rPr>
                <w:rFonts w:ascii="Times New Roman" w:hAnsi="Times New Roman" w:eastAsia="宋体" w:cs="Times New Roman"/>
                <w:b/>
                <w:bCs/>
                <w:color w:val="000000"/>
                <w:sz w:val="21"/>
                <w:szCs w:val="21"/>
              </w:rPr>
            </w:pPr>
          </w:p>
          <w:p>
            <w:pPr>
              <w:spacing w:line="240" w:lineRule="auto"/>
              <w:jc w:val="center"/>
              <w:rPr>
                <w:rFonts w:ascii="Times New Roman" w:hAnsi="Times New Roman" w:eastAsia="宋体" w:cs="Times New Roman"/>
                <w:b/>
                <w:bCs/>
                <w:color w:val="000000"/>
                <w:sz w:val="21"/>
                <w:szCs w:val="21"/>
              </w:rPr>
            </w:pPr>
          </w:p>
          <w:p>
            <w:pPr>
              <w:spacing w:line="240" w:lineRule="auto"/>
              <w:jc w:val="center"/>
              <w:rPr>
                <w:rFonts w:ascii="Times New Roman" w:hAnsi="Times New Roman" w:eastAsia="宋体" w:cs="Times New Roman"/>
                <w:b/>
                <w:bCs/>
                <w:color w:val="000000"/>
                <w:sz w:val="21"/>
                <w:szCs w:val="21"/>
              </w:rPr>
            </w:pPr>
          </w:p>
          <w:p>
            <w:pPr>
              <w:spacing w:line="240" w:lineRule="auto"/>
              <w:jc w:val="center"/>
              <w:rPr>
                <w:rFonts w:ascii="Times New Roman" w:hAnsi="Times New Roman" w:eastAsia="宋体" w:cs="Times New Roman"/>
                <w:b/>
                <w:bCs/>
                <w:color w:val="000000"/>
                <w:sz w:val="21"/>
                <w:szCs w:val="21"/>
              </w:rPr>
            </w:pPr>
          </w:p>
          <w:p>
            <w:pPr>
              <w:spacing w:line="240" w:lineRule="auto"/>
              <w:jc w:val="center"/>
              <w:rPr>
                <w:rFonts w:ascii="Times New Roman" w:hAnsi="Times New Roman" w:eastAsia="宋体" w:cs="Times New Roman"/>
                <w:b/>
                <w:bCs/>
                <w:color w:val="000000"/>
                <w:sz w:val="21"/>
                <w:szCs w:val="21"/>
              </w:rPr>
            </w:pPr>
          </w:p>
          <w:p>
            <w:pPr>
              <w:spacing w:line="240" w:lineRule="auto"/>
              <w:jc w:val="center"/>
              <w:rPr>
                <w:rFonts w:ascii="Times New Roman" w:hAnsi="Times New Roman" w:eastAsia="宋体" w:cs="Times New Roman"/>
                <w:b/>
                <w:bCs/>
                <w:color w:val="000000"/>
                <w:sz w:val="21"/>
                <w:szCs w:val="21"/>
              </w:rPr>
            </w:pPr>
          </w:p>
          <w:p>
            <w:pPr>
              <w:spacing w:line="240" w:lineRule="auto"/>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表</w:t>
            </w:r>
            <w:r>
              <w:rPr>
                <w:rFonts w:hint="eastAsia" w:ascii="Times New Roman" w:hAnsi="Times New Roman" w:cs="Times New Roman"/>
                <w:b/>
                <w:bCs/>
                <w:color w:val="000000"/>
                <w:sz w:val="21"/>
                <w:szCs w:val="21"/>
                <w:lang w:val="en-US" w:eastAsia="zh-CN"/>
              </w:rPr>
              <w:t>4-7</w:t>
            </w:r>
            <w:r>
              <w:rPr>
                <w:rFonts w:ascii="Times New Roman" w:hAnsi="Times New Roman" w:eastAsia="宋体" w:cs="Times New Roman"/>
                <w:b/>
                <w:bCs/>
                <w:color w:val="000000"/>
                <w:sz w:val="21"/>
                <w:szCs w:val="21"/>
              </w:rPr>
              <w:t xml:space="preserve"> 主要废气污染源参数一览表(点源)</w:t>
            </w:r>
          </w:p>
          <w:tbl>
            <w:tblPr>
              <w:tblStyle w:val="20"/>
              <w:tblW w:w="4993"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706"/>
              <w:gridCol w:w="935"/>
              <w:gridCol w:w="1046"/>
              <w:gridCol w:w="481"/>
              <w:gridCol w:w="481"/>
              <w:gridCol w:w="522"/>
              <w:gridCol w:w="634"/>
              <w:gridCol w:w="633"/>
              <w:gridCol w:w="727"/>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vMerge w:val="restar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污染源名称</w:t>
                  </w:r>
                </w:p>
              </w:tc>
              <w:tc>
                <w:tcPr>
                  <w:tcW w:w="993" w:type="pct"/>
                  <w:gridSpan w:val="2"/>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排气筒底部中心坐标</w:t>
                  </w:r>
                  <w:r>
                    <w:rPr>
                      <w:rFonts w:ascii="Times New Roman" w:hAnsi="Times New Roman" w:eastAsia="宋体" w:cs="Times New Roman"/>
                      <w:color w:val="000000"/>
                      <w:sz w:val="21"/>
                      <w:szCs w:val="21"/>
                    </w:rPr>
                    <w:t>(°)</w:t>
                  </w:r>
                </w:p>
              </w:tc>
              <w:tc>
                <w:tcPr>
                  <w:tcW w:w="633" w:type="pct"/>
                  <w:vMerge w:val="restar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排气筒底部海拔高度</w:t>
                  </w:r>
                  <w:r>
                    <w:rPr>
                      <w:rFonts w:ascii="Times New Roman" w:hAnsi="Times New Roman" w:eastAsia="宋体" w:cs="Times New Roman"/>
                      <w:color w:val="000000"/>
                      <w:sz w:val="21"/>
                      <w:szCs w:val="21"/>
                    </w:rPr>
                    <w:t>(m)</w:t>
                  </w:r>
                </w:p>
              </w:tc>
              <w:tc>
                <w:tcPr>
                  <w:tcW w:w="1282" w:type="pct"/>
                  <w:gridSpan w:val="4"/>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排气筒参数</w:t>
                  </w:r>
                </w:p>
              </w:tc>
              <w:tc>
                <w:tcPr>
                  <w:tcW w:w="1322" w:type="pct"/>
                  <w:gridSpan w:val="3"/>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污染物排放速率</w:t>
                  </w:r>
                  <w:r>
                    <w:rPr>
                      <w:rFonts w:ascii="Times New Roman" w:hAnsi="Times New Roman" w:eastAsia="宋体" w:cs="Times New Roman"/>
                      <w:color w:val="000000"/>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vMerge w:val="continue"/>
                  <w:noWrap w:val="0"/>
                  <w:vAlign w:val="center"/>
                </w:tcPr>
                <w:p>
                  <w:pPr>
                    <w:spacing w:line="240" w:lineRule="auto"/>
                    <w:jc w:val="center"/>
                    <w:rPr>
                      <w:rFonts w:ascii="Times New Roman" w:hAnsi="Times New Roman" w:eastAsia="宋体" w:cs="Times New Roman"/>
                      <w:color w:val="000000"/>
                      <w:sz w:val="21"/>
                      <w:szCs w:val="21"/>
                    </w:rPr>
                  </w:pPr>
                </w:p>
              </w:tc>
              <w:tc>
                <w:tcPr>
                  <w:tcW w:w="427"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经度</w:t>
                  </w:r>
                </w:p>
              </w:tc>
              <w:tc>
                <w:tcPr>
                  <w:tcW w:w="566"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纬度</w:t>
                  </w:r>
                </w:p>
              </w:tc>
              <w:tc>
                <w:tcPr>
                  <w:tcW w:w="633" w:type="pct"/>
                  <w:vMerge w:val="continue"/>
                  <w:noWrap w:val="0"/>
                  <w:vAlign w:val="center"/>
                </w:tcPr>
                <w:p>
                  <w:pPr>
                    <w:spacing w:line="240" w:lineRule="auto"/>
                    <w:jc w:val="center"/>
                    <w:rPr>
                      <w:rFonts w:ascii="Times New Roman" w:hAnsi="Times New Roman" w:eastAsia="宋体" w:cs="Times New Roman"/>
                      <w:color w:val="000000"/>
                      <w:sz w:val="21"/>
                      <w:szCs w:val="21"/>
                    </w:rPr>
                  </w:pPr>
                </w:p>
              </w:tc>
              <w:tc>
                <w:tcPr>
                  <w:tcW w:w="291"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高度</w:t>
                  </w:r>
                  <w:r>
                    <w:rPr>
                      <w:rFonts w:ascii="Times New Roman" w:hAnsi="Times New Roman" w:eastAsia="宋体" w:cs="Times New Roman"/>
                      <w:color w:val="000000"/>
                      <w:sz w:val="21"/>
                      <w:szCs w:val="21"/>
                    </w:rPr>
                    <w:t>(m)</w:t>
                  </w:r>
                </w:p>
              </w:tc>
              <w:tc>
                <w:tcPr>
                  <w:tcW w:w="291"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内径</w:t>
                  </w:r>
                  <w:r>
                    <w:rPr>
                      <w:rFonts w:ascii="Times New Roman" w:hAnsi="Times New Roman" w:eastAsia="宋体" w:cs="Times New Roman"/>
                      <w:color w:val="000000"/>
                      <w:sz w:val="21"/>
                      <w:szCs w:val="21"/>
                    </w:rPr>
                    <w:t>(m)</w:t>
                  </w:r>
                </w:p>
              </w:tc>
              <w:tc>
                <w:tcPr>
                  <w:tcW w:w="316"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温度</w:t>
                  </w:r>
                  <w:r>
                    <w:rPr>
                      <w:rFonts w:ascii="Times New Roman" w:hAnsi="Times New Roman" w:eastAsia="宋体" w:cs="Times New Roman"/>
                      <w:color w:val="000000"/>
                      <w:sz w:val="21"/>
                      <w:szCs w:val="21"/>
                    </w:rPr>
                    <w:t>(</w:t>
                  </w:r>
                  <w:r>
                    <w:rPr>
                      <w:rFonts w:ascii="宋体" w:hAnsi="宋体" w:eastAsia="宋体" w:cs="Times New Roman"/>
                      <w:color w:val="000000"/>
                      <w:sz w:val="21"/>
                      <w:szCs w:val="21"/>
                    </w:rPr>
                    <w:t>℃</w:t>
                  </w:r>
                  <w:r>
                    <w:rPr>
                      <w:rFonts w:ascii="Times New Roman" w:hAnsi="Times New Roman" w:eastAsia="宋体" w:cs="Times New Roman"/>
                      <w:color w:val="000000"/>
                      <w:sz w:val="21"/>
                      <w:szCs w:val="21"/>
                    </w:rPr>
                    <w:t>)</w:t>
                  </w:r>
                </w:p>
              </w:tc>
              <w:tc>
                <w:tcPr>
                  <w:tcW w:w="384"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流速</w:t>
                  </w:r>
                  <w:r>
                    <w:rPr>
                      <w:rFonts w:ascii="Times New Roman" w:hAnsi="Times New Roman" w:eastAsia="宋体" w:cs="Times New Roman"/>
                      <w:color w:val="000000"/>
                      <w:sz w:val="21"/>
                      <w:szCs w:val="21"/>
                    </w:rPr>
                    <w:t>(m/s)</w:t>
                  </w:r>
                </w:p>
              </w:tc>
              <w:tc>
                <w:tcPr>
                  <w:tcW w:w="383"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NO</w:t>
                  </w:r>
                  <w:r>
                    <w:rPr>
                      <w:rFonts w:ascii="Times New Roman" w:hAnsi="Times New Roman" w:eastAsia="宋体" w:cs="Times New Roman"/>
                      <w:color w:val="000000"/>
                      <w:sz w:val="21"/>
                      <w:szCs w:val="21"/>
                      <w:vertAlign w:val="subscript"/>
                    </w:rPr>
                    <w:t>x</w:t>
                  </w:r>
                </w:p>
              </w:tc>
              <w:tc>
                <w:tcPr>
                  <w:tcW w:w="440"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SO</w:t>
                  </w:r>
                  <w:r>
                    <w:rPr>
                      <w:rFonts w:ascii="Times New Roman" w:hAnsi="Times New Roman" w:eastAsia="宋体" w:cs="Times New Roman"/>
                      <w:color w:val="000000"/>
                      <w:sz w:val="21"/>
                      <w:szCs w:val="21"/>
                      <w:vertAlign w:val="subscript"/>
                    </w:rPr>
                    <w:t>2</w:t>
                  </w:r>
                </w:p>
              </w:tc>
              <w:tc>
                <w:tcPr>
                  <w:tcW w:w="499"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PM</w:t>
                  </w:r>
                  <w:r>
                    <w:rPr>
                      <w:rFonts w:ascii="Times New Roman" w:hAnsi="Times New Roman" w:eastAsia="宋体" w:cs="Times New Roman"/>
                      <w:color w:val="000000"/>
                      <w:sz w:val="21"/>
                      <w:szCs w:val="21"/>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生物质锅炉</w:t>
                  </w:r>
                  <w:r>
                    <w:rPr>
                      <w:rFonts w:hint="eastAsia" w:ascii="Times New Roman" w:hAnsi="宋体" w:cs="Times New Roman"/>
                      <w:color w:val="000000"/>
                      <w:sz w:val="21"/>
                      <w:szCs w:val="21"/>
                      <w:lang w:val="en-US" w:eastAsia="zh-CN"/>
                    </w:rPr>
                    <w:t>烟囱</w:t>
                  </w:r>
                </w:p>
              </w:tc>
              <w:tc>
                <w:tcPr>
                  <w:tcW w:w="427"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112°20′10.38550″</w:t>
                  </w:r>
                </w:p>
              </w:tc>
              <w:tc>
                <w:tcPr>
                  <w:tcW w:w="566"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25°50′55.50706″</w:t>
                  </w:r>
                </w:p>
              </w:tc>
              <w:tc>
                <w:tcPr>
                  <w:tcW w:w="633"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219</w:t>
                  </w:r>
                </w:p>
              </w:tc>
              <w:tc>
                <w:tcPr>
                  <w:tcW w:w="291"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40</w:t>
                  </w:r>
                </w:p>
              </w:tc>
              <w:tc>
                <w:tcPr>
                  <w:tcW w:w="291"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1.4</w:t>
                  </w:r>
                </w:p>
              </w:tc>
              <w:tc>
                <w:tcPr>
                  <w:tcW w:w="316"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35</w:t>
                  </w:r>
                </w:p>
              </w:tc>
              <w:tc>
                <w:tcPr>
                  <w:tcW w:w="384"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10.35</w:t>
                  </w:r>
                </w:p>
              </w:tc>
              <w:tc>
                <w:tcPr>
                  <w:tcW w:w="383"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1.13</w:t>
                  </w:r>
                </w:p>
              </w:tc>
              <w:tc>
                <w:tcPr>
                  <w:tcW w:w="440"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0.13</w:t>
                  </w:r>
                </w:p>
              </w:tc>
              <w:tc>
                <w:tcPr>
                  <w:tcW w:w="499"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noWrap w:val="0"/>
                  <w:vAlign w:val="center"/>
                </w:tcPr>
                <w:p>
                  <w:pPr>
                    <w:spacing w:line="240" w:lineRule="auto"/>
                    <w:jc w:val="center"/>
                    <w:rPr>
                      <w:rFonts w:hint="default" w:ascii="Times New Roman" w:hAnsi="宋体" w:eastAsia="宋体" w:cs="Times New Roman"/>
                      <w:color w:val="000000"/>
                      <w:sz w:val="21"/>
                      <w:szCs w:val="21"/>
                      <w:lang w:val="en-US"/>
                    </w:rPr>
                  </w:pPr>
                  <w:r>
                    <w:rPr>
                      <w:rFonts w:hint="eastAsia" w:ascii="Times New Roman" w:hAnsi="Times New Roman" w:cs="Times New Roman"/>
                      <w:b w:val="0"/>
                      <w:bCs/>
                      <w:color w:val="000000"/>
                      <w:kern w:val="2"/>
                      <w:sz w:val="21"/>
                      <w:szCs w:val="21"/>
                      <w:lang w:val="en-US" w:eastAsia="zh-CN" w:bidi="ar-SA"/>
                    </w:rPr>
                    <w:t>滚筒式炒锅排气筒</w:t>
                  </w:r>
                </w:p>
              </w:tc>
              <w:tc>
                <w:tcPr>
                  <w:tcW w:w="427" w:type="pct"/>
                  <w:noWrap w:val="0"/>
                  <w:vAlign w:val="center"/>
                </w:tcPr>
                <w:p>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112°20′10.82164″</w:t>
                  </w:r>
                </w:p>
              </w:tc>
              <w:tc>
                <w:tcPr>
                  <w:tcW w:w="566" w:type="pct"/>
                  <w:noWrap w:val="0"/>
                  <w:vAlign w:val="center"/>
                </w:tcPr>
                <w:p>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25°50′55.98851″</w:t>
                  </w:r>
                </w:p>
              </w:tc>
              <w:tc>
                <w:tcPr>
                  <w:tcW w:w="633" w:type="pct"/>
                  <w:noWrap w:val="0"/>
                  <w:vAlign w:val="center"/>
                </w:tcPr>
                <w:p>
                  <w:pPr>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221</w:t>
                  </w:r>
                </w:p>
              </w:tc>
              <w:tc>
                <w:tcPr>
                  <w:tcW w:w="291" w:type="pct"/>
                  <w:noWrap w:val="0"/>
                  <w:vAlign w:val="center"/>
                </w:tcPr>
                <w:p>
                  <w:pPr>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15</w:t>
                  </w:r>
                </w:p>
              </w:tc>
              <w:tc>
                <w:tcPr>
                  <w:tcW w:w="291" w:type="pct"/>
                  <w:noWrap w:val="0"/>
                  <w:vAlign w:val="center"/>
                </w:tcPr>
                <w:p>
                  <w:pPr>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0.5</w:t>
                  </w:r>
                </w:p>
              </w:tc>
              <w:tc>
                <w:tcPr>
                  <w:tcW w:w="316" w:type="pct"/>
                  <w:noWrap w:val="0"/>
                  <w:vAlign w:val="center"/>
                </w:tcPr>
                <w:p>
                  <w:pPr>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30</w:t>
                  </w:r>
                </w:p>
              </w:tc>
              <w:tc>
                <w:tcPr>
                  <w:tcW w:w="384"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10</w:t>
                  </w:r>
                </w:p>
              </w:tc>
              <w:tc>
                <w:tcPr>
                  <w:tcW w:w="383" w:type="pct"/>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0.038</w:t>
                  </w:r>
                </w:p>
              </w:tc>
              <w:tc>
                <w:tcPr>
                  <w:tcW w:w="440" w:type="pct"/>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0.0064</w:t>
                  </w:r>
                </w:p>
              </w:tc>
              <w:tc>
                <w:tcPr>
                  <w:tcW w:w="499" w:type="pct"/>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0.00004</w:t>
                  </w:r>
                </w:p>
              </w:tc>
            </w:tr>
          </w:tbl>
          <w:p>
            <w:pPr>
              <w:spacing w:line="240" w:lineRule="auto"/>
              <w:jc w:val="center"/>
              <w:rPr>
                <w:rFonts w:hint="eastAsia"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rPr>
              <w:t>表</w:t>
            </w:r>
            <w:r>
              <w:rPr>
                <w:rFonts w:hint="eastAsia" w:ascii="Times New Roman" w:hAnsi="Times New Roman" w:cs="Times New Roman"/>
                <w:b/>
                <w:bCs/>
                <w:color w:val="000000"/>
                <w:sz w:val="21"/>
                <w:szCs w:val="21"/>
                <w:lang w:val="en-US" w:eastAsia="zh-CN"/>
              </w:rPr>
              <w:t>4-8</w:t>
            </w:r>
            <w:r>
              <w:rPr>
                <w:rFonts w:ascii="Times New Roman" w:hAnsi="Times New Roman" w:eastAsia="宋体" w:cs="Times New Roman"/>
                <w:b/>
                <w:bCs/>
                <w:color w:val="000000"/>
                <w:sz w:val="21"/>
                <w:szCs w:val="21"/>
              </w:rPr>
              <w:t xml:space="preserve"> </w:t>
            </w:r>
            <w:r>
              <w:rPr>
                <w:rFonts w:hint="eastAsia" w:ascii="Times New Roman" w:hAnsi="Times New Roman" w:eastAsia="宋体" w:cs="Times New Roman"/>
                <w:b/>
                <w:bCs/>
                <w:color w:val="000000"/>
                <w:sz w:val="21"/>
                <w:szCs w:val="21"/>
              </w:rPr>
              <w:t>主要废气污染源参数一览表（矩形面源）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005"/>
              <w:gridCol w:w="1025"/>
              <w:gridCol w:w="967"/>
              <w:gridCol w:w="754"/>
              <w:gridCol w:w="772"/>
              <w:gridCol w:w="767"/>
              <w:gridCol w:w="979"/>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89" w:type="pct"/>
                  <w:vMerge w:val="restar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污染源名称</w:t>
                  </w:r>
                </w:p>
              </w:tc>
              <w:tc>
                <w:tcPr>
                  <w:tcW w:w="1228" w:type="pct"/>
                  <w:gridSpan w:val="2"/>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坐标</w:t>
                  </w:r>
                  <w:r>
                    <w:rPr>
                      <w:rFonts w:ascii="Times New Roman" w:hAnsi="Times New Roman" w:eastAsia="宋体" w:cs="Times New Roman"/>
                      <w:color w:val="000000"/>
                      <w:sz w:val="21"/>
                      <w:szCs w:val="21"/>
                    </w:rPr>
                    <w:t>(°)</w:t>
                  </w:r>
                </w:p>
              </w:tc>
              <w:tc>
                <w:tcPr>
                  <w:tcW w:w="585" w:type="pct"/>
                  <w:vMerge w:val="restar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海拔高度</w:t>
                  </w:r>
                  <w:r>
                    <w:rPr>
                      <w:rFonts w:ascii="Times New Roman" w:hAnsi="Times New Roman" w:eastAsia="宋体" w:cs="Times New Roman"/>
                      <w:color w:val="000000"/>
                      <w:sz w:val="21"/>
                      <w:szCs w:val="21"/>
                    </w:rPr>
                    <w:t>(m)</w:t>
                  </w:r>
                </w:p>
              </w:tc>
              <w:tc>
                <w:tcPr>
                  <w:tcW w:w="1387" w:type="pct"/>
                  <w:gridSpan w:val="3"/>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矩形面源</w:t>
                  </w:r>
                </w:p>
              </w:tc>
              <w:tc>
                <w:tcPr>
                  <w:tcW w:w="1108" w:type="pct"/>
                  <w:gridSpan w:val="2"/>
                  <w:noWrap w:val="0"/>
                  <w:vAlign w:val="center"/>
                </w:tcPr>
                <w:p>
                  <w:pPr>
                    <w:spacing w:line="240" w:lineRule="auto"/>
                    <w:jc w:val="center"/>
                    <w:rPr>
                      <w:rFonts w:ascii="Times New Roman" w:hAnsi="宋体" w:eastAsia="宋体" w:cs="Times New Roman"/>
                      <w:color w:val="000000"/>
                      <w:sz w:val="21"/>
                      <w:szCs w:val="21"/>
                    </w:rPr>
                  </w:pPr>
                  <w:r>
                    <w:rPr>
                      <w:rFonts w:ascii="Times New Roman" w:hAnsi="宋体" w:eastAsia="宋体" w:cs="Times New Roman"/>
                      <w:color w:val="000000"/>
                      <w:sz w:val="21"/>
                      <w:szCs w:val="21"/>
                    </w:rPr>
                    <w:t>污染物排放速率</w:t>
                  </w:r>
                  <w:r>
                    <w:rPr>
                      <w:rFonts w:ascii="Times New Roman" w:hAnsi="Times New Roman" w:eastAsia="宋体" w:cs="Times New Roman"/>
                      <w:color w:val="000000"/>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vMerge w:val="continue"/>
                  <w:noWrap w:val="0"/>
                  <w:vAlign w:val="center"/>
                </w:tcPr>
                <w:p>
                  <w:pPr>
                    <w:spacing w:line="240" w:lineRule="auto"/>
                    <w:jc w:val="center"/>
                    <w:rPr>
                      <w:rFonts w:ascii="Times New Roman" w:hAnsi="Times New Roman" w:eastAsia="宋体" w:cs="Times New Roman"/>
                      <w:color w:val="000000"/>
                      <w:sz w:val="21"/>
                      <w:szCs w:val="21"/>
                    </w:rPr>
                  </w:pPr>
                </w:p>
              </w:tc>
              <w:tc>
                <w:tcPr>
                  <w:tcW w:w="608"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经度</w:t>
                  </w:r>
                </w:p>
              </w:tc>
              <w:tc>
                <w:tcPr>
                  <w:tcW w:w="620"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纬度</w:t>
                  </w:r>
                </w:p>
              </w:tc>
              <w:tc>
                <w:tcPr>
                  <w:tcW w:w="585" w:type="pct"/>
                  <w:vMerge w:val="continue"/>
                  <w:noWrap w:val="0"/>
                  <w:vAlign w:val="center"/>
                </w:tcPr>
                <w:p>
                  <w:pPr>
                    <w:spacing w:line="240" w:lineRule="auto"/>
                    <w:jc w:val="center"/>
                    <w:rPr>
                      <w:rFonts w:ascii="Times New Roman" w:hAnsi="Times New Roman" w:eastAsia="宋体" w:cs="Times New Roman"/>
                      <w:color w:val="000000"/>
                      <w:sz w:val="21"/>
                      <w:szCs w:val="21"/>
                    </w:rPr>
                  </w:pPr>
                </w:p>
              </w:tc>
              <w:tc>
                <w:tcPr>
                  <w:tcW w:w="456" w:type="pct"/>
                  <w:noWrap w:val="0"/>
                  <w:vAlign w:val="center"/>
                </w:tcPr>
                <w:p>
                  <w:pPr>
                    <w:spacing w:line="240" w:lineRule="auto"/>
                    <w:jc w:val="center"/>
                    <w:rPr>
                      <w:rFonts w:hint="eastAsia" w:ascii="Times New Roman" w:hAnsi="宋体" w:eastAsia="宋体" w:cs="Times New Roman"/>
                      <w:color w:val="000000"/>
                      <w:sz w:val="21"/>
                      <w:szCs w:val="21"/>
                    </w:rPr>
                  </w:pPr>
                  <w:r>
                    <w:rPr>
                      <w:rFonts w:ascii="Times New Roman" w:hAnsi="宋体" w:eastAsia="宋体" w:cs="Times New Roman"/>
                      <w:color w:val="000000"/>
                      <w:sz w:val="21"/>
                      <w:szCs w:val="21"/>
                    </w:rPr>
                    <w:t>长度</w:t>
                  </w:r>
                </w:p>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(m)</w:t>
                  </w:r>
                </w:p>
              </w:tc>
              <w:tc>
                <w:tcPr>
                  <w:tcW w:w="467" w:type="pct"/>
                  <w:noWrap w:val="0"/>
                  <w:vAlign w:val="center"/>
                </w:tcPr>
                <w:p>
                  <w:pPr>
                    <w:spacing w:line="240" w:lineRule="auto"/>
                    <w:jc w:val="center"/>
                    <w:rPr>
                      <w:rFonts w:hint="eastAsia" w:ascii="Times New Roman" w:hAnsi="宋体" w:eastAsia="宋体" w:cs="Times New Roman"/>
                      <w:color w:val="000000"/>
                      <w:sz w:val="21"/>
                      <w:szCs w:val="21"/>
                    </w:rPr>
                  </w:pPr>
                  <w:r>
                    <w:rPr>
                      <w:rFonts w:ascii="Times New Roman" w:hAnsi="宋体" w:eastAsia="宋体" w:cs="Times New Roman"/>
                      <w:color w:val="000000"/>
                      <w:sz w:val="21"/>
                      <w:szCs w:val="21"/>
                    </w:rPr>
                    <w:t>宽度</w:t>
                  </w:r>
                </w:p>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(m)</w:t>
                  </w:r>
                </w:p>
              </w:tc>
              <w:tc>
                <w:tcPr>
                  <w:tcW w:w="463" w:type="pct"/>
                  <w:noWrap w:val="0"/>
                  <w:vAlign w:val="center"/>
                </w:tcPr>
                <w:p>
                  <w:pPr>
                    <w:spacing w:line="240" w:lineRule="auto"/>
                    <w:jc w:val="center"/>
                    <w:rPr>
                      <w:rFonts w:hint="eastAsia" w:ascii="Times New Roman" w:hAnsi="宋体" w:eastAsia="宋体" w:cs="Times New Roman"/>
                      <w:color w:val="000000"/>
                      <w:sz w:val="21"/>
                      <w:szCs w:val="21"/>
                    </w:rPr>
                  </w:pPr>
                  <w:r>
                    <w:rPr>
                      <w:rFonts w:ascii="Times New Roman" w:hAnsi="宋体" w:eastAsia="宋体" w:cs="Times New Roman"/>
                      <w:color w:val="000000"/>
                      <w:sz w:val="21"/>
                      <w:szCs w:val="21"/>
                    </w:rPr>
                    <w:t>有效高度</w:t>
                  </w:r>
                </w:p>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(m)</w:t>
                  </w:r>
                </w:p>
              </w:tc>
              <w:tc>
                <w:tcPr>
                  <w:tcW w:w="592"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H</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S</w:t>
                  </w:r>
                </w:p>
              </w:tc>
              <w:tc>
                <w:tcPr>
                  <w:tcW w:w="516"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NH</w:t>
                  </w:r>
                  <w:r>
                    <w:rPr>
                      <w:rFonts w:ascii="Times New Roman" w:hAnsi="Times New Roman" w:eastAsia="宋体" w:cs="Times New Roman"/>
                      <w:color w:val="000000"/>
                      <w:sz w:val="21"/>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污水处理矩形面源</w:t>
                  </w:r>
                </w:p>
              </w:tc>
              <w:tc>
                <w:tcPr>
                  <w:tcW w:w="608"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112°20′9.84477″</w:t>
                  </w:r>
                </w:p>
              </w:tc>
              <w:tc>
                <w:tcPr>
                  <w:tcW w:w="620" w:type="pc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25°50′56.18297″</w:t>
                  </w:r>
                </w:p>
              </w:tc>
              <w:tc>
                <w:tcPr>
                  <w:tcW w:w="585"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220</w:t>
                  </w:r>
                </w:p>
              </w:tc>
              <w:tc>
                <w:tcPr>
                  <w:tcW w:w="456" w:type="pct"/>
                  <w:noWrap w:val="0"/>
                  <w:vAlign w:val="center"/>
                </w:tcPr>
                <w:p>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val="en-US" w:eastAsia="zh-CN"/>
                    </w:rPr>
                    <w:t>9</w:t>
                  </w:r>
                </w:p>
              </w:tc>
              <w:tc>
                <w:tcPr>
                  <w:tcW w:w="467"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10</w:t>
                  </w:r>
                </w:p>
              </w:tc>
              <w:tc>
                <w:tcPr>
                  <w:tcW w:w="463" w:type="pct"/>
                  <w:noWrap w:val="0"/>
                  <w:vAlign w:val="center"/>
                </w:tcPr>
                <w:p>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val="en-US" w:eastAsia="zh-CN"/>
                    </w:rPr>
                    <w:t>5</w:t>
                  </w:r>
                </w:p>
              </w:tc>
              <w:tc>
                <w:tcPr>
                  <w:tcW w:w="592"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0.00013</w:t>
                  </w:r>
                </w:p>
              </w:tc>
              <w:tc>
                <w:tcPr>
                  <w:tcW w:w="516"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0.002</w:t>
                  </w:r>
                </w:p>
              </w:tc>
            </w:tr>
          </w:tbl>
          <w:p>
            <w:pPr>
              <w:widowControl w:val="0"/>
              <w:spacing w:line="360" w:lineRule="auto"/>
              <w:ind w:firstLine="480" w:firstLineChars="200"/>
              <w:jc w:val="both"/>
              <w:rPr>
                <w:rFonts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（5）评价等级确定</w:t>
            </w:r>
          </w:p>
          <w:p>
            <w:pPr>
              <w:spacing w:line="360" w:lineRule="auto"/>
              <w:ind w:firstLine="422" w:firstLineChars="176"/>
              <w:jc w:val="left"/>
              <w:rPr>
                <w:rFonts w:hint="eastAsia" w:ascii="Times New Roman" w:hAnsi="Times New Roman" w:eastAsia="宋体" w:cs="Times New Roman"/>
                <w:b/>
                <w:bCs/>
                <w:color w:val="000000"/>
                <w:sz w:val="21"/>
                <w:szCs w:val="21"/>
              </w:rPr>
            </w:pPr>
            <w:r>
              <w:rPr>
                <w:rFonts w:hint="eastAsia" w:ascii="Times New Roman" w:hAnsi="Times New Roman" w:eastAsia="宋体" w:cs="Times New Roman"/>
                <w:color w:val="000000"/>
                <w:sz w:val="24"/>
                <w:szCs w:val="24"/>
              </w:rPr>
              <w:t>经预测，本项目所有污染源的正常排放的污染物的</w:t>
            </w:r>
            <w:r>
              <w:rPr>
                <w:rFonts w:ascii="Times New Roman" w:hAnsi="Times New Roman" w:eastAsia="宋体" w:cs="Times New Roman"/>
                <w:color w:val="000000"/>
                <w:sz w:val="24"/>
                <w:szCs w:val="24"/>
              </w:rPr>
              <w:t>P</w:t>
            </w:r>
            <w:r>
              <w:rPr>
                <w:rFonts w:ascii="Times New Roman" w:hAnsi="Times New Roman" w:eastAsia="宋体" w:cs="Times New Roman"/>
                <w:color w:val="000000"/>
                <w:sz w:val="24"/>
                <w:szCs w:val="24"/>
                <w:vertAlign w:val="subscript"/>
              </w:rPr>
              <w:t>max</w:t>
            </w:r>
            <w:r>
              <w:rPr>
                <w:rFonts w:hint="eastAsia" w:ascii="Times New Roman" w:hAnsi="Times New Roman" w:eastAsia="宋体" w:cs="Times New Roman"/>
                <w:color w:val="000000"/>
                <w:sz w:val="24"/>
                <w:szCs w:val="24"/>
              </w:rPr>
              <w:t>和</w:t>
            </w:r>
            <w:r>
              <w:rPr>
                <w:rFonts w:ascii="Times New Roman" w:hAnsi="Times New Roman" w:eastAsia="宋体" w:cs="Times New Roman"/>
                <w:color w:val="000000"/>
                <w:sz w:val="24"/>
                <w:szCs w:val="24"/>
              </w:rPr>
              <w:t>D</w:t>
            </w:r>
            <w:r>
              <w:rPr>
                <w:rFonts w:ascii="Times New Roman" w:hAnsi="Times New Roman" w:eastAsia="宋体" w:cs="Times New Roman"/>
                <w:color w:val="000000"/>
                <w:sz w:val="24"/>
                <w:szCs w:val="24"/>
                <w:vertAlign w:val="subscript"/>
              </w:rPr>
              <w:t>10%</w:t>
            </w:r>
            <w:r>
              <w:rPr>
                <w:rFonts w:hint="eastAsia" w:ascii="Times New Roman" w:hAnsi="Times New Roman" w:eastAsia="宋体" w:cs="Times New Roman"/>
                <w:color w:val="000000"/>
                <w:sz w:val="24"/>
                <w:szCs w:val="24"/>
              </w:rPr>
              <w:t>预测结果如下：</w:t>
            </w:r>
          </w:p>
          <w:p>
            <w:pPr>
              <w:spacing w:line="240" w:lineRule="auto"/>
              <w:jc w:val="center"/>
              <w:rPr>
                <w:rFonts w:hint="eastAsia"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rPr>
              <w:t>表</w:t>
            </w:r>
            <w:r>
              <w:rPr>
                <w:rFonts w:hint="eastAsia" w:ascii="Times New Roman" w:hAnsi="Times New Roman" w:cs="Times New Roman"/>
                <w:b/>
                <w:bCs/>
                <w:color w:val="000000"/>
                <w:sz w:val="21"/>
                <w:szCs w:val="21"/>
                <w:lang w:val="en-US" w:eastAsia="zh-CN"/>
              </w:rPr>
              <w:t>4</w:t>
            </w:r>
            <w:r>
              <w:rPr>
                <w:rFonts w:ascii="Times New Roman" w:hAnsi="Times New Roman" w:eastAsia="宋体" w:cs="Times New Roman"/>
                <w:b/>
                <w:bCs/>
                <w:color w:val="000000"/>
                <w:sz w:val="21"/>
                <w:szCs w:val="21"/>
              </w:rPr>
              <w:t>-</w:t>
            </w:r>
            <w:r>
              <w:rPr>
                <w:rFonts w:hint="eastAsia" w:ascii="Times New Roman" w:hAnsi="Times New Roman" w:cs="Times New Roman"/>
                <w:b/>
                <w:bCs/>
                <w:color w:val="000000"/>
                <w:sz w:val="21"/>
                <w:szCs w:val="21"/>
                <w:lang w:val="en-US" w:eastAsia="zh-CN"/>
              </w:rPr>
              <w:t>9</w:t>
            </w:r>
            <w:r>
              <w:rPr>
                <w:rFonts w:ascii="Times New Roman" w:hAnsi="Times New Roman" w:eastAsia="宋体" w:cs="Times New Roman"/>
                <w:b/>
                <w:bCs/>
                <w:color w:val="000000"/>
                <w:sz w:val="21"/>
                <w:szCs w:val="21"/>
              </w:rPr>
              <w:t xml:space="preserve">  P</w:t>
            </w:r>
            <w:r>
              <w:rPr>
                <w:rFonts w:ascii="Times New Roman" w:hAnsi="Times New Roman" w:eastAsia="宋体" w:cs="Times New Roman"/>
                <w:b/>
                <w:bCs/>
                <w:color w:val="000000"/>
                <w:sz w:val="21"/>
                <w:szCs w:val="21"/>
                <w:vertAlign w:val="subscript"/>
              </w:rPr>
              <w:t>max</w:t>
            </w:r>
            <w:r>
              <w:rPr>
                <w:rFonts w:hint="eastAsia" w:ascii="Times New Roman" w:hAnsi="Times New Roman" w:eastAsia="宋体" w:cs="Times New Roman"/>
                <w:b/>
                <w:bCs/>
                <w:color w:val="000000"/>
                <w:sz w:val="21"/>
                <w:szCs w:val="21"/>
              </w:rPr>
              <w:t>和</w:t>
            </w:r>
            <w:r>
              <w:rPr>
                <w:rFonts w:ascii="Times New Roman" w:hAnsi="Times New Roman" w:eastAsia="宋体" w:cs="Times New Roman"/>
                <w:b/>
                <w:bCs/>
                <w:color w:val="000000"/>
                <w:sz w:val="21"/>
                <w:szCs w:val="21"/>
              </w:rPr>
              <w:t>D</w:t>
            </w:r>
            <w:r>
              <w:rPr>
                <w:rFonts w:ascii="Times New Roman" w:hAnsi="Times New Roman" w:eastAsia="宋体" w:cs="Times New Roman"/>
                <w:b/>
                <w:bCs/>
                <w:color w:val="000000"/>
                <w:sz w:val="21"/>
                <w:szCs w:val="21"/>
                <w:vertAlign w:val="subscript"/>
              </w:rPr>
              <w:t>10%</w:t>
            </w:r>
            <w:r>
              <w:rPr>
                <w:rFonts w:hint="eastAsia" w:ascii="Times New Roman" w:hAnsi="Times New Roman" w:eastAsia="宋体" w:cs="Times New Roman"/>
                <w:b/>
                <w:bCs/>
                <w:color w:val="000000"/>
                <w:sz w:val="21"/>
                <w:szCs w:val="21"/>
              </w:rPr>
              <w:t>预测和计算结果一览表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1212"/>
              <w:gridCol w:w="1792"/>
              <w:gridCol w:w="1144"/>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污染源名称</w:t>
                  </w:r>
                </w:p>
              </w:tc>
              <w:tc>
                <w:tcPr>
                  <w:tcW w:w="733"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评价因子</w:t>
                  </w:r>
                </w:p>
              </w:tc>
              <w:tc>
                <w:tcPr>
                  <w:tcW w:w="1084"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Cmax(μg/m</w:t>
                  </w:r>
                  <w:r>
                    <w:rPr>
                      <w:rFonts w:hint="eastAsia" w:ascii="Times New Roman" w:hAnsi="Times New Roman" w:cs="Times New Roman"/>
                      <w:color w:val="000000"/>
                      <w:sz w:val="21"/>
                      <w:szCs w:val="21"/>
                      <w:vertAlign w:val="superscript"/>
                      <w:lang w:val="en-US" w:eastAsia="zh-CN"/>
                    </w:rPr>
                    <w:t>3</w:t>
                  </w:r>
                  <w:r>
                    <w:rPr>
                      <w:rFonts w:ascii="Times New Roman" w:hAnsi="Times New Roman" w:eastAsia="宋体" w:cs="Times New Roman"/>
                      <w:color w:val="000000"/>
                      <w:sz w:val="21"/>
                      <w:szCs w:val="21"/>
                    </w:rPr>
                    <w:t>)</w:t>
                  </w:r>
                </w:p>
              </w:tc>
              <w:tc>
                <w:tcPr>
                  <w:tcW w:w="692"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Pmax(%)</w:t>
                  </w:r>
                </w:p>
              </w:tc>
              <w:tc>
                <w:tcPr>
                  <w:tcW w:w="1225"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pct"/>
                  <w:vMerge w:val="restar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污水处理矩形面源</w:t>
                  </w:r>
                </w:p>
              </w:tc>
              <w:tc>
                <w:tcPr>
                  <w:tcW w:w="733"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H</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S</w:t>
                  </w:r>
                </w:p>
              </w:tc>
              <w:tc>
                <w:tcPr>
                  <w:tcW w:w="1084"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0.77</w:t>
                  </w:r>
                </w:p>
              </w:tc>
              <w:tc>
                <w:tcPr>
                  <w:tcW w:w="692"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7.68</w:t>
                  </w:r>
                </w:p>
              </w:tc>
              <w:tc>
                <w:tcPr>
                  <w:tcW w:w="1225"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pct"/>
                  <w:vMerge w:val="continue"/>
                  <w:noWrap w:val="0"/>
                  <w:vAlign w:val="center"/>
                </w:tcPr>
                <w:p>
                  <w:pPr>
                    <w:spacing w:line="240" w:lineRule="auto"/>
                    <w:jc w:val="center"/>
                    <w:rPr>
                      <w:rFonts w:ascii="Times New Roman" w:hAnsi="Times New Roman" w:eastAsia="宋体" w:cs="Times New Roman"/>
                      <w:color w:val="000000"/>
                      <w:sz w:val="21"/>
                      <w:szCs w:val="21"/>
                    </w:rPr>
                  </w:pPr>
                </w:p>
              </w:tc>
              <w:tc>
                <w:tcPr>
                  <w:tcW w:w="733"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NH</w:t>
                  </w:r>
                  <w:r>
                    <w:rPr>
                      <w:rFonts w:ascii="Times New Roman" w:hAnsi="Times New Roman" w:eastAsia="宋体" w:cs="Times New Roman"/>
                      <w:color w:val="000000"/>
                      <w:sz w:val="21"/>
                      <w:szCs w:val="21"/>
                      <w:vertAlign w:val="subscript"/>
                    </w:rPr>
                    <w:t>3</w:t>
                  </w:r>
                </w:p>
              </w:tc>
              <w:tc>
                <w:tcPr>
                  <w:tcW w:w="1084"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10.24</w:t>
                  </w:r>
                </w:p>
              </w:tc>
              <w:tc>
                <w:tcPr>
                  <w:tcW w:w="692"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5.12</w:t>
                  </w:r>
                </w:p>
              </w:tc>
              <w:tc>
                <w:tcPr>
                  <w:tcW w:w="1225"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pct"/>
                  <w:vMerge w:val="restart"/>
                  <w:noWrap w:val="0"/>
                  <w:vAlign w:val="center"/>
                </w:tcPr>
                <w:p>
                  <w:pPr>
                    <w:spacing w:line="36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b w:val="0"/>
                      <w:bCs/>
                      <w:color w:val="000000"/>
                      <w:kern w:val="2"/>
                      <w:sz w:val="21"/>
                      <w:szCs w:val="21"/>
                      <w:lang w:val="en-US" w:eastAsia="zh-CN" w:bidi="ar-SA"/>
                    </w:rPr>
                    <w:t>滚筒式炒锅排气筒</w:t>
                  </w:r>
                  <w:r>
                    <w:rPr>
                      <w:rFonts w:hint="eastAsia" w:ascii="Times New Roman" w:hAnsi="宋体" w:cs="Times New Roman"/>
                      <w:color w:val="000000"/>
                      <w:sz w:val="21"/>
                      <w:szCs w:val="21"/>
                      <w:lang w:val="en-US" w:eastAsia="zh-CN"/>
                    </w:rPr>
                    <w:t>点源</w:t>
                  </w:r>
                </w:p>
              </w:tc>
              <w:tc>
                <w:tcPr>
                  <w:tcW w:w="1212" w:type="dxa"/>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PM</w:t>
                  </w:r>
                  <w:r>
                    <w:rPr>
                      <w:rFonts w:ascii="Times New Roman" w:hAnsi="Times New Roman" w:eastAsia="宋体" w:cs="Times New Roman"/>
                      <w:color w:val="000000"/>
                      <w:sz w:val="21"/>
                      <w:szCs w:val="21"/>
                      <w:vertAlign w:val="subscript"/>
                    </w:rPr>
                    <w:t>10</w:t>
                  </w:r>
                </w:p>
              </w:tc>
              <w:tc>
                <w:tcPr>
                  <w:tcW w:w="1084"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0.02</w:t>
                  </w:r>
                </w:p>
              </w:tc>
              <w:tc>
                <w:tcPr>
                  <w:tcW w:w="692"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w:t>
                  </w:r>
                </w:p>
              </w:tc>
              <w:tc>
                <w:tcPr>
                  <w:tcW w:w="1225"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pct"/>
                  <w:vMerge w:val="continue"/>
                  <w:noWrap w:val="0"/>
                  <w:vAlign w:val="center"/>
                </w:tcPr>
                <w:p>
                  <w:pPr>
                    <w:spacing w:line="360" w:lineRule="auto"/>
                    <w:jc w:val="center"/>
                    <w:rPr>
                      <w:rFonts w:ascii="Times New Roman" w:hAnsi="Times New Roman" w:eastAsia="宋体" w:cs="Times New Roman"/>
                      <w:color w:val="000000"/>
                      <w:sz w:val="21"/>
                      <w:szCs w:val="21"/>
                    </w:rPr>
                  </w:pPr>
                </w:p>
              </w:tc>
              <w:tc>
                <w:tcPr>
                  <w:tcW w:w="1212" w:type="dxa"/>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SO</w:t>
                  </w:r>
                  <w:r>
                    <w:rPr>
                      <w:rFonts w:ascii="Times New Roman" w:hAnsi="Times New Roman" w:eastAsia="宋体" w:cs="Times New Roman"/>
                      <w:color w:val="000000"/>
                      <w:sz w:val="21"/>
                      <w:szCs w:val="21"/>
                      <w:vertAlign w:val="subscript"/>
                    </w:rPr>
                    <w:t>2</w:t>
                  </w:r>
                </w:p>
              </w:tc>
              <w:tc>
                <w:tcPr>
                  <w:tcW w:w="1084"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2.28</w:t>
                  </w:r>
                </w:p>
              </w:tc>
              <w:tc>
                <w:tcPr>
                  <w:tcW w:w="692"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0.46</w:t>
                  </w:r>
                </w:p>
              </w:tc>
              <w:tc>
                <w:tcPr>
                  <w:tcW w:w="1225"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4" w:type="pct"/>
                  <w:vMerge w:val="continue"/>
                  <w:noWrap w:val="0"/>
                  <w:vAlign w:val="center"/>
                </w:tcPr>
                <w:p>
                  <w:pPr>
                    <w:spacing w:line="240" w:lineRule="auto"/>
                    <w:jc w:val="center"/>
                    <w:rPr>
                      <w:rFonts w:ascii="Times New Roman" w:hAnsi="Times New Roman" w:eastAsia="宋体" w:cs="Times New Roman"/>
                      <w:color w:val="000000"/>
                      <w:sz w:val="21"/>
                      <w:szCs w:val="21"/>
                    </w:rPr>
                  </w:pPr>
                </w:p>
              </w:tc>
              <w:tc>
                <w:tcPr>
                  <w:tcW w:w="1212" w:type="dxa"/>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NOx</w:t>
                  </w:r>
                </w:p>
              </w:tc>
              <w:tc>
                <w:tcPr>
                  <w:tcW w:w="1084"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13.53</w:t>
                  </w:r>
                </w:p>
              </w:tc>
              <w:tc>
                <w:tcPr>
                  <w:tcW w:w="692" w:type="pc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2.82</w:t>
                  </w:r>
                </w:p>
              </w:tc>
              <w:tc>
                <w:tcPr>
                  <w:tcW w:w="1225"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pct"/>
                  <w:vMerge w:val="restart"/>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ascii="Times New Roman" w:hAnsi="宋体" w:eastAsia="宋体" w:cs="Times New Roman"/>
                      <w:color w:val="000000"/>
                      <w:sz w:val="21"/>
                      <w:szCs w:val="21"/>
                    </w:rPr>
                    <w:t>生物质锅炉</w:t>
                  </w:r>
                  <w:r>
                    <w:rPr>
                      <w:rFonts w:hint="eastAsia" w:ascii="Times New Roman" w:hAnsi="宋体" w:cs="Times New Roman"/>
                      <w:color w:val="000000"/>
                      <w:sz w:val="21"/>
                      <w:szCs w:val="21"/>
                      <w:lang w:val="en-US" w:eastAsia="zh-CN"/>
                    </w:rPr>
                    <w:t>烟囱点源</w:t>
                  </w:r>
                </w:p>
              </w:tc>
              <w:tc>
                <w:tcPr>
                  <w:tcW w:w="733" w:type="pct"/>
                  <w:noWrap w:val="0"/>
                  <w:vAlign w:val="center"/>
                </w:tcPr>
                <w:p>
                  <w:pPr>
                    <w:spacing w:line="240" w:lineRule="auto"/>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sz w:val="21"/>
                      <w:szCs w:val="21"/>
                    </w:rPr>
                    <w:t>PM</w:t>
                  </w:r>
                  <w:r>
                    <w:rPr>
                      <w:rFonts w:ascii="Times New Roman" w:hAnsi="Times New Roman" w:eastAsia="宋体" w:cs="Times New Roman"/>
                      <w:color w:val="000000"/>
                      <w:sz w:val="21"/>
                      <w:szCs w:val="21"/>
                      <w:vertAlign w:val="subscript"/>
                    </w:rPr>
                    <w:t>10</w:t>
                  </w:r>
                </w:p>
              </w:tc>
              <w:tc>
                <w:tcPr>
                  <w:tcW w:w="1084" w:type="pct"/>
                  <w:noWrap w:val="0"/>
                  <w:vAlign w:val="center"/>
                </w:tcPr>
                <w:p>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3.64</w:t>
                  </w:r>
                </w:p>
              </w:tc>
              <w:tc>
                <w:tcPr>
                  <w:tcW w:w="692" w:type="pct"/>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0</w:t>
                  </w:r>
                </w:p>
              </w:tc>
              <w:tc>
                <w:tcPr>
                  <w:tcW w:w="1225"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4" w:type="pct"/>
                  <w:vMerge w:val="continue"/>
                  <w:noWrap w:val="0"/>
                  <w:vAlign w:val="center"/>
                </w:tcPr>
                <w:p>
                  <w:pPr>
                    <w:spacing w:line="240" w:lineRule="auto"/>
                    <w:jc w:val="center"/>
                    <w:rPr>
                      <w:rFonts w:ascii="Times New Roman" w:hAnsi="Times New Roman" w:eastAsia="宋体" w:cs="Times New Roman"/>
                      <w:color w:val="000000"/>
                      <w:sz w:val="21"/>
                      <w:szCs w:val="21"/>
                    </w:rPr>
                  </w:pPr>
                </w:p>
              </w:tc>
              <w:tc>
                <w:tcPr>
                  <w:tcW w:w="733" w:type="pct"/>
                  <w:noWrap w:val="0"/>
                  <w:vAlign w:val="center"/>
                </w:tcPr>
                <w:p>
                  <w:pPr>
                    <w:spacing w:line="240" w:lineRule="auto"/>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sz w:val="21"/>
                      <w:szCs w:val="21"/>
                    </w:rPr>
                    <w:t>SO</w:t>
                  </w:r>
                  <w:r>
                    <w:rPr>
                      <w:rFonts w:ascii="Times New Roman" w:hAnsi="Times New Roman" w:eastAsia="宋体" w:cs="Times New Roman"/>
                      <w:color w:val="000000"/>
                      <w:sz w:val="21"/>
                      <w:szCs w:val="21"/>
                      <w:vertAlign w:val="subscript"/>
                    </w:rPr>
                    <w:t>2</w:t>
                  </w:r>
                </w:p>
              </w:tc>
              <w:tc>
                <w:tcPr>
                  <w:tcW w:w="1084" w:type="pct"/>
                  <w:noWrap w:val="0"/>
                  <w:vAlign w:val="center"/>
                </w:tcPr>
                <w:p>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4.95</w:t>
                  </w:r>
                </w:p>
              </w:tc>
              <w:tc>
                <w:tcPr>
                  <w:tcW w:w="692" w:type="pct"/>
                  <w:noWrap w:val="0"/>
                  <w:vAlign w:val="center"/>
                </w:tcPr>
                <w:p>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0.99</w:t>
                  </w:r>
                </w:p>
              </w:tc>
              <w:tc>
                <w:tcPr>
                  <w:tcW w:w="1225"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pct"/>
                  <w:vMerge w:val="continue"/>
                  <w:noWrap w:val="0"/>
                  <w:vAlign w:val="center"/>
                </w:tcPr>
                <w:p>
                  <w:pPr>
                    <w:spacing w:line="240" w:lineRule="auto"/>
                    <w:jc w:val="center"/>
                    <w:rPr>
                      <w:rFonts w:ascii="Times New Roman" w:hAnsi="Times New Roman" w:eastAsia="宋体" w:cs="Times New Roman"/>
                      <w:color w:val="000000"/>
                      <w:sz w:val="21"/>
                      <w:szCs w:val="21"/>
                    </w:rPr>
                  </w:pPr>
                </w:p>
              </w:tc>
              <w:tc>
                <w:tcPr>
                  <w:tcW w:w="733" w:type="pct"/>
                  <w:noWrap w:val="0"/>
                  <w:vAlign w:val="center"/>
                </w:tcPr>
                <w:p>
                  <w:pPr>
                    <w:spacing w:line="240" w:lineRule="auto"/>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sz w:val="21"/>
                      <w:szCs w:val="21"/>
                    </w:rPr>
                    <w:t>NOx</w:t>
                  </w:r>
                </w:p>
              </w:tc>
              <w:tc>
                <w:tcPr>
                  <w:tcW w:w="1084" w:type="pct"/>
                  <w:noWrap w:val="0"/>
                  <w:vAlign w:val="center"/>
                </w:tcPr>
                <w:p>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44.34</w:t>
                  </w:r>
                </w:p>
              </w:tc>
              <w:tc>
                <w:tcPr>
                  <w:tcW w:w="692" w:type="pct"/>
                  <w:noWrap w:val="0"/>
                  <w:vAlign w:val="center"/>
                </w:tcPr>
                <w:p>
                  <w:pPr>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9.24</w:t>
                  </w:r>
                </w:p>
              </w:tc>
              <w:tc>
                <w:tcPr>
                  <w:tcW w:w="1225" w:type="pct"/>
                  <w:noWrap w:val="0"/>
                  <w:vAlign w:val="center"/>
                </w:tcPr>
                <w:p>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bl>
          <w:p>
            <w:pPr>
              <w:spacing w:line="240" w:lineRule="auto"/>
              <w:jc w:val="center"/>
              <w:rPr>
                <w:rFonts w:hint="eastAsia" w:ascii="Times New Roman" w:hAnsi="Times New Roman" w:eastAsia="宋体" w:cs="Times New Roman"/>
                <w:b/>
                <w:bCs/>
                <w:color w:val="000000"/>
                <w:sz w:val="21"/>
                <w:szCs w:val="21"/>
              </w:rPr>
            </w:pPr>
          </w:p>
          <w:p>
            <w:pPr>
              <w:spacing w:line="240" w:lineRule="auto"/>
              <w:jc w:val="center"/>
              <w:rPr>
                <w:rFonts w:hint="eastAsia" w:ascii="Times New Roman" w:hAnsi="Times New Roman" w:eastAsia="宋体" w:cs="Times New Roman"/>
                <w:b/>
                <w:bCs/>
                <w:color w:val="000000"/>
                <w:sz w:val="21"/>
                <w:szCs w:val="21"/>
              </w:rPr>
            </w:pPr>
          </w:p>
          <w:p>
            <w:pPr>
              <w:spacing w:line="240" w:lineRule="auto"/>
              <w:jc w:val="center"/>
              <w:rPr>
                <w:rFonts w:hint="eastAsia" w:ascii="Times New Roman" w:hAnsi="Times New Roman" w:eastAsia="宋体" w:cs="Times New Roman"/>
                <w:b/>
                <w:bCs/>
                <w:color w:val="000000"/>
                <w:sz w:val="21"/>
                <w:szCs w:val="21"/>
              </w:rPr>
            </w:pPr>
          </w:p>
          <w:p>
            <w:pPr>
              <w:spacing w:line="240" w:lineRule="auto"/>
              <w:jc w:val="center"/>
              <w:rPr>
                <w:rFonts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rPr>
              <w:t>表</w:t>
            </w:r>
            <w:r>
              <w:rPr>
                <w:rFonts w:hint="eastAsia" w:ascii="Times New Roman" w:hAnsi="Times New Roman" w:cs="Times New Roman"/>
                <w:b/>
                <w:bCs/>
                <w:color w:val="000000"/>
                <w:sz w:val="21"/>
                <w:szCs w:val="21"/>
                <w:lang w:val="en-US" w:eastAsia="zh-CN"/>
              </w:rPr>
              <w:t>4</w:t>
            </w:r>
            <w:r>
              <w:rPr>
                <w:rFonts w:ascii="Times New Roman" w:hAnsi="Times New Roman" w:eastAsia="宋体" w:cs="Times New Roman"/>
                <w:b/>
                <w:bCs/>
                <w:color w:val="000000"/>
                <w:sz w:val="21"/>
                <w:szCs w:val="21"/>
              </w:rPr>
              <w:t>-</w:t>
            </w:r>
            <w:r>
              <w:rPr>
                <w:rFonts w:hint="eastAsia" w:ascii="Times New Roman" w:hAnsi="Times New Roman" w:cs="Times New Roman"/>
                <w:b/>
                <w:bCs/>
                <w:color w:val="000000"/>
                <w:sz w:val="21"/>
                <w:szCs w:val="21"/>
                <w:lang w:val="en-US" w:eastAsia="zh-CN"/>
              </w:rPr>
              <w:t>10</w:t>
            </w:r>
            <w:r>
              <w:rPr>
                <w:rFonts w:ascii="Times New Roman" w:hAnsi="Times New Roman" w:eastAsia="宋体" w:cs="Times New Roman"/>
                <w:b/>
                <w:bCs/>
                <w:color w:val="000000"/>
                <w:sz w:val="21"/>
                <w:szCs w:val="21"/>
              </w:rPr>
              <w:t xml:space="preserve">  </w:t>
            </w:r>
            <w:r>
              <w:rPr>
                <w:rFonts w:hint="eastAsia" w:ascii="Times New Roman" w:hAnsi="Times New Roman" w:eastAsia="宋体" w:cs="Times New Roman"/>
                <w:b/>
                <w:bCs/>
                <w:color w:val="000000"/>
                <w:sz w:val="21"/>
                <w:szCs w:val="21"/>
              </w:rPr>
              <w:t>最大</w:t>
            </w:r>
            <w:r>
              <w:rPr>
                <w:rFonts w:ascii="Times New Roman" w:hAnsi="Times New Roman" w:eastAsia="宋体" w:cs="Times New Roman"/>
                <w:b/>
                <w:bCs/>
                <w:color w:val="000000"/>
                <w:sz w:val="21"/>
                <w:szCs w:val="21"/>
              </w:rPr>
              <w:t>P</w:t>
            </w:r>
            <w:r>
              <w:rPr>
                <w:rFonts w:ascii="Times New Roman" w:hAnsi="Times New Roman" w:eastAsia="宋体" w:cs="Times New Roman"/>
                <w:b/>
                <w:bCs/>
                <w:color w:val="000000"/>
                <w:sz w:val="21"/>
                <w:szCs w:val="21"/>
                <w:vertAlign w:val="subscript"/>
              </w:rPr>
              <w:t>max</w:t>
            </w:r>
            <w:r>
              <w:rPr>
                <w:rFonts w:hint="eastAsia" w:ascii="Times New Roman" w:hAnsi="Times New Roman" w:eastAsia="宋体" w:cs="Times New Roman"/>
                <w:b/>
                <w:bCs/>
                <w:color w:val="000000"/>
                <w:sz w:val="21"/>
                <w:szCs w:val="21"/>
              </w:rPr>
              <w:t>和</w:t>
            </w:r>
            <w:r>
              <w:rPr>
                <w:rFonts w:ascii="Times New Roman" w:hAnsi="Times New Roman" w:eastAsia="宋体" w:cs="Times New Roman"/>
                <w:b/>
                <w:bCs/>
                <w:color w:val="000000"/>
                <w:sz w:val="21"/>
                <w:szCs w:val="21"/>
              </w:rPr>
              <w:t>D</w:t>
            </w:r>
            <w:r>
              <w:rPr>
                <w:rFonts w:ascii="Times New Roman" w:hAnsi="Times New Roman" w:eastAsia="宋体" w:cs="Times New Roman"/>
                <w:b/>
                <w:bCs/>
                <w:color w:val="000000"/>
                <w:sz w:val="21"/>
                <w:szCs w:val="21"/>
                <w:vertAlign w:val="subscript"/>
              </w:rPr>
              <w:t>10%</w:t>
            </w:r>
            <w:r>
              <w:rPr>
                <w:rFonts w:hint="eastAsia" w:ascii="Times New Roman" w:hAnsi="Times New Roman" w:eastAsia="宋体" w:cs="Times New Roman"/>
                <w:b/>
                <w:bCs/>
                <w:color w:val="000000"/>
                <w:sz w:val="21"/>
                <w:szCs w:val="21"/>
              </w:rPr>
              <w:t>预测结果表（面源）</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1755"/>
              <w:gridCol w:w="1440"/>
              <w:gridCol w:w="1513"/>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6" w:type="dxa"/>
                  <w:vMerge w:val="restart"/>
                  <w:noWrap w:val="0"/>
                  <w:vAlign w:val="center"/>
                </w:tcPr>
                <w:p>
                  <w:pPr>
                    <w:spacing w:line="240" w:lineRule="auto"/>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下方向距离</w:t>
                  </w:r>
                </w:p>
                <w:p>
                  <w:pPr>
                    <w:spacing w:line="240" w:lineRule="auto"/>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w:t>
                  </w:r>
                </w:p>
              </w:tc>
              <w:tc>
                <w:tcPr>
                  <w:tcW w:w="6209" w:type="dxa"/>
                  <w:gridSpan w:val="4"/>
                  <w:noWrap w:val="0"/>
                  <w:vAlign w:val="center"/>
                </w:tcPr>
                <w:p>
                  <w:pPr>
                    <w:spacing w:line="240" w:lineRule="auto"/>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污水处理站面源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6" w:type="dxa"/>
                  <w:vMerge w:val="continue"/>
                  <w:noWrap w:val="0"/>
                  <w:vAlign w:val="center"/>
                </w:tcPr>
                <w:p>
                  <w:pPr>
                    <w:widowControl/>
                    <w:spacing w:line="240" w:lineRule="auto"/>
                    <w:ind w:left="-105" w:leftChars="-50" w:right="-105" w:rightChars="-50"/>
                    <w:jc w:val="center"/>
                    <w:rPr>
                      <w:rFonts w:hint="default" w:ascii="Times New Roman" w:hAnsi="Times New Roman" w:eastAsia="宋体" w:cs="Times New Roman"/>
                      <w:color w:val="000000"/>
                      <w:sz w:val="21"/>
                      <w:szCs w:val="21"/>
                    </w:rPr>
                  </w:pPr>
                  <w:bookmarkStart w:id="12" w:name="_Hlk527708748" w:colFirst="1" w:colLast="4"/>
                </w:p>
              </w:tc>
              <w:tc>
                <w:tcPr>
                  <w:tcW w:w="3195" w:type="dxa"/>
                  <w:gridSpan w:val="2"/>
                  <w:noWrap w:val="0"/>
                  <w:vAlign w:val="center"/>
                </w:tcPr>
                <w:p>
                  <w:pPr>
                    <w:spacing w:line="240" w:lineRule="auto"/>
                    <w:ind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NH</w:t>
                  </w:r>
                  <w:r>
                    <w:rPr>
                      <w:rFonts w:hint="default" w:ascii="Times New Roman" w:hAnsi="Times New Roman" w:eastAsia="宋体" w:cs="Times New Roman"/>
                      <w:color w:val="000000"/>
                      <w:sz w:val="21"/>
                      <w:szCs w:val="21"/>
                      <w:vertAlign w:val="subscript"/>
                    </w:rPr>
                    <w:t>3</w:t>
                  </w:r>
                </w:p>
              </w:tc>
              <w:tc>
                <w:tcPr>
                  <w:tcW w:w="3014" w:type="dxa"/>
                  <w:gridSpan w:val="2"/>
                  <w:noWrap w:val="0"/>
                  <w:vAlign w:val="center"/>
                </w:tcPr>
                <w:p>
                  <w:pPr>
                    <w:spacing w:line="240" w:lineRule="auto"/>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H</w:t>
                  </w:r>
                  <w:r>
                    <w:rPr>
                      <w:rFonts w:hint="default" w:ascii="Times New Roman" w:hAnsi="Times New Roman" w:eastAsia="宋体" w:cs="Times New Roman"/>
                      <w:color w:val="000000"/>
                      <w:sz w:val="21"/>
                      <w:szCs w:val="21"/>
                      <w:vertAlign w:val="subscript"/>
                    </w:rPr>
                    <w:t>2</w:t>
                  </w:r>
                  <w:r>
                    <w:rPr>
                      <w:rFonts w:hint="default" w:ascii="Times New Roman" w:hAnsi="Times New Roman" w:eastAsia="宋体" w:cs="Times New Roman"/>
                      <w:color w:val="000000"/>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6" w:type="dxa"/>
                  <w:vMerge w:val="continue"/>
                  <w:noWrap w:val="0"/>
                  <w:vAlign w:val="center"/>
                </w:tcPr>
                <w:p>
                  <w:pPr>
                    <w:widowControl/>
                    <w:spacing w:line="240" w:lineRule="auto"/>
                    <w:ind w:left="-105" w:leftChars="-50" w:right="-105" w:rightChars="-50"/>
                    <w:jc w:val="center"/>
                    <w:rPr>
                      <w:rFonts w:hint="default" w:ascii="Times New Roman" w:hAnsi="Times New Roman" w:eastAsia="宋体" w:cs="Times New Roman"/>
                      <w:color w:val="000000"/>
                      <w:sz w:val="21"/>
                      <w:szCs w:val="21"/>
                    </w:rPr>
                  </w:pPr>
                </w:p>
              </w:tc>
              <w:tc>
                <w:tcPr>
                  <w:tcW w:w="1755" w:type="dxa"/>
                  <w:noWrap w:val="0"/>
                  <w:vAlign w:val="center"/>
                </w:tcPr>
                <w:p>
                  <w:pPr>
                    <w:spacing w:line="240" w:lineRule="auto"/>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浓度（ug/m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1440" w:type="dxa"/>
                  <w:noWrap w:val="0"/>
                  <w:vAlign w:val="center"/>
                </w:tcPr>
                <w:p>
                  <w:pPr>
                    <w:spacing w:line="240" w:lineRule="auto"/>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占标率（%）</w:t>
                  </w:r>
                </w:p>
              </w:tc>
              <w:tc>
                <w:tcPr>
                  <w:tcW w:w="1513" w:type="dxa"/>
                  <w:noWrap w:val="0"/>
                  <w:vAlign w:val="center"/>
                </w:tcPr>
                <w:p>
                  <w:pPr>
                    <w:spacing w:line="240" w:lineRule="auto"/>
                    <w:ind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浓度（ug/m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1501" w:type="dxa"/>
                  <w:noWrap w:val="0"/>
                  <w:vAlign w:val="center"/>
                </w:tcPr>
                <w:p>
                  <w:pPr>
                    <w:spacing w:line="240" w:lineRule="auto"/>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占标率（%）</w:t>
                  </w:r>
                </w:p>
              </w:tc>
            </w:tr>
            <w:bookmarkEnd w:id="1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7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10.24</w:t>
                  </w:r>
                </w:p>
              </w:tc>
              <w:tc>
                <w:tcPr>
                  <w:tcW w:w="14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5.12</w:t>
                  </w:r>
                </w:p>
              </w:tc>
              <w:tc>
                <w:tcPr>
                  <w:tcW w:w="15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0.77</w:t>
                  </w:r>
                </w:p>
              </w:tc>
              <w:tc>
                <w:tcPr>
                  <w:tcW w:w="15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7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7.28</w:t>
                  </w:r>
                </w:p>
              </w:tc>
              <w:tc>
                <w:tcPr>
                  <w:tcW w:w="14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3.64</w:t>
                  </w:r>
                </w:p>
              </w:tc>
              <w:tc>
                <w:tcPr>
                  <w:tcW w:w="15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0.55</w:t>
                  </w:r>
                </w:p>
              </w:tc>
              <w:tc>
                <w:tcPr>
                  <w:tcW w:w="15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7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4.76</w:t>
                  </w:r>
                </w:p>
              </w:tc>
              <w:tc>
                <w:tcPr>
                  <w:tcW w:w="14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2.38</w:t>
                  </w:r>
                </w:p>
              </w:tc>
              <w:tc>
                <w:tcPr>
                  <w:tcW w:w="15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0.36</w:t>
                  </w:r>
                </w:p>
              </w:tc>
              <w:tc>
                <w:tcPr>
                  <w:tcW w:w="15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7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14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15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0.28</w:t>
                  </w:r>
                </w:p>
              </w:tc>
              <w:tc>
                <w:tcPr>
                  <w:tcW w:w="15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7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3.14</w:t>
                  </w:r>
                </w:p>
              </w:tc>
              <w:tc>
                <w:tcPr>
                  <w:tcW w:w="14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15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0.24</w:t>
                  </w:r>
                </w:p>
              </w:tc>
              <w:tc>
                <w:tcPr>
                  <w:tcW w:w="15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7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2.07</w:t>
                  </w:r>
                </w:p>
              </w:tc>
              <w:tc>
                <w:tcPr>
                  <w:tcW w:w="14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5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15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7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14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0.79</w:t>
                  </w:r>
                </w:p>
              </w:tc>
              <w:tc>
                <w:tcPr>
                  <w:tcW w:w="15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15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7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14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0.61</w:t>
                  </w:r>
                </w:p>
              </w:tc>
              <w:tc>
                <w:tcPr>
                  <w:tcW w:w="15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15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7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0.99</w:t>
                  </w:r>
                </w:p>
              </w:tc>
              <w:tc>
                <w:tcPr>
                  <w:tcW w:w="14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5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15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17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0.83</w:t>
                  </w:r>
                </w:p>
              </w:tc>
              <w:tc>
                <w:tcPr>
                  <w:tcW w:w="14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0.42</w:t>
                  </w:r>
                </w:p>
              </w:tc>
              <w:tc>
                <w:tcPr>
                  <w:tcW w:w="15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15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6" w:type="dxa"/>
                  <w:noWrap w:val="0"/>
                  <w:vAlign w:val="center"/>
                </w:tcPr>
                <w:p>
                  <w:pPr>
                    <w:spacing w:line="240" w:lineRule="auto"/>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下风向最大浓度</w:t>
                  </w:r>
                </w:p>
              </w:tc>
              <w:tc>
                <w:tcPr>
                  <w:tcW w:w="1755" w:type="dxa"/>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10.24</w:t>
                  </w:r>
                </w:p>
              </w:tc>
              <w:tc>
                <w:tcPr>
                  <w:tcW w:w="1440" w:type="dxa"/>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5.12</w:t>
                  </w:r>
                </w:p>
              </w:tc>
              <w:tc>
                <w:tcPr>
                  <w:tcW w:w="1513" w:type="dxa"/>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0.77</w:t>
                  </w:r>
                </w:p>
              </w:tc>
              <w:tc>
                <w:tcPr>
                  <w:tcW w:w="1501" w:type="dxa"/>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6" w:type="dxa"/>
                  <w:noWrap w:val="0"/>
                  <w:vAlign w:val="center"/>
                </w:tcPr>
                <w:p>
                  <w:pPr>
                    <w:spacing w:line="240" w:lineRule="auto"/>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下风向最大浓度出现距离</w:t>
                  </w:r>
                </w:p>
              </w:tc>
              <w:tc>
                <w:tcPr>
                  <w:tcW w:w="6209" w:type="dxa"/>
                  <w:gridSpan w:val="4"/>
                  <w:noWrap w:val="0"/>
                  <w:vAlign w:val="center"/>
                </w:tcPr>
                <w:p>
                  <w:pPr>
                    <w:spacing w:line="240" w:lineRule="auto"/>
                    <w:ind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056" w:type="dxa"/>
                  <w:noWrap w:val="0"/>
                  <w:vAlign w:val="center"/>
                </w:tcPr>
                <w:p>
                  <w:pPr>
                    <w:spacing w:line="240" w:lineRule="auto"/>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D10%最远距离</w:t>
                  </w:r>
                </w:p>
              </w:tc>
              <w:tc>
                <w:tcPr>
                  <w:tcW w:w="6209" w:type="dxa"/>
                  <w:gridSpan w:val="4"/>
                  <w:noWrap w:val="0"/>
                  <w:vAlign w:val="center"/>
                </w:tcPr>
                <w:p>
                  <w:pPr>
                    <w:spacing w:line="240" w:lineRule="auto"/>
                    <w:ind w:right="-105" w:rightChars="-5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bl>
          <w:p>
            <w:pPr>
              <w:spacing w:line="240" w:lineRule="auto"/>
              <w:jc w:val="center"/>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b/>
                <w:bCs/>
                <w:color w:val="000000"/>
                <w:sz w:val="21"/>
                <w:szCs w:val="21"/>
              </w:rPr>
              <w:t>表</w:t>
            </w:r>
            <w:r>
              <w:rPr>
                <w:rFonts w:hint="eastAsia" w:ascii="Times New Roman" w:hAnsi="Times New Roman" w:cs="Times New Roman"/>
                <w:b/>
                <w:bCs/>
                <w:color w:val="000000"/>
                <w:sz w:val="21"/>
                <w:szCs w:val="21"/>
                <w:lang w:val="en-US" w:eastAsia="zh-CN"/>
              </w:rPr>
              <w:t>4</w:t>
            </w:r>
            <w:r>
              <w:rPr>
                <w:rFonts w:ascii="Times New Roman" w:hAnsi="Times New Roman" w:eastAsia="宋体" w:cs="Times New Roman"/>
                <w:b/>
                <w:bCs/>
                <w:color w:val="000000"/>
                <w:sz w:val="21"/>
                <w:szCs w:val="21"/>
              </w:rPr>
              <w:t>-</w:t>
            </w:r>
            <w:r>
              <w:rPr>
                <w:rFonts w:hint="eastAsia" w:ascii="Times New Roman" w:hAnsi="Times New Roman" w:cs="Times New Roman"/>
                <w:b/>
                <w:bCs/>
                <w:color w:val="000000"/>
                <w:sz w:val="21"/>
                <w:szCs w:val="21"/>
                <w:lang w:val="en-US" w:eastAsia="zh-CN"/>
              </w:rPr>
              <w:t>11</w:t>
            </w:r>
            <w:r>
              <w:rPr>
                <w:rFonts w:ascii="Times New Roman" w:hAnsi="Times New Roman" w:eastAsia="宋体" w:cs="Times New Roman"/>
                <w:b/>
                <w:bCs/>
                <w:color w:val="000000"/>
                <w:sz w:val="21"/>
                <w:szCs w:val="21"/>
              </w:rPr>
              <w:t xml:space="preserve">  </w:t>
            </w:r>
            <w:r>
              <w:rPr>
                <w:rFonts w:hint="eastAsia" w:ascii="Times New Roman" w:hAnsi="Times New Roman" w:eastAsia="宋体" w:cs="Times New Roman"/>
                <w:b/>
                <w:bCs/>
                <w:color w:val="000000"/>
                <w:sz w:val="21"/>
                <w:szCs w:val="21"/>
              </w:rPr>
              <w:t>最大</w:t>
            </w:r>
            <w:r>
              <w:rPr>
                <w:rFonts w:ascii="Times New Roman" w:hAnsi="Times New Roman" w:eastAsia="宋体" w:cs="Times New Roman"/>
                <w:b/>
                <w:bCs/>
                <w:color w:val="000000"/>
                <w:sz w:val="21"/>
                <w:szCs w:val="21"/>
              </w:rPr>
              <w:t>P</w:t>
            </w:r>
            <w:r>
              <w:rPr>
                <w:rFonts w:ascii="Times New Roman" w:hAnsi="Times New Roman" w:eastAsia="宋体" w:cs="Times New Roman"/>
                <w:b/>
                <w:bCs/>
                <w:color w:val="000000"/>
                <w:sz w:val="21"/>
                <w:szCs w:val="21"/>
                <w:vertAlign w:val="subscript"/>
              </w:rPr>
              <w:t>max</w:t>
            </w:r>
            <w:r>
              <w:rPr>
                <w:rFonts w:hint="eastAsia" w:ascii="Times New Roman" w:hAnsi="Times New Roman" w:eastAsia="宋体" w:cs="Times New Roman"/>
                <w:b/>
                <w:bCs/>
                <w:color w:val="000000"/>
                <w:sz w:val="21"/>
                <w:szCs w:val="21"/>
              </w:rPr>
              <w:t>和</w:t>
            </w:r>
            <w:r>
              <w:rPr>
                <w:rFonts w:ascii="Times New Roman" w:hAnsi="Times New Roman" w:eastAsia="宋体" w:cs="Times New Roman"/>
                <w:b/>
                <w:bCs/>
                <w:color w:val="000000"/>
                <w:sz w:val="21"/>
                <w:szCs w:val="21"/>
              </w:rPr>
              <w:t>D</w:t>
            </w:r>
            <w:r>
              <w:rPr>
                <w:rFonts w:ascii="Times New Roman" w:hAnsi="Times New Roman" w:eastAsia="宋体" w:cs="Times New Roman"/>
                <w:b/>
                <w:bCs/>
                <w:color w:val="000000"/>
                <w:sz w:val="21"/>
                <w:szCs w:val="21"/>
                <w:vertAlign w:val="subscript"/>
              </w:rPr>
              <w:t>10%</w:t>
            </w:r>
            <w:r>
              <w:rPr>
                <w:rFonts w:hint="eastAsia" w:ascii="Times New Roman" w:hAnsi="Times New Roman" w:eastAsia="宋体" w:cs="Times New Roman"/>
                <w:b/>
                <w:bCs/>
                <w:color w:val="000000"/>
                <w:sz w:val="21"/>
                <w:szCs w:val="21"/>
              </w:rPr>
              <w:t>预测结果表（点源）</w:t>
            </w:r>
          </w:p>
          <w:tbl>
            <w:tblPr>
              <w:tblStyle w:val="20"/>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1216"/>
              <w:gridCol w:w="1150"/>
              <w:gridCol w:w="1147"/>
              <w:gridCol w:w="1150"/>
              <w:gridCol w:w="1147"/>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vMerge w:val="restart"/>
                  <w:noWrap w:val="0"/>
                  <w:vAlign w:val="center"/>
                </w:tcPr>
                <w:p>
                  <w:pP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下风向距离</w:t>
                  </w:r>
                </w:p>
              </w:tc>
              <w:tc>
                <w:tcPr>
                  <w:tcW w:w="4221" w:type="pct"/>
                  <w:gridSpan w:val="6"/>
                  <w:noWrap w:val="0"/>
                  <w:vAlign w:val="center"/>
                </w:tcPr>
                <w:p>
                  <w:pP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生物质锅炉</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vMerge w:val="continue"/>
                  <w:noWrap w:val="0"/>
                  <w:vAlign w:val="center"/>
                </w:tcPr>
                <w:p>
                  <w:pP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32" w:type="pct"/>
                  <w:gridSpan w:val="2"/>
                  <w:noWrap w:val="0"/>
                  <w:vAlign w:val="center"/>
                </w:tcPr>
                <w:p>
                  <w:pP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PM</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10</w:t>
                  </w:r>
                </w:p>
              </w:tc>
              <w:tc>
                <w:tcPr>
                  <w:tcW w:w="1390" w:type="pct"/>
                  <w:gridSpan w:val="2"/>
                  <w:noWrap w:val="0"/>
                  <w:vAlign w:val="center"/>
                </w:tcPr>
                <w:p>
                  <w:pP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SO</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2</w:t>
                  </w:r>
                </w:p>
              </w:tc>
              <w:tc>
                <w:tcPr>
                  <w:tcW w:w="1398" w:type="pct"/>
                  <w:gridSpan w:val="2"/>
                  <w:noWrap w:val="0"/>
                  <w:vAlign w:val="center"/>
                </w:tcPr>
                <w:p>
                  <w:pP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78" w:type="pct"/>
                  <w:vMerge w:val="continue"/>
                  <w:noWrap w:val="0"/>
                  <w:vAlign w:val="center"/>
                </w:tcPr>
                <w:p>
                  <w:pP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6" w:type="pct"/>
                  <w:noWrap w:val="0"/>
                  <w:vAlign w:val="center"/>
                </w:tcPr>
                <w:p>
                  <w:pPr>
                    <w:spacing w:line="240" w:lineRule="auto"/>
                    <w:ind w:left="-105" w:leftChars="-50" w:right="-105" w:rightChars="-5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浓度（ug/m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695" w:type="pct"/>
                  <w:noWrap w:val="0"/>
                  <w:vAlign w:val="center"/>
                </w:tcPr>
                <w:p>
                  <w:pPr>
                    <w:spacing w:line="240" w:lineRule="auto"/>
                    <w:ind w:left="-105" w:leftChars="-50" w:right="-105" w:rightChars="-5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占标率（%）</w:t>
                  </w:r>
                </w:p>
              </w:tc>
              <w:tc>
                <w:tcPr>
                  <w:tcW w:w="694" w:type="pct"/>
                  <w:noWrap w:val="0"/>
                  <w:vAlign w:val="center"/>
                </w:tcPr>
                <w:p>
                  <w:pPr>
                    <w:spacing w:line="240" w:lineRule="auto"/>
                    <w:ind w:left="-105" w:leftChars="-50" w:right="-105" w:rightChars="-5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浓度（ug/m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695" w:type="pct"/>
                  <w:noWrap w:val="0"/>
                  <w:vAlign w:val="center"/>
                </w:tcPr>
                <w:p>
                  <w:pPr>
                    <w:spacing w:line="240" w:lineRule="auto"/>
                    <w:ind w:left="-105" w:leftChars="-50" w:right="-105" w:rightChars="-5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占标率（%）</w:t>
                  </w:r>
                </w:p>
              </w:tc>
              <w:tc>
                <w:tcPr>
                  <w:tcW w:w="694" w:type="pct"/>
                  <w:noWrap w:val="0"/>
                  <w:vAlign w:val="center"/>
                </w:tcPr>
                <w:p>
                  <w:pPr>
                    <w:spacing w:line="240" w:lineRule="auto"/>
                    <w:ind w:left="-105" w:leftChars="-50" w:right="-105" w:rightChars="-5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浓度（ug/m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703" w:type="pct"/>
                  <w:noWrap w:val="0"/>
                  <w:vAlign w:val="center"/>
                </w:tcPr>
                <w:p>
                  <w:pPr>
                    <w:spacing w:line="240" w:lineRule="auto"/>
                    <w:ind w:left="-105" w:leftChars="-50" w:right="-105" w:rightChars="-5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36"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736"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36"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0.76</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0.21</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9.29</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736"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2.12</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2.88</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0.58</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25.78</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36"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3.33</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4.52</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0.9</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40.49</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78"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736"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3.64</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4.95</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0.99</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44.34</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36"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3.49</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4.74</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0.95</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42.49</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78"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36"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3.02</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4.11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0.82</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36.83</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736"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2.48</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3.37</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0.67</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30.24</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78"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736"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2.08</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2.83</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0.57</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25.36</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78"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736"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22.32</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736"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2.24</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0.45</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20.09</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736"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2.04</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0.41</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18.33</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78"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736"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1.38</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1.88</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0.38</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16.85</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736"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1.74</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0.35</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15.58</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noWrap w:val="0"/>
                  <w:vAlign w:val="center"/>
                </w:tcPr>
                <w:p>
                  <w:pP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下风向最大浓度</w:t>
                  </w:r>
                </w:p>
              </w:tc>
              <w:tc>
                <w:tcPr>
                  <w:tcW w:w="736" w:type="pct"/>
                  <w:noWrap w:val="0"/>
                  <w:vAlign w:val="center"/>
                </w:tcPr>
                <w:p>
                  <w:pPr>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3.64</w:t>
                  </w:r>
                </w:p>
              </w:tc>
              <w:tc>
                <w:tcPr>
                  <w:tcW w:w="695" w:type="pct"/>
                  <w:noWrap w:val="0"/>
                  <w:vAlign w:val="center"/>
                </w:tcPr>
                <w:p>
                  <w:pPr>
                    <w:spacing w:line="240" w:lineRule="auto"/>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w:t>
                  </w:r>
                </w:p>
              </w:tc>
              <w:tc>
                <w:tcPr>
                  <w:tcW w:w="694" w:type="pct"/>
                  <w:noWrap w:val="0"/>
                  <w:vAlign w:val="center"/>
                </w:tcPr>
                <w:p>
                  <w:pPr>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4.95</w:t>
                  </w:r>
                </w:p>
              </w:tc>
              <w:tc>
                <w:tcPr>
                  <w:tcW w:w="695" w:type="pct"/>
                  <w:noWrap w:val="0"/>
                  <w:vAlign w:val="center"/>
                </w:tcPr>
                <w:p>
                  <w:pPr>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0.99</w:t>
                  </w:r>
                </w:p>
              </w:tc>
              <w:tc>
                <w:tcPr>
                  <w:tcW w:w="694" w:type="pct"/>
                  <w:noWrap w:val="0"/>
                  <w:vAlign w:val="center"/>
                </w:tcPr>
                <w:p>
                  <w:pPr>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44.34</w:t>
                  </w:r>
                </w:p>
              </w:tc>
              <w:tc>
                <w:tcPr>
                  <w:tcW w:w="703" w:type="pct"/>
                  <w:noWrap w:val="0"/>
                  <w:vAlign w:val="center"/>
                </w:tcPr>
                <w:p>
                  <w:pPr>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noWrap w:val="0"/>
                  <w:vAlign w:val="center"/>
                </w:tcPr>
                <w:p>
                  <w:pP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下风向最大浓度出现距离</w:t>
                  </w:r>
                </w:p>
              </w:tc>
              <w:tc>
                <w:tcPr>
                  <w:tcW w:w="4221" w:type="pct"/>
                  <w:gridSpan w:val="6"/>
                  <w:noWrap w:val="0"/>
                  <w:vAlign w:val="center"/>
                </w:tcPr>
                <w:p>
                  <w:pPr>
                    <w:spacing w:line="240" w:lineRule="auto"/>
                    <w:jc w:val="center"/>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78" w:type="pct"/>
                  <w:noWrap w:val="0"/>
                  <w:vAlign w:val="center"/>
                </w:tcPr>
                <w:p>
                  <w:pP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D10%最远距离</w:t>
                  </w:r>
                </w:p>
              </w:tc>
              <w:tc>
                <w:tcPr>
                  <w:tcW w:w="4221" w:type="pct"/>
                  <w:gridSpan w:val="6"/>
                  <w:noWrap w:val="0"/>
                  <w:vAlign w:val="center"/>
                </w:tcPr>
                <w:p>
                  <w:pP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bl>
          <w:p>
            <w:pPr>
              <w:spacing w:line="240" w:lineRule="auto"/>
              <w:jc w:val="center"/>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b/>
                <w:bCs/>
                <w:color w:val="000000"/>
                <w:sz w:val="21"/>
                <w:szCs w:val="21"/>
              </w:rPr>
              <w:t>表</w:t>
            </w:r>
            <w:r>
              <w:rPr>
                <w:rFonts w:hint="eastAsia" w:ascii="Times New Roman" w:hAnsi="Times New Roman" w:cs="Times New Roman"/>
                <w:b/>
                <w:bCs/>
                <w:color w:val="000000"/>
                <w:sz w:val="21"/>
                <w:szCs w:val="21"/>
                <w:lang w:val="en-US" w:eastAsia="zh-CN"/>
              </w:rPr>
              <w:t>4</w:t>
            </w:r>
            <w:r>
              <w:rPr>
                <w:rFonts w:ascii="Times New Roman" w:hAnsi="Times New Roman" w:eastAsia="宋体" w:cs="Times New Roman"/>
                <w:b/>
                <w:bCs/>
                <w:color w:val="000000"/>
                <w:sz w:val="21"/>
                <w:szCs w:val="21"/>
              </w:rPr>
              <w:t>-</w:t>
            </w:r>
            <w:r>
              <w:rPr>
                <w:rFonts w:hint="eastAsia" w:ascii="Times New Roman" w:hAnsi="Times New Roman" w:cs="Times New Roman"/>
                <w:b/>
                <w:bCs/>
                <w:color w:val="000000"/>
                <w:sz w:val="21"/>
                <w:szCs w:val="21"/>
                <w:lang w:val="en-US" w:eastAsia="zh-CN"/>
              </w:rPr>
              <w:t>12</w:t>
            </w:r>
            <w:r>
              <w:rPr>
                <w:rFonts w:ascii="Times New Roman" w:hAnsi="Times New Roman" w:eastAsia="宋体" w:cs="Times New Roman"/>
                <w:b/>
                <w:bCs/>
                <w:color w:val="000000"/>
                <w:sz w:val="21"/>
                <w:szCs w:val="21"/>
              </w:rPr>
              <w:t xml:space="preserve">  </w:t>
            </w:r>
            <w:r>
              <w:rPr>
                <w:rFonts w:hint="eastAsia" w:ascii="Times New Roman" w:hAnsi="Times New Roman" w:eastAsia="宋体" w:cs="Times New Roman"/>
                <w:b/>
                <w:bCs/>
                <w:color w:val="000000"/>
                <w:sz w:val="21"/>
                <w:szCs w:val="21"/>
              </w:rPr>
              <w:t>最大</w:t>
            </w:r>
            <w:r>
              <w:rPr>
                <w:rFonts w:ascii="Times New Roman" w:hAnsi="Times New Roman" w:eastAsia="宋体" w:cs="Times New Roman"/>
                <w:b/>
                <w:bCs/>
                <w:color w:val="000000"/>
                <w:sz w:val="21"/>
                <w:szCs w:val="21"/>
              </w:rPr>
              <w:t>P</w:t>
            </w:r>
            <w:r>
              <w:rPr>
                <w:rFonts w:ascii="Times New Roman" w:hAnsi="Times New Roman" w:eastAsia="宋体" w:cs="Times New Roman"/>
                <w:b/>
                <w:bCs/>
                <w:color w:val="000000"/>
                <w:sz w:val="21"/>
                <w:szCs w:val="21"/>
                <w:vertAlign w:val="subscript"/>
              </w:rPr>
              <w:t>max</w:t>
            </w:r>
            <w:r>
              <w:rPr>
                <w:rFonts w:hint="eastAsia" w:ascii="Times New Roman" w:hAnsi="Times New Roman" w:eastAsia="宋体" w:cs="Times New Roman"/>
                <w:b/>
                <w:bCs/>
                <w:color w:val="000000"/>
                <w:sz w:val="21"/>
                <w:szCs w:val="21"/>
              </w:rPr>
              <w:t>和</w:t>
            </w:r>
            <w:r>
              <w:rPr>
                <w:rFonts w:ascii="Times New Roman" w:hAnsi="Times New Roman" w:eastAsia="宋体" w:cs="Times New Roman"/>
                <w:b/>
                <w:bCs/>
                <w:color w:val="000000"/>
                <w:sz w:val="21"/>
                <w:szCs w:val="21"/>
              </w:rPr>
              <w:t>D</w:t>
            </w:r>
            <w:r>
              <w:rPr>
                <w:rFonts w:ascii="Times New Roman" w:hAnsi="Times New Roman" w:eastAsia="宋体" w:cs="Times New Roman"/>
                <w:b/>
                <w:bCs/>
                <w:color w:val="000000"/>
                <w:sz w:val="21"/>
                <w:szCs w:val="21"/>
                <w:vertAlign w:val="subscript"/>
              </w:rPr>
              <w:t>10%</w:t>
            </w:r>
            <w:r>
              <w:rPr>
                <w:rFonts w:hint="eastAsia" w:ascii="Times New Roman" w:hAnsi="Times New Roman" w:eastAsia="宋体" w:cs="Times New Roman"/>
                <w:b/>
                <w:bCs/>
                <w:color w:val="000000"/>
                <w:sz w:val="21"/>
                <w:szCs w:val="21"/>
              </w:rPr>
              <w:t>预测结果表（</w:t>
            </w:r>
            <w:r>
              <w:rPr>
                <w:rFonts w:hint="eastAsia" w:ascii="Times New Roman" w:hAnsi="Times New Roman" w:cs="Times New Roman"/>
                <w:b/>
                <w:bCs/>
                <w:color w:val="000000"/>
                <w:sz w:val="21"/>
                <w:szCs w:val="21"/>
                <w:lang w:val="en-US" w:eastAsia="zh-CN"/>
              </w:rPr>
              <w:t>点</w:t>
            </w:r>
            <w:r>
              <w:rPr>
                <w:rFonts w:hint="eastAsia" w:ascii="Times New Roman" w:hAnsi="Times New Roman" w:eastAsia="宋体" w:cs="Times New Roman"/>
                <w:b/>
                <w:bCs/>
                <w:color w:val="000000"/>
                <w:sz w:val="21"/>
                <w:szCs w:val="21"/>
              </w:rPr>
              <w:t>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147"/>
              <w:gridCol w:w="1150"/>
              <w:gridCol w:w="1147"/>
              <w:gridCol w:w="1150"/>
              <w:gridCol w:w="1147"/>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下风向距离</w:t>
                  </w:r>
                </w:p>
              </w:tc>
              <w:tc>
                <w:tcPr>
                  <w:tcW w:w="4178" w:type="pct"/>
                  <w:gridSpan w:val="6"/>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滚筒式炒锅排气筒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90"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PM</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10</w:t>
                  </w:r>
                </w:p>
              </w:tc>
              <w:tc>
                <w:tcPr>
                  <w:tcW w:w="1390"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SO</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2</w:t>
                  </w:r>
                </w:p>
              </w:tc>
              <w:tc>
                <w:tcPr>
                  <w:tcW w:w="1398"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2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浓度（ug/m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69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占标率（%）</w:t>
                  </w:r>
                </w:p>
              </w:tc>
              <w:tc>
                <w:tcPr>
                  <w:tcW w:w="6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浓度（ug/m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69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占标率（%）</w:t>
                  </w:r>
                </w:p>
              </w:tc>
              <w:tc>
                <w:tcPr>
                  <w:tcW w:w="6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浓度（ug/m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70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i w:val="0"/>
                      <w:iCs w:val="0"/>
                      <w:color w:val="000000"/>
                      <w:kern w:val="0"/>
                      <w:sz w:val="21"/>
                      <w:szCs w:val="21"/>
                      <w:u w:val="none"/>
                      <w:lang w:val="en-US" w:eastAsia="zh-CN" w:bidi="ar"/>
                    </w:rPr>
                    <w:t>0.01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0.95</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0.19</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5.63</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25</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i w:val="0"/>
                      <w:iCs w:val="0"/>
                      <w:color w:val="000000"/>
                      <w:kern w:val="0"/>
                      <w:sz w:val="21"/>
                      <w:szCs w:val="21"/>
                      <w:u w:val="none"/>
                      <w:lang w:val="en-US" w:eastAsia="zh-CN" w:bidi="ar"/>
                    </w:rPr>
                    <w:t>0.01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1.12</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0.22</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6.68</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50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i w:val="0"/>
                      <w:iCs w:val="0"/>
                      <w:color w:val="000000"/>
                      <w:kern w:val="0"/>
                      <w:sz w:val="21"/>
                      <w:szCs w:val="21"/>
                      <w:u w:val="none"/>
                      <w:lang w:val="en-US" w:eastAsia="zh-CN" w:bidi="ar"/>
                    </w:rPr>
                    <w:t>0.01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1.42</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0.28</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8.42</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75</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i w:val="0"/>
                      <w:iCs w:val="0"/>
                      <w:color w:val="000000"/>
                      <w:kern w:val="0"/>
                      <w:sz w:val="21"/>
                      <w:szCs w:val="21"/>
                      <w:u w:val="none"/>
                      <w:lang w:val="en-US" w:eastAsia="zh-CN" w:bidi="ar"/>
                    </w:rPr>
                    <w:t>0.01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1.71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0.34</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10.17</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100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i w:val="0"/>
                      <w:iCs w:val="0"/>
                      <w:color w:val="000000"/>
                      <w:kern w:val="0"/>
                      <w:sz w:val="21"/>
                      <w:szCs w:val="21"/>
                      <w:u w:val="none"/>
                      <w:lang w:val="en-US" w:eastAsia="zh-CN" w:bidi="ar"/>
                    </w:rPr>
                    <w:t>0.01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2.01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0.4</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11.92</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148</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i w:val="0"/>
                      <w:iCs w:val="0"/>
                      <w:color w:val="000000"/>
                      <w:kern w:val="0"/>
                      <w:sz w:val="21"/>
                      <w:szCs w:val="21"/>
                      <w:u w:val="none"/>
                      <w:lang w:val="en-US" w:eastAsia="zh-CN" w:bidi="ar"/>
                    </w:rPr>
                    <w:t>0.02</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2.28</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0.46</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13.53</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200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i w:val="0"/>
                      <w:iCs w:val="0"/>
                      <w:color w:val="000000"/>
                      <w:kern w:val="0"/>
                      <w:sz w:val="21"/>
                      <w:szCs w:val="21"/>
                      <w:u w:val="none"/>
                      <w:lang w:val="en-US" w:eastAsia="zh-CN" w:bidi="ar"/>
                    </w:rPr>
                    <w:t>0.02</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2.12</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0.42</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12.59</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300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i w:val="0"/>
                      <w:iCs w:val="0"/>
                      <w:color w:val="000000"/>
                      <w:kern w:val="0"/>
                      <w:sz w:val="21"/>
                      <w:szCs w:val="21"/>
                      <w:u w:val="none"/>
                      <w:lang w:val="en-US" w:eastAsia="zh-CN" w:bidi="ar"/>
                    </w:rPr>
                    <w:t>0.01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1.87</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0.37</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11.08</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400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i w:val="0"/>
                      <w:iCs w:val="0"/>
                      <w:color w:val="000000"/>
                      <w:kern w:val="0"/>
                      <w:sz w:val="21"/>
                      <w:szCs w:val="21"/>
                      <w:u w:val="none"/>
                      <w:lang w:val="en-US" w:eastAsia="zh-CN" w:bidi="ar"/>
                    </w:rPr>
                    <w:t>0.01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1.68</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0.34</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9.95</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500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i w:val="0"/>
                      <w:iCs w:val="0"/>
                      <w:color w:val="000000"/>
                      <w:kern w:val="0"/>
                      <w:sz w:val="21"/>
                      <w:szCs w:val="21"/>
                      <w:u w:val="none"/>
                      <w:lang w:val="en-US" w:eastAsia="zh-CN" w:bidi="ar"/>
                    </w:rPr>
                    <w:t>0.01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1.52</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0.3</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9.03</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600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i w:val="0"/>
                      <w:iCs w:val="0"/>
                      <w:color w:val="000000"/>
                      <w:kern w:val="0"/>
                      <w:sz w:val="21"/>
                      <w:szCs w:val="21"/>
                      <w:u w:val="none"/>
                      <w:lang w:val="en-US" w:eastAsia="zh-CN" w:bidi="ar"/>
                    </w:rPr>
                    <w:t>0.01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1.39</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0.28</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8.27</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700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i w:val="0"/>
                      <w:iCs w:val="0"/>
                      <w:color w:val="000000"/>
                      <w:kern w:val="0"/>
                      <w:sz w:val="21"/>
                      <w:szCs w:val="21"/>
                      <w:u w:val="none"/>
                      <w:lang w:val="en-US" w:eastAsia="zh-CN" w:bidi="ar"/>
                    </w:rPr>
                    <w:t>0.01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1.29</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0.26</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7.63</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800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i w:val="0"/>
                      <w:iCs w:val="0"/>
                      <w:color w:val="000000"/>
                      <w:kern w:val="0"/>
                      <w:sz w:val="21"/>
                      <w:szCs w:val="21"/>
                      <w:u w:val="none"/>
                      <w:lang w:val="en-US" w:eastAsia="zh-CN" w:bidi="ar"/>
                    </w:rPr>
                    <w:t>0.01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1.34</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0.27</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7.95</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900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i w:val="0"/>
                      <w:iCs w:val="0"/>
                      <w:color w:val="000000"/>
                      <w:kern w:val="0"/>
                      <w:sz w:val="21"/>
                      <w:szCs w:val="21"/>
                      <w:u w:val="none"/>
                      <w:lang w:val="en-US" w:eastAsia="zh-CN" w:bidi="ar"/>
                    </w:rPr>
                    <w:t>0.01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1.23</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0.25</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7.32</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1000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i w:val="0"/>
                      <w:iCs w:val="0"/>
                      <w:color w:val="000000"/>
                      <w:kern w:val="0"/>
                      <w:sz w:val="21"/>
                      <w:szCs w:val="21"/>
                      <w:u w:val="none"/>
                      <w:lang w:val="en-US" w:eastAsia="zh-CN" w:bidi="ar"/>
                    </w:rPr>
                    <w:t>0.01</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1.14</w:t>
                  </w:r>
                </w:p>
              </w:tc>
              <w:tc>
                <w:tcPr>
                  <w:tcW w:w="695"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0.23</w:t>
                  </w:r>
                </w:p>
              </w:tc>
              <w:tc>
                <w:tcPr>
                  <w:tcW w:w="694"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6.8</w:t>
                  </w:r>
                </w:p>
              </w:tc>
              <w:tc>
                <w:tcPr>
                  <w:tcW w:w="703" w:type="pc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i w:val="0"/>
                      <w:iCs w:val="0"/>
                      <w:color w:val="000000"/>
                      <w:kern w:val="0"/>
                      <w:sz w:val="21"/>
                      <w:szCs w:val="21"/>
                      <w:u w:val="none"/>
                      <w:lang w:val="en-US" w:eastAsia="zh-CN" w:bidi="ar"/>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下风向最大浓度</w:t>
                  </w:r>
                </w:p>
              </w:tc>
              <w:tc>
                <w:tcPr>
                  <w:tcW w:w="6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0.02</w:t>
                  </w:r>
                </w:p>
              </w:tc>
              <w:tc>
                <w:tcPr>
                  <w:tcW w:w="695"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w:t>
                  </w:r>
                </w:p>
              </w:tc>
              <w:tc>
                <w:tcPr>
                  <w:tcW w:w="6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2.28</w:t>
                  </w:r>
                </w:p>
              </w:tc>
              <w:tc>
                <w:tcPr>
                  <w:tcW w:w="695"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0.46</w:t>
                  </w:r>
                </w:p>
              </w:tc>
              <w:tc>
                <w:tcPr>
                  <w:tcW w:w="6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13.53</w:t>
                  </w:r>
                </w:p>
              </w:tc>
              <w:tc>
                <w:tcPr>
                  <w:tcW w:w="703"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下风向最大浓度出现距离</w:t>
                  </w:r>
                </w:p>
              </w:tc>
              <w:tc>
                <w:tcPr>
                  <w:tcW w:w="4178" w:type="pct"/>
                  <w:gridSpan w:val="6"/>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2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D10%最远距离</w:t>
                  </w:r>
                </w:p>
              </w:tc>
              <w:tc>
                <w:tcPr>
                  <w:tcW w:w="4178" w:type="pct"/>
                  <w:gridSpan w:val="6"/>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r>
          </w:tbl>
          <w:p>
            <w:pPr>
              <w:spacing w:line="360" w:lineRule="auto"/>
              <w:ind w:firstLine="480"/>
              <w:rPr>
                <w:rFonts w:ascii="Times New Roman" w:hAnsi="Times New Roman" w:eastAsia="宋体" w:cs="Times New Roman"/>
                <w:color w:val="000000"/>
                <w:sz w:val="24"/>
                <w:szCs w:val="24"/>
              </w:rPr>
            </w:pPr>
            <w:r>
              <w:rPr>
                <w:rFonts w:hint="eastAsia" w:ascii="Times New Roman" w:hAnsi="Times New Roman" w:eastAsia="宋体" w:cs="Times New Roman"/>
                <w:color w:val="000000"/>
                <w:kern w:val="0"/>
                <w:sz w:val="24"/>
                <w:szCs w:val="24"/>
              </w:rPr>
              <w:t>本项目</w:t>
            </w:r>
            <w:r>
              <w:rPr>
                <w:rFonts w:ascii="Times New Roman" w:hAnsi="Times New Roman" w:eastAsia="宋体" w:cs="Times New Roman"/>
                <w:color w:val="000000"/>
                <w:kern w:val="0"/>
                <w:sz w:val="24"/>
                <w:szCs w:val="24"/>
              </w:rPr>
              <w:t>P</w:t>
            </w:r>
            <w:r>
              <w:rPr>
                <w:rFonts w:ascii="Times New Roman" w:hAnsi="Times New Roman" w:eastAsia="宋体" w:cs="Times New Roman"/>
                <w:color w:val="000000"/>
                <w:kern w:val="0"/>
                <w:sz w:val="24"/>
                <w:szCs w:val="24"/>
                <w:vertAlign w:val="subscript"/>
              </w:rPr>
              <w:t>max</w:t>
            </w:r>
            <w:r>
              <w:rPr>
                <w:rFonts w:hint="eastAsia" w:ascii="Times New Roman" w:hAnsi="Times New Roman" w:eastAsia="宋体" w:cs="Times New Roman"/>
                <w:color w:val="000000"/>
                <w:kern w:val="0"/>
                <w:sz w:val="24"/>
                <w:szCs w:val="24"/>
              </w:rPr>
              <w:t>值为</w:t>
            </w:r>
            <w:r>
              <w:rPr>
                <w:rFonts w:hint="eastAsia" w:ascii="Times New Roman" w:hAnsi="Times New Roman" w:cs="Times New Roman"/>
                <w:color w:val="000000"/>
                <w:kern w:val="0"/>
                <w:sz w:val="24"/>
                <w:szCs w:val="24"/>
                <w:lang w:val="en-US" w:eastAsia="zh-CN"/>
              </w:rPr>
              <w:t>9.24</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w:t>
            </w:r>
            <w:r>
              <w:rPr>
                <w:rFonts w:ascii="Times New Roman" w:hAnsi="Times New Roman" w:eastAsia="宋体" w:cs="Times New Roman"/>
                <w:color w:val="000000"/>
                <w:kern w:val="0"/>
                <w:sz w:val="24"/>
                <w:szCs w:val="24"/>
              </w:rPr>
              <w:t>C</w:t>
            </w:r>
            <w:r>
              <w:rPr>
                <w:rFonts w:ascii="Times New Roman" w:hAnsi="Times New Roman" w:eastAsia="宋体" w:cs="Times New Roman"/>
                <w:color w:val="000000"/>
                <w:kern w:val="0"/>
                <w:sz w:val="24"/>
                <w:szCs w:val="24"/>
                <w:vertAlign w:val="subscript"/>
              </w:rPr>
              <w:t>max</w:t>
            </w:r>
            <w:r>
              <w:rPr>
                <w:rFonts w:hint="eastAsia" w:ascii="Times New Roman" w:hAnsi="Times New Roman" w:eastAsia="宋体" w:cs="Times New Roman"/>
                <w:color w:val="000000"/>
                <w:kern w:val="0"/>
                <w:sz w:val="24"/>
                <w:szCs w:val="24"/>
              </w:rPr>
              <w:t>为</w:t>
            </w:r>
            <w:r>
              <w:rPr>
                <w:rFonts w:hint="eastAsia" w:ascii="Times New Roman" w:hAnsi="Times New Roman" w:cs="Times New Roman"/>
                <w:color w:val="000000"/>
                <w:kern w:val="0"/>
                <w:sz w:val="24"/>
                <w:szCs w:val="24"/>
                <w:lang w:val="en-US" w:eastAsia="zh-CN"/>
              </w:rPr>
              <w:t>44.34</w:t>
            </w:r>
            <w:r>
              <w:rPr>
                <w:rFonts w:ascii="Times New Roman" w:hAnsi="Times New Roman" w:eastAsia="宋体" w:cs="Times New Roman"/>
                <w:color w:val="000000"/>
                <w:kern w:val="0"/>
                <w:sz w:val="24"/>
                <w:szCs w:val="24"/>
              </w:rPr>
              <w:t>ug/m</w:t>
            </w:r>
            <w:r>
              <w:rPr>
                <w:rFonts w:ascii="Times New Roman" w:hAnsi="Times New Roman" w:eastAsia="宋体" w:cs="Times New Roman"/>
                <w:color w:val="000000"/>
                <w:kern w:val="0"/>
                <w:sz w:val="24"/>
                <w:szCs w:val="24"/>
                <w:vertAlign w:val="superscript"/>
              </w:rPr>
              <w:t>3</w:t>
            </w:r>
            <w:r>
              <w:rPr>
                <w:rFonts w:hint="eastAsia" w:ascii="Times New Roman" w:hAnsi="Times New Roman" w:eastAsia="宋体" w:cs="Times New Roman"/>
                <w:color w:val="000000"/>
                <w:kern w:val="0"/>
                <w:sz w:val="24"/>
                <w:szCs w:val="24"/>
              </w:rPr>
              <w:t>，根据《环境影响评价技术导则大气环境》（</w:t>
            </w:r>
            <w:r>
              <w:rPr>
                <w:rFonts w:ascii="Times New Roman" w:hAnsi="Times New Roman" w:eastAsia="宋体" w:cs="Times New Roman"/>
                <w:color w:val="000000"/>
                <w:kern w:val="0"/>
                <w:sz w:val="24"/>
                <w:szCs w:val="24"/>
              </w:rPr>
              <w:t>HJ2.2-2018</w:t>
            </w:r>
            <w:r>
              <w:rPr>
                <w:rFonts w:hint="eastAsia" w:ascii="Times New Roman" w:hAnsi="Times New Roman" w:eastAsia="宋体" w:cs="Times New Roman"/>
                <w:color w:val="000000"/>
                <w:kern w:val="0"/>
                <w:sz w:val="24"/>
                <w:szCs w:val="24"/>
              </w:rPr>
              <w:t>）分级判据，确定本项目大气环境影响评价工作等级为二级，大气评价范围为边长5km矩形。根据</w:t>
            </w:r>
            <w:r>
              <w:rPr>
                <w:rFonts w:ascii="Times New Roman" w:hAnsi="Times New Roman" w:eastAsia="宋体" w:cs="Times New Roman"/>
                <w:color w:val="000000"/>
                <w:kern w:val="0"/>
                <w:sz w:val="24"/>
                <w:szCs w:val="24"/>
              </w:rPr>
              <w:t>HJ2.2-2018</w:t>
            </w:r>
            <w:r>
              <w:rPr>
                <w:rFonts w:hint="eastAsia" w:ascii="Times New Roman" w:hAnsi="Times New Roman" w:eastAsia="宋体" w:cs="Times New Roman"/>
                <w:color w:val="000000"/>
                <w:kern w:val="0"/>
                <w:sz w:val="24"/>
                <w:szCs w:val="24"/>
              </w:rPr>
              <w:t>，二级评价项目不进行进一步预测与评价，只对污染物排放量进行核算。</w:t>
            </w:r>
          </w:p>
          <w:p>
            <w:pPr>
              <w:autoSpaceDE w:val="0"/>
              <w:autoSpaceDN w:val="0"/>
              <w:adjustRightInd w:val="0"/>
              <w:spacing w:line="360" w:lineRule="auto"/>
              <w:ind w:firstLine="480" w:firstLineChars="200"/>
              <w:jc w:val="left"/>
              <w:rPr>
                <w:rFonts w:ascii="Times New Roman" w:hAnsi="Times New Roman" w:eastAsia="宋体" w:cs="Times New Roman"/>
                <w:color w:val="000000"/>
                <w:kern w:val="0"/>
                <w:sz w:val="24"/>
                <w:szCs w:val="24"/>
              </w:rPr>
            </w:pPr>
            <w:r>
              <w:rPr>
                <w:rFonts w:hint="eastAsia" w:ascii="Times New Roman" w:hAnsi="Times New Roman" w:cs="Times New Roman"/>
                <w:color w:val="000000"/>
                <w:kern w:val="0"/>
                <w:sz w:val="24"/>
                <w:szCs w:val="24"/>
                <w:lang w:val="en-US" w:eastAsia="zh-CN"/>
              </w:rPr>
              <w:t>（2）</w:t>
            </w:r>
            <w:r>
              <w:rPr>
                <w:rFonts w:ascii="Times New Roman" w:hAnsi="Times New Roman" w:eastAsia="宋体" w:cs="Times New Roman"/>
                <w:color w:val="000000"/>
                <w:kern w:val="0"/>
                <w:sz w:val="24"/>
                <w:szCs w:val="24"/>
              </w:rPr>
              <w:t>大气污染物排放量核算</w:t>
            </w:r>
          </w:p>
          <w:p>
            <w:pPr>
              <w:autoSpaceDE w:val="0"/>
              <w:autoSpaceDN w:val="0"/>
              <w:adjustRightInd w:val="0"/>
              <w:spacing w:line="360" w:lineRule="auto"/>
              <w:ind w:firstLine="470" w:firstLineChars="196"/>
              <w:jc w:val="left"/>
              <w:rPr>
                <w:rFonts w:ascii="Times New Roman" w:hAnsi="Times New Roman" w:eastAsia="宋体" w:cs="Times New Roman"/>
                <w:b/>
                <w:bCs/>
                <w:color w:val="000000"/>
                <w:sz w:val="21"/>
                <w:szCs w:val="21"/>
              </w:rPr>
            </w:pPr>
            <w:r>
              <w:rPr>
                <w:rFonts w:ascii="Times New Roman" w:hAnsi="Times New Roman" w:eastAsia="宋体" w:cs="Times New Roman"/>
                <w:color w:val="000000"/>
                <w:kern w:val="0"/>
                <w:sz w:val="24"/>
                <w:szCs w:val="24"/>
              </w:rPr>
              <w:t>本项目</w:t>
            </w:r>
            <w:r>
              <w:rPr>
                <w:rFonts w:hint="eastAsia" w:ascii="Times New Roman" w:hAnsi="Times New Roman" w:eastAsia="宋体" w:cs="Times New Roman"/>
                <w:color w:val="000000"/>
                <w:kern w:val="0"/>
                <w:sz w:val="24"/>
                <w:szCs w:val="24"/>
              </w:rPr>
              <w:t>大气污染物排放量核算表见表</w:t>
            </w:r>
            <w:r>
              <w:rPr>
                <w:rFonts w:hint="eastAsia" w:ascii="Times New Roman" w:hAnsi="Times New Roman" w:cs="Times New Roman"/>
                <w:color w:val="000000"/>
                <w:kern w:val="0"/>
                <w:sz w:val="24"/>
                <w:szCs w:val="24"/>
                <w:lang w:val="en-US" w:eastAsia="zh-CN"/>
              </w:rPr>
              <w:t>4</w:t>
            </w:r>
            <w:r>
              <w:rPr>
                <w:rFonts w:hint="eastAsia" w:ascii="Times New Roman" w:hAnsi="Times New Roman" w:eastAsia="宋体" w:cs="Times New Roman"/>
                <w:color w:val="000000"/>
                <w:kern w:val="0"/>
                <w:sz w:val="24"/>
                <w:szCs w:val="24"/>
              </w:rPr>
              <w:t>-</w:t>
            </w:r>
            <w:r>
              <w:rPr>
                <w:rFonts w:hint="eastAsia" w:ascii="Times New Roman" w:hAnsi="Times New Roman" w:cs="Times New Roman"/>
                <w:color w:val="000000"/>
                <w:kern w:val="0"/>
                <w:sz w:val="24"/>
                <w:szCs w:val="24"/>
                <w:lang w:val="en-US" w:eastAsia="zh-CN"/>
              </w:rPr>
              <w:t>13</w:t>
            </w:r>
            <w:r>
              <w:rPr>
                <w:rFonts w:ascii="Times New Roman" w:hAnsi="Times New Roman" w:eastAsia="宋体" w:cs="Times New Roman"/>
                <w:color w:val="000000"/>
                <w:kern w:val="0"/>
                <w:sz w:val="24"/>
                <w:szCs w:val="24"/>
              </w:rPr>
              <w:t>。</w:t>
            </w:r>
          </w:p>
          <w:p>
            <w:pPr>
              <w:spacing w:line="240" w:lineRule="auto"/>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表</w:t>
            </w:r>
            <w:r>
              <w:rPr>
                <w:rFonts w:hint="eastAsia" w:ascii="Times New Roman" w:hAnsi="Times New Roman" w:cs="Times New Roman"/>
                <w:b/>
                <w:bCs/>
                <w:color w:val="000000"/>
                <w:sz w:val="21"/>
                <w:szCs w:val="21"/>
                <w:lang w:val="en-US" w:eastAsia="zh-CN"/>
              </w:rPr>
              <w:t>4</w:t>
            </w:r>
            <w:r>
              <w:rPr>
                <w:rFonts w:hint="eastAsia" w:ascii="Times New Roman" w:hAnsi="Times New Roman" w:eastAsia="宋体" w:cs="Times New Roman"/>
                <w:b/>
                <w:bCs/>
                <w:color w:val="000000"/>
                <w:sz w:val="21"/>
                <w:szCs w:val="21"/>
              </w:rPr>
              <w:t>-</w:t>
            </w:r>
            <w:r>
              <w:rPr>
                <w:rFonts w:hint="eastAsia" w:ascii="Times New Roman" w:hAnsi="Times New Roman" w:cs="Times New Roman"/>
                <w:b/>
                <w:bCs/>
                <w:color w:val="000000"/>
                <w:sz w:val="21"/>
                <w:szCs w:val="21"/>
                <w:lang w:val="en-US" w:eastAsia="zh-CN"/>
              </w:rPr>
              <w:t>13</w:t>
            </w:r>
            <w:r>
              <w:rPr>
                <w:rFonts w:ascii="Times New Roman" w:hAnsi="Times New Roman" w:eastAsia="宋体" w:cs="Times New Roman"/>
                <w:b/>
                <w:bCs/>
                <w:color w:val="000000"/>
                <w:sz w:val="21"/>
                <w:szCs w:val="21"/>
              </w:rPr>
              <w:t xml:space="preserve"> 项目大气污染物排放量核算</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582"/>
              <w:gridCol w:w="854"/>
              <w:gridCol w:w="666"/>
              <w:gridCol w:w="1244"/>
              <w:gridCol w:w="2428"/>
              <w:gridCol w:w="1184"/>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restart"/>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序号</w:t>
                  </w:r>
                </w:p>
              </w:tc>
              <w:tc>
                <w:tcPr>
                  <w:tcW w:w="353" w:type="pct"/>
                  <w:vMerge w:val="restar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排放口</w:t>
                  </w:r>
                </w:p>
                <w:p>
                  <w:pPr>
                    <w:spacing w:line="240" w:lineRule="auto"/>
                    <w:ind w:left="-105" w:leftChars="-50" w:right="-105" w:rightChars="-50"/>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编号</w:t>
                  </w:r>
                </w:p>
              </w:tc>
              <w:tc>
                <w:tcPr>
                  <w:tcW w:w="517" w:type="pct"/>
                  <w:vMerge w:val="restart"/>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产污环节</w:t>
                  </w:r>
                </w:p>
              </w:tc>
              <w:tc>
                <w:tcPr>
                  <w:tcW w:w="403" w:type="pct"/>
                  <w:vMerge w:val="restart"/>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污染物</w:t>
                  </w:r>
                </w:p>
              </w:tc>
              <w:tc>
                <w:tcPr>
                  <w:tcW w:w="753" w:type="pct"/>
                  <w:vMerge w:val="restart"/>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主要污染物防治措施</w:t>
                  </w:r>
                </w:p>
              </w:tc>
              <w:tc>
                <w:tcPr>
                  <w:tcW w:w="2187" w:type="pct"/>
                  <w:gridSpan w:val="2"/>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污染物排放标准</w:t>
                  </w:r>
                </w:p>
              </w:tc>
              <w:tc>
                <w:tcPr>
                  <w:tcW w:w="520" w:type="pct"/>
                  <w:vMerge w:val="restart"/>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排放量</w:t>
                  </w:r>
                </w:p>
                <w:p>
                  <w:pPr>
                    <w:widowControl w:val="0"/>
                    <w:spacing w:line="240" w:lineRule="auto"/>
                    <w:ind w:left="-105" w:leftChars="-50" w:right="-105" w:rightChars="-50" w:firstLine="0" w:firstLineChars="0"/>
                    <w:jc w:val="center"/>
                    <w:rPr>
                      <w:rFonts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p>
              </w:tc>
              <w:tc>
                <w:tcPr>
                  <w:tcW w:w="353" w:type="pct"/>
                  <w:vMerge w:val="continue"/>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p>
              </w:tc>
              <w:tc>
                <w:tcPr>
                  <w:tcW w:w="517" w:type="pct"/>
                  <w:vMerge w:val="continue"/>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p>
              </w:tc>
              <w:tc>
                <w:tcPr>
                  <w:tcW w:w="403" w:type="pct"/>
                  <w:vMerge w:val="continue"/>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p>
              </w:tc>
              <w:tc>
                <w:tcPr>
                  <w:tcW w:w="753" w:type="pct"/>
                  <w:vMerge w:val="continue"/>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p>
              </w:tc>
              <w:tc>
                <w:tcPr>
                  <w:tcW w:w="1470" w:type="pct"/>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标准名称</w:t>
                  </w:r>
                </w:p>
              </w:tc>
              <w:tc>
                <w:tcPr>
                  <w:tcW w:w="716"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lang w:eastAsia="zh-CN"/>
                    </w:rPr>
                  </w:pPr>
                  <w:r>
                    <w:rPr>
                      <w:rFonts w:ascii="Times New Roman" w:hAnsi="Times New Roman" w:eastAsia="宋体" w:cs="Times New Roman"/>
                      <w:b w:val="0"/>
                      <w:bCs/>
                      <w:color w:val="000000"/>
                      <w:sz w:val="21"/>
                      <w:szCs w:val="21"/>
                    </w:rPr>
                    <w:t>浓度限值</w:t>
                  </w:r>
                  <w:r>
                    <w:rPr>
                      <w:rFonts w:hint="eastAsia" w:ascii="Times New Roman" w:hAnsi="Times New Roman" w:cs="Times New Roman"/>
                      <w:b w:val="0"/>
                      <w:bCs/>
                      <w:color w:val="000000"/>
                      <w:sz w:val="21"/>
                      <w:szCs w:val="21"/>
                      <w:lang w:eastAsia="zh-CN"/>
                    </w:rPr>
                    <w:t>（</w:t>
                  </w:r>
                  <w:r>
                    <w:rPr>
                      <w:rFonts w:hint="eastAsia" w:ascii="Times New Roman" w:hAnsi="Times New Roman" w:eastAsia="宋体" w:cs="Times New Roman"/>
                      <w:b w:val="0"/>
                      <w:bCs/>
                      <w:color w:val="000000"/>
                      <w:sz w:val="21"/>
                      <w:szCs w:val="21"/>
                    </w:rPr>
                    <w:t>mg/m</w:t>
                  </w:r>
                  <w:r>
                    <w:rPr>
                      <w:rFonts w:hint="eastAsia" w:ascii="Times New Roman" w:hAnsi="Times New Roman" w:eastAsia="宋体" w:cs="Times New Roman"/>
                      <w:b w:val="0"/>
                      <w:bCs/>
                      <w:color w:val="000000"/>
                      <w:sz w:val="21"/>
                      <w:szCs w:val="21"/>
                      <w:vertAlign w:val="superscript"/>
                    </w:rPr>
                    <w:t>3</w:t>
                  </w:r>
                  <w:r>
                    <w:rPr>
                      <w:rFonts w:hint="eastAsia" w:ascii="Times New Roman" w:hAnsi="Times New Roman" w:cs="Times New Roman"/>
                      <w:b w:val="0"/>
                      <w:bCs/>
                      <w:color w:val="000000"/>
                      <w:sz w:val="21"/>
                      <w:szCs w:val="21"/>
                      <w:lang w:eastAsia="zh-CN"/>
                    </w:rPr>
                    <w:t>）</w:t>
                  </w:r>
                </w:p>
              </w:tc>
              <w:tc>
                <w:tcPr>
                  <w:tcW w:w="520" w:type="pct"/>
                  <w:vMerge w:val="continue"/>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8"/>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lang w:eastAsia="zh-CN"/>
                    </w:rPr>
                  </w:pPr>
                  <w:r>
                    <w:rPr>
                      <w:rFonts w:hint="eastAsia" w:ascii="Times New Roman" w:hAnsi="Times New Roman" w:cs="Times New Roman"/>
                      <w:b w:val="0"/>
                      <w:bCs/>
                      <w:color w:val="000000"/>
                      <w:sz w:val="21"/>
                      <w:szCs w:val="21"/>
                      <w:lang w:val="en-US" w:eastAsia="zh-CN"/>
                    </w:rPr>
                    <w:t>1</w:t>
                  </w:r>
                </w:p>
              </w:tc>
              <w:tc>
                <w:tcPr>
                  <w:tcW w:w="353"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w:t>
                  </w:r>
                </w:p>
              </w:tc>
              <w:tc>
                <w:tcPr>
                  <w:tcW w:w="517" w:type="pct"/>
                  <w:vMerge w:val="restart"/>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锅炉</w:t>
                  </w:r>
                </w:p>
              </w:tc>
              <w:tc>
                <w:tcPr>
                  <w:tcW w:w="403"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rPr>
                    <w:t>SO</w:t>
                  </w:r>
                  <w:r>
                    <w:rPr>
                      <w:rFonts w:hint="eastAsia" w:ascii="Times New Roman" w:hAnsi="Times New Roman" w:eastAsia="宋体" w:cs="Times New Roman"/>
                      <w:b w:val="0"/>
                      <w:bCs/>
                      <w:color w:val="000000"/>
                      <w:sz w:val="21"/>
                      <w:szCs w:val="21"/>
                      <w:vertAlign w:val="subscript"/>
                    </w:rPr>
                    <w:t>2</w:t>
                  </w:r>
                </w:p>
              </w:tc>
              <w:tc>
                <w:tcPr>
                  <w:tcW w:w="753" w:type="pct"/>
                  <w:vMerge w:val="restar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lang w:eastAsia="zh-CN"/>
                    </w:rPr>
                  </w:pPr>
                  <w:r>
                    <w:rPr>
                      <w:rFonts w:hint="eastAsia" w:ascii="Times New Roman" w:hAnsi="Times New Roman" w:eastAsia="宋体" w:cs="Times New Roman"/>
                      <w:b w:val="0"/>
                      <w:bCs/>
                      <w:color w:val="000000"/>
                      <w:sz w:val="21"/>
                      <w:szCs w:val="21"/>
                    </w:rPr>
                    <w:t>碱液喷淋装置+</w:t>
                  </w:r>
                  <w:r>
                    <w:rPr>
                      <w:rFonts w:hint="eastAsia" w:ascii="Times New Roman" w:hAnsi="Times New Roman" w:cs="Times New Roman"/>
                      <w:b w:val="0"/>
                      <w:bCs/>
                      <w:color w:val="000000"/>
                      <w:sz w:val="21"/>
                      <w:szCs w:val="21"/>
                      <w:lang w:val="en-US" w:eastAsia="zh-CN"/>
                    </w:rPr>
                    <w:t>40</w:t>
                  </w:r>
                  <w:r>
                    <w:rPr>
                      <w:rFonts w:hint="eastAsia" w:ascii="Times New Roman" w:hAnsi="Times New Roman" w:eastAsia="宋体" w:cs="Times New Roman"/>
                      <w:b w:val="0"/>
                      <w:bCs/>
                      <w:color w:val="000000"/>
                      <w:sz w:val="21"/>
                      <w:szCs w:val="21"/>
                    </w:rPr>
                    <w:t>m</w:t>
                  </w:r>
                  <w:r>
                    <w:rPr>
                      <w:rFonts w:hint="eastAsia" w:ascii="Times New Roman" w:hAnsi="Times New Roman" w:cs="Times New Roman"/>
                      <w:b w:val="0"/>
                      <w:bCs/>
                      <w:color w:val="000000"/>
                      <w:sz w:val="21"/>
                      <w:szCs w:val="21"/>
                      <w:lang w:val="en-US" w:eastAsia="zh-CN"/>
                    </w:rPr>
                    <w:t>烟囱</w:t>
                  </w:r>
                </w:p>
              </w:tc>
              <w:tc>
                <w:tcPr>
                  <w:tcW w:w="1470" w:type="pct"/>
                  <w:vMerge w:val="restar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《锅炉大气污染物排放标准》（GB13271-2014）</w:t>
                  </w:r>
                </w:p>
              </w:tc>
              <w:tc>
                <w:tcPr>
                  <w:tcW w:w="716" w:type="pct"/>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300</w:t>
                  </w:r>
                </w:p>
              </w:tc>
              <w:tc>
                <w:tcPr>
                  <w:tcW w:w="52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cs="Times New Roman"/>
                      <w:i w:val="0"/>
                      <w:iCs w:val="0"/>
                      <w:color w:val="000000"/>
                      <w:kern w:val="0"/>
                      <w:sz w:val="21"/>
                      <w:szCs w:val="21"/>
                      <w:u w:val="none"/>
                      <w:lang w:val="en-US" w:eastAsia="zh-CN" w:bidi="ar"/>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lang w:eastAsia="zh-CN"/>
                    </w:rPr>
                  </w:pPr>
                  <w:r>
                    <w:rPr>
                      <w:rFonts w:hint="eastAsia" w:ascii="Times New Roman" w:hAnsi="Times New Roman" w:cs="Times New Roman"/>
                      <w:b w:val="0"/>
                      <w:bCs/>
                      <w:color w:val="000000"/>
                      <w:sz w:val="21"/>
                      <w:szCs w:val="21"/>
                      <w:lang w:val="en-US" w:eastAsia="zh-CN"/>
                    </w:rPr>
                    <w:t>2</w:t>
                  </w:r>
                </w:p>
              </w:tc>
              <w:tc>
                <w:tcPr>
                  <w:tcW w:w="353"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w:t>
                  </w:r>
                </w:p>
              </w:tc>
              <w:tc>
                <w:tcPr>
                  <w:tcW w:w="517" w:type="pct"/>
                  <w:vMerge w:val="continue"/>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rPr>
                  </w:pPr>
                </w:p>
              </w:tc>
              <w:tc>
                <w:tcPr>
                  <w:tcW w:w="403"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rPr>
                    <w:t>NOx</w:t>
                  </w:r>
                </w:p>
              </w:tc>
              <w:tc>
                <w:tcPr>
                  <w:tcW w:w="753" w:type="pct"/>
                  <w:vMerge w:val="continue"/>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rPr>
                  </w:pPr>
                </w:p>
              </w:tc>
              <w:tc>
                <w:tcPr>
                  <w:tcW w:w="1470" w:type="pct"/>
                  <w:vMerge w:val="continue"/>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lang w:val="en-US" w:eastAsia="zh-CN"/>
                    </w:rPr>
                  </w:pPr>
                </w:p>
              </w:tc>
              <w:tc>
                <w:tcPr>
                  <w:tcW w:w="716" w:type="pct"/>
                  <w:noWrap w:val="0"/>
                  <w:vAlign w:val="center"/>
                </w:tcPr>
                <w:p>
                  <w:pPr>
                    <w:spacing w:line="240" w:lineRule="auto"/>
                    <w:ind w:left="-105" w:leftChars="-50" w:right="-105" w:rightChars="-5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cs="Times New Roman"/>
                      <w:b w:val="0"/>
                      <w:bCs/>
                      <w:color w:val="000000"/>
                      <w:sz w:val="21"/>
                      <w:szCs w:val="21"/>
                      <w:lang w:val="en-US" w:eastAsia="zh-CN"/>
                    </w:rPr>
                    <w:t>300</w:t>
                  </w:r>
                </w:p>
              </w:tc>
              <w:tc>
                <w:tcPr>
                  <w:tcW w:w="52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cs="Times New Roman"/>
                      <w:i w:val="0"/>
                      <w:iCs w:val="0"/>
                      <w:color w:val="000000"/>
                      <w:kern w:val="0"/>
                      <w:sz w:val="21"/>
                      <w:szCs w:val="21"/>
                      <w:u w:val="none"/>
                      <w:lang w:val="en-US" w:eastAsia="zh-CN" w:bidi="ar"/>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65"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lang w:eastAsia="zh-CN"/>
                    </w:rPr>
                  </w:pPr>
                  <w:r>
                    <w:rPr>
                      <w:rFonts w:hint="eastAsia" w:ascii="Times New Roman" w:hAnsi="Times New Roman" w:cs="Times New Roman"/>
                      <w:b w:val="0"/>
                      <w:bCs/>
                      <w:color w:val="000000"/>
                      <w:sz w:val="21"/>
                      <w:szCs w:val="21"/>
                      <w:lang w:val="en-US" w:eastAsia="zh-CN"/>
                    </w:rPr>
                    <w:t>3</w:t>
                  </w:r>
                </w:p>
              </w:tc>
              <w:tc>
                <w:tcPr>
                  <w:tcW w:w="353"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w:t>
                  </w:r>
                </w:p>
              </w:tc>
              <w:tc>
                <w:tcPr>
                  <w:tcW w:w="517" w:type="pct"/>
                  <w:vMerge w:val="continue"/>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rPr>
                  </w:pPr>
                </w:p>
              </w:tc>
              <w:tc>
                <w:tcPr>
                  <w:tcW w:w="403"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rPr>
                    <w:t>烟尘</w:t>
                  </w:r>
                </w:p>
              </w:tc>
              <w:tc>
                <w:tcPr>
                  <w:tcW w:w="753" w:type="pct"/>
                  <w:vMerge w:val="continue"/>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rPr>
                  </w:pPr>
                </w:p>
              </w:tc>
              <w:tc>
                <w:tcPr>
                  <w:tcW w:w="1470" w:type="pct"/>
                  <w:vMerge w:val="continue"/>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lang w:val="en-US" w:eastAsia="zh-CN"/>
                    </w:rPr>
                  </w:pPr>
                </w:p>
              </w:tc>
              <w:tc>
                <w:tcPr>
                  <w:tcW w:w="716" w:type="pct"/>
                  <w:noWrap w:val="0"/>
                  <w:vAlign w:val="center"/>
                </w:tcPr>
                <w:p>
                  <w:pPr>
                    <w:spacing w:line="240" w:lineRule="auto"/>
                    <w:ind w:left="-105" w:leftChars="-50" w:right="-105" w:rightChars="-5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cs="Times New Roman"/>
                      <w:b w:val="0"/>
                      <w:bCs/>
                      <w:color w:val="000000"/>
                      <w:sz w:val="21"/>
                      <w:szCs w:val="21"/>
                      <w:lang w:val="en-US" w:eastAsia="zh-CN"/>
                    </w:rPr>
                    <w:t>50</w:t>
                  </w:r>
                </w:p>
              </w:tc>
              <w:tc>
                <w:tcPr>
                  <w:tcW w:w="52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cs="Times New Roman"/>
                      <w:i w:val="0"/>
                      <w:iCs w:val="0"/>
                      <w:color w:val="000000"/>
                      <w:kern w:val="0"/>
                      <w:sz w:val="21"/>
                      <w:szCs w:val="21"/>
                      <w:u w:val="none"/>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cs="Times New Roman"/>
                      <w:b w:val="0"/>
                      <w:bCs/>
                      <w:color w:val="000000"/>
                      <w:sz w:val="21"/>
                      <w:szCs w:val="21"/>
                      <w:lang w:val="en-US" w:eastAsia="zh-CN"/>
                    </w:rPr>
                    <w:t>4</w:t>
                  </w:r>
                </w:p>
              </w:tc>
              <w:tc>
                <w:tcPr>
                  <w:tcW w:w="353"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rPr>
                    <w:t>/</w:t>
                  </w:r>
                </w:p>
              </w:tc>
              <w:tc>
                <w:tcPr>
                  <w:tcW w:w="517" w:type="pct"/>
                  <w:vMerge w:val="restart"/>
                  <w:noWrap w:val="0"/>
                  <w:vAlign w:val="center"/>
                </w:tcPr>
                <w:p>
                  <w:pPr>
                    <w:spacing w:line="240" w:lineRule="auto"/>
                    <w:ind w:left="-105" w:leftChars="-50" w:right="-105" w:rightChars="-50"/>
                    <w:jc w:val="center"/>
                    <w:rPr>
                      <w:rFonts w:hint="default" w:ascii="Times New Roman" w:hAnsi="Times New Roman" w:eastAsia="宋体" w:cs="Times New Roman"/>
                      <w:b w:val="0"/>
                      <w:bCs/>
                      <w:color w:val="000000"/>
                      <w:sz w:val="21"/>
                      <w:szCs w:val="21"/>
                      <w:lang w:val="en-US"/>
                    </w:rPr>
                  </w:pPr>
                  <w:r>
                    <w:rPr>
                      <w:rFonts w:hint="eastAsia" w:ascii="Times New Roman" w:hAnsi="Times New Roman" w:cs="Times New Roman"/>
                      <w:b w:val="0"/>
                      <w:bCs/>
                      <w:color w:val="000000"/>
                      <w:kern w:val="2"/>
                      <w:sz w:val="21"/>
                      <w:szCs w:val="21"/>
                      <w:lang w:val="en-US" w:eastAsia="zh-CN" w:bidi="ar-SA"/>
                    </w:rPr>
                    <w:t>滚筒式炒锅</w:t>
                  </w:r>
                </w:p>
              </w:tc>
              <w:tc>
                <w:tcPr>
                  <w:tcW w:w="403"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rPr>
                    <w:t>SO</w:t>
                  </w:r>
                  <w:r>
                    <w:rPr>
                      <w:rFonts w:hint="eastAsia" w:ascii="Times New Roman" w:hAnsi="Times New Roman" w:eastAsia="宋体" w:cs="Times New Roman"/>
                      <w:b w:val="0"/>
                      <w:bCs/>
                      <w:color w:val="000000"/>
                      <w:sz w:val="21"/>
                      <w:szCs w:val="21"/>
                      <w:vertAlign w:val="subscript"/>
                    </w:rPr>
                    <w:t>2</w:t>
                  </w:r>
                </w:p>
              </w:tc>
              <w:tc>
                <w:tcPr>
                  <w:tcW w:w="753" w:type="pct"/>
                  <w:vMerge w:val="restart"/>
                  <w:noWrap w:val="0"/>
                  <w:vAlign w:val="center"/>
                </w:tcPr>
                <w:p>
                  <w:pPr>
                    <w:spacing w:line="240" w:lineRule="auto"/>
                    <w:ind w:left="-105" w:leftChars="-50" w:right="-105" w:rightChars="-50"/>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cs="Times New Roman"/>
                      <w:b w:val="0"/>
                      <w:bCs/>
                      <w:color w:val="000000"/>
                      <w:sz w:val="21"/>
                      <w:szCs w:val="21"/>
                      <w:lang w:val="en-US" w:eastAsia="zh-CN"/>
                    </w:rPr>
                    <w:t>旋风除尘+布袋除尘</w:t>
                  </w:r>
                </w:p>
              </w:tc>
              <w:tc>
                <w:tcPr>
                  <w:tcW w:w="1470" w:type="pct"/>
                  <w:vMerge w:val="restart"/>
                  <w:noWrap w:val="0"/>
                  <w:vAlign w:val="center"/>
                </w:tcPr>
                <w:p>
                  <w:pPr>
                    <w:spacing w:line="240" w:lineRule="auto"/>
                    <w:ind w:left="-105" w:leftChars="-50" w:right="-105" w:rightChars="-5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新宋体" w:cs="Times New Roman"/>
                      <w:b w:val="0"/>
                      <w:bCs w:val="0"/>
                      <w:sz w:val="21"/>
                      <w:szCs w:val="21"/>
                      <w:lang w:val="en-US" w:eastAsia="zh-CN"/>
                    </w:rPr>
                    <w:t>《大气污染物综合排放标准》（GB16297-1996）</w:t>
                  </w:r>
                  <w:r>
                    <w:rPr>
                      <w:rFonts w:hint="eastAsia" w:ascii="Times New Roman" w:hAnsi="Times New Roman" w:eastAsia="新宋体" w:cs="Times New Roman"/>
                      <w:b w:val="0"/>
                      <w:bCs w:val="0"/>
                      <w:sz w:val="21"/>
                      <w:szCs w:val="21"/>
                      <w:lang w:val="en-US" w:eastAsia="zh-CN"/>
                    </w:rPr>
                    <w:t>表2中二级标准要求</w:t>
                  </w:r>
                </w:p>
              </w:tc>
              <w:tc>
                <w:tcPr>
                  <w:tcW w:w="716" w:type="pct"/>
                  <w:noWrap w:val="0"/>
                  <w:vAlign w:val="center"/>
                </w:tcPr>
                <w:p>
                  <w:pPr>
                    <w:spacing w:line="240" w:lineRule="auto"/>
                    <w:ind w:left="-105" w:leftChars="-50" w:right="-105" w:rightChars="-50"/>
                    <w:jc w:val="center"/>
                    <w:rPr>
                      <w:rFonts w:hint="default" w:ascii="Times New Roman" w:hAnsi="Times New Roman" w:cs="Times New Roman"/>
                      <w:b w:val="0"/>
                      <w:bCs/>
                      <w:color w:val="000000"/>
                      <w:sz w:val="21"/>
                      <w:szCs w:val="21"/>
                      <w:lang w:val="en-US" w:eastAsia="zh-CN"/>
                    </w:rPr>
                  </w:pPr>
                  <w:r>
                    <w:rPr>
                      <w:rFonts w:hint="eastAsia" w:ascii="Times New Roman" w:hAnsi="Times New Roman" w:cs="Times New Roman"/>
                      <w:b w:val="0"/>
                      <w:bCs/>
                      <w:color w:val="000000"/>
                      <w:sz w:val="21"/>
                      <w:szCs w:val="21"/>
                      <w:lang w:val="en-US" w:eastAsia="zh-CN"/>
                    </w:rPr>
                    <w:t>550</w:t>
                  </w:r>
                </w:p>
              </w:tc>
              <w:tc>
                <w:tcPr>
                  <w:tcW w:w="520" w:type="pct"/>
                  <w:noWrap w:val="0"/>
                  <w:vAlign w:val="center"/>
                </w:tcPr>
                <w:p>
                  <w:pPr>
                    <w:widowControl w:val="0"/>
                    <w:spacing w:line="240" w:lineRule="auto"/>
                    <w:ind w:firstLine="0" w:firstLineChars="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cs="Times New Roman"/>
                      <w:b w:val="0"/>
                      <w:bCs/>
                      <w:color w:val="000000"/>
                      <w:kern w:val="2"/>
                      <w:sz w:val="21"/>
                      <w:szCs w:val="21"/>
                      <w:lang w:val="en-US" w:eastAsia="zh-CN" w:bidi="ar-SA"/>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cs="Times New Roman"/>
                      <w:b w:val="0"/>
                      <w:bCs/>
                      <w:color w:val="000000"/>
                      <w:sz w:val="21"/>
                      <w:szCs w:val="21"/>
                      <w:lang w:val="en-US" w:eastAsia="zh-CN"/>
                    </w:rPr>
                    <w:t>5</w:t>
                  </w:r>
                </w:p>
              </w:tc>
              <w:tc>
                <w:tcPr>
                  <w:tcW w:w="353"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rPr>
                    <w:t>/</w:t>
                  </w:r>
                </w:p>
              </w:tc>
              <w:tc>
                <w:tcPr>
                  <w:tcW w:w="517" w:type="pct"/>
                  <w:vMerge w:val="continue"/>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rPr>
                  </w:pPr>
                </w:p>
              </w:tc>
              <w:tc>
                <w:tcPr>
                  <w:tcW w:w="403"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rPr>
                    <w:t>NOx</w:t>
                  </w:r>
                </w:p>
              </w:tc>
              <w:tc>
                <w:tcPr>
                  <w:tcW w:w="753" w:type="pct"/>
                  <w:vMerge w:val="continue"/>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rPr>
                  </w:pPr>
                </w:p>
              </w:tc>
              <w:tc>
                <w:tcPr>
                  <w:tcW w:w="1470" w:type="pct"/>
                  <w:vMerge w:val="continue"/>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lang w:val="en-US" w:eastAsia="zh-CN"/>
                    </w:rPr>
                  </w:pPr>
                </w:p>
              </w:tc>
              <w:tc>
                <w:tcPr>
                  <w:tcW w:w="716" w:type="pct"/>
                  <w:noWrap w:val="0"/>
                  <w:vAlign w:val="center"/>
                </w:tcPr>
                <w:p>
                  <w:pPr>
                    <w:spacing w:line="240" w:lineRule="auto"/>
                    <w:ind w:left="-105" w:leftChars="-50" w:right="-105" w:rightChars="-50"/>
                    <w:jc w:val="center"/>
                    <w:rPr>
                      <w:rFonts w:hint="default" w:ascii="Times New Roman" w:hAnsi="Times New Roman" w:cs="Times New Roman"/>
                      <w:b w:val="0"/>
                      <w:bCs/>
                      <w:color w:val="000000"/>
                      <w:sz w:val="21"/>
                      <w:szCs w:val="21"/>
                      <w:lang w:val="en-US" w:eastAsia="zh-CN"/>
                    </w:rPr>
                  </w:pPr>
                  <w:r>
                    <w:rPr>
                      <w:rFonts w:hint="eastAsia" w:ascii="Times New Roman" w:hAnsi="Times New Roman" w:cs="Times New Roman"/>
                      <w:b w:val="0"/>
                      <w:bCs/>
                      <w:color w:val="000000"/>
                      <w:sz w:val="21"/>
                      <w:szCs w:val="21"/>
                      <w:lang w:val="en-US" w:eastAsia="zh-CN"/>
                    </w:rPr>
                    <w:t>240</w:t>
                  </w:r>
                </w:p>
              </w:tc>
              <w:tc>
                <w:tcPr>
                  <w:tcW w:w="520" w:type="pct"/>
                  <w:noWrap w:val="0"/>
                  <w:vAlign w:val="center"/>
                </w:tcPr>
                <w:p>
                  <w:pPr>
                    <w:widowControl w:val="0"/>
                    <w:spacing w:line="240" w:lineRule="auto"/>
                    <w:ind w:firstLine="0" w:firstLineChars="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cs="Times New Roman"/>
                      <w:b w:val="0"/>
                      <w:bCs/>
                      <w:color w:val="000000"/>
                      <w:kern w:val="2"/>
                      <w:sz w:val="21"/>
                      <w:szCs w:val="21"/>
                      <w:lang w:val="en-US" w:eastAsia="zh-CN" w:bidi="ar-SA"/>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cs="Times New Roman"/>
                      <w:b w:val="0"/>
                      <w:bCs/>
                      <w:color w:val="000000"/>
                      <w:sz w:val="21"/>
                      <w:szCs w:val="21"/>
                      <w:lang w:val="en-US" w:eastAsia="zh-CN"/>
                    </w:rPr>
                    <w:t>6</w:t>
                  </w:r>
                </w:p>
              </w:tc>
              <w:tc>
                <w:tcPr>
                  <w:tcW w:w="353"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rPr>
                    <w:t>/</w:t>
                  </w:r>
                </w:p>
              </w:tc>
              <w:tc>
                <w:tcPr>
                  <w:tcW w:w="517" w:type="pct"/>
                  <w:vMerge w:val="continue"/>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rPr>
                  </w:pPr>
                </w:p>
              </w:tc>
              <w:tc>
                <w:tcPr>
                  <w:tcW w:w="403"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rPr>
                    <w:t>烟尘</w:t>
                  </w:r>
                </w:p>
              </w:tc>
              <w:tc>
                <w:tcPr>
                  <w:tcW w:w="753" w:type="pct"/>
                  <w:vMerge w:val="continue"/>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rPr>
                  </w:pPr>
                </w:p>
              </w:tc>
              <w:tc>
                <w:tcPr>
                  <w:tcW w:w="1470" w:type="pct"/>
                  <w:vMerge w:val="continue"/>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lang w:val="en-US" w:eastAsia="zh-CN"/>
                    </w:rPr>
                  </w:pPr>
                </w:p>
              </w:tc>
              <w:tc>
                <w:tcPr>
                  <w:tcW w:w="716" w:type="pct"/>
                  <w:noWrap w:val="0"/>
                  <w:vAlign w:val="center"/>
                </w:tcPr>
                <w:p>
                  <w:pPr>
                    <w:spacing w:line="240" w:lineRule="auto"/>
                    <w:ind w:left="-105" w:leftChars="-50" w:right="-105" w:rightChars="-50"/>
                    <w:jc w:val="center"/>
                    <w:rPr>
                      <w:rFonts w:hint="default" w:ascii="Times New Roman" w:hAnsi="Times New Roman" w:cs="Times New Roman"/>
                      <w:b w:val="0"/>
                      <w:bCs/>
                      <w:color w:val="000000"/>
                      <w:sz w:val="21"/>
                      <w:szCs w:val="21"/>
                      <w:lang w:val="en-US" w:eastAsia="zh-CN"/>
                    </w:rPr>
                  </w:pPr>
                  <w:r>
                    <w:rPr>
                      <w:rFonts w:hint="eastAsia" w:ascii="Times New Roman" w:hAnsi="Times New Roman" w:cs="Times New Roman"/>
                      <w:b w:val="0"/>
                      <w:bCs/>
                      <w:color w:val="000000"/>
                      <w:sz w:val="21"/>
                      <w:szCs w:val="21"/>
                      <w:lang w:val="en-US" w:eastAsia="zh-CN"/>
                    </w:rPr>
                    <w:t>120</w:t>
                  </w:r>
                </w:p>
              </w:tc>
              <w:tc>
                <w:tcPr>
                  <w:tcW w:w="520" w:type="pct"/>
                  <w:noWrap w:val="0"/>
                  <w:vAlign w:val="center"/>
                </w:tcPr>
                <w:p>
                  <w:pPr>
                    <w:widowControl w:val="0"/>
                    <w:spacing w:line="240" w:lineRule="auto"/>
                    <w:ind w:firstLine="0" w:firstLineChars="0"/>
                    <w:jc w:val="center"/>
                    <w:rPr>
                      <w:rFonts w:hint="default" w:ascii="Times New Roman" w:hAnsi="Times New Roman" w:eastAsia="宋体" w:cs="Times New Roman"/>
                      <w:b w:val="0"/>
                      <w:bCs/>
                      <w:color w:val="000000"/>
                      <w:kern w:val="2"/>
                      <w:sz w:val="21"/>
                      <w:szCs w:val="21"/>
                      <w:lang w:val="en-US" w:eastAsia="zh-CN" w:bidi="ar-SA"/>
                    </w:rPr>
                  </w:pPr>
                  <w:r>
                    <w:rPr>
                      <w:rFonts w:hint="eastAsia" w:ascii="Times New Roman" w:hAnsi="Times New Roman" w:cs="Times New Roman"/>
                      <w:b w:val="0"/>
                      <w:bCs/>
                      <w:color w:val="000000"/>
                      <w:kern w:val="2"/>
                      <w:sz w:val="21"/>
                      <w:szCs w:val="21"/>
                      <w:lang w:val="en-US" w:eastAsia="zh-CN" w:bidi="ar-SA"/>
                    </w:rPr>
                    <w:t>0.00009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8"/>
                  <w:noWrap w:val="0"/>
                  <w:vAlign w:val="center"/>
                </w:tcPr>
                <w:p>
                  <w:pPr>
                    <w:spacing w:line="240" w:lineRule="auto"/>
                    <w:ind w:left="-105" w:leftChars="-50" w:right="-105" w:rightChars="-50"/>
                    <w:jc w:val="center"/>
                    <w:rPr>
                      <w:rFonts w:hint="eastAsia" w:ascii="Times New Roman" w:hAnsi="Times New Roman" w:cs="Times New Roman"/>
                      <w:b w:val="0"/>
                      <w:bCs/>
                      <w:color w:val="000000"/>
                      <w:sz w:val="21"/>
                      <w:szCs w:val="21"/>
                      <w:lang w:val="en-US" w:eastAsia="zh-CN"/>
                    </w:rPr>
                  </w:pPr>
                  <w:r>
                    <w:rPr>
                      <w:rFonts w:hint="eastAsia" w:ascii="Times New Roman" w:hAnsi="Times New Roman" w:cs="Times New Roman"/>
                      <w:b w:val="0"/>
                      <w:bCs/>
                      <w:color w:val="000000"/>
                      <w:sz w:val="21"/>
                      <w:szCs w:val="21"/>
                      <w:lang w:val="en-US"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cs="Times New Roman"/>
                      <w:b w:val="0"/>
                      <w:bCs/>
                      <w:color w:val="000000"/>
                      <w:sz w:val="21"/>
                      <w:szCs w:val="21"/>
                      <w:lang w:val="en-US" w:eastAsia="zh-CN"/>
                    </w:rPr>
                    <w:t>7</w:t>
                  </w:r>
                </w:p>
              </w:tc>
              <w:tc>
                <w:tcPr>
                  <w:tcW w:w="353"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rPr>
                    <w:t>/</w:t>
                  </w:r>
                </w:p>
              </w:tc>
              <w:tc>
                <w:tcPr>
                  <w:tcW w:w="517" w:type="pct"/>
                  <w:vMerge w:val="restart"/>
                  <w:noWrap w:val="0"/>
                  <w:vAlign w:val="center"/>
                </w:tcPr>
                <w:p>
                  <w:pPr>
                    <w:widowControl w:val="0"/>
                    <w:spacing w:line="240" w:lineRule="auto"/>
                    <w:ind w:firstLine="0" w:firstLineChars="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污水处理站</w:t>
                  </w:r>
                </w:p>
              </w:tc>
              <w:tc>
                <w:tcPr>
                  <w:tcW w:w="403" w:type="pct"/>
                  <w:noWrap w:val="0"/>
                  <w:vAlign w:val="center"/>
                </w:tcPr>
                <w:p>
                  <w:pPr>
                    <w:spacing w:line="240" w:lineRule="auto"/>
                    <w:jc w:val="center"/>
                    <w:rPr>
                      <w:rFonts w:ascii="Times New Roman" w:hAnsi="Times New Roman" w:eastAsia="宋体" w:cs="Times New Roman"/>
                      <w:b w:val="0"/>
                      <w:bCs/>
                      <w:color w:val="000000"/>
                      <w:kern w:val="2"/>
                      <w:sz w:val="21"/>
                      <w:szCs w:val="21"/>
                      <w:lang w:val="en-US" w:eastAsia="zh-CN" w:bidi="ar-SA"/>
                    </w:rPr>
                  </w:pPr>
                  <w:r>
                    <w:rPr>
                      <w:rFonts w:ascii="Times New Roman" w:hAnsi="Times New Roman" w:eastAsia="宋体" w:cs="Times New Roman"/>
                      <w:b w:val="0"/>
                      <w:bCs/>
                      <w:color w:val="000000"/>
                      <w:sz w:val="21"/>
                      <w:szCs w:val="21"/>
                    </w:rPr>
                    <w:t>NH</w:t>
                  </w:r>
                  <w:r>
                    <w:rPr>
                      <w:rFonts w:ascii="Times New Roman" w:hAnsi="Times New Roman" w:eastAsia="宋体" w:cs="Times New Roman"/>
                      <w:b w:val="0"/>
                      <w:bCs/>
                      <w:color w:val="000000"/>
                      <w:sz w:val="21"/>
                      <w:szCs w:val="21"/>
                      <w:vertAlign w:val="subscript"/>
                    </w:rPr>
                    <w:t>3</w:t>
                  </w:r>
                </w:p>
              </w:tc>
              <w:tc>
                <w:tcPr>
                  <w:tcW w:w="753" w:type="pct"/>
                  <w:vMerge w:val="restart"/>
                  <w:noWrap w:val="0"/>
                  <w:vAlign w:val="center"/>
                </w:tcPr>
                <w:p>
                  <w:pPr>
                    <w:widowControl w:val="0"/>
                    <w:snapToGrid w:val="0"/>
                    <w:spacing w:after="0" w:line="240" w:lineRule="auto"/>
                    <w:ind w:left="0" w:leftChars="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各水处理池加盖板封闭、加强绿化</w:t>
                  </w:r>
                </w:p>
              </w:tc>
              <w:tc>
                <w:tcPr>
                  <w:tcW w:w="1470" w:type="pct"/>
                  <w:vMerge w:val="restar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cs="Times New Roman"/>
                      <w:b w:val="0"/>
                      <w:bCs/>
                      <w:color w:val="000000"/>
                      <w:sz w:val="21"/>
                      <w:szCs w:val="21"/>
                      <w:lang w:val="en-US" w:eastAsia="zh-CN"/>
                    </w:rPr>
                    <w:t>《恶臭污染物排放标准》（GB14554-93）</w:t>
                  </w:r>
                </w:p>
              </w:tc>
              <w:tc>
                <w:tcPr>
                  <w:tcW w:w="716" w:type="pct"/>
                  <w:noWrap w:val="0"/>
                  <w:vAlign w:val="center"/>
                </w:tcPr>
                <w:p>
                  <w:pPr>
                    <w:spacing w:line="240" w:lineRule="auto"/>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rPr>
                    <w:t>1.5mg/m</w:t>
                  </w:r>
                  <w:r>
                    <w:rPr>
                      <w:rFonts w:hint="eastAsia" w:ascii="Times New Roman" w:hAnsi="Times New Roman" w:eastAsia="宋体" w:cs="Times New Roman"/>
                      <w:b w:val="0"/>
                      <w:bCs/>
                      <w:color w:val="000000"/>
                      <w:sz w:val="21"/>
                      <w:szCs w:val="21"/>
                      <w:vertAlign w:val="superscript"/>
                    </w:rPr>
                    <w:t>3</w:t>
                  </w:r>
                </w:p>
              </w:tc>
              <w:tc>
                <w:tcPr>
                  <w:tcW w:w="520" w:type="pct"/>
                  <w:noWrap w:val="0"/>
                  <w:vAlign w:val="center"/>
                </w:tcPr>
                <w:p>
                  <w:pPr>
                    <w:widowControl w:val="0"/>
                    <w:spacing w:line="240" w:lineRule="auto"/>
                    <w:ind w:firstLine="0" w:firstLineChars="0"/>
                    <w:jc w:val="center"/>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cs="Times New Roman"/>
                      <w:b w:val="0"/>
                      <w:bCs/>
                      <w:color w:val="000000"/>
                      <w:kern w:val="2"/>
                      <w:sz w:val="21"/>
                      <w:szCs w:val="21"/>
                      <w:lang w:val="en-US" w:eastAsia="zh-CN" w:bidi="ar-SA"/>
                    </w:rPr>
                    <w:t>0.0096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noWrap w:val="0"/>
                  <w:vAlign w:val="center"/>
                </w:tcPr>
                <w:p>
                  <w:pPr>
                    <w:spacing w:line="240" w:lineRule="auto"/>
                    <w:ind w:left="-105" w:leftChars="-50" w:right="-105" w:rightChars="-50"/>
                    <w:jc w:val="center"/>
                    <w:rPr>
                      <w:rFonts w:hint="eastAsia" w:ascii="Times New Roman" w:hAnsi="Times New Roman" w:eastAsia="宋体" w:cs="Times New Roman"/>
                      <w:b w:val="0"/>
                      <w:bCs/>
                      <w:color w:val="000000"/>
                      <w:sz w:val="21"/>
                      <w:szCs w:val="21"/>
                      <w:lang w:val="en-US" w:eastAsia="zh-CN"/>
                    </w:rPr>
                  </w:pPr>
                  <w:r>
                    <w:rPr>
                      <w:rFonts w:hint="eastAsia" w:ascii="Times New Roman" w:hAnsi="Times New Roman" w:cs="Times New Roman"/>
                      <w:b w:val="0"/>
                      <w:bCs/>
                      <w:color w:val="000000"/>
                      <w:sz w:val="21"/>
                      <w:szCs w:val="21"/>
                      <w:lang w:val="en-US" w:eastAsia="zh-CN"/>
                    </w:rPr>
                    <w:t>8</w:t>
                  </w:r>
                </w:p>
              </w:tc>
              <w:tc>
                <w:tcPr>
                  <w:tcW w:w="353" w:type="pct"/>
                  <w:noWrap w:val="0"/>
                  <w:vAlign w:val="center"/>
                </w:tcPr>
                <w:p>
                  <w:pPr>
                    <w:spacing w:line="240" w:lineRule="auto"/>
                    <w:ind w:left="-105" w:leftChars="-50" w:right="-105" w:rightChars="-50"/>
                    <w:jc w:val="center"/>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w:t>
                  </w:r>
                </w:p>
              </w:tc>
              <w:tc>
                <w:tcPr>
                  <w:tcW w:w="517" w:type="pct"/>
                  <w:vMerge w:val="continue"/>
                  <w:noWrap w:val="0"/>
                  <w:vAlign w:val="center"/>
                </w:tcPr>
                <w:p>
                  <w:pPr>
                    <w:widowControl w:val="0"/>
                    <w:spacing w:line="240" w:lineRule="auto"/>
                    <w:ind w:firstLine="0" w:firstLineChars="0"/>
                    <w:jc w:val="center"/>
                    <w:rPr>
                      <w:rFonts w:ascii="Times New Roman" w:hAnsi="Times New Roman" w:eastAsia="宋体" w:cs="Times New Roman"/>
                      <w:b w:val="0"/>
                      <w:bCs/>
                      <w:color w:val="000000"/>
                      <w:kern w:val="2"/>
                      <w:sz w:val="21"/>
                      <w:szCs w:val="21"/>
                      <w:lang w:val="en-US" w:eastAsia="zh-CN" w:bidi="ar-SA"/>
                    </w:rPr>
                  </w:pPr>
                </w:p>
              </w:tc>
              <w:tc>
                <w:tcPr>
                  <w:tcW w:w="403" w:type="pct"/>
                  <w:noWrap w:val="0"/>
                  <w:vAlign w:val="center"/>
                </w:tcPr>
                <w:p>
                  <w:pPr>
                    <w:spacing w:line="240" w:lineRule="auto"/>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H</w:t>
                  </w:r>
                  <w:r>
                    <w:rPr>
                      <w:rFonts w:ascii="Times New Roman" w:hAnsi="Times New Roman" w:eastAsia="宋体" w:cs="Times New Roman"/>
                      <w:b w:val="0"/>
                      <w:bCs/>
                      <w:color w:val="000000"/>
                      <w:sz w:val="21"/>
                      <w:szCs w:val="21"/>
                      <w:vertAlign w:val="subscript"/>
                    </w:rPr>
                    <w:t>2</w:t>
                  </w:r>
                  <w:r>
                    <w:rPr>
                      <w:rFonts w:ascii="Times New Roman" w:hAnsi="Times New Roman" w:eastAsia="宋体" w:cs="Times New Roman"/>
                      <w:b w:val="0"/>
                      <w:bCs/>
                      <w:color w:val="000000"/>
                      <w:sz w:val="21"/>
                      <w:szCs w:val="21"/>
                    </w:rPr>
                    <w:t>S</w:t>
                  </w:r>
                </w:p>
              </w:tc>
              <w:tc>
                <w:tcPr>
                  <w:tcW w:w="753" w:type="pct"/>
                  <w:vMerge w:val="continue"/>
                  <w:noWrap w:val="0"/>
                  <w:vAlign w:val="center"/>
                </w:tcPr>
                <w:p>
                  <w:pPr>
                    <w:widowControl w:val="0"/>
                    <w:snapToGrid w:val="0"/>
                    <w:spacing w:after="0" w:line="240" w:lineRule="auto"/>
                    <w:ind w:left="0" w:leftChars="0"/>
                    <w:jc w:val="center"/>
                    <w:rPr>
                      <w:rFonts w:ascii="Times New Roman" w:hAnsi="Times New Roman" w:eastAsia="宋体" w:cs="Times New Roman"/>
                      <w:b w:val="0"/>
                      <w:bCs/>
                      <w:color w:val="000000"/>
                      <w:kern w:val="2"/>
                      <w:sz w:val="21"/>
                      <w:szCs w:val="21"/>
                      <w:lang w:val="en-US" w:eastAsia="zh-CN" w:bidi="ar-SA"/>
                    </w:rPr>
                  </w:pPr>
                </w:p>
              </w:tc>
              <w:tc>
                <w:tcPr>
                  <w:tcW w:w="1470" w:type="pct"/>
                  <w:vMerge w:val="continue"/>
                  <w:noWrap w:val="0"/>
                  <w:vAlign w:val="center"/>
                </w:tcPr>
                <w:p>
                  <w:pPr>
                    <w:spacing w:line="240" w:lineRule="auto"/>
                    <w:jc w:val="center"/>
                    <w:rPr>
                      <w:rFonts w:ascii="Times New Roman" w:hAnsi="Times New Roman" w:eastAsia="宋体" w:cs="Times New Roman"/>
                      <w:b w:val="0"/>
                      <w:bCs/>
                      <w:color w:val="000000"/>
                      <w:sz w:val="21"/>
                      <w:szCs w:val="21"/>
                    </w:rPr>
                  </w:pPr>
                </w:p>
              </w:tc>
              <w:tc>
                <w:tcPr>
                  <w:tcW w:w="716" w:type="pct"/>
                  <w:noWrap w:val="0"/>
                  <w:vAlign w:val="center"/>
                </w:tcPr>
                <w:p>
                  <w:pPr>
                    <w:spacing w:line="240" w:lineRule="auto"/>
                    <w:jc w:val="center"/>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0.06mg/m</w:t>
                  </w:r>
                  <w:r>
                    <w:rPr>
                      <w:rFonts w:hint="eastAsia" w:ascii="Times New Roman" w:hAnsi="Times New Roman" w:eastAsia="宋体" w:cs="Times New Roman"/>
                      <w:b w:val="0"/>
                      <w:bCs/>
                      <w:color w:val="000000"/>
                      <w:sz w:val="21"/>
                      <w:szCs w:val="21"/>
                      <w:vertAlign w:val="superscript"/>
                    </w:rPr>
                    <w:t>3</w:t>
                  </w:r>
                </w:p>
              </w:tc>
              <w:tc>
                <w:tcPr>
                  <w:tcW w:w="520" w:type="pct"/>
                  <w:noWrap w:val="0"/>
                  <w:vAlign w:val="center"/>
                </w:tcPr>
                <w:p>
                  <w:pPr>
                    <w:widowControl w:val="0"/>
                    <w:spacing w:line="240" w:lineRule="auto"/>
                    <w:ind w:firstLine="0" w:firstLineChars="0"/>
                    <w:jc w:val="center"/>
                    <w:rPr>
                      <w:rFonts w:hint="default" w:ascii="Times New Roman" w:hAnsi="Times New Roman" w:eastAsia="宋体" w:cs="Times New Roman"/>
                      <w:b w:val="0"/>
                      <w:bCs/>
                      <w:color w:val="000000"/>
                      <w:kern w:val="2"/>
                      <w:sz w:val="21"/>
                      <w:szCs w:val="21"/>
                      <w:lang w:val="en-US" w:eastAsia="zh-CN" w:bidi="ar-SA"/>
                    </w:rPr>
                  </w:pPr>
                  <w:r>
                    <w:rPr>
                      <w:rFonts w:hint="eastAsia" w:ascii="Times New Roman" w:hAnsi="Times New Roman" w:cs="Times New Roman"/>
                      <w:b w:val="0"/>
                      <w:bCs/>
                      <w:color w:val="000000"/>
                      <w:kern w:val="2"/>
                      <w:sz w:val="21"/>
                      <w:szCs w:val="21"/>
                      <w:lang w:val="en-US" w:eastAsia="zh-CN" w:bidi="ar-SA"/>
                    </w:rPr>
                    <w:t>0.00072</w:t>
                  </w:r>
                </w:p>
              </w:tc>
            </w:tr>
          </w:tbl>
          <w:p>
            <w:pPr>
              <w:widowControl w:val="0"/>
              <w:spacing w:line="360" w:lineRule="auto"/>
              <w:ind w:firstLine="480" w:firstLineChars="200"/>
              <w:jc w:val="both"/>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cs="Times New Roman"/>
                <w:color w:val="000000"/>
                <w:kern w:val="2"/>
                <w:sz w:val="24"/>
                <w:szCs w:val="24"/>
                <w:lang w:val="en-US" w:eastAsia="zh-CN" w:bidi="ar-SA"/>
              </w:rPr>
              <w:t>（3）</w:t>
            </w:r>
            <w:r>
              <w:rPr>
                <w:rFonts w:hint="eastAsia" w:ascii="Times New Roman" w:hAnsi="Times New Roman" w:eastAsia="宋体" w:cs="Times New Roman"/>
                <w:color w:val="000000"/>
                <w:kern w:val="2"/>
                <w:sz w:val="24"/>
                <w:szCs w:val="24"/>
                <w:lang w:val="en-US" w:eastAsia="zh-CN" w:bidi="ar-SA"/>
              </w:rPr>
              <w:t>大气环境防护距离</w:t>
            </w:r>
          </w:p>
          <w:p>
            <w:pPr>
              <w:widowControl w:val="0"/>
              <w:spacing w:line="360" w:lineRule="auto"/>
              <w:ind w:firstLine="480" w:firstLineChars="200"/>
              <w:jc w:val="both"/>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根据表</w:t>
            </w:r>
            <w:r>
              <w:rPr>
                <w:rFonts w:hint="eastAsia" w:ascii="Times New Roman" w:hAnsi="Times New Roman" w:cs="Times New Roman"/>
                <w:color w:val="000000"/>
                <w:kern w:val="2"/>
                <w:sz w:val="24"/>
                <w:szCs w:val="24"/>
                <w:lang w:val="en-US" w:eastAsia="zh-CN" w:bidi="ar-SA"/>
              </w:rPr>
              <w:t>4</w:t>
            </w:r>
            <w:r>
              <w:rPr>
                <w:rFonts w:hint="eastAsia" w:ascii="Times New Roman" w:hAnsi="Times New Roman" w:eastAsia="宋体" w:cs="Times New Roman"/>
                <w:color w:val="000000"/>
                <w:kern w:val="2"/>
                <w:sz w:val="24"/>
                <w:szCs w:val="24"/>
                <w:lang w:val="en-US" w:eastAsia="zh-CN" w:bidi="ar-SA"/>
              </w:rPr>
              <w:t>-</w:t>
            </w:r>
            <w:r>
              <w:rPr>
                <w:rFonts w:hint="eastAsia" w:ascii="Times New Roman" w:hAnsi="Times New Roman" w:cs="Times New Roman"/>
                <w:color w:val="000000"/>
                <w:kern w:val="2"/>
                <w:sz w:val="24"/>
                <w:szCs w:val="24"/>
                <w:lang w:val="en-US" w:eastAsia="zh-CN" w:bidi="ar-SA"/>
              </w:rPr>
              <w:t>10</w:t>
            </w:r>
            <w:r>
              <w:rPr>
                <w:rFonts w:hint="eastAsia" w:ascii="Times New Roman" w:hAnsi="Times New Roman" w:eastAsia="宋体" w:cs="Times New Roman"/>
                <w:color w:val="000000"/>
                <w:kern w:val="2"/>
                <w:sz w:val="24"/>
                <w:szCs w:val="24"/>
                <w:lang w:val="en-US" w:eastAsia="zh-CN" w:bidi="ar-SA"/>
              </w:rPr>
              <w:t>和表</w:t>
            </w:r>
            <w:r>
              <w:rPr>
                <w:rFonts w:hint="eastAsia" w:ascii="Times New Roman" w:hAnsi="Times New Roman" w:cs="Times New Roman"/>
                <w:color w:val="000000"/>
                <w:kern w:val="2"/>
                <w:sz w:val="24"/>
                <w:szCs w:val="24"/>
                <w:lang w:val="en-US" w:eastAsia="zh-CN" w:bidi="ar-SA"/>
              </w:rPr>
              <w:t>4</w:t>
            </w:r>
            <w:r>
              <w:rPr>
                <w:rFonts w:hint="eastAsia" w:ascii="Times New Roman" w:hAnsi="Times New Roman" w:eastAsia="宋体" w:cs="Times New Roman"/>
                <w:color w:val="000000"/>
                <w:kern w:val="2"/>
                <w:sz w:val="24"/>
                <w:szCs w:val="24"/>
                <w:lang w:val="en-US" w:eastAsia="zh-CN" w:bidi="ar-SA"/>
              </w:rPr>
              <w:t>-</w:t>
            </w:r>
            <w:r>
              <w:rPr>
                <w:rFonts w:hint="eastAsia" w:ascii="Times New Roman" w:hAnsi="Times New Roman" w:cs="Times New Roman"/>
                <w:color w:val="000000"/>
                <w:kern w:val="2"/>
                <w:sz w:val="24"/>
                <w:szCs w:val="24"/>
                <w:lang w:val="en-US" w:eastAsia="zh-CN" w:bidi="ar-SA"/>
              </w:rPr>
              <w:t>12</w:t>
            </w:r>
            <w:r>
              <w:rPr>
                <w:rFonts w:hint="eastAsia" w:ascii="Times New Roman" w:hAnsi="Times New Roman" w:eastAsia="宋体" w:cs="Times New Roman"/>
                <w:color w:val="000000"/>
                <w:kern w:val="2"/>
                <w:sz w:val="24"/>
                <w:szCs w:val="24"/>
                <w:lang w:val="en-US" w:eastAsia="zh-CN" w:bidi="ar-SA"/>
              </w:rPr>
              <w:t>预测结果可知，项目无超标点，根据导则（HJ2.2-2008）8.7.5可知，本项目可不设置大气环境防护距离。</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1.2</w:t>
            </w:r>
            <w:r>
              <w:rPr>
                <w:rFonts w:hint="default" w:ascii="Times New Roman" w:hAnsi="Times New Roman" w:eastAsia="宋体" w:cs="Times New Roman"/>
                <w:b/>
                <w:bCs/>
                <w:color w:val="000000"/>
                <w:kern w:val="2"/>
                <w:sz w:val="24"/>
                <w:szCs w:val="24"/>
                <w:lang w:val="en-US" w:eastAsia="zh-CN" w:bidi="ar-SA"/>
              </w:rPr>
              <w:t>水环境影响分析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1</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项目废水产生情况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rPr>
            </w:pPr>
            <w:r>
              <w:rPr>
                <w:rFonts w:ascii="Times New Roman" w:hAnsi="Times New Roman" w:eastAsia="宋体" w:cs="Times New Roman"/>
                <w:color w:val="000000"/>
                <w:sz w:val="24"/>
                <w:szCs w:val="24"/>
              </w:rPr>
              <w:t>项目用水主要为生活</w:t>
            </w:r>
            <w:r>
              <w:rPr>
                <w:rFonts w:hint="eastAsia" w:ascii="Times New Roman" w:hAnsi="Times New Roman" w:cs="Times New Roman"/>
                <w:color w:val="000000"/>
                <w:sz w:val="24"/>
                <w:szCs w:val="24"/>
                <w:lang w:val="en-US" w:eastAsia="zh-CN"/>
              </w:rPr>
              <w:t>废水</w:t>
            </w:r>
            <w:r>
              <w:rPr>
                <w:rFonts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rPr>
              <w:t>生产</w:t>
            </w:r>
            <w:r>
              <w:rPr>
                <w:rFonts w:hint="eastAsia" w:ascii="Times New Roman" w:hAnsi="Times New Roman" w:cs="Times New Roman"/>
                <w:color w:val="000000"/>
                <w:sz w:val="24"/>
                <w:szCs w:val="24"/>
                <w:lang w:val="en-US" w:eastAsia="zh-CN"/>
              </w:rPr>
              <w:t>废水</w:t>
            </w:r>
            <w:r>
              <w:rPr>
                <w:rFonts w:hint="eastAsia" w:ascii="Times New Roman" w:hAnsi="Times New Roman" w:eastAsia="宋体" w:cs="Times New Roman"/>
                <w:color w:val="000000"/>
                <w:sz w:val="24"/>
                <w:szCs w:val="24"/>
              </w:rPr>
              <w:t>，生产</w:t>
            </w:r>
            <w:r>
              <w:rPr>
                <w:rFonts w:hint="eastAsia" w:ascii="Times New Roman" w:hAnsi="Times New Roman" w:cs="Times New Roman"/>
                <w:color w:val="000000"/>
                <w:sz w:val="24"/>
                <w:szCs w:val="24"/>
                <w:lang w:val="en-US" w:eastAsia="zh-CN"/>
              </w:rPr>
              <w:t>废水</w:t>
            </w:r>
            <w:r>
              <w:rPr>
                <w:rFonts w:hint="eastAsia" w:ascii="Times New Roman" w:hAnsi="Times New Roman" w:eastAsia="宋体" w:cs="Times New Roman"/>
                <w:color w:val="000000"/>
                <w:sz w:val="24"/>
                <w:szCs w:val="24"/>
              </w:rPr>
              <w:t>主要包括</w:t>
            </w:r>
            <w:r>
              <w:rPr>
                <w:rFonts w:hint="eastAsia" w:ascii="Times New Roman" w:hAnsi="Times New Roman" w:cs="Times New Roman"/>
                <w:color w:val="000000"/>
                <w:sz w:val="24"/>
                <w:szCs w:val="24"/>
                <w:lang w:val="en-US" w:eastAsia="zh-CN"/>
              </w:rPr>
              <w:t>大豆清洗废水</w:t>
            </w:r>
            <w:r>
              <w:rPr>
                <w:rFonts w:hint="eastAsia" w:ascii="Times New Roman" w:hAnsi="Times New Roman" w:eastAsia="宋体" w:cs="Times New Roman"/>
                <w:color w:val="000000"/>
                <w:sz w:val="24"/>
                <w:szCs w:val="24"/>
              </w:rPr>
              <w:t>、</w:t>
            </w:r>
            <w:r>
              <w:rPr>
                <w:rFonts w:hint="eastAsia" w:ascii="Times New Roman" w:hAnsi="Times New Roman" w:cs="Times New Roman"/>
                <w:color w:val="000000"/>
                <w:sz w:val="24"/>
                <w:szCs w:val="24"/>
                <w:lang w:val="en-US" w:eastAsia="zh-CN"/>
              </w:rPr>
              <w:t>场地和设备清洗废水</w:t>
            </w:r>
            <w:r>
              <w:rPr>
                <w:rFonts w:hint="eastAsia" w:ascii="Times New Roman" w:hAnsi="Times New Roman" w:eastAsia="宋体" w:cs="Times New Roman"/>
                <w:color w:val="000000"/>
                <w:sz w:val="24"/>
                <w:szCs w:val="24"/>
              </w:rPr>
              <w:t>、</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软</w:t>
            </w:r>
            <w:r>
              <w:rPr>
                <w:rFonts w:hint="eastAsia" w:ascii="Times New Roman" w:hAnsi="Times New Roman" w:cs="Times New Roman"/>
                <w:color w:val="000000"/>
                <w:sz w:val="24"/>
                <w:szCs w:val="24"/>
                <w:lang w:val="en-US" w:eastAsia="zh-CN"/>
              </w:rPr>
              <w:t>水机制备</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软</w:t>
            </w:r>
            <w:r>
              <w:rPr>
                <w:rFonts w:hint="eastAsia" w:ascii="Times New Roman" w:hAnsi="Times New Roman" w:cs="Times New Roman"/>
                <w:color w:val="000000"/>
                <w:sz w:val="24"/>
                <w:szCs w:val="24"/>
                <w:lang w:val="en-US" w:eastAsia="zh-CN"/>
              </w:rPr>
              <w:t>水排污水和锅炉排污水</w:t>
            </w:r>
            <w:r>
              <w:rPr>
                <w:rFonts w:hint="eastAsia" w:ascii="Times New Roman" w:hAnsi="Times New Roman" w:eastAsia="宋体" w:cs="Times New Roman"/>
                <w:color w:val="00000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 w:val="0"/>
                <w:bCs/>
                <w:color w:val="000000"/>
                <w:sz w:val="24"/>
                <w:szCs w:val="24"/>
              </w:rPr>
            </w:pPr>
            <w:r>
              <w:rPr>
                <w:rFonts w:hint="eastAsia" w:ascii="宋体" w:hAnsi="宋体" w:eastAsia="宋体" w:cs="宋体"/>
                <w:b w:val="0"/>
                <w:bCs/>
                <w:color w:val="000000"/>
                <w:sz w:val="24"/>
                <w:szCs w:val="24"/>
              </w:rPr>
              <w:t>①</w:t>
            </w:r>
            <w:r>
              <w:rPr>
                <w:rFonts w:ascii="Times New Roman" w:hAnsi="Times New Roman" w:eastAsia="宋体" w:cs="Times New Roman"/>
                <w:b w:val="0"/>
                <w:bCs/>
                <w:color w:val="000000"/>
                <w:sz w:val="24"/>
                <w:szCs w:val="24"/>
              </w:rPr>
              <w:t>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color w:val="000000"/>
                <w:kern w:val="2"/>
                <w:sz w:val="21"/>
                <w:szCs w:val="21"/>
                <w:lang w:val="en-US" w:eastAsia="zh-CN" w:bidi="ar-SA"/>
              </w:rPr>
            </w:pPr>
            <w:r>
              <w:rPr>
                <w:rFonts w:ascii="Times New Roman" w:hAnsi="Times New Roman" w:eastAsia="宋体" w:cs="Times New Roman"/>
                <w:color w:val="000000"/>
                <w:sz w:val="24"/>
                <w:szCs w:val="24"/>
              </w:rPr>
              <w:t>项目建成后总定员</w:t>
            </w:r>
            <w:r>
              <w:rPr>
                <w:rFonts w:hint="eastAsia" w:ascii="Times New Roman" w:hAnsi="Times New Roman" w:eastAsia="宋体" w:cs="Times New Roman"/>
                <w:color w:val="000000"/>
                <w:sz w:val="24"/>
                <w:szCs w:val="24"/>
              </w:rPr>
              <w:t>30</w:t>
            </w:r>
            <w:r>
              <w:rPr>
                <w:rFonts w:ascii="Times New Roman" w:hAnsi="Times New Roman" w:eastAsia="宋体" w:cs="Times New Roman"/>
                <w:color w:val="000000"/>
                <w:sz w:val="24"/>
                <w:szCs w:val="24"/>
              </w:rPr>
              <w:t>人</w:t>
            </w:r>
            <w:r>
              <w:rPr>
                <w:rFonts w:hint="eastAsia" w:ascii="Times New Roman" w:hAnsi="Times New Roman" w:eastAsia="宋体" w:cs="Times New Roman"/>
                <w:color w:val="000000"/>
                <w:sz w:val="24"/>
                <w:szCs w:val="24"/>
              </w:rPr>
              <w:t>，员工均在厂内食宿</w:t>
            </w:r>
            <w:r>
              <w:rPr>
                <w:rFonts w:ascii="Times New Roman" w:hAnsi="Times New Roman" w:eastAsia="宋体" w:cs="Times New Roman"/>
                <w:color w:val="000000"/>
                <w:sz w:val="24"/>
                <w:szCs w:val="24"/>
              </w:rPr>
              <w:t>。根据《湖南省用水定额》（DB43/T 388-2014），员工用水量计为</w:t>
            </w:r>
            <w:r>
              <w:rPr>
                <w:rFonts w:hint="eastAsia" w:ascii="Times New Roman" w:hAnsi="Times New Roman" w:cs="Times New Roman"/>
                <w:color w:val="000000"/>
                <w:sz w:val="24"/>
                <w:szCs w:val="24"/>
                <w:lang w:val="en-US" w:eastAsia="zh-CN"/>
              </w:rPr>
              <w:t>160</w:t>
            </w:r>
            <w:r>
              <w:rPr>
                <w:rFonts w:ascii="Times New Roman" w:hAnsi="Times New Roman" w:eastAsia="宋体" w:cs="Times New Roman"/>
                <w:color w:val="000000"/>
                <w:sz w:val="24"/>
                <w:szCs w:val="24"/>
              </w:rPr>
              <w:t>L/人·d，年生产天数为</w:t>
            </w:r>
            <w:r>
              <w:rPr>
                <w:rFonts w:hint="eastAsia" w:ascii="Times New Roman" w:hAnsi="Times New Roman" w:cs="Times New Roman"/>
                <w:color w:val="000000"/>
                <w:sz w:val="24"/>
                <w:szCs w:val="24"/>
                <w:lang w:val="en-US" w:eastAsia="zh-CN"/>
              </w:rPr>
              <w:t>300</w:t>
            </w:r>
            <w:r>
              <w:rPr>
                <w:rFonts w:ascii="Times New Roman" w:hAnsi="Times New Roman" w:eastAsia="宋体" w:cs="Times New Roman"/>
                <w:color w:val="000000"/>
                <w:sz w:val="24"/>
                <w:szCs w:val="24"/>
              </w:rPr>
              <w:t>天，则项目用水量为</w:t>
            </w:r>
            <w:r>
              <w:rPr>
                <w:rFonts w:hint="eastAsia" w:ascii="Times New Roman" w:hAnsi="Times New Roman" w:cs="Times New Roman"/>
                <w:color w:val="000000"/>
                <w:sz w:val="24"/>
                <w:szCs w:val="24"/>
                <w:lang w:val="en-US" w:eastAsia="zh-CN"/>
              </w:rPr>
              <w:t>4.8</w:t>
            </w:r>
            <w:r>
              <w:rPr>
                <w:rFonts w:hint="eastAsia" w:ascii="Times New Roman" w:hAnsi="Times New Roman" w:cs="Times New Roman"/>
                <w:color w:val="000000"/>
                <w:kern w:val="0"/>
                <w:sz w:val="24"/>
                <w:szCs w:val="24"/>
                <w:u w:val="none"/>
                <w:lang w:val="en-US" w:eastAsia="zh-CN"/>
              </w:rPr>
              <w:t>t</w:t>
            </w:r>
            <w:r>
              <w:rPr>
                <w:rFonts w:ascii="Times New Roman" w:hAnsi="Times New Roman" w:eastAsia="宋体" w:cs="Times New Roman"/>
                <w:color w:val="000000"/>
                <w:kern w:val="0"/>
                <w:sz w:val="24"/>
                <w:szCs w:val="24"/>
                <w:u w:val="none"/>
              </w:rPr>
              <w:t>/</w:t>
            </w:r>
            <w:r>
              <w:rPr>
                <w:rFonts w:ascii="Times New Roman" w:hAnsi="Times New Roman" w:eastAsia="宋体" w:cs="Times New Roman"/>
                <w:color w:val="000000"/>
                <w:kern w:val="0"/>
                <w:sz w:val="24"/>
                <w:szCs w:val="24"/>
              </w:rPr>
              <w:t>d</w:t>
            </w:r>
            <w:r>
              <w:rPr>
                <w:rFonts w:ascii="Times New Roman" w:hAnsi="Times New Roman" w:eastAsia="宋体" w:cs="Times New Roman"/>
                <w:color w:val="000000"/>
                <w:sz w:val="24"/>
                <w:szCs w:val="24"/>
              </w:rPr>
              <w:t>，</w:t>
            </w:r>
            <w:r>
              <w:rPr>
                <w:rFonts w:hint="eastAsia" w:ascii="Times New Roman" w:hAnsi="Times New Roman" w:cs="Times New Roman"/>
                <w:color w:val="000000"/>
                <w:sz w:val="24"/>
                <w:szCs w:val="24"/>
                <w:lang w:val="en-US" w:eastAsia="zh-CN"/>
              </w:rPr>
              <w:t>1440</w:t>
            </w:r>
            <w:r>
              <w:rPr>
                <w:rFonts w:hint="eastAsia" w:ascii="Times New Roman" w:hAnsi="Times New Roman" w:cs="Times New Roman"/>
                <w:color w:val="000000"/>
                <w:kern w:val="0"/>
                <w:sz w:val="24"/>
                <w:szCs w:val="24"/>
                <w:u w:val="none"/>
                <w:lang w:val="en-US" w:eastAsia="zh-CN"/>
              </w:rPr>
              <w:t>t</w:t>
            </w:r>
            <w:r>
              <w:rPr>
                <w:rFonts w:ascii="Times New Roman" w:hAnsi="Times New Roman" w:eastAsia="宋体" w:cs="Times New Roman"/>
                <w:color w:val="000000"/>
                <w:kern w:val="0"/>
                <w:sz w:val="24"/>
                <w:szCs w:val="24"/>
                <w:u w:val="none"/>
              </w:rPr>
              <w:t>/</w:t>
            </w:r>
            <w:r>
              <w:rPr>
                <w:rFonts w:ascii="Times New Roman" w:hAnsi="Times New Roman" w:eastAsia="宋体" w:cs="Times New Roman"/>
                <w:color w:val="000000"/>
                <w:kern w:val="0"/>
                <w:sz w:val="24"/>
                <w:szCs w:val="24"/>
              </w:rPr>
              <w:t>a</w:t>
            </w:r>
            <w:r>
              <w:rPr>
                <w:rFonts w:ascii="Times New Roman" w:hAnsi="Times New Roman" w:eastAsia="宋体" w:cs="Times New Roman"/>
                <w:color w:val="000000"/>
                <w:sz w:val="24"/>
                <w:szCs w:val="24"/>
              </w:rPr>
              <w:t>；排放系数为</w:t>
            </w:r>
            <w:r>
              <w:rPr>
                <w:rFonts w:hint="eastAsia" w:ascii="Times New Roman" w:hAnsi="Times New Roman" w:eastAsia="宋体" w:cs="Times New Roman"/>
                <w:color w:val="000000"/>
                <w:sz w:val="24"/>
                <w:szCs w:val="24"/>
              </w:rPr>
              <w:t>80</w:t>
            </w:r>
            <w:r>
              <w:rPr>
                <w:rFonts w:ascii="Times New Roman" w:hAnsi="Times New Roman" w:eastAsia="宋体" w:cs="Times New Roman"/>
                <w:color w:val="000000"/>
                <w:sz w:val="24"/>
                <w:szCs w:val="24"/>
              </w:rPr>
              <w:t>%，则员工生活污水产生量为</w:t>
            </w:r>
            <w:r>
              <w:rPr>
                <w:rFonts w:hint="eastAsia" w:ascii="Times New Roman" w:hAnsi="Times New Roman" w:cs="Times New Roman"/>
                <w:color w:val="000000"/>
                <w:sz w:val="24"/>
                <w:szCs w:val="24"/>
                <w:lang w:val="en-US" w:eastAsia="zh-CN"/>
              </w:rPr>
              <w:t>3.84</w:t>
            </w:r>
            <w:r>
              <w:rPr>
                <w:rFonts w:hint="eastAsia" w:ascii="Times New Roman" w:hAnsi="Times New Roman" w:cs="Times New Roman"/>
                <w:color w:val="000000"/>
                <w:kern w:val="0"/>
                <w:sz w:val="24"/>
                <w:szCs w:val="24"/>
                <w:u w:val="none"/>
                <w:lang w:val="en-US" w:eastAsia="zh-CN"/>
              </w:rPr>
              <w:t>t</w:t>
            </w:r>
            <w:r>
              <w:rPr>
                <w:rFonts w:ascii="Times New Roman" w:hAnsi="Times New Roman" w:eastAsia="宋体" w:cs="Times New Roman"/>
                <w:color w:val="000000"/>
                <w:kern w:val="0"/>
                <w:sz w:val="24"/>
                <w:szCs w:val="24"/>
                <w:u w:val="none"/>
              </w:rPr>
              <w:t>/</w:t>
            </w:r>
            <w:r>
              <w:rPr>
                <w:rFonts w:ascii="Times New Roman" w:hAnsi="Times New Roman" w:eastAsia="宋体" w:cs="Times New Roman"/>
                <w:color w:val="000000"/>
                <w:sz w:val="24"/>
                <w:szCs w:val="24"/>
              </w:rPr>
              <w:t>d，</w:t>
            </w:r>
            <w:r>
              <w:rPr>
                <w:rFonts w:hint="eastAsia" w:ascii="Times New Roman" w:hAnsi="Times New Roman" w:cs="Times New Roman"/>
                <w:color w:val="000000"/>
                <w:sz w:val="24"/>
                <w:szCs w:val="24"/>
                <w:lang w:val="en-US" w:eastAsia="zh-CN"/>
              </w:rPr>
              <w:t>1152</w:t>
            </w:r>
            <w:r>
              <w:rPr>
                <w:rFonts w:hint="eastAsia" w:ascii="Times New Roman" w:hAnsi="Times New Roman" w:cs="Times New Roman"/>
                <w:color w:val="000000"/>
                <w:kern w:val="0"/>
                <w:sz w:val="24"/>
                <w:szCs w:val="24"/>
                <w:u w:val="none"/>
                <w:lang w:val="en-US" w:eastAsia="zh-CN"/>
              </w:rPr>
              <w:t>t</w:t>
            </w:r>
            <w:r>
              <w:rPr>
                <w:rFonts w:ascii="Times New Roman" w:hAnsi="Times New Roman" w:eastAsia="宋体" w:cs="Times New Roman"/>
                <w:color w:val="000000"/>
                <w:kern w:val="0"/>
                <w:sz w:val="24"/>
                <w:szCs w:val="24"/>
                <w:u w:val="none"/>
              </w:rPr>
              <w:t>/</w:t>
            </w:r>
            <w:r>
              <w:rPr>
                <w:rFonts w:ascii="Times New Roman" w:hAnsi="Times New Roman" w:eastAsia="宋体" w:cs="Times New Roman"/>
                <w:color w:val="000000"/>
                <w:sz w:val="24"/>
                <w:szCs w:val="24"/>
              </w:rPr>
              <w:t>a。生活污水中的主要污染物为COD350</w:t>
            </w:r>
            <w:r>
              <w:rPr>
                <w:rFonts w:hint="eastAsia" w:ascii="Times New Roman" w:hAnsi="Times New Roman" w:eastAsia="宋体" w:cs="Times New Roman"/>
                <w:color w:val="000000"/>
                <w:sz w:val="24"/>
                <w:szCs w:val="24"/>
              </w:rPr>
              <w:t>mg/L</w:t>
            </w:r>
            <w:r>
              <w:rPr>
                <w:rFonts w:ascii="Times New Roman" w:hAnsi="Times New Roman" w:eastAsia="宋体" w:cs="Times New Roman"/>
                <w:color w:val="000000"/>
                <w:sz w:val="24"/>
                <w:szCs w:val="24"/>
              </w:rPr>
              <w:t>、BOD</w:t>
            </w:r>
            <w:r>
              <w:rPr>
                <w:rFonts w:ascii="Times New Roman" w:hAnsi="Times New Roman" w:eastAsia="宋体" w:cs="Times New Roman"/>
                <w:color w:val="000000"/>
                <w:sz w:val="24"/>
                <w:szCs w:val="24"/>
                <w:vertAlign w:val="subscript"/>
              </w:rPr>
              <w:t>5</w:t>
            </w:r>
            <w:r>
              <w:rPr>
                <w:rFonts w:hint="eastAsia" w:ascii="Times New Roman" w:hAnsi="Times New Roman" w:eastAsia="宋体" w:cs="Times New Roman"/>
                <w:color w:val="000000"/>
                <w:sz w:val="24"/>
                <w:szCs w:val="24"/>
              </w:rPr>
              <w:t>20</w:t>
            </w:r>
            <w:r>
              <w:rPr>
                <w:rFonts w:ascii="Times New Roman" w:hAnsi="Times New Roman" w:eastAsia="宋体" w:cs="Times New Roman"/>
                <w:color w:val="000000"/>
                <w:sz w:val="24"/>
                <w:szCs w:val="24"/>
              </w:rPr>
              <w:t>0</w:t>
            </w:r>
            <w:r>
              <w:rPr>
                <w:rFonts w:hint="eastAsia" w:ascii="Times New Roman" w:hAnsi="Times New Roman" w:eastAsia="宋体" w:cs="Times New Roman"/>
                <w:color w:val="000000"/>
                <w:sz w:val="24"/>
                <w:szCs w:val="24"/>
              </w:rPr>
              <w:t>mg/L</w:t>
            </w:r>
            <w:r>
              <w:rPr>
                <w:rFonts w:ascii="Times New Roman" w:hAnsi="Times New Roman" w:eastAsia="宋体" w:cs="Times New Roman"/>
                <w:color w:val="000000"/>
                <w:sz w:val="24"/>
                <w:szCs w:val="24"/>
              </w:rPr>
              <w:t>、SS</w:t>
            </w:r>
            <w:r>
              <w:rPr>
                <w:rFonts w:hint="eastAsia" w:ascii="Times New Roman" w:hAnsi="Times New Roman" w:eastAsia="宋体" w:cs="Times New Roman"/>
                <w:color w:val="000000"/>
                <w:sz w:val="24"/>
                <w:szCs w:val="24"/>
              </w:rPr>
              <w:t>20</w:t>
            </w:r>
            <w:r>
              <w:rPr>
                <w:rFonts w:ascii="Times New Roman" w:hAnsi="Times New Roman" w:eastAsia="宋体" w:cs="Times New Roman"/>
                <w:color w:val="000000"/>
                <w:sz w:val="24"/>
                <w:szCs w:val="24"/>
              </w:rPr>
              <w:t>0</w:t>
            </w:r>
            <w:r>
              <w:rPr>
                <w:rFonts w:hint="eastAsia" w:ascii="Times New Roman" w:hAnsi="Times New Roman" w:eastAsia="宋体" w:cs="Times New Roman"/>
                <w:color w:val="000000"/>
                <w:sz w:val="24"/>
                <w:szCs w:val="24"/>
              </w:rPr>
              <w:t>mg/L</w:t>
            </w:r>
            <w:r>
              <w:rPr>
                <w:rFonts w:ascii="Times New Roman" w:hAnsi="Times New Roman" w:eastAsia="宋体" w:cs="Times New Roman"/>
                <w:color w:val="000000"/>
                <w:sz w:val="24"/>
                <w:szCs w:val="24"/>
              </w:rPr>
              <w:t>、</w:t>
            </w:r>
            <w:r>
              <w:rPr>
                <w:rFonts w:hint="eastAsia" w:ascii="Times New Roman" w:hAnsi="Times New Roman" w:cs="Times New Roman"/>
                <w:color w:val="000000"/>
                <w:sz w:val="24"/>
                <w:szCs w:val="24"/>
                <w:lang w:val="en-US" w:eastAsia="zh-CN"/>
              </w:rPr>
              <w:t>动植物油300</w:t>
            </w:r>
            <w:r>
              <w:rPr>
                <w:rFonts w:hint="eastAsia" w:ascii="Times New Roman" w:hAnsi="Times New Roman" w:eastAsia="宋体" w:cs="Times New Roman"/>
                <w:color w:val="000000"/>
                <w:sz w:val="24"/>
                <w:szCs w:val="24"/>
              </w:rPr>
              <w:t>mg/L</w:t>
            </w:r>
            <w:r>
              <w:rPr>
                <w:rFonts w:hint="eastAsia" w:ascii="Times New Roman" w:hAnsi="Times New Roman" w:eastAsia="宋体" w:cs="Times New Roman"/>
                <w:color w:val="000000"/>
                <w:sz w:val="24"/>
                <w:szCs w:val="24"/>
                <w:lang w:val="en-US" w:eastAsia="zh-CN"/>
              </w:rPr>
              <w:t>、</w:t>
            </w:r>
            <w:r>
              <w:rPr>
                <w:rFonts w:ascii="Times New Roman" w:hAnsi="Times New Roman" w:eastAsia="宋体" w:cs="Times New Roman"/>
                <w:color w:val="000000"/>
                <w:sz w:val="24"/>
                <w:szCs w:val="24"/>
              </w:rPr>
              <w:t>NH</w:t>
            </w:r>
            <w:r>
              <w:rPr>
                <w:rFonts w:ascii="Times New Roman" w:hAnsi="Times New Roman" w:eastAsia="宋体" w:cs="Times New Roman"/>
                <w:color w:val="000000"/>
                <w:sz w:val="24"/>
                <w:szCs w:val="24"/>
                <w:vertAlign w:val="subscript"/>
              </w:rPr>
              <w:t>3</w:t>
            </w:r>
            <w:r>
              <w:rPr>
                <w:rFonts w:ascii="Times New Roman" w:hAnsi="Times New Roman" w:eastAsia="宋体" w:cs="Times New Roman"/>
                <w:color w:val="000000"/>
                <w:sz w:val="24"/>
                <w:szCs w:val="24"/>
              </w:rPr>
              <w:t>-N</w:t>
            </w:r>
            <w:r>
              <w:rPr>
                <w:rFonts w:hint="eastAsia" w:ascii="Times New Roman" w:hAnsi="Times New Roman" w:eastAsia="宋体" w:cs="Times New Roman"/>
                <w:color w:val="000000"/>
                <w:sz w:val="24"/>
                <w:szCs w:val="24"/>
              </w:rPr>
              <w:t>3</w:t>
            </w:r>
            <w:r>
              <w:rPr>
                <w:rFonts w:ascii="Times New Roman" w:hAnsi="Times New Roman" w:eastAsia="宋体" w:cs="Times New Roman"/>
                <w:color w:val="000000"/>
                <w:sz w:val="24"/>
                <w:szCs w:val="24"/>
              </w:rPr>
              <w:t>0</w:t>
            </w:r>
            <w:r>
              <w:rPr>
                <w:rFonts w:hint="eastAsia" w:ascii="Times New Roman" w:hAnsi="Times New Roman" w:eastAsia="宋体" w:cs="Times New Roman"/>
                <w:color w:val="000000"/>
                <w:sz w:val="24"/>
                <w:szCs w:val="24"/>
              </w:rPr>
              <w:t>mg/L</w:t>
            </w:r>
            <w:r>
              <w:rPr>
                <w:rFonts w:ascii="Times New Roman" w:hAnsi="Times New Roman" w:eastAsia="宋体" w:cs="Times New Roman"/>
                <w:color w:val="000000"/>
                <w:sz w:val="24"/>
                <w:szCs w:val="24"/>
              </w:rPr>
              <w:t>等。</w:t>
            </w:r>
            <w:r>
              <w:rPr>
                <w:rFonts w:hint="eastAsia" w:ascii="Times New Roman" w:hAnsi="Times New Roman" w:eastAsia="宋体" w:cs="Times New Roman"/>
                <w:color w:val="000000"/>
                <w:sz w:val="24"/>
                <w:szCs w:val="24"/>
              </w:rPr>
              <w:t>项目生活污水经化粪池处理后用于</w:t>
            </w:r>
            <w:r>
              <w:rPr>
                <w:rFonts w:hint="eastAsia" w:ascii="Times New Roman" w:hAnsi="Times New Roman" w:cs="Times New Roman"/>
                <w:color w:val="000000"/>
                <w:sz w:val="24"/>
                <w:szCs w:val="24"/>
                <w:lang w:val="en-US" w:eastAsia="zh-CN"/>
              </w:rPr>
              <w:t>农田</w:t>
            </w:r>
            <w:r>
              <w:rPr>
                <w:rFonts w:hint="eastAsia" w:ascii="Times New Roman" w:hAnsi="Times New Roman" w:eastAsia="宋体" w:cs="Times New Roman"/>
                <w:color w:val="000000"/>
                <w:sz w:val="24"/>
                <w:szCs w:val="24"/>
              </w:rPr>
              <w:t>施肥，不外排。</w:t>
            </w:r>
          </w:p>
          <w:p>
            <w:pPr>
              <w:widowControl w:val="0"/>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p>
          <w:p>
            <w:pPr>
              <w:widowControl w:val="0"/>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p>
          <w:p>
            <w:pPr>
              <w:widowControl w:val="0"/>
              <w:spacing w:line="240" w:lineRule="auto"/>
              <w:ind w:firstLine="0" w:firstLineChars="0"/>
              <w:jc w:val="center"/>
              <w:rPr>
                <w:rFonts w:ascii="Times New Roman" w:hAnsi="Times New Roman" w:eastAsia="宋体" w:cs="Times New Roman"/>
                <w:b/>
                <w:color w:val="000000"/>
                <w:kern w:val="2"/>
                <w:sz w:val="21"/>
                <w:szCs w:val="21"/>
                <w:lang w:val="en-US" w:eastAsia="zh-CN" w:bidi="ar-SA"/>
              </w:rPr>
            </w:pPr>
            <w:r>
              <w:rPr>
                <w:rFonts w:hint="eastAsia" w:ascii="Times New Roman" w:hAnsi="Times New Roman" w:eastAsia="宋体" w:cs="Times New Roman"/>
                <w:b/>
                <w:color w:val="000000"/>
                <w:kern w:val="2"/>
                <w:sz w:val="21"/>
                <w:szCs w:val="21"/>
                <w:lang w:val="en-US" w:eastAsia="zh-CN" w:bidi="ar-SA"/>
              </w:rPr>
              <w:t>表</w:t>
            </w:r>
            <w:r>
              <w:rPr>
                <w:rFonts w:hint="eastAsia" w:ascii="Times New Roman" w:hAnsi="Times New Roman" w:cs="Times New Roman"/>
                <w:b/>
                <w:color w:val="000000"/>
                <w:kern w:val="2"/>
                <w:sz w:val="21"/>
                <w:szCs w:val="21"/>
                <w:lang w:val="en-US" w:eastAsia="zh-CN" w:bidi="ar-SA"/>
              </w:rPr>
              <w:t>4</w:t>
            </w:r>
            <w:r>
              <w:rPr>
                <w:rFonts w:ascii="Times New Roman" w:hAnsi="Times New Roman" w:eastAsia="宋体" w:cs="Times New Roman"/>
                <w:b/>
                <w:color w:val="000000"/>
                <w:kern w:val="2"/>
                <w:sz w:val="21"/>
                <w:szCs w:val="21"/>
                <w:lang w:val="en-US" w:eastAsia="zh-CN" w:bidi="ar-SA"/>
              </w:rPr>
              <w:t>-</w:t>
            </w:r>
            <w:r>
              <w:rPr>
                <w:rFonts w:hint="eastAsia" w:ascii="Times New Roman" w:hAnsi="Times New Roman" w:cs="Times New Roman"/>
                <w:b/>
                <w:color w:val="000000"/>
                <w:kern w:val="2"/>
                <w:sz w:val="21"/>
                <w:szCs w:val="21"/>
                <w:lang w:val="en-US" w:eastAsia="zh-CN" w:bidi="ar-SA"/>
              </w:rPr>
              <w:t>14</w:t>
            </w:r>
            <w:r>
              <w:rPr>
                <w:rFonts w:ascii="Times New Roman" w:hAnsi="Times New Roman" w:eastAsia="宋体" w:cs="Times New Roman"/>
                <w:b/>
                <w:color w:val="000000"/>
                <w:kern w:val="2"/>
                <w:sz w:val="21"/>
                <w:szCs w:val="21"/>
                <w:lang w:val="en-US" w:eastAsia="zh-CN" w:bidi="ar-SA"/>
              </w:rPr>
              <w:t xml:space="preserve">  </w:t>
            </w:r>
            <w:r>
              <w:rPr>
                <w:rFonts w:hint="eastAsia" w:ascii="Times New Roman" w:hAnsi="Times New Roman" w:eastAsia="宋体" w:cs="Times New Roman"/>
                <w:b/>
                <w:color w:val="000000"/>
                <w:kern w:val="2"/>
                <w:sz w:val="21"/>
                <w:szCs w:val="21"/>
                <w:lang w:val="en-US" w:eastAsia="zh-CN" w:bidi="ar-SA"/>
              </w:rPr>
              <w:t>项目废水产生、排放情况一览表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1512"/>
              <w:gridCol w:w="1623"/>
              <w:gridCol w:w="1537"/>
              <w:gridCol w:w="2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restart"/>
                  <w:noWrap w:val="0"/>
                  <w:vAlign w:val="center"/>
                </w:tcPr>
                <w:p>
                  <w:pPr>
                    <w:snapToGrid w:val="0"/>
                    <w:spacing w:line="240" w:lineRule="auto"/>
                    <w:jc w:val="center"/>
                    <w:rPr>
                      <w:rFonts w:ascii="Times New Roman" w:hAnsi="Times New Roman" w:eastAsia="宋体" w:cs="Times New Roman"/>
                      <w:color w:val="000000"/>
                      <w:sz w:val="21"/>
                      <w:szCs w:val="21"/>
                    </w:rPr>
                  </w:pPr>
                  <w:r>
                    <w:rPr>
                      <w:rFonts w:hint="eastAsia" w:ascii="Times New Roman" w:hAnsi="宋体" w:eastAsia="宋体" w:cs="Times New Roman"/>
                      <w:color w:val="000000"/>
                      <w:kern w:val="0"/>
                      <w:sz w:val="21"/>
                      <w:szCs w:val="21"/>
                    </w:rPr>
                    <w:t>废水来源</w:t>
                  </w:r>
                </w:p>
              </w:tc>
              <w:tc>
                <w:tcPr>
                  <w:tcW w:w="915" w:type="pct"/>
                  <w:vMerge w:val="restart"/>
                  <w:noWrap w:val="0"/>
                  <w:vAlign w:val="center"/>
                </w:tcPr>
                <w:p>
                  <w:pPr>
                    <w:snapToGrid w:val="0"/>
                    <w:spacing w:line="240" w:lineRule="auto"/>
                    <w:jc w:val="center"/>
                    <w:rPr>
                      <w:rFonts w:ascii="Times New Roman" w:hAnsi="Times New Roman" w:eastAsia="宋体" w:cs="Times New Roman"/>
                      <w:color w:val="000000"/>
                      <w:sz w:val="21"/>
                      <w:szCs w:val="21"/>
                    </w:rPr>
                  </w:pPr>
                  <w:r>
                    <w:rPr>
                      <w:rFonts w:hint="eastAsia" w:ascii="Times New Roman" w:hAnsi="宋体" w:eastAsia="宋体" w:cs="Times New Roman"/>
                      <w:color w:val="000000"/>
                      <w:kern w:val="0"/>
                      <w:sz w:val="21"/>
                      <w:szCs w:val="21"/>
                    </w:rPr>
                    <w:t>主要污染物</w:t>
                  </w:r>
                </w:p>
              </w:tc>
              <w:tc>
                <w:tcPr>
                  <w:tcW w:w="1912" w:type="pct"/>
                  <w:gridSpan w:val="2"/>
                  <w:noWrap w:val="0"/>
                  <w:vAlign w:val="center"/>
                </w:tcPr>
                <w:p>
                  <w:pPr>
                    <w:snapToGrid w:val="0"/>
                    <w:spacing w:line="240" w:lineRule="auto"/>
                    <w:jc w:val="center"/>
                    <w:rPr>
                      <w:rFonts w:ascii="Times New Roman" w:hAnsi="Times New Roman" w:eastAsia="宋体" w:cs="Times New Roman"/>
                      <w:color w:val="000000"/>
                      <w:sz w:val="21"/>
                      <w:szCs w:val="21"/>
                    </w:rPr>
                  </w:pPr>
                  <w:r>
                    <w:rPr>
                      <w:rFonts w:hint="eastAsia" w:ascii="Times New Roman" w:hAnsi="宋体" w:eastAsia="宋体" w:cs="Times New Roman"/>
                      <w:color w:val="000000"/>
                      <w:kern w:val="0"/>
                      <w:sz w:val="21"/>
                      <w:szCs w:val="21"/>
                    </w:rPr>
                    <w:t>污染物产生情况</w:t>
                  </w:r>
                </w:p>
              </w:tc>
              <w:tc>
                <w:tcPr>
                  <w:tcW w:w="1275" w:type="pct"/>
                  <w:vMerge w:val="restart"/>
                  <w:noWrap w:val="0"/>
                  <w:vAlign w:val="center"/>
                </w:tcPr>
                <w:p>
                  <w:pPr>
                    <w:snapToGrid w:val="0"/>
                    <w:spacing w:line="240" w:lineRule="auto"/>
                    <w:jc w:val="center"/>
                    <w:rPr>
                      <w:rFonts w:ascii="Times New Roman" w:hAnsi="Times New Roman" w:eastAsia="宋体" w:cs="Times New Roman"/>
                      <w:color w:val="000000"/>
                      <w:sz w:val="21"/>
                      <w:szCs w:val="21"/>
                    </w:rPr>
                  </w:pPr>
                  <w:r>
                    <w:rPr>
                      <w:rFonts w:hint="eastAsia" w:ascii="Times New Roman" w:hAnsi="宋体" w:eastAsia="宋体" w:cs="Times New Roman"/>
                      <w:color w:val="000000"/>
                      <w:kern w:val="0"/>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pPr>
                    <w:widowControl/>
                    <w:spacing w:line="240" w:lineRule="auto"/>
                    <w:jc w:val="left"/>
                    <w:rPr>
                      <w:rFonts w:ascii="Times New Roman" w:hAnsi="Times New Roman" w:eastAsia="宋体" w:cs="Times New Roman"/>
                      <w:color w:val="000000"/>
                      <w:sz w:val="21"/>
                      <w:szCs w:val="21"/>
                    </w:rPr>
                  </w:pPr>
                </w:p>
              </w:tc>
              <w:tc>
                <w:tcPr>
                  <w:tcW w:w="915" w:type="pct"/>
                  <w:vMerge w:val="continue"/>
                  <w:noWrap w:val="0"/>
                  <w:vAlign w:val="center"/>
                </w:tcPr>
                <w:p>
                  <w:pPr>
                    <w:widowControl/>
                    <w:spacing w:line="240" w:lineRule="auto"/>
                    <w:jc w:val="left"/>
                    <w:rPr>
                      <w:rFonts w:ascii="Times New Roman" w:hAnsi="Times New Roman" w:eastAsia="宋体" w:cs="Times New Roman"/>
                      <w:color w:val="000000"/>
                      <w:sz w:val="21"/>
                      <w:szCs w:val="21"/>
                    </w:rPr>
                  </w:pPr>
                </w:p>
              </w:tc>
              <w:tc>
                <w:tcPr>
                  <w:tcW w:w="982" w:type="pct"/>
                  <w:noWrap w:val="0"/>
                  <w:vAlign w:val="center"/>
                </w:tcPr>
                <w:p>
                  <w:pPr>
                    <w:spacing w:line="240" w:lineRule="auto"/>
                    <w:jc w:val="center"/>
                    <w:rPr>
                      <w:rFonts w:ascii="Times New Roman" w:hAnsi="Times New Roman" w:eastAsia="宋体" w:cs="Times New Roman"/>
                      <w:color w:val="000000"/>
                      <w:kern w:val="0"/>
                      <w:sz w:val="21"/>
                      <w:szCs w:val="21"/>
                    </w:rPr>
                  </w:pPr>
                  <w:r>
                    <w:rPr>
                      <w:rFonts w:hint="eastAsia" w:ascii="Times New Roman" w:hAnsi="宋体" w:eastAsia="宋体" w:cs="Times New Roman"/>
                      <w:color w:val="000000"/>
                      <w:kern w:val="0"/>
                      <w:sz w:val="21"/>
                      <w:szCs w:val="21"/>
                    </w:rPr>
                    <w:t>浓度（</w:t>
                  </w:r>
                  <w:r>
                    <w:rPr>
                      <w:rFonts w:ascii="Times New Roman" w:hAnsi="Times New Roman" w:eastAsia="宋体" w:cs="Times New Roman"/>
                      <w:color w:val="000000"/>
                      <w:kern w:val="0"/>
                      <w:sz w:val="21"/>
                      <w:szCs w:val="21"/>
                    </w:rPr>
                    <w:t>mg/L</w:t>
                  </w:r>
                  <w:r>
                    <w:rPr>
                      <w:rFonts w:hint="eastAsia" w:ascii="Times New Roman" w:hAnsi="宋体" w:eastAsia="宋体" w:cs="Times New Roman"/>
                      <w:color w:val="000000"/>
                      <w:kern w:val="0"/>
                      <w:sz w:val="21"/>
                      <w:szCs w:val="21"/>
                    </w:rPr>
                    <w:t>）</w:t>
                  </w:r>
                </w:p>
              </w:tc>
              <w:tc>
                <w:tcPr>
                  <w:tcW w:w="930" w:type="pct"/>
                  <w:noWrap w:val="0"/>
                  <w:vAlign w:val="center"/>
                </w:tcPr>
                <w:p>
                  <w:pPr>
                    <w:widowControl/>
                    <w:spacing w:line="240" w:lineRule="auto"/>
                    <w:jc w:val="center"/>
                    <w:textAlignment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产生量（</w:t>
                  </w:r>
                  <w:r>
                    <w:rPr>
                      <w:rFonts w:ascii="Times New Roman" w:hAnsi="Times New Roman" w:eastAsia="宋体" w:cs="Times New Roman"/>
                      <w:color w:val="000000"/>
                      <w:sz w:val="21"/>
                      <w:szCs w:val="21"/>
                    </w:rPr>
                    <w:t>t/a</w:t>
                  </w:r>
                  <w:r>
                    <w:rPr>
                      <w:rFonts w:hint="eastAsia" w:ascii="Times New Roman" w:hAnsi="Times New Roman" w:eastAsia="宋体" w:cs="Times New Roman"/>
                      <w:color w:val="000000"/>
                      <w:sz w:val="21"/>
                      <w:szCs w:val="21"/>
                    </w:rPr>
                    <w:t>）</w:t>
                  </w:r>
                </w:p>
              </w:tc>
              <w:tc>
                <w:tcPr>
                  <w:tcW w:w="1275" w:type="pct"/>
                  <w:vMerge w:val="continue"/>
                  <w:noWrap w:val="0"/>
                  <w:vAlign w:val="center"/>
                </w:tcPr>
                <w:p>
                  <w:pPr>
                    <w:widowControl/>
                    <w:spacing w:line="240" w:lineRule="auto"/>
                    <w:jc w:val="left"/>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6" w:type="pct"/>
                  <w:vMerge w:val="restart"/>
                  <w:noWrap w:val="0"/>
                  <w:vAlign w:val="center"/>
                </w:tcPr>
                <w:p>
                  <w:pPr>
                    <w:snapToGrid w:val="0"/>
                    <w:spacing w:line="240" w:lineRule="auto"/>
                    <w:jc w:val="center"/>
                    <w:rPr>
                      <w:rFonts w:hint="eastAsia" w:ascii="Times New Roman" w:hAnsi="宋体" w:eastAsia="宋体" w:cs="Times New Roman"/>
                      <w:color w:val="000000"/>
                      <w:kern w:val="0"/>
                      <w:sz w:val="21"/>
                      <w:szCs w:val="21"/>
                    </w:rPr>
                  </w:pPr>
                  <w:r>
                    <w:rPr>
                      <w:rFonts w:hint="eastAsia" w:ascii="Times New Roman" w:hAnsi="宋体" w:eastAsia="宋体" w:cs="Times New Roman"/>
                      <w:color w:val="000000"/>
                      <w:kern w:val="0"/>
                      <w:sz w:val="21"/>
                      <w:szCs w:val="21"/>
                    </w:rPr>
                    <w:t>生活污水</w:t>
                  </w:r>
                </w:p>
                <w:p>
                  <w:pPr>
                    <w:widowControl w:val="0"/>
                    <w:spacing w:line="360" w:lineRule="auto"/>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1152</w:t>
                  </w:r>
                  <w:r>
                    <w:rPr>
                      <w:rFonts w:hint="eastAsia" w:ascii="Times New Roman" w:hAnsi="Times New Roman" w:eastAsia="宋体" w:cs="Times New Roman"/>
                      <w:color w:val="000000"/>
                      <w:kern w:val="2"/>
                      <w:sz w:val="21"/>
                      <w:szCs w:val="21"/>
                      <w:lang w:val="en-US" w:eastAsia="zh-CN" w:bidi="ar-SA"/>
                    </w:rPr>
                    <w:t>m</w:t>
                  </w:r>
                  <w:r>
                    <w:rPr>
                      <w:rFonts w:hint="eastAsia" w:ascii="Times New Roman" w:hAnsi="Times New Roman" w:eastAsia="宋体" w:cs="Times New Roman"/>
                      <w:color w:val="000000"/>
                      <w:kern w:val="2"/>
                      <w:sz w:val="21"/>
                      <w:szCs w:val="21"/>
                      <w:vertAlign w:val="superscript"/>
                      <w:lang w:val="en-US" w:eastAsia="zh-CN" w:bidi="ar-SA"/>
                    </w:rPr>
                    <w:t>3</w:t>
                  </w:r>
                  <w:r>
                    <w:rPr>
                      <w:rFonts w:hint="eastAsia" w:ascii="Times New Roman" w:hAnsi="Times New Roman" w:eastAsia="宋体" w:cs="Times New Roman"/>
                      <w:color w:val="000000"/>
                      <w:kern w:val="2"/>
                      <w:sz w:val="21"/>
                      <w:szCs w:val="21"/>
                      <w:lang w:val="en-US" w:eastAsia="zh-CN" w:bidi="ar-SA"/>
                    </w:rPr>
                    <w:t>/a</w:t>
                  </w:r>
                </w:p>
              </w:tc>
              <w:tc>
                <w:tcPr>
                  <w:tcW w:w="915" w:type="pct"/>
                  <w:noWrap w:val="0"/>
                  <w:vAlign w:val="center"/>
                </w:tcPr>
                <w:p>
                  <w:pPr>
                    <w:widowControl/>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kern w:val="0"/>
                      <w:sz w:val="21"/>
                      <w:szCs w:val="21"/>
                    </w:rPr>
                    <w:t>COD</w:t>
                  </w:r>
                  <w:r>
                    <w:rPr>
                      <w:rFonts w:ascii="Times New Roman" w:hAnsi="Times New Roman" w:eastAsia="宋体" w:cs="Times New Roman"/>
                      <w:color w:val="000000"/>
                      <w:kern w:val="0"/>
                      <w:sz w:val="21"/>
                      <w:szCs w:val="21"/>
                      <w:vertAlign w:val="subscript"/>
                    </w:rPr>
                    <w:t>Cr</w:t>
                  </w:r>
                </w:p>
              </w:tc>
              <w:tc>
                <w:tcPr>
                  <w:tcW w:w="982" w:type="pct"/>
                  <w:noWrap w:val="0"/>
                  <w:vAlign w:val="center"/>
                </w:tcPr>
                <w:p>
                  <w:pPr>
                    <w:snapToGrid w:val="0"/>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kern w:val="0"/>
                      <w:sz w:val="21"/>
                      <w:szCs w:val="21"/>
                    </w:rPr>
                    <w:t>350</w:t>
                  </w:r>
                </w:p>
              </w:tc>
              <w:tc>
                <w:tcPr>
                  <w:tcW w:w="930" w:type="pct"/>
                  <w:noWrap w:val="0"/>
                  <w:vAlign w:val="center"/>
                </w:tcPr>
                <w:p>
                  <w:pPr>
                    <w:widowControl/>
                    <w:spacing w:line="240" w:lineRule="auto"/>
                    <w:jc w:val="center"/>
                    <w:textAlignment w:val="center"/>
                    <w:rPr>
                      <w:rFonts w:hint="default"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0</w:t>
                  </w:r>
                  <w:r>
                    <w:rPr>
                      <w:rFonts w:hint="eastAsia"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403</w:t>
                  </w:r>
                </w:p>
              </w:tc>
              <w:tc>
                <w:tcPr>
                  <w:tcW w:w="1275" w:type="pct"/>
                  <w:vMerge w:val="restart"/>
                  <w:noWrap w:val="0"/>
                  <w:vAlign w:val="center"/>
                </w:tcPr>
                <w:p>
                  <w:pPr>
                    <w:widowControl/>
                    <w:spacing w:line="240" w:lineRule="auto"/>
                    <w:jc w:val="center"/>
                    <w:rPr>
                      <w:rFonts w:ascii="Times New Roman" w:hAnsi="Times New Roman" w:eastAsia="宋体" w:cs="Times New Roman"/>
                      <w:color w:val="000000"/>
                      <w:sz w:val="21"/>
                      <w:szCs w:val="21"/>
                    </w:rPr>
                  </w:pPr>
                  <w:r>
                    <w:rPr>
                      <w:rFonts w:hint="eastAsia" w:ascii="Times New Roman" w:hAnsi="宋体" w:cs="Times New Roman"/>
                      <w:color w:val="000000"/>
                      <w:sz w:val="21"/>
                      <w:szCs w:val="21"/>
                      <w:lang w:val="en-US" w:eastAsia="zh-CN"/>
                    </w:rPr>
                    <w:t>食堂废水经隔油池处理后进入与经化粪池</w:t>
                  </w:r>
                  <w:r>
                    <w:rPr>
                      <w:rFonts w:hint="eastAsia" w:ascii="Times New Roman" w:hAnsi="宋体" w:eastAsia="宋体" w:cs="Times New Roman"/>
                      <w:color w:val="000000"/>
                      <w:sz w:val="21"/>
                      <w:szCs w:val="21"/>
                    </w:rPr>
                    <w:t>处理</w:t>
                  </w:r>
                  <w:r>
                    <w:rPr>
                      <w:rFonts w:hint="eastAsia" w:ascii="Times New Roman" w:hAnsi="宋体" w:cs="Times New Roman"/>
                      <w:color w:val="000000"/>
                      <w:sz w:val="21"/>
                      <w:szCs w:val="21"/>
                      <w:lang w:val="en-US" w:eastAsia="zh-CN"/>
                    </w:rPr>
                    <w:t>的生活污水一起用于农田</w:t>
                  </w:r>
                  <w:r>
                    <w:rPr>
                      <w:rFonts w:hint="eastAsia" w:ascii="Times New Roman" w:hAnsi="宋体" w:eastAsia="宋体" w:cs="Times New Roman"/>
                      <w:color w:val="000000"/>
                      <w:sz w:val="21"/>
                      <w:szCs w:val="21"/>
                    </w:rPr>
                    <w:t>施肥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pPr>
                    <w:widowControl/>
                    <w:spacing w:line="240" w:lineRule="auto"/>
                    <w:jc w:val="left"/>
                    <w:rPr>
                      <w:rFonts w:ascii="Times New Roman" w:hAnsi="Times New Roman" w:eastAsia="宋体" w:cs="Times New Roman"/>
                      <w:color w:val="000000"/>
                      <w:sz w:val="21"/>
                      <w:szCs w:val="21"/>
                    </w:rPr>
                  </w:pPr>
                </w:p>
              </w:tc>
              <w:tc>
                <w:tcPr>
                  <w:tcW w:w="915" w:type="pct"/>
                  <w:noWrap w:val="0"/>
                  <w:vAlign w:val="center"/>
                </w:tcPr>
                <w:p>
                  <w:pPr>
                    <w:widowControl/>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kern w:val="0"/>
                      <w:sz w:val="21"/>
                      <w:szCs w:val="21"/>
                    </w:rPr>
                    <w:t>BOD</w:t>
                  </w:r>
                  <w:r>
                    <w:rPr>
                      <w:rFonts w:ascii="Times New Roman" w:hAnsi="Times New Roman" w:eastAsia="宋体" w:cs="Times New Roman"/>
                      <w:color w:val="000000"/>
                      <w:kern w:val="0"/>
                      <w:sz w:val="21"/>
                      <w:szCs w:val="21"/>
                      <w:vertAlign w:val="subscript"/>
                    </w:rPr>
                    <w:t>5</w:t>
                  </w:r>
                </w:p>
              </w:tc>
              <w:tc>
                <w:tcPr>
                  <w:tcW w:w="982" w:type="pct"/>
                  <w:noWrap w:val="0"/>
                  <w:vAlign w:val="center"/>
                </w:tcPr>
                <w:p>
                  <w:pPr>
                    <w:snapToGrid w:val="0"/>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kern w:val="0"/>
                      <w:sz w:val="21"/>
                      <w:szCs w:val="21"/>
                    </w:rPr>
                    <w:t>200</w:t>
                  </w:r>
                </w:p>
              </w:tc>
              <w:tc>
                <w:tcPr>
                  <w:tcW w:w="930" w:type="pct"/>
                  <w:noWrap w:val="0"/>
                  <w:vAlign w:val="center"/>
                </w:tcPr>
                <w:p>
                  <w:pPr>
                    <w:widowControl/>
                    <w:spacing w:line="240" w:lineRule="auto"/>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0.230</w:t>
                  </w:r>
                </w:p>
              </w:tc>
              <w:tc>
                <w:tcPr>
                  <w:tcW w:w="1275" w:type="pct"/>
                  <w:vMerge w:val="continue"/>
                  <w:noWrap w:val="0"/>
                  <w:vAlign w:val="center"/>
                </w:tcPr>
                <w:p>
                  <w:pPr>
                    <w:widowControl/>
                    <w:spacing w:line="240" w:lineRule="auto"/>
                    <w:jc w:val="left"/>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6" w:type="pct"/>
                  <w:vMerge w:val="continue"/>
                  <w:noWrap w:val="0"/>
                  <w:vAlign w:val="center"/>
                </w:tcPr>
                <w:p>
                  <w:pPr>
                    <w:widowControl/>
                    <w:spacing w:line="240" w:lineRule="auto"/>
                    <w:jc w:val="left"/>
                    <w:rPr>
                      <w:rFonts w:ascii="Times New Roman" w:hAnsi="Times New Roman" w:eastAsia="宋体" w:cs="Times New Roman"/>
                      <w:color w:val="000000"/>
                      <w:sz w:val="21"/>
                      <w:szCs w:val="21"/>
                    </w:rPr>
                  </w:pPr>
                </w:p>
              </w:tc>
              <w:tc>
                <w:tcPr>
                  <w:tcW w:w="915" w:type="pct"/>
                  <w:noWrap w:val="0"/>
                  <w:vAlign w:val="center"/>
                </w:tcPr>
                <w:p>
                  <w:pPr>
                    <w:widowControl/>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kern w:val="0"/>
                      <w:sz w:val="21"/>
                      <w:szCs w:val="21"/>
                    </w:rPr>
                    <w:t>SS</w:t>
                  </w:r>
                </w:p>
              </w:tc>
              <w:tc>
                <w:tcPr>
                  <w:tcW w:w="982" w:type="pct"/>
                  <w:noWrap w:val="0"/>
                  <w:vAlign w:val="center"/>
                </w:tcPr>
                <w:p>
                  <w:pPr>
                    <w:snapToGrid w:val="0"/>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kern w:val="0"/>
                      <w:sz w:val="21"/>
                      <w:szCs w:val="21"/>
                    </w:rPr>
                    <w:t>200</w:t>
                  </w:r>
                </w:p>
              </w:tc>
              <w:tc>
                <w:tcPr>
                  <w:tcW w:w="930" w:type="pct"/>
                  <w:noWrap w:val="0"/>
                  <w:vAlign w:val="center"/>
                </w:tcPr>
                <w:p>
                  <w:pPr>
                    <w:widowControl/>
                    <w:spacing w:line="240" w:lineRule="auto"/>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0.230</w:t>
                  </w:r>
                </w:p>
              </w:tc>
              <w:tc>
                <w:tcPr>
                  <w:tcW w:w="1275" w:type="pct"/>
                  <w:vMerge w:val="continue"/>
                  <w:noWrap w:val="0"/>
                  <w:vAlign w:val="center"/>
                </w:tcPr>
                <w:p>
                  <w:pPr>
                    <w:widowControl/>
                    <w:spacing w:line="240" w:lineRule="auto"/>
                    <w:jc w:val="left"/>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pPr>
                    <w:widowControl/>
                    <w:spacing w:line="240" w:lineRule="auto"/>
                    <w:jc w:val="left"/>
                    <w:rPr>
                      <w:rFonts w:ascii="Times New Roman" w:hAnsi="Times New Roman" w:eastAsia="宋体" w:cs="Times New Roman"/>
                      <w:color w:val="000000"/>
                      <w:sz w:val="21"/>
                      <w:szCs w:val="21"/>
                    </w:rPr>
                  </w:pPr>
                </w:p>
              </w:tc>
              <w:tc>
                <w:tcPr>
                  <w:tcW w:w="915" w:type="pct"/>
                  <w:noWrap w:val="0"/>
                  <w:vAlign w:val="center"/>
                </w:tcPr>
                <w:p>
                  <w:pPr>
                    <w:widowControl/>
                    <w:spacing w:line="240" w:lineRule="auto"/>
                    <w:jc w:val="center"/>
                    <w:rPr>
                      <w:rFonts w:ascii="Times New Roman" w:hAnsi="Times New Roman" w:eastAsia="宋体" w:cs="Times New Roman"/>
                      <w:color w:val="000000"/>
                      <w:sz w:val="21"/>
                      <w:szCs w:val="21"/>
                    </w:rPr>
                  </w:pPr>
                  <w:r>
                    <w:rPr>
                      <w:rFonts w:hint="eastAsia" w:ascii="Times New Roman" w:hAnsi="宋体" w:eastAsia="宋体" w:cs="Times New Roman"/>
                      <w:color w:val="000000"/>
                      <w:kern w:val="0"/>
                      <w:sz w:val="21"/>
                      <w:szCs w:val="21"/>
                    </w:rPr>
                    <w:t>氨氮</w:t>
                  </w:r>
                </w:p>
              </w:tc>
              <w:tc>
                <w:tcPr>
                  <w:tcW w:w="982" w:type="pct"/>
                  <w:noWrap w:val="0"/>
                  <w:vAlign w:val="center"/>
                </w:tcPr>
                <w:p>
                  <w:pPr>
                    <w:snapToGrid w:val="0"/>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kern w:val="0"/>
                      <w:sz w:val="21"/>
                      <w:szCs w:val="21"/>
                    </w:rPr>
                    <w:t>35</w:t>
                  </w:r>
                </w:p>
              </w:tc>
              <w:tc>
                <w:tcPr>
                  <w:tcW w:w="930" w:type="pct"/>
                  <w:noWrap w:val="0"/>
                  <w:vAlign w:val="center"/>
                </w:tcPr>
                <w:p>
                  <w:pPr>
                    <w:widowControl/>
                    <w:spacing w:line="240" w:lineRule="auto"/>
                    <w:jc w:val="center"/>
                    <w:textAlignment w:val="center"/>
                    <w:rPr>
                      <w:rFonts w:hint="default"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0.0</w:t>
                  </w:r>
                  <w:r>
                    <w:rPr>
                      <w:rFonts w:hint="eastAsia" w:ascii="Times New Roman" w:hAnsi="Times New Roman" w:eastAsia="宋体" w:cs="Times New Roman"/>
                      <w:color w:val="000000"/>
                      <w:sz w:val="21"/>
                      <w:szCs w:val="21"/>
                      <w:lang w:val="en-US" w:eastAsia="zh-CN"/>
                    </w:rPr>
                    <w:t>40</w:t>
                  </w:r>
                </w:p>
              </w:tc>
              <w:tc>
                <w:tcPr>
                  <w:tcW w:w="1275" w:type="pct"/>
                  <w:vMerge w:val="continue"/>
                  <w:noWrap w:val="0"/>
                  <w:vAlign w:val="center"/>
                </w:tcPr>
                <w:p>
                  <w:pPr>
                    <w:widowControl/>
                    <w:spacing w:line="240" w:lineRule="auto"/>
                    <w:jc w:val="left"/>
                    <w:rPr>
                      <w:rFonts w:ascii="Times New Roman" w:hAnsi="Times New Roman" w:eastAsia="宋体" w:cs="Times New Roman"/>
                      <w:color w:val="000000"/>
                      <w:sz w:val="21"/>
                      <w:szCs w:val="21"/>
                    </w:rPr>
                  </w:pPr>
                </w:p>
              </w:tc>
            </w:tr>
          </w:tbl>
          <w:p>
            <w:pPr>
              <w:spacing w:line="360" w:lineRule="auto"/>
              <w:ind w:firstLine="480" w:firstLineChars="200"/>
              <w:rPr>
                <w:rFonts w:ascii="Times New Roman" w:hAnsi="Times New Roman" w:eastAsia="宋体" w:cs="Times New Roman"/>
                <w:b w:val="0"/>
                <w:bCs/>
                <w:color w:val="000000"/>
                <w:sz w:val="24"/>
                <w:szCs w:val="24"/>
              </w:rPr>
            </w:pPr>
            <w:r>
              <w:rPr>
                <w:rFonts w:hint="eastAsia" w:ascii="宋体" w:hAnsi="宋体" w:eastAsia="宋体" w:cs="宋体"/>
                <w:b w:val="0"/>
                <w:bCs/>
                <w:color w:val="000000"/>
                <w:sz w:val="24"/>
                <w:szCs w:val="24"/>
              </w:rPr>
              <w:t>②</w:t>
            </w:r>
            <w:r>
              <w:rPr>
                <w:rFonts w:hint="eastAsia" w:ascii="Times New Roman" w:hAnsi="Times New Roman" w:eastAsia="宋体" w:cs="Times New Roman"/>
                <w:b w:val="0"/>
                <w:bCs/>
                <w:color w:val="000000"/>
                <w:sz w:val="24"/>
                <w:szCs w:val="24"/>
              </w:rPr>
              <w:t>生产废水</w:t>
            </w:r>
          </w:p>
          <w:p>
            <w:pPr>
              <w:spacing w:line="360" w:lineRule="auto"/>
              <w:ind w:firstLine="480" w:firstLineChars="200"/>
              <w:rPr>
                <w:rFonts w:hint="eastAsia" w:ascii="Times New Roman" w:hAnsi="Times New Roman" w:cs="Times New Roman"/>
                <w:color w:val="000000"/>
                <w:kern w:val="2"/>
                <w:sz w:val="24"/>
                <w:szCs w:val="24"/>
                <w:lang w:val="en-US" w:eastAsia="zh-CN" w:bidi="ar-SA"/>
              </w:rPr>
            </w:pPr>
            <w:r>
              <w:rPr>
                <w:rFonts w:hint="eastAsia" w:ascii="Times New Roman" w:hAnsi="Times New Roman" w:cs="Times New Roman"/>
                <w:color w:val="000000"/>
                <w:kern w:val="2"/>
                <w:sz w:val="24"/>
                <w:szCs w:val="24"/>
                <w:lang w:val="en-US" w:eastAsia="zh-CN" w:bidi="ar-SA"/>
              </w:rPr>
              <w:t>大豆清洗废水：</w:t>
            </w:r>
            <w:r>
              <w:rPr>
                <w:rFonts w:hint="eastAsia" w:ascii="Times New Roman" w:hAnsi="Times New Roman" w:cs="Times New Roman"/>
                <w:color w:val="000000"/>
                <w:sz w:val="24"/>
                <w:szCs w:val="24"/>
                <w:lang w:val="en-US" w:eastAsia="zh-CN"/>
              </w:rPr>
              <w:t>清洗废水</w:t>
            </w:r>
            <w:r>
              <w:rPr>
                <w:rFonts w:hint="eastAsia" w:ascii="Times New Roman" w:hAnsi="Times New Roman" w:cs="Times New Roman"/>
                <w:bCs/>
                <w:color w:val="000000"/>
                <w:sz w:val="24"/>
                <w:szCs w:val="24"/>
                <w:u w:val="none"/>
                <w:lang w:val="en-US" w:eastAsia="zh-CN"/>
              </w:rPr>
              <w:t>产生系数以0.8计，则产生的大豆清洗废水量为</w:t>
            </w:r>
            <w:r>
              <w:rPr>
                <w:rFonts w:hint="eastAsia" w:ascii="Times New Roman" w:hAnsi="Times New Roman" w:cs="Times New Roman"/>
                <w:b w:val="0"/>
                <w:bCs w:val="0"/>
                <w:color w:val="000000"/>
                <w:sz w:val="24"/>
                <w:szCs w:val="24"/>
                <w:u w:val="none"/>
                <w:lang w:val="en-US" w:eastAsia="zh-CN"/>
              </w:rPr>
              <w:t>9.69</w:t>
            </w:r>
            <w:r>
              <w:rPr>
                <w:rFonts w:hint="eastAsia" w:ascii="Times New Roman" w:hAnsi="Times New Roman" w:eastAsia="宋体" w:cs="Times New Roman"/>
                <w:b w:val="0"/>
                <w:bCs w:val="0"/>
                <w:color w:val="000000"/>
                <w:sz w:val="24"/>
                <w:szCs w:val="24"/>
                <w:u w:val="none"/>
              </w:rPr>
              <w:t>t/d（</w:t>
            </w:r>
            <w:r>
              <w:rPr>
                <w:rFonts w:hint="eastAsia" w:ascii="Times New Roman" w:hAnsi="Times New Roman" w:cs="Times New Roman"/>
                <w:b w:val="0"/>
                <w:bCs w:val="0"/>
                <w:color w:val="000000"/>
                <w:sz w:val="24"/>
                <w:szCs w:val="24"/>
                <w:u w:val="none"/>
                <w:lang w:val="en-US" w:eastAsia="zh-CN"/>
              </w:rPr>
              <w:t>2906.704t</w:t>
            </w:r>
            <w:r>
              <w:rPr>
                <w:rFonts w:hint="eastAsia" w:ascii="Times New Roman" w:hAnsi="Times New Roman" w:eastAsia="宋体" w:cs="Times New Roman"/>
                <w:b w:val="0"/>
                <w:bCs w:val="0"/>
                <w:color w:val="000000"/>
                <w:sz w:val="24"/>
                <w:szCs w:val="24"/>
                <w:u w:val="none"/>
              </w:rPr>
              <w:t>/a）</w:t>
            </w:r>
            <w:r>
              <w:rPr>
                <w:rFonts w:hint="eastAsia" w:ascii="Times New Roman" w:hAnsi="Times New Roman" w:cs="Times New Roman"/>
                <w:b w:val="0"/>
                <w:bCs w:val="0"/>
                <w:color w:val="000000"/>
                <w:sz w:val="24"/>
                <w:szCs w:val="24"/>
                <w:u w:val="none"/>
                <w:lang w:eastAsia="zh-CN"/>
              </w:rPr>
              <w:t>。</w:t>
            </w:r>
            <w:r>
              <w:rPr>
                <w:rFonts w:hint="eastAsia" w:ascii="Times New Roman" w:hAnsi="Times New Roman" w:eastAsia="宋体" w:cs="Times New Roman"/>
                <w:color w:val="000000"/>
                <w:sz w:val="24"/>
                <w:szCs w:val="24"/>
              </w:rPr>
              <w:t>该废水的水质为COD 600mg/L，BOD</w:t>
            </w:r>
            <w:r>
              <w:rPr>
                <w:rFonts w:hint="eastAsia" w:ascii="Times New Roman" w:hAnsi="Times New Roman" w:eastAsia="宋体" w:cs="Times New Roman"/>
                <w:color w:val="000000"/>
                <w:sz w:val="24"/>
                <w:szCs w:val="24"/>
                <w:vertAlign w:val="subscript"/>
              </w:rPr>
              <w:t>5</w:t>
            </w:r>
            <w:r>
              <w:rPr>
                <w:rFonts w:hint="eastAsia" w:ascii="Times New Roman" w:hAnsi="Times New Roman" w:eastAsia="宋体" w:cs="Times New Roman"/>
                <w:color w:val="000000"/>
                <w:sz w:val="24"/>
                <w:szCs w:val="24"/>
              </w:rPr>
              <w:t xml:space="preserve"> 400mg/L、SS300mg/L，NH</w:t>
            </w:r>
            <w:r>
              <w:rPr>
                <w:rFonts w:hint="eastAsia" w:ascii="Times New Roman" w:hAnsi="Times New Roman" w:eastAsia="宋体" w:cs="Times New Roman"/>
                <w:color w:val="000000"/>
                <w:sz w:val="24"/>
                <w:szCs w:val="24"/>
                <w:vertAlign w:val="subscript"/>
              </w:rPr>
              <w:t>3</w:t>
            </w:r>
            <w:r>
              <w:rPr>
                <w:rFonts w:hint="eastAsia" w:ascii="Times New Roman" w:hAnsi="Times New Roman" w:eastAsia="宋体" w:cs="Times New Roman"/>
                <w:color w:val="000000"/>
                <w:sz w:val="24"/>
                <w:szCs w:val="24"/>
              </w:rPr>
              <w:t>-N40mg/L。</w:t>
            </w:r>
          </w:p>
          <w:p>
            <w:pPr>
              <w:widowControl w:val="0"/>
              <w:spacing w:line="360" w:lineRule="auto"/>
              <w:ind w:firstLine="480" w:firstLineChars="200"/>
              <w:jc w:val="both"/>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设备清洗废水：</w:t>
            </w:r>
            <w:r>
              <w:rPr>
                <w:rFonts w:hint="eastAsia" w:ascii="Times New Roman" w:hAnsi="Times New Roman" w:eastAsia="宋体" w:cs="Times New Roman"/>
                <w:color w:val="000000"/>
                <w:sz w:val="24"/>
                <w:szCs w:val="24"/>
                <w:lang w:val="en-US" w:eastAsia="zh-CN"/>
              </w:rPr>
              <w:t>项目生产设备每天需清洗一次，每次设备清洗用水量约为2</w:t>
            </w:r>
            <w:r>
              <w:rPr>
                <w:rFonts w:hint="default" w:ascii="Times New Roman" w:hAnsi="Times New Roman" w:eastAsia="宋体" w:cs="Times New Roman"/>
                <w:color w:val="000000"/>
                <w:sz w:val="24"/>
                <w:szCs w:val="24"/>
                <w:lang w:val="en-US" w:eastAsia="zh-CN"/>
              </w:rPr>
              <w:t>t/</w:t>
            </w:r>
            <w:r>
              <w:rPr>
                <w:rFonts w:hint="eastAsia" w:ascii="Times New Roman" w:hAnsi="Times New Roman" w:eastAsia="宋体" w:cs="Times New Roman"/>
                <w:color w:val="000000"/>
                <w:sz w:val="24"/>
                <w:szCs w:val="24"/>
                <w:lang w:val="en-US" w:eastAsia="zh-CN"/>
              </w:rPr>
              <w:t>d、400</w:t>
            </w:r>
            <w:r>
              <w:rPr>
                <w:rFonts w:hint="default" w:ascii="Times New Roman" w:hAnsi="Times New Roman" w:eastAsia="宋体" w:cs="Times New Roman"/>
                <w:color w:val="000000"/>
                <w:sz w:val="24"/>
                <w:szCs w:val="24"/>
                <w:lang w:val="en-US" w:eastAsia="zh-CN"/>
              </w:rPr>
              <w:t>t/a</w:t>
            </w:r>
            <w:r>
              <w:rPr>
                <w:rFonts w:hint="eastAsia" w:ascii="Times New Roman" w:hAnsi="Times New Roman" w:cs="Times New Roman"/>
                <w:color w:val="000000"/>
                <w:sz w:val="24"/>
                <w:szCs w:val="24"/>
                <w:lang w:val="en-US" w:eastAsia="zh-CN"/>
              </w:rPr>
              <w:t>，清洗废水</w:t>
            </w:r>
            <w:r>
              <w:rPr>
                <w:rFonts w:hint="eastAsia" w:ascii="Times New Roman" w:hAnsi="Times New Roman" w:cs="Times New Roman"/>
                <w:bCs/>
                <w:color w:val="000000"/>
                <w:sz w:val="24"/>
                <w:szCs w:val="24"/>
                <w:u w:val="none"/>
                <w:lang w:val="en-US" w:eastAsia="zh-CN"/>
              </w:rPr>
              <w:t>产生系数以0.8计，则产生的设备清洗废水量约1.07</w:t>
            </w:r>
            <w:r>
              <w:rPr>
                <w:rFonts w:hint="default" w:ascii="Times New Roman" w:hAnsi="Times New Roman" w:eastAsia="宋体" w:cs="Times New Roman"/>
                <w:color w:val="000000"/>
                <w:sz w:val="24"/>
                <w:szCs w:val="24"/>
                <w:lang w:val="en-US" w:eastAsia="zh-CN"/>
              </w:rPr>
              <w:t>t/</w:t>
            </w:r>
            <w:r>
              <w:rPr>
                <w:rFonts w:hint="eastAsia" w:ascii="Times New Roman" w:hAnsi="Times New Roman" w:eastAsia="宋体" w:cs="Times New Roman"/>
                <w:color w:val="000000"/>
                <w:sz w:val="24"/>
                <w:szCs w:val="24"/>
                <w:lang w:val="en-US" w:eastAsia="zh-CN"/>
              </w:rPr>
              <w:t>d、</w:t>
            </w:r>
            <w:r>
              <w:rPr>
                <w:rFonts w:hint="eastAsia" w:ascii="Times New Roman" w:hAnsi="Times New Roman" w:cs="Times New Roman"/>
                <w:bCs/>
                <w:color w:val="000000"/>
                <w:sz w:val="24"/>
                <w:szCs w:val="24"/>
                <w:u w:val="none"/>
                <w:lang w:val="en-US" w:eastAsia="zh-CN"/>
              </w:rPr>
              <w:t>320</w:t>
            </w:r>
            <w:r>
              <w:rPr>
                <w:rFonts w:hint="default" w:ascii="Times New Roman" w:hAnsi="Times New Roman" w:eastAsia="宋体" w:cs="Times New Roman"/>
                <w:color w:val="000000"/>
                <w:sz w:val="24"/>
                <w:szCs w:val="24"/>
                <w:lang w:val="en-US" w:eastAsia="zh-CN"/>
              </w:rPr>
              <w:t>t/a</w:t>
            </w:r>
            <w:r>
              <w:rPr>
                <w:rFonts w:hint="eastAsia" w:ascii="Times New Roman" w:hAnsi="Times New Roman" w:cs="Times New Roman"/>
                <w:color w:val="000000"/>
                <w:sz w:val="24"/>
                <w:szCs w:val="24"/>
                <w:lang w:val="en-US" w:eastAsia="zh-CN"/>
              </w:rPr>
              <w:t>，</w:t>
            </w:r>
            <w:r>
              <w:rPr>
                <w:rFonts w:hint="eastAsia" w:ascii="Times New Roman" w:hAnsi="Times New Roman" w:eastAsia="宋体" w:cs="Times New Roman"/>
                <w:color w:val="000000"/>
                <w:kern w:val="2"/>
                <w:sz w:val="24"/>
                <w:szCs w:val="24"/>
                <w:lang w:val="en-US" w:eastAsia="zh-CN" w:bidi="ar-SA"/>
              </w:rPr>
              <w:t>主要污染物为COD1200mg/L、BOD</w:t>
            </w:r>
            <w:r>
              <w:rPr>
                <w:rFonts w:hint="eastAsia" w:ascii="Times New Roman" w:hAnsi="Times New Roman" w:eastAsia="宋体" w:cs="Times New Roman"/>
                <w:color w:val="000000"/>
                <w:kern w:val="2"/>
                <w:sz w:val="24"/>
                <w:szCs w:val="24"/>
                <w:vertAlign w:val="subscript"/>
                <w:lang w:val="en-US" w:eastAsia="zh-CN" w:bidi="ar-SA"/>
              </w:rPr>
              <w:t>5</w:t>
            </w:r>
            <w:r>
              <w:rPr>
                <w:rFonts w:hint="eastAsia" w:ascii="Times New Roman" w:hAnsi="Times New Roman" w:eastAsia="宋体" w:cs="Times New Roman"/>
                <w:color w:val="000000"/>
                <w:kern w:val="2"/>
                <w:sz w:val="24"/>
                <w:szCs w:val="24"/>
                <w:lang w:val="en-US" w:eastAsia="zh-CN" w:bidi="ar-SA"/>
              </w:rPr>
              <w:t>600mg/L、SS500mg/L、NH</w:t>
            </w:r>
            <w:r>
              <w:rPr>
                <w:rFonts w:hint="eastAsia" w:ascii="Times New Roman" w:hAnsi="Times New Roman" w:eastAsia="宋体" w:cs="Times New Roman"/>
                <w:color w:val="000000"/>
                <w:kern w:val="2"/>
                <w:sz w:val="24"/>
                <w:szCs w:val="24"/>
                <w:vertAlign w:val="subscript"/>
                <w:lang w:val="en-US" w:eastAsia="zh-CN" w:bidi="ar-SA"/>
              </w:rPr>
              <w:t>3</w:t>
            </w:r>
            <w:r>
              <w:rPr>
                <w:rFonts w:hint="eastAsia" w:ascii="Times New Roman" w:hAnsi="Times New Roman" w:eastAsia="宋体" w:cs="Times New Roman"/>
                <w:color w:val="000000"/>
                <w:kern w:val="2"/>
                <w:sz w:val="24"/>
                <w:szCs w:val="24"/>
                <w:lang w:val="en-US" w:eastAsia="zh-CN" w:bidi="ar-SA"/>
              </w:rPr>
              <w:t>-N40mg/L。</w:t>
            </w:r>
          </w:p>
          <w:p>
            <w:pPr>
              <w:widowControl w:val="0"/>
              <w:spacing w:line="360" w:lineRule="auto"/>
              <w:ind w:firstLine="480" w:firstLineChars="200"/>
              <w:jc w:val="both"/>
              <w:rPr>
                <w:rFonts w:hint="eastAsia" w:ascii="Times New Roman" w:hAnsi="Times New Roman" w:eastAsia="宋体" w:cs="Times New Roman"/>
                <w:color w:val="000000"/>
                <w:sz w:val="24"/>
                <w:szCs w:val="24"/>
              </w:rPr>
            </w:pPr>
            <w:r>
              <w:rPr>
                <w:rFonts w:hint="eastAsia" w:ascii="Times New Roman" w:hAnsi="Times New Roman" w:cs="Times New Roman"/>
                <w:color w:val="000000"/>
                <w:kern w:val="2"/>
                <w:sz w:val="24"/>
                <w:szCs w:val="24"/>
                <w:lang w:val="en-US" w:eastAsia="zh-CN" w:bidi="ar-SA"/>
              </w:rPr>
              <w:t>场地</w:t>
            </w:r>
            <w:r>
              <w:rPr>
                <w:rFonts w:hint="eastAsia" w:ascii="Times New Roman" w:hAnsi="Times New Roman" w:eastAsia="宋体" w:cs="Times New Roman"/>
                <w:color w:val="000000"/>
                <w:kern w:val="2"/>
                <w:sz w:val="24"/>
                <w:szCs w:val="24"/>
                <w:lang w:val="en-US" w:eastAsia="zh-CN" w:bidi="ar-SA"/>
              </w:rPr>
              <w:t>清洁废水：</w:t>
            </w:r>
            <w:r>
              <w:rPr>
                <w:rFonts w:hint="eastAsia" w:ascii="Times New Roman" w:hAnsi="Times New Roman" w:cs="Times New Roman"/>
                <w:color w:val="000000"/>
                <w:sz w:val="24"/>
                <w:szCs w:val="24"/>
                <w:lang w:val="en-US" w:eastAsia="zh-CN"/>
              </w:rPr>
              <w:t>地面清洁采用拖把湿拖，地面清洁后废水大部分蒸发，只有少量洗拖把废水产生，</w:t>
            </w:r>
            <w:r>
              <w:rPr>
                <w:rFonts w:hint="eastAsia" w:ascii="Times New Roman" w:hAnsi="Times New Roman" w:eastAsia="宋体" w:cs="Times New Roman"/>
                <w:color w:val="000000"/>
                <w:sz w:val="24"/>
                <w:szCs w:val="24"/>
                <w:lang w:val="en-GB"/>
              </w:rPr>
              <w:t>本项目地面清洁用水</w:t>
            </w:r>
            <w:r>
              <w:rPr>
                <w:rFonts w:hint="eastAsia" w:ascii="Times New Roman" w:hAnsi="Times New Roman" w:eastAsia="宋体" w:cs="Times New Roman"/>
                <w:color w:val="000000"/>
                <w:sz w:val="24"/>
                <w:szCs w:val="24"/>
                <w:lang w:val="en-US" w:eastAsia="zh-CN"/>
              </w:rPr>
              <w:t>为</w:t>
            </w:r>
            <w:r>
              <w:rPr>
                <w:rFonts w:hint="eastAsia" w:ascii="Times New Roman" w:hAnsi="Times New Roman" w:cs="Times New Roman"/>
                <w:color w:val="000000"/>
                <w:sz w:val="24"/>
                <w:szCs w:val="24"/>
                <w:lang w:val="en-US" w:eastAsia="zh-CN"/>
              </w:rPr>
              <w:t>0.3</w:t>
            </w:r>
            <w:r>
              <w:rPr>
                <w:rFonts w:hint="default" w:ascii="Times New Roman" w:hAnsi="Times New Roman" w:eastAsia="宋体" w:cs="Times New Roman"/>
                <w:color w:val="000000"/>
                <w:sz w:val="24"/>
                <w:szCs w:val="24"/>
                <w:lang w:val="en-US" w:eastAsia="zh-CN"/>
              </w:rPr>
              <w:t>t/</w:t>
            </w:r>
            <w:r>
              <w:rPr>
                <w:rFonts w:hint="eastAsia" w:ascii="Times New Roman" w:hAnsi="Times New Roman" w:eastAsia="宋体" w:cs="Times New Roman"/>
                <w:color w:val="000000"/>
                <w:sz w:val="24"/>
                <w:szCs w:val="24"/>
                <w:lang w:val="en-US" w:eastAsia="zh-CN"/>
              </w:rPr>
              <w:t>d、90t/a</w:t>
            </w:r>
            <w:r>
              <w:rPr>
                <w:rFonts w:hint="eastAsia" w:ascii="Times New Roman" w:hAnsi="Times New Roman" w:cs="Times New Roman"/>
                <w:color w:val="000000"/>
                <w:sz w:val="24"/>
                <w:szCs w:val="24"/>
                <w:lang w:val="en-GB" w:eastAsia="zh-CN"/>
              </w:rPr>
              <w:t>，</w:t>
            </w:r>
            <w:r>
              <w:rPr>
                <w:rFonts w:hint="eastAsia" w:ascii="Times New Roman" w:hAnsi="Times New Roman" w:cs="Times New Roman"/>
                <w:color w:val="000000"/>
                <w:sz w:val="24"/>
                <w:szCs w:val="24"/>
                <w:lang w:val="en-US" w:eastAsia="zh-CN"/>
              </w:rPr>
              <w:t>清洗废水</w:t>
            </w:r>
            <w:r>
              <w:rPr>
                <w:rFonts w:hint="eastAsia" w:ascii="Times New Roman" w:hAnsi="Times New Roman" w:cs="Times New Roman"/>
                <w:bCs/>
                <w:color w:val="000000"/>
                <w:sz w:val="24"/>
                <w:szCs w:val="24"/>
                <w:u w:val="none"/>
                <w:lang w:val="en-US" w:eastAsia="zh-CN"/>
              </w:rPr>
              <w:t>产生系数以0.8计，则产生的地面清洗废水量约0.24</w:t>
            </w:r>
            <w:r>
              <w:rPr>
                <w:rFonts w:hint="default" w:ascii="Times New Roman" w:hAnsi="Times New Roman" w:eastAsia="宋体" w:cs="Times New Roman"/>
                <w:color w:val="000000"/>
                <w:sz w:val="24"/>
                <w:szCs w:val="24"/>
                <w:lang w:val="en-US" w:eastAsia="zh-CN"/>
              </w:rPr>
              <w:t>t/</w:t>
            </w:r>
            <w:r>
              <w:rPr>
                <w:rFonts w:hint="eastAsia" w:ascii="Times New Roman" w:hAnsi="Times New Roman" w:eastAsia="宋体" w:cs="Times New Roman"/>
                <w:color w:val="000000"/>
                <w:sz w:val="24"/>
                <w:szCs w:val="24"/>
                <w:lang w:val="en-US" w:eastAsia="zh-CN"/>
              </w:rPr>
              <w:t>d、</w:t>
            </w:r>
            <w:r>
              <w:rPr>
                <w:rFonts w:hint="eastAsia" w:ascii="Times New Roman" w:hAnsi="Times New Roman" w:cs="Times New Roman"/>
                <w:bCs/>
                <w:color w:val="000000"/>
                <w:sz w:val="24"/>
                <w:szCs w:val="24"/>
                <w:u w:val="none"/>
                <w:lang w:val="en-US" w:eastAsia="zh-CN"/>
              </w:rPr>
              <w:t>72</w:t>
            </w:r>
            <w:r>
              <w:rPr>
                <w:rFonts w:hint="default" w:ascii="Times New Roman" w:hAnsi="Times New Roman" w:eastAsia="宋体" w:cs="Times New Roman"/>
                <w:color w:val="000000"/>
                <w:sz w:val="24"/>
                <w:szCs w:val="24"/>
                <w:lang w:val="en-US" w:eastAsia="zh-CN"/>
              </w:rPr>
              <w:t>t/a</w:t>
            </w:r>
            <w:r>
              <w:rPr>
                <w:rFonts w:hint="eastAsia" w:ascii="Times New Roman" w:hAnsi="Times New Roman" w:cs="Times New Roman"/>
                <w:color w:val="000000"/>
                <w:sz w:val="24"/>
                <w:szCs w:val="24"/>
                <w:lang w:val="en-US" w:eastAsia="zh-CN"/>
              </w:rPr>
              <w:t>。</w:t>
            </w:r>
            <w:r>
              <w:rPr>
                <w:rFonts w:hint="eastAsia" w:ascii="Times New Roman" w:hAnsi="Times New Roman" w:eastAsia="宋体" w:cs="Times New Roman"/>
                <w:color w:val="000000"/>
                <w:kern w:val="2"/>
                <w:sz w:val="24"/>
                <w:szCs w:val="24"/>
                <w:lang w:val="en-US" w:eastAsia="zh-CN" w:bidi="ar-SA"/>
              </w:rPr>
              <w:t>主要污染物为COD800mg/L、BOD</w:t>
            </w:r>
            <w:r>
              <w:rPr>
                <w:rFonts w:hint="eastAsia" w:ascii="Times New Roman" w:hAnsi="Times New Roman" w:eastAsia="宋体" w:cs="Times New Roman"/>
                <w:color w:val="000000"/>
                <w:kern w:val="2"/>
                <w:sz w:val="24"/>
                <w:szCs w:val="24"/>
                <w:vertAlign w:val="subscript"/>
                <w:lang w:val="en-US" w:eastAsia="zh-CN" w:bidi="ar-SA"/>
              </w:rPr>
              <w:t>5</w:t>
            </w:r>
            <w:r>
              <w:rPr>
                <w:rFonts w:hint="eastAsia" w:ascii="Times New Roman" w:hAnsi="Times New Roman" w:eastAsia="宋体" w:cs="Times New Roman"/>
                <w:color w:val="000000"/>
                <w:kern w:val="2"/>
                <w:sz w:val="24"/>
                <w:szCs w:val="24"/>
                <w:lang w:val="en-US" w:eastAsia="zh-CN" w:bidi="ar-SA"/>
              </w:rPr>
              <w:t xml:space="preserve"> 500mg/L、SS400mg/L、NH</w:t>
            </w:r>
            <w:r>
              <w:rPr>
                <w:rFonts w:hint="eastAsia" w:ascii="Times New Roman" w:hAnsi="Times New Roman" w:eastAsia="宋体" w:cs="Times New Roman"/>
                <w:color w:val="000000"/>
                <w:kern w:val="2"/>
                <w:sz w:val="24"/>
                <w:szCs w:val="24"/>
                <w:vertAlign w:val="subscript"/>
                <w:lang w:val="en-US" w:eastAsia="zh-CN" w:bidi="ar-SA"/>
              </w:rPr>
              <w:t>3</w:t>
            </w:r>
            <w:r>
              <w:rPr>
                <w:rFonts w:hint="eastAsia" w:ascii="Times New Roman" w:hAnsi="Times New Roman" w:eastAsia="宋体" w:cs="Times New Roman"/>
                <w:color w:val="000000"/>
                <w:kern w:val="2"/>
                <w:sz w:val="24"/>
                <w:szCs w:val="24"/>
                <w:lang w:val="en-US" w:eastAsia="zh-CN" w:bidi="ar-SA"/>
              </w:rPr>
              <w:t>-N30mg/L。</w:t>
            </w:r>
          </w:p>
          <w:p>
            <w:pPr>
              <w:widowControl w:val="0"/>
              <w:spacing w:line="360" w:lineRule="auto"/>
              <w:ind w:firstLine="480" w:firstLineChars="200"/>
              <w:jc w:val="both"/>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碱液喷淋水：项目生物质锅炉废气碱液喷淋水循环使用不外排，消耗后定期补充。</w:t>
            </w:r>
          </w:p>
          <w:p>
            <w:pPr>
              <w:spacing w:line="360" w:lineRule="auto"/>
              <w:ind w:firstLine="480" w:firstLineChars="200"/>
              <w:rPr>
                <w:rFonts w:hint="default"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软</w:t>
            </w:r>
            <w:r>
              <w:rPr>
                <w:rFonts w:hint="eastAsia" w:ascii="Times New Roman" w:hAnsi="Times New Roman" w:eastAsia="宋体" w:cs="Times New Roman"/>
                <w:color w:val="000000"/>
                <w:sz w:val="24"/>
                <w:szCs w:val="24"/>
              </w:rPr>
              <w:t>水制备浓水：</w:t>
            </w:r>
            <w:r>
              <w:rPr>
                <w:rFonts w:hint="eastAsia" w:ascii="Times New Roman" w:hAnsi="Times New Roman" w:cs="Times New Roman"/>
                <w:color w:val="000000"/>
                <w:sz w:val="24"/>
                <w:szCs w:val="24"/>
                <w:u w:val="none"/>
                <w:lang w:val="en-US" w:eastAsia="zh-CN"/>
              </w:rPr>
              <w:t>本项目</w:t>
            </w:r>
            <w:r>
              <w:rPr>
                <w:rFonts w:hint="eastAsia" w:ascii="Times New Roman" w:hAnsi="Times New Roman" w:eastAsia="宋体" w:cs="Times New Roman"/>
                <w:color w:val="000000" w:themeColor="text1"/>
                <w:sz w:val="24"/>
                <w:szCs w:val="24"/>
                <w:u w:val="none"/>
                <w14:textFill>
                  <w14:solidFill>
                    <w14:schemeClr w14:val="tx1"/>
                  </w14:solidFill>
                </w14:textFill>
              </w:rPr>
              <w:t>锅炉用水</w:t>
            </w:r>
            <w:r>
              <w:rPr>
                <w:rFonts w:hint="eastAsia" w:ascii="Times New Roman" w:hAnsi="Times New Roman" w:cs="Times New Roman"/>
                <w:color w:val="000000" w:themeColor="text1"/>
                <w:sz w:val="24"/>
                <w:szCs w:val="24"/>
                <w:u w:val="none"/>
                <w:lang w:val="en-US" w:eastAsia="zh-CN"/>
                <w14:textFill>
                  <w14:solidFill>
                    <w14:schemeClr w14:val="tx1"/>
                  </w14:solidFill>
                </w14:textFill>
              </w:rPr>
              <w:t>需使用</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软</w:t>
            </w:r>
            <w:r>
              <w:rPr>
                <w:rFonts w:hint="eastAsia" w:ascii="Times New Roman" w:hAnsi="Times New Roman" w:cs="Times New Roman"/>
                <w:color w:val="000000" w:themeColor="text1"/>
                <w:sz w:val="24"/>
                <w:szCs w:val="24"/>
                <w:u w:val="none"/>
                <w:lang w:val="en-US" w:eastAsia="zh-CN"/>
                <w14:textFill>
                  <w14:solidFill>
                    <w14:schemeClr w14:val="tx1"/>
                  </w14:solidFill>
                </w14:textFill>
              </w:rPr>
              <w:t>水，</w:t>
            </w:r>
            <w:r>
              <w:rPr>
                <w:rFonts w:hint="eastAsia" w:ascii="Times New Roman" w:hAnsi="Times New Roman" w:eastAsia="宋体" w:cs="Times New Roman"/>
                <w:color w:val="000000" w:themeColor="text1"/>
                <w:sz w:val="24"/>
                <w:szCs w:val="24"/>
                <w:u w:val="none"/>
                <w14:textFill>
                  <w14:solidFill>
                    <w14:schemeClr w14:val="tx1"/>
                  </w14:solidFill>
                </w14:textFill>
              </w:rPr>
              <w:t>共计</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15.58t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/d（</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4672.5t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/a）</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u w:val="none"/>
                <w14:textFill>
                  <w14:solidFill>
                    <w14:schemeClr w14:val="tx1"/>
                  </w14:solidFill>
                </w14:textFill>
              </w:rPr>
              <w:t>项目</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软</w:t>
            </w:r>
            <w:r>
              <w:rPr>
                <w:rFonts w:hint="eastAsia" w:ascii="Times New Roman" w:hAnsi="Times New Roman" w:eastAsia="宋体" w:cs="Times New Roman"/>
                <w:color w:val="000000" w:themeColor="text1"/>
                <w:sz w:val="24"/>
                <w:szCs w:val="24"/>
                <w:u w:val="none"/>
                <w14:textFill>
                  <w14:solidFill>
                    <w14:schemeClr w14:val="tx1"/>
                  </w14:solidFill>
                </w14:textFill>
              </w:rPr>
              <w:t>水制备效率为80%，则新鲜水用量为</w:t>
            </w:r>
            <w:r>
              <w:rPr>
                <w:rFonts w:hint="eastAsia" w:ascii="Times New Roman" w:hAnsi="Times New Roman" w:cs="Times New Roman"/>
                <w:color w:val="000000" w:themeColor="text1"/>
                <w:sz w:val="24"/>
                <w:szCs w:val="24"/>
                <w:u w:val="none"/>
                <w:lang w:val="en-US" w:eastAsia="zh-CN"/>
                <w14:textFill>
                  <w14:solidFill>
                    <w14:schemeClr w14:val="tx1"/>
                  </w14:solidFill>
                </w14:textFill>
              </w:rPr>
              <w:t>19.47</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/d</w:t>
            </w:r>
            <w:r>
              <w:rPr>
                <w:rFonts w:hint="eastAsia" w:ascii="Times New Roman" w:hAnsi="Times New Roman" w:cs="Times New Roman"/>
                <w:color w:val="000000" w:themeColor="text1"/>
                <w:sz w:val="24"/>
                <w:szCs w:val="24"/>
                <w:u w:val="none"/>
                <w:lang w:eastAsia="zh-CN"/>
                <w14:textFill>
                  <w14:solidFill>
                    <w14:schemeClr w14:val="tx1"/>
                  </w14:solidFill>
                </w14:textFill>
              </w:rPr>
              <w:t>（</w:t>
            </w:r>
            <w:r>
              <w:rPr>
                <w:rFonts w:hint="eastAsia" w:ascii="Times New Roman" w:hAnsi="Times New Roman" w:cs="Times New Roman"/>
                <w:color w:val="000000" w:themeColor="text1"/>
                <w:sz w:val="24"/>
                <w:szCs w:val="24"/>
                <w:u w:val="none"/>
                <w:lang w:val="en-US" w:eastAsia="zh-CN"/>
                <w14:textFill>
                  <w14:solidFill>
                    <w14:schemeClr w14:val="tx1"/>
                  </w14:solidFill>
                </w14:textFill>
              </w:rPr>
              <w:t>5840.63</w:t>
            </w:r>
            <w:r>
              <w:rPr>
                <w:rFonts w:hint="eastAsia" w:ascii="Times New Roman" w:hAnsi="Times New Roman" w:cs="Times New Roman"/>
                <w:b w:val="0"/>
                <w:bCs w:val="0"/>
                <w:color w:val="000000" w:themeColor="text1"/>
                <w:kern w:val="0"/>
                <w:sz w:val="24"/>
                <w:szCs w:val="24"/>
                <w:u w:val="none"/>
                <w:lang w:val="en-US" w:eastAsia="zh-CN" w:bidi="ar-SA"/>
                <w14:textFill>
                  <w14:solidFill>
                    <w14:schemeClr w14:val="tx1"/>
                  </w14:solidFill>
                </w14:textFill>
              </w:rPr>
              <w:t>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/a</w:t>
            </w:r>
            <w:r>
              <w:rPr>
                <w:rFonts w:hint="eastAsia" w:ascii="Times New Roman" w:hAnsi="Times New Roman" w:cs="Times New Roman"/>
                <w:color w:val="000000" w:themeColor="text1"/>
                <w:sz w:val="24"/>
                <w:szCs w:val="24"/>
                <w:u w:val="none"/>
                <w:lang w:eastAsia="zh-CN"/>
                <w14:textFill>
                  <w14:solidFill>
                    <w14:schemeClr w14:val="tx1"/>
                  </w14:solidFill>
                </w14:textFill>
              </w:rPr>
              <w:t>），</w:t>
            </w:r>
            <w:r>
              <w:rPr>
                <w:rFonts w:hint="eastAsia" w:ascii="Times New Roman" w:hAnsi="Times New Roman" w:cs="Times New Roman"/>
                <w:color w:val="000000" w:themeColor="text1"/>
                <w:sz w:val="24"/>
                <w:szCs w:val="24"/>
                <w:u w:val="none"/>
                <w:lang w:val="en-US" w:eastAsia="zh-CN"/>
                <w14:textFill>
                  <w14:solidFill>
                    <w14:schemeClr w14:val="tx1"/>
                  </w14:solidFill>
                </w14:textFill>
              </w:rPr>
              <w:t>则产生浓水约3.89</w:t>
            </w:r>
            <w:r>
              <w:rPr>
                <w:rFonts w:hint="eastAsia" w:ascii="Times New Roman" w:hAnsi="Times New Roman" w:cs="Times New Roman"/>
                <w:b w:val="0"/>
                <w:bCs w:val="0"/>
                <w:color w:val="000000" w:themeColor="text1"/>
                <w:kern w:val="0"/>
                <w:sz w:val="24"/>
                <w:szCs w:val="24"/>
                <w:u w:val="none"/>
                <w:lang w:val="en-US" w:eastAsia="zh-CN" w:bidi="ar-SA"/>
                <w14:textFill>
                  <w14:solidFill>
                    <w14:schemeClr w14:val="tx1"/>
                  </w14:solidFill>
                </w14:textFill>
              </w:rPr>
              <w:t>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d，</w:t>
            </w:r>
            <w:r>
              <w:rPr>
                <w:rFonts w:hint="eastAsia" w:ascii="Times New Roman" w:hAnsi="Times New Roman" w:cs="Times New Roman"/>
                <w:color w:val="000000" w:themeColor="text1"/>
                <w:sz w:val="24"/>
                <w:szCs w:val="24"/>
                <w:u w:val="none"/>
                <w:lang w:val="en-US" w:eastAsia="zh-CN"/>
                <w14:textFill>
                  <w14:solidFill>
                    <w14:schemeClr w14:val="tx1"/>
                  </w14:solidFill>
                </w14:textFill>
              </w:rPr>
              <w:t>1168.13</w:t>
            </w:r>
            <w:r>
              <w:rPr>
                <w:rFonts w:hint="eastAsia" w:ascii="Times New Roman" w:hAnsi="Times New Roman" w:cs="Times New Roman"/>
                <w:b w:val="0"/>
                <w:bCs w:val="0"/>
                <w:color w:val="000000" w:themeColor="text1"/>
                <w:kern w:val="0"/>
                <w:sz w:val="24"/>
                <w:szCs w:val="24"/>
                <w:u w:val="none"/>
                <w:lang w:val="en-US" w:eastAsia="zh-CN" w:bidi="ar-SA"/>
                <w14:textFill>
                  <w14:solidFill>
                    <w14:schemeClr w14:val="tx1"/>
                  </w14:solidFill>
                </w14:textFill>
              </w:rPr>
              <w:t>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/a</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w:t>
            </w:r>
            <w:r>
              <w:rPr>
                <w:rFonts w:hint="eastAsia" w:ascii="Times New Roman" w:hAnsi="Times New Roman" w:eastAsia="宋体" w:cs="Times New Roman"/>
                <w:color w:val="000000"/>
                <w:sz w:val="24"/>
                <w:szCs w:val="24"/>
                <w:u w:val="none"/>
              </w:rPr>
              <w:t>排污水属于清净下水，</w:t>
            </w:r>
            <w:r>
              <w:rPr>
                <w:rFonts w:hint="eastAsia" w:ascii="Times New Roman" w:hAnsi="Times New Roman" w:cs="Times New Roman"/>
                <w:color w:val="000000"/>
                <w:sz w:val="24"/>
                <w:szCs w:val="24"/>
                <w:u w:val="none"/>
                <w:lang w:val="en-US" w:eastAsia="zh-CN"/>
              </w:rPr>
              <w:t>用于周边绿化。</w:t>
            </w:r>
          </w:p>
          <w:p>
            <w:pPr>
              <w:widowControl w:val="0"/>
              <w:spacing w:line="360" w:lineRule="auto"/>
              <w:ind w:firstLine="480" w:firstLineChars="200"/>
              <w:jc w:val="both"/>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rPr>
              <w:t>锅炉排污水</w:t>
            </w:r>
            <w:r>
              <w:rPr>
                <w:rFonts w:hint="eastAsia" w:ascii="Times New Roman" w:hAnsi="Times New Roman" w:cs="Times New Roman"/>
                <w:color w:val="000000"/>
                <w:sz w:val="24"/>
                <w:szCs w:val="24"/>
                <w:lang w:eastAsia="zh-CN"/>
              </w:rPr>
              <w: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项目锅炉</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启动</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水量为</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140</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t/d（</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42000</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t/a），</w:t>
            </w:r>
            <w:r>
              <w:rPr>
                <w:rFonts w:hint="eastAsia" w:ascii="Times New Roman" w:hAnsi="Times New Roman" w:cs="Times New Roman"/>
                <w:color w:val="000000"/>
                <w:kern w:val="2"/>
                <w:sz w:val="24"/>
                <w:szCs w:val="24"/>
                <w:u w:val="none"/>
                <w:lang w:val="en-US" w:eastAsia="zh-CN" w:bidi="ar-SA"/>
              </w:rPr>
              <w:t>锅炉首次启动用水量为42000吨，需</w:t>
            </w:r>
            <w:r>
              <w:rPr>
                <w:rFonts w:hint="eastAsia" w:ascii="Times New Roman" w:hAnsi="Times New Roman" w:cs="Times New Roman"/>
                <w:color w:val="000000" w:themeColor="text1"/>
                <w:sz w:val="24"/>
                <w:szCs w:val="24"/>
                <w:lang w:val="en-US" w:eastAsia="zh-CN"/>
                <w14:textFill>
                  <w14:solidFill>
                    <w14:schemeClr w14:val="tx1"/>
                  </w14:solidFill>
                </w14:textFill>
              </w:rPr>
              <w:t>软水机制备用新鲜水52500吨，该用水不计入项目每年总用水量中，产生的排污水量为10500吨/首次。</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生产过程采用间接蒸汽加热，蒸汽冷凝后回流循环使用，本项目锅炉排污取2%，管道汽水损失一般为3%，</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煮浆和回润工序采用直接加热，煮浆工序蒸汽一部分进入豆浆（约1920t/a），一部分蒸发损耗（约480t/a），回润工序一部分进入产品（22.73t/a），一部分化为蒸汽水（27.27t/a），在回润房内设置排水导流沟。则锅炉排污水量约</w:t>
            </w:r>
            <w:r>
              <w:rPr>
                <w:rFonts w:hint="eastAsia" w:ascii="Times New Roman" w:hAnsi="Times New Roman" w:cs="Times New Roman"/>
                <w:color w:val="000000" w:themeColor="text1"/>
                <w:sz w:val="24"/>
                <w:szCs w:val="24"/>
                <w:lang w:val="en-US" w:eastAsia="zh-CN"/>
                <w14:textFill>
                  <w14:solidFill>
                    <w14:schemeClr w14:val="tx1"/>
                  </w14:solidFill>
                </w14:textFill>
              </w:rPr>
              <w:t>8.575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w:t>
            </w:r>
            <w:r>
              <w:rPr>
                <w:rFonts w:hint="eastAsia" w:ascii="Times New Roman" w:hAnsi="Times New Roman" w:cs="Times New Roman"/>
                <w:color w:val="000000" w:themeColor="text1"/>
                <w:sz w:val="24"/>
                <w:szCs w:val="24"/>
                <w:lang w:val="en-US" w:eastAsia="zh-CN"/>
                <w14:textFill>
                  <w14:solidFill>
                    <w14:schemeClr w14:val="tx1"/>
                  </w14:solidFill>
                </w14:textFill>
              </w:rPr>
              <w:t>2572.5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cs="Times New Roman"/>
                <w:color w:val="000000" w:themeColor="text1"/>
                <w:sz w:val="24"/>
                <w:szCs w:val="24"/>
                <w:lang w:val="en-GB"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损耗量约</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7t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/d（</w:t>
            </w:r>
            <w:r>
              <w:rPr>
                <w:rFonts w:hint="eastAsia" w:ascii="Times New Roman" w:hAnsi="Times New Roman" w:cs="Times New Roman"/>
                <w:b w:val="0"/>
                <w:bCs w:val="0"/>
                <w:color w:val="000000" w:themeColor="text1"/>
                <w:kern w:val="2"/>
                <w:sz w:val="24"/>
                <w:szCs w:val="24"/>
                <w:u w:val="none"/>
                <w:lang w:val="en-US" w:eastAsia="zh-CN" w:bidi="ar-SA"/>
                <w14:textFill>
                  <w14:solidFill>
                    <w14:schemeClr w14:val="tx1"/>
                  </w14:solidFill>
                </w14:textFill>
              </w:rPr>
              <w:t>2100t</w:t>
            </w:r>
            <w:r>
              <w:rPr>
                <w:rFonts w:hint="eastAsia" w:ascii="Times New Roman" w:hAnsi="Times New Roman" w:eastAsia="宋体" w:cs="Times New Roman"/>
                <w:b w:val="0"/>
                <w:bCs w:val="0"/>
                <w:color w:val="000000" w:themeColor="text1"/>
                <w:kern w:val="2"/>
                <w:sz w:val="24"/>
                <w:szCs w:val="24"/>
                <w:u w:val="none"/>
                <w:lang w:val="en-US" w:eastAsia="zh-CN" w:bidi="ar-SA"/>
                <w14:textFill>
                  <w14:solidFill>
                    <w14:schemeClr w14:val="tx1"/>
                  </w14:solidFill>
                </w14:textFill>
              </w:rPr>
              <w:t>/a）</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sz w:val="24"/>
                <w:szCs w:val="24"/>
                <w:u w:val="none"/>
              </w:rPr>
              <w:t>排污水属于清净下水</w:t>
            </w:r>
            <w:r>
              <w:rPr>
                <w:rFonts w:hint="eastAsia" w:ascii="Times New Roman" w:hAnsi="Times New Roman" w:cs="Times New Roman"/>
                <w:color w:val="000000"/>
                <w:sz w:val="24"/>
                <w:szCs w:val="24"/>
                <w:u w:val="none"/>
                <w:lang w:eastAsia="zh-CN"/>
              </w:rPr>
              <w:t>，</w:t>
            </w:r>
            <w:r>
              <w:rPr>
                <w:rFonts w:hint="eastAsia" w:ascii="Times New Roman" w:hAnsi="Times New Roman" w:eastAsia="宋体" w:cs="Times New Roman"/>
                <w:color w:val="000000"/>
                <w:sz w:val="24"/>
                <w:szCs w:val="24"/>
                <w:u w:val="none"/>
                <w:lang w:val="en-US" w:eastAsia="zh-CN"/>
              </w:rPr>
              <w:t>用于周边绿化。</w:t>
            </w:r>
          </w:p>
          <w:p>
            <w:pPr>
              <w:spacing w:line="360" w:lineRule="auto"/>
              <w:ind w:firstLine="480" w:firstLineChars="200"/>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本项目生产废水产生情况见下表：</w:t>
            </w:r>
          </w:p>
          <w:p>
            <w:pPr>
              <w:widowControl w:val="0"/>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r>
              <w:rPr>
                <w:rFonts w:hint="eastAsia" w:ascii="Times New Roman" w:hAnsi="Times New Roman" w:eastAsia="宋体" w:cs="Times New Roman"/>
                <w:b/>
                <w:color w:val="000000"/>
                <w:kern w:val="2"/>
                <w:sz w:val="21"/>
                <w:szCs w:val="21"/>
                <w:lang w:val="en-US" w:eastAsia="zh-CN" w:bidi="ar-SA"/>
              </w:rPr>
              <w:t>表</w:t>
            </w:r>
            <w:r>
              <w:rPr>
                <w:rFonts w:hint="eastAsia" w:ascii="Times New Roman" w:hAnsi="Times New Roman" w:cs="Times New Roman"/>
                <w:b/>
                <w:color w:val="000000"/>
                <w:kern w:val="2"/>
                <w:sz w:val="21"/>
                <w:szCs w:val="21"/>
                <w:lang w:val="en-US" w:eastAsia="zh-CN" w:bidi="ar-SA"/>
              </w:rPr>
              <w:t>4</w:t>
            </w:r>
            <w:r>
              <w:rPr>
                <w:rFonts w:ascii="Times New Roman" w:hAnsi="Times New Roman" w:eastAsia="宋体" w:cs="Times New Roman"/>
                <w:b/>
                <w:color w:val="000000"/>
                <w:kern w:val="2"/>
                <w:sz w:val="21"/>
                <w:szCs w:val="21"/>
                <w:lang w:val="en-US" w:eastAsia="zh-CN" w:bidi="ar-SA"/>
              </w:rPr>
              <w:t>-</w:t>
            </w:r>
            <w:r>
              <w:rPr>
                <w:rFonts w:hint="eastAsia" w:ascii="Times New Roman" w:hAnsi="Times New Roman" w:cs="Times New Roman"/>
                <w:b/>
                <w:color w:val="000000"/>
                <w:kern w:val="2"/>
                <w:sz w:val="21"/>
                <w:szCs w:val="21"/>
                <w:lang w:val="en-US" w:eastAsia="zh-CN" w:bidi="ar-SA"/>
              </w:rPr>
              <w:t>15</w:t>
            </w:r>
            <w:r>
              <w:rPr>
                <w:rFonts w:ascii="Times New Roman" w:hAnsi="Times New Roman" w:eastAsia="宋体" w:cs="Times New Roman"/>
                <w:b/>
                <w:color w:val="000000"/>
                <w:kern w:val="2"/>
                <w:sz w:val="21"/>
                <w:szCs w:val="21"/>
                <w:lang w:val="en-US" w:eastAsia="zh-CN" w:bidi="ar-SA"/>
              </w:rPr>
              <w:t xml:space="preserve">  </w:t>
            </w:r>
            <w:r>
              <w:rPr>
                <w:rFonts w:hint="eastAsia" w:ascii="Times New Roman" w:hAnsi="Times New Roman" w:eastAsia="宋体" w:cs="Times New Roman"/>
                <w:b/>
                <w:color w:val="000000"/>
                <w:kern w:val="2"/>
                <w:sz w:val="21"/>
                <w:szCs w:val="21"/>
                <w:lang w:val="en-US" w:eastAsia="zh-CN" w:bidi="ar-SA"/>
              </w:rPr>
              <w:t>项目生产废水产生情况一览表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357"/>
              <w:gridCol w:w="1306"/>
              <w:gridCol w:w="1316"/>
              <w:gridCol w:w="1303"/>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9" w:type="pct"/>
                  <w:noWrap w:val="0"/>
                  <w:vAlign w:val="center"/>
                </w:tcPr>
                <w:p>
                  <w:pPr>
                    <w:snapToGrid w:val="0"/>
                    <w:spacing w:line="240" w:lineRule="auto"/>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rPr>
                    <w:t>废水名称</w:t>
                  </w:r>
                </w:p>
              </w:tc>
              <w:tc>
                <w:tcPr>
                  <w:tcW w:w="821" w:type="pct"/>
                  <w:noWrap w:val="0"/>
                  <w:vAlign w:val="center"/>
                </w:tcPr>
                <w:p>
                  <w:pPr>
                    <w:snapToGrid w:val="0"/>
                    <w:spacing w:line="240" w:lineRule="auto"/>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rPr>
                    <w:t>水量（</w:t>
                  </w:r>
                  <w:r>
                    <w:rPr>
                      <w:rFonts w:hint="eastAsia" w:ascii="Times New Roman" w:hAnsi="Times New Roman" w:cs="Times New Roman" w:eastAsiaTheme="minorEastAsia"/>
                      <w:b w:val="0"/>
                      <w:bCs w:val="0"/>
                      <w:color w:val="000000"/>
                      <w:sz w:val="21"/>
                      <w:szCs w:val="21"/>
                      <w:lang w:val="en-US" w:eastAsia="zh-CN"/>
                    </w:rPr>
                    <w:t>t</w:t>
                  </w:r>
                  <w:r>
                    <w:rPr>
                      <w:rFonts w:hint="default" w:ascii="Times New Roman" w:hAnsi="Times New Roman" w:cs="Times New Roman" w:eastAsiaTheme="minorEastAsia"/>
                      <w:b w:val="0"/>
                      <w:bCs w:val="0"/>
                      <w:color w:val="000000"/>
                      <w:sz w:val="21"/>
                      <w:szCs w:val="21"/>
                    </w:rPr>
                    <w:t>/a）</w:t>
                  </w:r>
                </w:p>
              </w:tc>
              <w:tc>
                <w:tcPr>
                  <w:tcW w:w="790" w:type="pct"/>
                  <w:noWrap w:val="0"/>
                  <w:vAlign w:val="center"/>
                </w:tcPr>
                <w:p>
                  <w:pPr>
                    <w:snapToGrid w:val="0"/>
                    <w:spacing w:line="240" w:lineRule="auto"/>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rPr>
                    <w:t>COD</w:t>
                  </w:r>
                </w:p>
              </w:tc>
              <w:tc>
                <w:tcPr>
                  <w:tcW w:w="796" w:type="pct"/>
                  <w:noWrap w:val="0"/>
                  <w:vAlign w:val="center"/>
                </w:tcPr>
                <w:p>
                  <w:pPr>
                    <w:snapToGrid w:val="0"/>
                    <w:spacing w:line="240" w:lineRule="auto"/>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rPr>
                    <w:t>BOD</w:t>
                  </w:r>
                  <w:r>
                    <w:rPr>
                      <w:rFonts w:hint="default" w:ascii="Times New Roman" w:hAnsi="Times New Roman" w:cs="Times New Roman" w:eastAsiaTheme="minorEastAsia"/>
                      <w:b w:val="0"/>
                      <w:bCs w:val="0"/>
                      <w:color w:val="000000"/>
                      <w:sz w:val="21"/>
                      <w:szCs w:val="21"/>
                      <w:vertAlign w:val="subscript"/>
                    </w:rPr>
                    <w:t>5</w:t>
                  </w:r>
                </w:p>
              </w:tc>
              <w:tc>
                <w:tcPr>
                  <w:tcW w:w="788" w:type="pct"/>
                  <w:noWrap w:val="0"/>
                  <w:vAlign w:val="center"/>
                </w:tcPr>
                <w:p>
                  <w:pPr>
                    <w:snapToGrid w:val="0"/>
                    <w:spacing w:line="240" w:lineRule="auto"/>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rPr>
                    <w:t>SS</w:t>
                  </w:r>
                </w:p>
              </w:tc>
              <w:tc>
                <w:tcPr>
                  <w:tcW w:w="803" w:type="pct"/>
                  <w:noWrap w:val="0"/>
                  <w:vAlign w:val="center"/>
                </w:tcPr>
                <w:p>
                  <w:pPr>
                    <w:snapToGrid w:val="0"/>
                    <w:spacing w:line="240" w:lineRule="auto"/>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rPr>
                    <w:t>NH</w:t>
                  </w:r>
                  <w:r>
                    <w:rPr>
                      <w:rFonts w:hint="default" w:ascii="Times New Roman" w:hAnsi="Times New Roman" w:cs="Times New Roman" w:eastAsiaTheme="minorEastAsia"/>
                      <w:b w:val="0"/>
                      <w:bCs w:val="0"/>
                      <w:color w:val="000000"/>
                      <w:sz w:val="21"/>
                      <w:szCs w:val="21"/>
                      <w:vertAlign w:val="subscript"/>
                    </w:rPr>
                    <w:t>3</w:t>
                  </w:r>
                  <w:r>
                    <w:rPr>
                      <w:rFonts w:hint="default" w:ascii="Times New Roman" w:hAnsi="Times New Roman" w:cs="Times New Roman" w:eastAsiaTheme="minorEastAsia"/>
                      <w:b w:val="0"/>
                      <w:bCs w:val="0"/>
                      <w:color w:val="000000"/>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9" w:type="pct"/>
                  <w:noWrap w:val="0"/>
                  <w:vAlign w:val="center"/>
                </w:tcPr>
                <w:p>
                  <w:pPr>
                    <w:snapToGrid w:val="0"/>
                    <w:spacing w:line="240" w:lineRule="auto"/>
                    <w:jc w:val="center"/>
                    <w:rPr>
                      <w:rFonts w:hint="default" w:ascii="Times New Roman" w:hAnsi="Times New Roman" w:cs="Times New Roman" w:eastAsiaTheme="minorEastAsia"/>
                      <w:b w:val="0"/>
                      <w:bCs w:val="0"/>
                      <w:color w:val="000000"/>
                      <w:sz w:val="21"/>
                      <w:szCs w:val="21"/>
                      <w:lang w:val="en-US" w:eastAsia="zh-CN"/>
                    </w:rPr>
                  </w:pPr>
                  <w:r>
                    <w:rPr>
                      <w:rFonts w:hint="eastAsia" w:ascii="Times New Roman" w:hAnsi="Times New Roman" w:cs="Times New Roman" w:eastAsiaTheme="minorEastAsia"/>
                      <w:b w:val="0"/>
                      <w:bCs w:val="0"/>
                      <w:color w:val="000000"/>
                      <w:sz w:val="21"/>
                      <w:szCs w:val="21"/>
                      <w:lang w:val="en-US" w:eastAsia="zh-CN"/>
                    </w:rPr>
                    <w:t>大豆清洗废水</w:t>
                  </w:r>
                </w:p>
              </w:tc>
              <w:tc>
                <w:tcPr>
                  <w:tcW w:w="821" w:type="pct"/>
                  <w:noWrap w:val="0"/>
                  <w:vAlign w:val="center"/>
                </w:tcPr>
                <w:p>
                  <w:pPr>
                    <w:snapToGrid w:val="0"/>
                    <w:spacing w:line="240" w:lineRule="auto"/>
                    <w:jc w:val="center"/>
                    <w:rPr>
                      <w:rFonts w:hint="default" w:ascii="Times New Roman" w:hAnsi="Times New Roman" w:cs="Times New Roman" w:eastAsiaTheme="minorEastAsia"/>
                      <w:b w:val="0"/>
                      <w:bCs w:val="0"/>
                      <w:color w:val="000000"/>
                      <w:sz w:val="21"/>
                      <w:szCs w:val="21"/>
                      <w:lang w:val="en-US" w:eastAsia="zh-CN"/>
                    </w:rPr>
                  </w:pPr>
                  <w:r>
                    <w:rPr>
                      <w:rFonts w:hint="eastAsia" w:ascii="Times New Roman" w:hAnsi="Times New Roman" w:cs="Times New Roman" w:eastAsiaTheme="minorEastAsia"/>
                      <w:b w:val="0"/>
                      <w:bCs w:val="0"/>
                      <w:color w:val="000000"/>
                      <w:sz w:val="21"/>
                      <w:szCs w:val="21"/>
                      <w:lang w:val="en-US" w:eastAsia="zh-CN"/>
                    </w:rPr>
                    <w:t>2906.704</w:t>
                  </w:r>
                </w:p>
              </w:tc>
              <w:tc>
                <w:tcPr>
                  <w:tcW w:w="790" w:type="pct"/>
                  <w:noWrap w:val="0"/>
                  <w:vAlign w:val="center"/>
                </w:tcPr>
                <w:p>
                  <w:pPr>
                    <w:widowControl w:val="0"/>
                    <w:spacing w:line="240" w:lineRule="auto"/>
                    <w:jc w:val="center"/>
                    <w:rPr>
                      <w:rFonts w:hint="default" w:ascii="Times New Roman" w:hAnsi="Times New Roman" w:cs="Times New Roman" w:eastAsiaTheme="minorEastAsia"/>
                      <w:b w:val="0"/>
                      <w:bCs w:val="0"/>
                      <w:color w:val="000000"/>
                      <w:kern w:val="2"/>
                      <w:sz w:val="21"/>
                      <w:szCs w:val="21"/>
                      <w:lang w:val="en-US" w:eastAsia="zh-CN" w:bidi="ar-SA"/>
                    </w:rPr>
                  </w:pPr>
                  <w:r>
                    <w:rPr>
                      <w:rFonts w:hint="default" w:ascii="Times New Roman" w:hAnsi="Times New Roman" w:cs="Times New Roman" w:eastAsiaTheme="minorEastAsia"/>
                      <w:b w:val="0"/>
                      <w:bCs w:val="0"/>
                      <w:color w:val="000000"/>
                      <w:kern w:val="2"/>
                      <w:sz w:val="21"/>
                      <w:szCs w:val="21"/>
                      <w:lang w:val="en-US" w:eastAsia="zh-CN" w:bidi="ar-SA"/>
                    </w:rPr>
                    <w:t>600</w:t>
                  </w:r>
                </w:p>
              </w:tc>
              <w:tc>
                <w:tcPr>
                  <w:tcW w:w="796" w:type="pct"/>
                  <w:noWrap w:val="0"/>
                  <w:vAlign w:val="center"/>
                </w:tcPr>
                <w:p>
                  <w:pPr>
                    <w:widowControl w:val="0"/>
                    <w:spacing w:line="240" w:lineRule="auto"/>
                    <w:jc w:val="center"/>
                    <w:rPr>
                      <w:rFonts w:hint="default" w:ascii="Times New Roman" w:hAnsi="Times New Roman" w:cs="Times New Roman" w:eastAsiaTheme="minorEastAsia"/>
                      <w:b w:val="0"/>
                      <w:bCs w:val="0"/>
                      <w:color w:val="000000"/>
                      <w:kern w:val="2"/>
                      <w:sz w:val="21"/>
                      <w:szCs w:val="21"/>
                      <w:lang w:val="en-US" w:eastAsia="zh-CN" w:bidi="ar-SA"/>
                    </w:rPr>
                  </w:pPr>
                  <w:r>
                    <w:rPr>
                      <w:rFonts w:hint="default" w:ascii="Times New Roman" w:hAnsi="Times New Roman" w:cs="Times New Roman" w:eastAsiaTheme="minorEastAsia"/>
                      <w:b w:val="0"/>
                      <w:bCs w:val="0"/>
                      <w:color w:val="000000"/>
                      <w:kern w:val="2"/>
                      <w:sz w:val="21"/>
                      <w:szCs w:val="21"/>
                      <w:lang w:val="en-US" w:eastAsia="zh-CN" w:bidi="ar-SA"/>
                    </w:rPr>
                    <w:t>400</w:t>
                  </w:r>
                </w:p>
              </w:tc>
              <w:tc>
                <w:tcPr>
                  <w:tcW w:w="788" w:type="pct"/>
                  <w:noWrap w:val="0"/>
                  <w:vAlign w:val="center"/>
                </w:tcPr>
                <w:p>
                  <w:pPr>
                    <w:widowControl w:val="0"/>
                    <w:spacing w:line="240" w:lineRule="auto"/>
                    <w:jc w:val="center"/>
                    <w:rPr>
                      <w:rFonts w:hint="default" w:ascii="Times New Roman" w:hAnsi="Times New Roman" w:cs="Times New Roman" w:eastAsiaTheme="minorEastAsia"/>
                      <w:b w:val="0"/>
                      <w:bCs w:val="0"/>
                      <w:color w:val="000000"/>
                      <w:kern w:val="2"/>
                      <w:sz w:val="21"/>
                      <w:szCs w:val="21"/>
                      <w:lang w:val="en-US" w:eastAsia="zh-CN" w:bidi="ar-SA"/>
                    </w:rPr>
                  </w:pPr>
                  <w:r>
                    <w:rPr>
                      <w:rFonts w:hint="default" w:ascii="Times New Roman" w:hAnsi="Times New Roman" w:cs="Times New Roman" w:eastAsiaTheme="minorEastAsia"/>
                      <w:b w:val="0"/>
                      <w:bCs w:val="0"/>
                      <w:color w:val="000000"/>
                      <w:kern w:val="2"/>
                      <w:sz w:val="21"/>
                      <w:szCs w:val="21"/>
                      <w:lang w:val="en-US" w:eastAsia="zh-CN" w:bidi="ar-SA"/>
                    </w:rPr>
                    <w:t>300</w:t>
                  </w:r>
                </w:p>
              </w:tc>
              <w:tc>
                <w:tcPr>
                  <w:tcW w:w="803" w:type="pct"/>
                  <w:noWrap w:val="0"/>
                  <w:vAlign w:val="center"/>
                </w:tcPr>
                <w:p>
                  <w:pPr>
                    <w:widowControl w:val="0"/>
                    <w:spacing w:line="240" w:lineRule="auto"/>
                    <w:jc w:val="center"/>
                    <w:rPr>
                      <w:rFonts w:hint="default" w:ascii="Times New Roman" w:hAnsi="Times New Roman" w:cs="Times New Roman" w:eastAsiaTheme="minorEastAsia"/>
                      <w:b w:val="0"/>
                      <w:bCs w:val="0"/>
                      <w:color w:val="000000"/>
                      <w:kern w:val="2"/>
                      <w:sz w:val="21"/>
                      <w:szCs w:val="21"/>
                      <w:lang w:val="en-US" w:eastAsia="zh-CN" w:bidi="ar-SA"/>
                    </w:rPr>
                  </w:pPr>
                  <w:r>
                    <w:rPr>
                      <w:rFonts w:hint="default" w:ascii="Times New Roman" w:hAnsi="Times New Roman" w:cs="Times New Roman" w:eastAsiaTheme="minorEastAsia"/>
                      <w:b w:val="0"/>
                      <w:bCs w:val="0"/>
                      <w:color w:val="000000"/>
                      <w:kern w:val="2"/>
                      <w:sz w:val="21"/>
                      <w:szCs w:val="21"/>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999" w:type="pct"/>
                  <w:noWrap w:val="0"/>
                  <w:vAlign w:val="center"/>
                </w:tcPr>
                <w:p>
                  <w:pPr>
                    <w:widowControl w:val="0"/>
                    <w:spacing w:line="240" w:lineRule="auto"/>
                    <w:jc w:val="center"/>
                    <w:rPr>
                      <w:rFonts w:hint="default" w:ascii="Times New Roman" w:hAnsi="Times New Roman" w:cs="Times New Roman" w:eastAsiaTheme="minorEastAsia"/>
                      <w:b w:val="0"/>
                      <w:bCs w:val="0"/>
                      <w:color w:val="000000"/>
                      <w:kern w:val="2"/>
                      <w:sz w:val="21"/>
                      <w:szCs w:val="21"/>
                      <w:lang w:val="en-US" w:eastAsia="zh-CN" w:bidi="ar-SA"/>
                    </w:rPr>
                  </w:pPr>
                  <w:r>
                    <w:rPr>
                      <w:rFonts w:hint="eastAsia" w:ascii="Times New Roman" w:hAnsi="Times New Roman" w:cs="Times New Roman" w:eastAsiaTheme="minorEastAsia"/>
                      <w:b w:val="0"/>
                      <w:bCs w:val="0"/>
                      <w:color w:val="000000"/>
                      <w:kern w:val="2"/>
                      <w:sz w:val="21"/>
                      <w:szCs w:val="21"/>
                      <w:lang w:val="en-US" w:eastAsia="zh-CN" w:bidi="ar-SA"/>
                    </w:rPr>
                    <w:t>设备清洗废水</w:t>
                  </w:r>
                </w:p>
              </w:tc>
              <w:tc>
                <w:tcPr>
                  <w:tcW w:w="821" w:type="pct"/>
                  <w:noWrap w:val="0"/>
                  <w:vAlign w:val="center"/>
                </w:tcPr>
                <w:p>
                  <w:pPr>
                    <w:widowControl w:val="0"/>
                    <w:spacing w:line="240" w:lineRule="auto"/>
                    <w:jc w:val="center"/>
                    <w:rPr>
                      <w:rFonts w:hint="default" w:ascii="Times New Roman" w:hAnsi="Times New Roman" w:cs="Times New Roman" w:eastAsiaTheme="minorEastAsia"/>
                      <w:b w:val="0"/>
                      <w:bCs w:val="0"/>
                      <w:color w:val="000000"/>
                      <w:kern w:val="2"/>
                      <w:sz w:val="21"/>
                      <w:szCs w:val="21"/>
                      <w:lang w:val="en-US" w:eastAsia="zh-CN" w:bidi="ar-SA"/>
                    </w:rPr>
                  </w:pPr>
                  <w:r>
                    <w:rPr>
                      <w:rFonts w:hint="eastAsia" w:ascii="Times New Roman" w:hAnsi="Times New Roman" w:cs="Times New Roman" w:eastAsiaTheme="minorEastAsia"/>
                      <w:b w:val="0"/>
                      <w:bCs w:val="0"/>
                      <w:color w:val="000000"/>
                      <w:kern w:val="2"/>
                      <w:sz w:val="21"/>
                      <w:szCs w:val="21"/>
                      <w:lang w:val="en-US" w:eastAsia="zh-CN" w:bidi="ar-SA"/>
                    </w:rPr>
                    <w:t>320</w:t>
                  </w:r>
                </w:p>
              </w:tc>
              <w:tc>
                <w:tcPr>
                  <w:tcW w:w="790" w:type="pct"/>
                  <w:noWrap w:val="0"/>
                  <w:vAlign w:val="center"/>
                </w:tcPr>
                <w:p>
                  <w:pPr>
                    <w:widowControl w:val="0"/>
                    <w:spacing w:line="240" w:lineRule="auto"/>
                    <w:jc w:val="center"/>
                    <w:rPr>
                      <w:rFonts w:hint="default" w:ascii="Times New Roman" w:hAnsi="Times New Roman" w:cs="Times New Roman" w:eastAsiaTheme="minorEastAsia"/>
                      <w:b w:val="0"/>
                      <w:bCs w:val="0"/>
                      <w:color w:val="000000"/>
                      <w:kern w:val="2"/>
                      <w:sz w:val="21"/>
                      <w:szCs w:val="21"/>
                      <w:lang w:val="en-US" w:eastAsia="zh-CN" w:bidi="ar-SA"/>
                    </w:rPr>
                  </w:pPr>
                  <w:r>
                    <w:rPr>
                      <w:rFonts w:hint="default" w:ascii="Times New Roman" w:hAnsi="Times New Roman" w:cs="Times New Roman" w:eastAsiaTheme="minorEastAsia"/>
                      <w:b w:val="0"/>
                      <w:bCs w:val="0"/>
                      <w:color w:val="000000"/>
                      <w:kern w:val="2"/>
                      <w:sz w:val="21"/>
                      <w:szCs w:val="21"/>
                      <w:lang w:val="en-US" w:eastAsia="zh-CN" w:bidi="ar-SA"/>
                    </w:rPr>
                    <w:t>1200</w:t>
                  </w:r>
                </w:p>
              </w:tc>
              <w:tc>
                <w:tcPr>
                  <w:tcW w:w="796" w:type="pct"/>
                  <w:noWrap w:val="0"/>
                  <w:vAlign w:val="center"/>
                </w:tcPr>
                <w:p>
                  <w:pPr>
                    <w:widowControl w:val="0"/>
                    <w:spacing w:line="240" w:lineRule="auto"/>
                    <w:jc w:val="center"/>
                    <w:rPr>
                      <w:rFonts w:hint="default" w:ascii="Times New Roman" w:hAnsi="Times New Roman" w:cs="Times New Roman" w:eastAsiaTheme="minorEastAsia"/>
                      <w:b w:val="0"/>
                      <w:bCs w:val="0"/>
                      <w:color w:val="000000"/>
                      <w:kern w:val="2"/>
                      <w:sz w:val="21"/>
                      <w:szCs w:val="21"/>
                      <w:lang w:val="en-US" w:eastAsia="zh-CN" w:bidi="ar-SA"/>
                    </w:rPr>
                  </w:pPr>
                  <w:r>
                    <w:rPr>
                      <w:rFonts w:hint="default" w:ascii="Times New Roman" w:hAnsi="Times New Roman" w:cs="Times New Roman" w:eastAsiaTheme="minorEastAsia"/>
                      <w:b w:val="0"/>
                      <w:bCs w:val="0"/>
                      <w:color w:val="000000"/>
                      <w:kern w:val="2"/>
                      <w:sz w:val="21"/>
                      <w:szCs w:val="21"/>
                      <w:lang w:val="en-US" w:eastAsia="zh-CN" w:bidi="ar-SA"/>
                    </w:rPr>
                    <w:t>600</w:t>
                  </w:r>
                </w:p>
              </w:tc>
              <w:tc>
                <w:tcPr>
                  <w:tcW w:w="788" w:type="pct"/>
                  <w:noWrap w:val="0"/>
                  <w:vAlign w:val="center"/>
                </w:tcPr>
                <w:p>
                  <w:pPr>
                    <w:widowControl w:val="0"/>
                    <w:spacing w:line="240" w:lineRule="auto"/>
                    <w:jc w:val="center"/>
                    <w:rPr>
                      <w:rFonts w:hint="default" w:ascii="Times New Roman" w:hAnsi="Times New Roman" w:cs="Times New Roman" w:eastAsiaTheme="minorEastAsia"/>
                      <w:b w:val="0"/>
                      <w:bCs w:val="0"/>
                      <w:color w:val="000000"/>
                      <w:kern w:val="2"/>
                      <w:sz w:val="21"/>
                      <w:szCs w:val="21"/>
                      <w:lang w:val="en-US" w:eastAsia="zh-CN" w:bidi="ar-SA"/>
                    </w:rPr>
                  </w:pPr>
                  <w:r>
                    <w:rPr>
                      <w:rFonts w:hint="default" w:ascii="Times New Roman" w:hAnsi="Times New Roman" w:cs="Times New Roman" w:eastAsiaTheme="minorEastAsia"/>
                      <w:b w:val="0"/>
                      <w:bCs w:val="0"/>
                      <w:color w:val="000000"/>
                      <w:kern w:val="2"/>
                      <w:sz w:val="21"/>
                      <w:szCs w:val="21"/>
                      <w:lang w:val="en-US" w:eastAsia="zh-CN" w:bidi="ar-SA"/>
                    </w:rPr>
                    <w:t>500</w:t>
                  </w:r>
                </w:p>
              </w:tc>
              <w:tc>
                <w:tcPr>
                  <w:tcW w:w="803" w:type="pct"/>
                  <w:noWrap w:val="0"/>
                  <w:vAlign w:val="center"/>
                </w:tcPr>
                <w:p>
                  <w:pPr>
                    <w:widowControl w:val="0"/>
                    <w:spacing w:line="240" w:lineRule="auto"/>
                    <w:jc w:val="center"/>
                    <w:rPr>
                      <w:rFonts w:hint="default" w:ascii="Times New Roman" w:hAnsi="Times New Roman" w:cs="Times New Roman" w:eastAsiaTheme="minorEastAsia"/>
                      <w:b w:val="0"/>
                      <w:bCs w:val="0"/>
                      <w:color w:val="000000"/>
                      <w:kern w:val="2"/>
                      <w:sz w:val="21"/>
                      <w:szCs w:val="21"/>
                      <w:lang w:val="en-US" w:eastAsia="zh-CN" w:bidi="ar-SA"/>
                    </w:rPr>
                  </w:pPr>
                  <w:r>
                    <w:rPr>
                      <w:rFonts w:hint="default" w:ascii="Times New Roman" w:hAnsi="Times New Roman" w:cs="Times New Roman" w:eastAsiaTheme="minorEastAsia"/>
                      <w:b w:val="0"/>
                      <w:bCs w:val="0"/>
                      <w:color w:val="000000"/>
                      <w:kern w:val="2"/>
                      <w:sz w:val="21"/>
                      <w:szCs w:val="21"/>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9" w:type="pct"/>
                  <w:noWrap w:val="0"/>
                  <w:vAlign w:val="center"/>
                </w:tcPr>
                <w:p>
                  <w:pPr>
                    <w:widowControl w:val="0"/>
                    <w:spacing w:line="240" w:lineRule="auto"/>
                    <w:jc w:val="center"/>
                    <w:rPr>
                      <w:rFonts w:hint="default" w:ascii="Times New Roman" w:hAnsi="Times New Roman" w:cs="Times New Roman" w:eastAsiaTheme="minorEastAsia"/>
                      <w:b w:val="0"/>
                      <w:bCs w:val="0"/>
                      <w:color w:val="000000"/>
                      <w:kern w:val="2"/>
                      <w:sz w:val="21"/>
                      <w:szCs w:val="21"/>
                      <w:lang w:val="en-US" w:eastAsia="zh-CN" w:bidi="ar-SA"/>
                    </w:rPr>
                  </w:pPr>
                  <w:r>
                    <w:rPr>
                      <w:rFonts w:hint="eastAsia" w:ascii="Times New Roman" w:hAnsi="Times New Roman" w:cs="Times New Roman" w:eastAsiaTheme="minorEastAsia"/>
                      <w:b w:val="0"/>
                      <w:bCs w:val="0"/>
                      <w:color w:val="000000"/>
                      <w:kern w:val="2"/>
                      <w:sz w:val="21"/>
                      <w:szCs w:val="21"/>
                      <w:lang w:val="en-US" w:eastAsia="zh-CN" w:bidi="ar-SA"/>
                    </w:rPr>
                    <w:t>场地清洁废水</w:t>
                  </w:r>
                </w:p>
              </w:tc>
              <w:tc>
                <w:tcPr>
                  <w:tcW w:w="821" w:type="pct"/>
                  <w:noWrap w:val="0"/>
                  <w:vAlign w:val="center"/>
                </w:tcPr>
                <w:p>
                  <w:pPr>
                    <w:widowControl w:val="0"/>
                    <w:spacing w:line="240" w:lineRule="auto"/>
                    <w:jc w:val="center"/>
                    <w:rPr>
                      <w:rFonts w:hint="default" w:ascii="Times New Roman" w:hAnsi="Times New Roman" w:cs="Times New Roman" w:eastAsiaTheme="minorEastAsia"/>
                      <w:b w:val="0"/>
                      <w:bCs w:val="0"/>
                      <w:color w:val="000000"/>
                      <w:kern w:val="2"/>
                      <w:sz w:val="21"/>
                      <w:szCs w:val="21"/>
                      <w:lang w:val="en-US" w:eastAsia="zh-CN" w:bidi="ar-SA"/>
                    </w:rPr>
                  </w:pPr>
                  <w:r>
                    <w:rPr>
                      <w:rFonts w:hint="eastAsia" w:ascii="Times New Roman" w:hAnsi="Times New Roman" w:cs="Times New Roman" w:eastAsiaTheme="minorEastAsia"/>
                      <w:b w:val="0"/>
                      <w:bCs w:val="0"/>
                      <w:color w:val="000000"/>
                      <w:kern w:val="2"/>
                      <w:sz w:val="21"/>
                      <w:szCs w:val="21"/>
                      <w:lang w:val="en-US" w:eastAsia="zh-CN" w:bidi="ar-SA"/>
                    </w:rPr>
                    <w:t>72</w:t>
                  </w:r>
                </w:p>
              </w:tc>
              <w:tc>
                <w:tcPr>
                  <w:tcW w:w="790" w:type="pct"/>
                  <w:noWrap w:val="0"/>
                  <w:vAlign w:val="center"/>
                </w:tcPr>
                <w:p>
                  <w:pPr>
                    <w:widowControl w:val="0"/>
                    <w:spacing w:line="240" w:lineRule="auto"/>
                    <w:jc w:val="center"/>
                    <w:rPr>
                      <w:rFonts w:hint="default" w:ascii="Times New Roman" w:hAnsi="Times New Roman" w:cs="Times New Roman" w:eastAsiaTheme="minorEastAsia"/>
                      <w:b w:val="0"/>
                      <w:bCs w:val="0"/>
                      <w:color w:val="000000"/>
                      <w:kern w:val="2"/>
                      <w:sz w:val="21"/>
                      <w:szCs w:val="21"/>
                      <w:lang w:val="en-US" w:eastAsia="zh-CN" w:bidi="ar-SA"/>
                    </w:rPr>
                  </w:pPr>
                  <w:r>
                    <w:rPr>
                      <w:rFonts w:hint="eastAsia" w:ascii="Times New Roman" w:hAnsi="Times New Roman" w:cs="Times New Roman" w:eastAsiaTheme="minorEastAsia"/>
                      <w:b w:val="0"/>
                      <w:bCs w:val="0"/>
                      <w:color w:val="000000"/>
                      <w:kern w:val="2"/>
                      <w:sz w:val="21"/>
                      <w:szCs w:val="21"/>
                      <w:lang w:val="en-US" w:eastAsia="zh-CN" w:bidi="ar-SA"/>
                    </w:rPr>
                    <w:t>800</w:t>
                  </w:r>
                </w:p>
              </w:tc>
              <w:tc>
                <w:tcPr>
                  <w:tcW w:w="796" w:type="pct"/>
                  <w:noWrap w:val="0"/>
                  <w:vAlign w:val="center"/>
                </w:tcPr>
                <w:p>
                  <w:pPr>
                    <w:widowControl w:val="0"/>
                    <w:spacing w:line="240" w:lineRule="auto"/>
                    <w:jc w:val="center"/>
                    <w:rPr>
                      <w:rFonts w:hint="default" w:ascii="Times New Roman" w:hAnsi="Times New Roman" w:cs="Times New Roman" w:eastAsiaTheme="minorEastAsia"/>
                      <w:b w:val="0"/>
                      <w:bCs w:val="0"/>
                      <w:color w:val="000000"/>
                      <w:kern w:val="2"/>
                      <w:sz w:val="21"/>
                      <w:szCs w:val="21"/>
                      <w:lang w:val="en-US" w:eastAsia="zh-CN" w:bidi="ar-SA"/>
                    </w:rPr>
                  </w:pPr>
                  <w:r>
                    <w:rPr>
                      <w:rFonts w:hint="eastAsia" w:ascii="Times New Roman" w:hAnsi="Times New Roman" w:cs="Times New Roman" w:eastAsiaTheme="minorEastAsia"/>
                      <w:b w:val="0"/>
                      <w:bCs w:val="0"/>
                      <w:color w:val="000000"/>
                      <w:kern w:val="2"/>
                      <w:sz w:val="21"/>
                      <w:szCs w:val="21"/>
                      <w:lang w:val="en-US" w:eastAsia="zh-CN" w:bidi="ar-SA"/>
                    </w:rPr>
                    <w:t>500</w:t>
                  </w:r>
                </w:p>
              </w:tc>
              <w:tc>
                <w:tcPr>
                  <w:tcW w:w="788" w:type="pct"/>
                  <w:noWrap w:val="0"/>
                  <w:vAlign w:val="center"/>
                </w:tcPr>
                <w:p>
                  <w:pPr>
                    <w:widowControl w:val="0"/>
                    <w:spacing w:line="240" w:lineRule="auto"/>
                    <w:jc w:val="center"/>
                    <w:rPr>
                      <w:rFonts w:hint="default" w:ascii="Times New Roman" w:hAnsi="Times New Roman" w:cs="Times New Roman" w:eastAsiaTheme="minorEastAsia"/>
                      <w:b w:val="0"/>
                      <w:bCs w:val="0"/>
                      <w:color w:val="000000"/>
                      <w:kern w:val="2"/>
                      <w:sz w:val="21"/>
                      <w:szCs w:val="21"/>
                      <w:lang w:val="en-US" w:eastAsia="zh-CN" w:bidi="ar-SA"/>
                    </w:rPr>
                  </w:pPr>
                  <w:r>
                    <w:rPr>
                      <w:rFonts w:hint="eastAsia" w:ascii="Times New Roman" w:hAnsi="Times New Roman" w:cs="Times New Roman" w:eastAsiaTheme="minorEastAsia"/>
                      <w:b w:val="0"/>
                      <w:bCs w:val="0"/>
                      <w:color w:val="000000"/>
                      <w:kern w:val="2"/>
                      <w:sz w:val="21"/>
                      <w:szCs w:val="21"/>
                      <w:lang w:val="en-US" w:eastAsia="zh-CN" w:bidi="ar-SA"/>
                    </w:rPr>
                    <w:t>400</w:t>
                  </w:r>
                </w:p>
              </w:tc>
              <w:tc>
                <w:tcPr>
                  <w:tcW w:w="803" w:type="pct"/>
                  <w:noWrap w:val="0"/>
                  <w:vAlign w:val="center"/>
                </w:tcPr>
                <w:p>
                  <w:pPr>
                    <w:widowControl w:val="0"/>
                    <w:spacing w:line="240" w:lineRule="auto"/>
                    <w:jc w:val="center"/>
                    <w:rPr>
                      <w:rFonts w:hint="default" w:ascii="Times New Roman" w:hAnsi="Times New Roman" w:cs="Times New Roman" w:eastAsiaTheme="minorEastAsia"/>
                      <w:b w:val="0"/>
                      <w:bCs w:val="0"/>
                      <w:color w:val="000000"/>
                      <w:kern w:val="2"/>
                      <w:sz w:val="21"/>
                      <w:szCs w:val="21"/>
                      <w:lang w:val="en-US" w:eastAsia="zh-CN" w:bidi="ar-SA"/>
                    </w:rPr>
                  </w:pPr>
                  <w:r>
                    <w:rPr>
                      <w:rFonts w:hint="eastAsia" w:ascii="Times New Roman" w:hAnsi="Times New Roman" w:cs="Times New Roman" w:eastAsiaTheme="minorEastAsia"/>
                      <w:b w:val="0"/>
                      <w:bCs w:val="0"/>
                      <w:color w:val="000000"/>
                      <w:kern w:val="2"/>
                      <w:sz w:val="21"/>
                      <w:szCs w:val="21"/>
                      <w:lang w:val="en-US" w:eastAsia="zh-CN" w:bidi="ar-SA"/>
                    </w:rPr>
                    <w:t>30</w:t>
                  </w:r>
                </w:p>
              </w:tc>
            </w:tr>
          </w:tbl>
          <w:p>
            <w:pPr>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rPr>
              <w:t>拟建项目新建一座污水处理站，规模为60m</w:t>
            </w:r>
            <w:r>
              <w:rPr>
                <w:rFonts w:hint="eastAsia" w:ascii="Times New Roman" w:hAnsi="Times New Roman" w:eastAsia="宋体" w:cs="Times New Roman"/>
                <w:color w:val="000000"/>
                <w:sz w:val="24"/>
                <w:szCs w:val="24"/>
                <w:vertAlign w:val="superscript"/>
              </w:rPr>
              <w:t>3</w:t>
            </w:r>
            <w:r>
              <w:rPr>
                <w:rFonts w:hint="eastAsia" w:ascii="Times New Roman" w:hAnsi="Times New Roman" w:eastAsia="宋体" w:cs="Times New Roman"/>
                <w:color w:val="000000"/>
                <w:sz w:val="24"/>
                <w:szCs w:val="24"/>
              </w:rPr>
              <w:t>/d，采用“调节池+活性污泥反应池+沉淀池+厌氧水解池+好氧池+沉淀池”处理。设计进水指标COD≦5000mg/L、BOD</w:t>
            </w:r>
            <w:r>
              <w:rPr>
                <w:rFonts w:hint="eastAsia" w:ascii="Times New Roman" w:hAnsi="Times New Roman" w:eastAsia="宋体" w:cs="Times New Roman"/>
                <w:color w:val="000000"/>
                <w:sz w:val="24"/>
                <w:szCs w:val="24"/>
                <w:vertAlign w:val="subscript"/>
              </w:rPr>
              <w:t>5</w:t>
            </w:r>
            <w:r>
              <w:rPr>
                <w:rFonts w:hint="eastAsia" w:ascii="Times New Roman" w:hAnsi="Times New Roman" w:eastAsia="宋体" w:cs="Times New Roman"/>
                <w:color w:val="000000"/>
                <w:sz w:val="24"/>
                <w:szCs w:val="24"/>
              </w:rPr>
              <w:t>≦4000mg/L、氨氮≦100mg/L、SS≦1500mg/L，出水设计指标COD≦100mg/L、BOD</w:t>
            </w:r>
            <w:r>
              <w:rPr>
                <w:rFonts w:hint="eastAsia" w:ascii="Times New Roman" w:hAnsi="Times New Roman" w:eastAsia="宋体" w:cs="Times New Roman"/>
                <w:color w:val="000000"/>
                <w:sz w:val="24"/>
                <w:szCs w:val="24"/>
                <w:vertAlign w:val="subscript"/>
              </w:rPr>
              <w:t>5</w:t>
            </w:r>
            <w:r>
              <w:rPr>
                <w:rFonts w:hint="eastAsia" w:ascii="Times New Roman" w:hAnsi="Times New Roman" w:eastAsia="宋体" w:cs="Times New Roman"/>
                <w:color w:val="000000"/>
                <w:sz w:val="24"/>
                <w:szCs w:val="24"/>
              </w:rPr>
              <w:t>≦40mg/L、氨氮≦45mg/L、SS≦60mg/L，污水处理工艺具体见下图</w:t>
            </w:r>
            <w:r>
              <w:rPr>
                <w:rFonts w:hint="eastAsia" w:ascii="Times New Roman" w:hAnsi="Times New Roman" w:cs="Times New Roman"/>
                <w:color w:val="000000"/>
                <w:sz w:val="24"/>
                <w:szCs w:val="24"/>
                <w:lang w:eastAsia="zh-CN"/>
              </w:rPr>
              <w:t>：</w:t>
            </w:r>
          </w:p>
          <w:p>
            <w:pPr>
              <w:spacing w:line="360" w:lineRule="auto"/>
              <w:jc w:val="center"/>
              <w:rPr>
                <w:rFonts w:hint="eastAsia" w:ascii="Times New Roman" w:hAnsi="Times New Roman" w:eastAsia="宋体" w:cs="Times New Roman"/>
                <w:b/>
                <w:color w:val="000000"/>
                <w:sz w:val="21"/>
                <w:szCs w:val="21"/>
              </w:rPr>
            </w:pPr>
            <w:r>
              <w:rPr>
                <w:rFonts w:cs="Times New Roman"/>
              </w:rPr>
              <w:drawing>
                <wp:anchor distT="0" distB="0" distL="114300" distR="114300" simplePos="0" relativeHeight="251664384" behindDoc="0" locked="0" layoutInCell="1" allowOverlap="1">
                  <wp:simplePos x="0" y="0"/>
                  <wp:positionH relativeFrom="column">
                    <wp:posOffset>-10795</wp:posOffset>
                  </wp:positionH>
                  <wp:positionV relativeFrom="paragraph">
                    <wp:posOffset>156845</wp:posOffset>
                  </wp:positionV>
                  <wp:extent cx="5391150" cy="2075815"/>
                  <wp:effectExtent l="0" t="0" r="0" b="63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1207135" y="5250815"/>
                            <a:ext cx="5391150" cy="2075815"/>
                          </a:xfrm>
                          <a:prstGeom prst="rect">
                            <a:avLst/>
                          </a:prstGeom>
                          <a:noFill/>
                          <a:ln>
                            <a:noFill/>
                          </a:ln>
                        </pic:spPr>
                      </pic:pic>
                    </a:graphicData>
                  </a:graphic>
                </wp:anchor>
              </w:drawing>
            </w:r>
            <w:r>
              <w:rPr>
                <w:rFonts w:hint="eastAsia" w:ascii="Times New Roman" w:hAnsi="Times New Roman" w:eastAsia="宋体" w:cs="Times New Roman"/>
                <w:b/>
                <w:color w:val="000000"/>
                <w:sz w:val="21"/>
                <w:szCs w:val="21"/>
              </w:rPr>
              <w:t>图</w:t>
            </w:r>
            <w:r>
              <w:rPr>
                <w:rFonts w:hint="eastAsia" w:ascii="Times New Roman" w:hAnsi="Times New Roman" w:cs="Times New Roman"/>
                <w:b/>
                <w:color w:val="000000"/>
                <w:sz w:val="21"/>
                <w:szCs w:val="21"/>
                <w:lang w:val="en-US" w:eastAsia="zh-CN"/>
              </w:rPr>
              <w:t>4</w:t>
            </w:r>
            <w:r>
              <w:rPr>
                <w:rFonts w:hint="eastAsia" w:ascii="Times New Roman" w:hAnsi="Times New Roman" w:eastAsia="宋体" w:cs="Times New Roman"/>
                <w:b/>
                <w:color w:val="000000"/>
                <w:sz w:val="21"/>
                <w:szCs w:val="21"/>
              </w:rPr>
              <w:t>-</w:t>
            </w:r>
            <w:r>
              <w:rPr>
                <w:rFonts w:hint="eastAsia" w:ascii="Times New Roman" w:hAnsi="Times New Roman" w:cs="Times New Roman"/>
                <w:b/>
                <w:color w:val="000000"/>
                <w:sz w:val="21"/>
                <w:szCs w:val="21"/>
                <w:lang w:val="en-US" w:eastAsia="zh-CN"/>
              </w:rPr>
              <w:t>1</w:t>
            </w:r>
            <w:r>
              <w:rPr>
                <w:rFonts w:hint="eastAsia" w:ascii="Times New Roman" w:hAnsi="Times New Roman" w:eastAsia="宋体" w:cs="Times New Roman"/>
                <w:b/>
                <w:color w:val="000000"/>
                <w:sz w:val="21"/>
                <w:szCs w:val="21"/>
              </w:rPr>
              <w:t xml:space="preserve"> 项目污水处理站污水处理工艺流程图</w:t>
            </w:r>
          </w:p>
          <w:p>
            <w:pPr>
              <w:widowControl w:val="0"/>
              <w:spacing w:line="360" w:lineRule="auto"/>
              <w:ind w:firstLine="480" w:firstLineChars="200"/>
              <w:jc w:val="both"/>
              <w:rPr>
                <w:rFonts w:hint="eastAsia" w:ascii="Times New Roman" w:hAnsi="Times New Roman" w:eastAsia="宋体" w:cs="Times New Roman"/>
                <w:b/>
                <w:color w:val="000000"/>
                <w:kern w:val="2"/>
                <w:sz w:val="21"/>
                <w:szCs w:val="21"/>
                <w:lang w:val="en-US" w:eastAsia="zh-CN" w:bidi="ar-SA"/>
              </w:rPr>
            </w:pPr>
            <w:r>
              <w:rPr>
                <w:rFonts w:hint="eastAsia" w:ascii="Times New Roman" w:hAnsi="Times New Roman" w:eastAsia="宋体" w:cs="Times New Roman"/>
                <w:color w:val="000000"/>
                <w:kern w:val="2"/>
                <w:sz w:val="24"/>
                <w:szCs w:val="24"/>
                <w:lang w:val="en-US" w:eastAsia="zh-CN" w:bidi="ar-SA"/>
              </w:rPr>
              <w:t>项目污水处理站各处理单元处理效率见下表：</w:t>
            </w:r>
          </w:p>
          <w:p>
            <w:pPr>
              <w:widowControl w:val="0"/>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p>
          <w:p>
            <w:pPr>
              <w:widowControl w:val="0"/>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p>
          <w:p>
            <w:pPr>
              <w:widowControl w:val="0"/>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p>
          <w:p>
            <w:pPr>
              <w:widowControl w:val="0"/>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p>
          <w:p>
            <w:pPr>
              <w:widowControl w:val="0"/>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p>
          <w:p>
            <w:pPr>
              <w:widowControl w:val="0"/>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p>
          <w:p>
            <w:pPr>
              <w:widowControl w:val="0"/>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p>
          <w:p>
            <w:pPr>
              <w:widowControl w:val="0"/>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p>
          <w:p>
            <w:pPr>
              <w:widowControl w:val="0"/>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p>
          <w:p>
            <w:pPr>
              <w:widowControl w:val="0"/>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p>
          <w:p>
            <w:pPr>
              <w:widowControl w:val="0"/>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p>
          <w:p>
            <w:pPr>
              <w:widowControl w:val="0"/>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p>
          <w:p>
            <w:pPr>
              <w:widowControl w:val="0"/>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r>
              <w:rPr>
                <w:rFonts w:hint="eastAsia" w:ascii="Times New Roman" w:hAnsi="Times New Roman" w:eastAsia="宋体" w:cs="Times New Roman"/>
                <w:b/>
                <w:color w:val="000000"/>
                <w:kern w:val="2"/>
                <w:sz w:val="21"/>
                <w:szCs w:val="21"/>
                <w:lang w:val="en-US" w:eastAsia="zh-CN" w:bidi="ar-SA"/>
              </w:rPr>
              <w:t>表</w:t>
            </w:r>
            <w:r>
              <w:rPr>
                <w:rFonts w:hint="eastAsia" w:ascii="Times New Roman" w:hAnsi="Times New Roman" w:cs="Times New Roman"/>
                <w:b/>
                <w:color w:val="000000"/>
                <w:kern w:val="2"/>
                <w:sz w:val="21"/>
                <w:szCs w:val="21"/>
                <w:lang w:val="en-US" w:eastAsia="zh-CN" w:bidi="ar-SA"/>
              </w:rPr>
              <w:t>4</w:t>
            </w:r>
            <w:r>
              <w:rPr>
                <w:rFonts w:ascii="Times New Roman" w:hAnsi="Times New Roman" w:eastAsia="宋体" w:cs="Times New Roman"/>
                <w:b/>
                <w:color w:val="000000"/>
                <w:kern w:val="2"/>
                <w:sz w:val="21"/>
                <w:szCs w:val="21"/>
                <w:lang w:val="en-US" w:eastAsia="zh-CN" w:bidi="ar-SA"/>
              </w:rPr>
              <w:t>-</w:t>
            </w:r>
            <w:r>
              <w:rPr>
                <w:rFonts w:hint="eastAsia" w:ascii="Times New Roman" w:hAnsi="Times New Roman" w:cs="Times New Roman"/>
                <w:b/>
                <w:color w:val="000000"/>
                <w:kern w:val="2"/>
                <w:sz w:val="21"/>
                <w:szCs w:val="21"/>
                <w:lang w:val="en-US" w:eastAsia="zh-CN" w:bidi="ar-SA"/>
              </w:rPr>
              <w:t>16</w:t>
            </w:r>
            <w:r>
              <w:rPr>
                <w:rFonts w:ascii="Times New Roman" w:hAnsi="Times New Roman" w:eastAsia="宋体" w:cs="Times New Roman"/>
                <w:b/>
                <w:color w:val="000000"/>
                <w:kern w:val="2"/>
                <w:sz w:val="21"/>
                <w:szCs w:val="21"/>
                <w:lang w:val="en-US" w:eastAsia="zh-CN" w:bidi="ar-SA"/>
              </w:rPr>
              <w:t xml:space="preserve">  </w:t>
            </w:r>
            <w:r>
              <w:rPr>
                <w:rFonts w:hint="eastAsia" w:ascii="Times New Roman" w:hAnsi="Times New Roman" w:eastAsia="宋体" w:cs="Times New Roman"/>
                <w:b/>
                <w:color w:val="000000"/>
                <w:kern w:val="2"/>
                <w:sz w:val="21"/>
                <w:szCs w:val="21"/>
                <w:lang w:val="en-US" w:eastAsia="zh-CN" w:bidi="ar-SA"/>
              </w:rPr>
              <w:t>项目污水处理站各处理单元处理效率一览表（mg/L）</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5"/>
              <w:gridCol w:w="1387"/>
              <w:gridCol w:w="1227"/>
              <w:gridCol w:w="1228"/>
              <w:gridCol w:w="1228"/>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028" w:type="pct"/>
                  <w:gridSpan w:val="2"/>
                  <w:tcBorders>
                    <w:tl2br w:val="single" w:color="auto" w:sz="4" w:space="0"/>
                  </w:tcBorders>
                  <w:noWrap w:val="0"/>
                  <w:vAlign w:val="center"/>
                </w:tcPr>
                <w:p>
                  <w:pPr>
                    <w:snapToGrid w:val="0"/>
                    <w:spacing w:line="240" w:lineRule="auto"/>
                    <w:jc w:val="right"/>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指标</w:t>
                  </w:r>
                </w:p>
                <w:p>
                  <w:pPr>
                    <w:widowControl w:val="0"/>
                    <w:spacing w:line="240" w:lineRule="auto"/>
                    <w:jc w:val="both"/>
                    <w:rPr>
                      <w:rFonts w:hint="default" w:ascii="Times New Roman" w:hAnsi="Times New Roman" w:cs="Times New Roman" w:eastAsiaTheme="majorEastAsia"/>
                      <w:color w:val="000000"/>
                      <w:kern w:val="2"/>
                      <w:sz w:val="21"/>
                      <w:szCs w:val="21"/>
                      <w:lang w:val="en-US" w:eastAsia="zh-CN" w:bidi="ar-SA"/>
                    </w:rPr>
                  </w:pPr>
                  <w:r>
                    <w:rPr>
                      <w:rFonts w:hint="default" w:ascii="Times New Roman" w:hAnsi="Times New Roman" w:cs="Times New Roman" w:eastAsiaTheme="majorEastAsia"/>
                      <w:color w:val="000000"/>
                      <w:kern w:val="2"/>
                      <w:sz w:val="21"/>
                      <w:szCs w:val="21"/>
                      <w:lang w:val="en-US" w:eastAsia="zh-CN" w:bidi="ar-SA"/>
                    </w:rPr>
                    <w:t>工段</w:t>
                  </w:r>
                </w:p>
              </w:tc>
              <w:tc>
                <w:tcPr>
                  <w:tcW w:w="742" w:type="pct"/>
                  <w:noWrap w:val="0"/>
                  <w:vAlign w:val="center"/>
                </w:tcPr>
                <w:p>
                  <w:pPr>
                    <w:snapToGrid w:val="0"/>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COD</w:t>
                  </w:r>
                </w:p>
              </w:tc>
              <w:tc>
                <w:tcPr>
                  <w:tcW w:w="743" w:type="pct"/>
                  <w:noWrap w:val="0"/>
                  <w:vAlign w:val="center"/>
                </w:tcPr>
                <w:p>
                  <w:pPr>
                    <w:snapToGrid w:val="0"/>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BOD</w:t>
                  </w:r>
                  <w:r>
                    <w:rPr>
                      <w:rFonts w:hint="default" w:ascii="Times New Roman" w:hAnsi="Times New Roman" w:cs="Times New Roman" w:eastAsiaTheme="majorEastAsia"/>
                      <w:color w:val="000000"/>
                      <w:sz w:val="21"/>
                      <w:szCs w:val="21"/>
                      <w:vertAlign w:val="subscript"/>
                    </w:rPr>
                    <w:t>5</w:t>
                  </w:r>
                </w:p>
              </w:tc>
              <w:tc>
                <w:tcPr>
                  <w:tcW w:w="743" w:type="pct"/>
                  <w:noWrap w:val="0"/>
                  <w:vAlign w:val="center"/>
                </w:tcPr>
                <w:p>
                  <w:pPr>
                    <w:snapToGrid w:val="0"/>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SS</w:t>
                  </w:r>
                </w:p>
              </w:tc>
              <w:tc>
                <w:tcPr>
                  <w:tcW w:w="743" w:type="pct"/>
                  <w:noWrap w:val="0"/>
                  <w:vAlign w:val="center"/>
                </w:tcPr>
                <w:p>
                  <w:pPr>
                    <w:snapToGrid w:val="0"/>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NH</w:t>
                  </w:r>
                  <w:r>
                    <w:rPr>
                      <w:rFonts w:hint="default" w:ascii="Times New Roman" w:hAnsi="Times New Roman" w:cs="Times New Roman" w:eastAsiaTheme="majorEastAsia"/>
                      <w:color w:val="000000"/>
                      <w:sz w:val="21"/>
                      <w:szCs w:val="21"/>
                      <w:vertAlign w:val="subscript"/>
                    </w:rPr>
                    <w:t>3</w:t>
                  </w:r>
                  <w:r>
                    <w:rPr>
                      <w:rFonts w:hint="default" w:ascii="Times New Roman" w:hAnsi="Times New Roman" w:cs="Times New Roman" w:eastAsiaTheme="majorEastAsia"/>
                      <w:color w:val="000000"/>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pct"/>
                  <w:vMerge w:val="restart"/>
                  <w:noWrap w:val="0"/>
                  <w:vAlign w:val="center"/>
                </w:tcPr>
                <w:p>
                  <w:pPr>
                    <w:widowControl w:val="0"/>
                    <w:spacing w:line="240" w:lineRule="auto"/>
                    <w:jc w:val="center"/>
                    <w:rPr>
                      <w:rFonts w:hint="default" w:ascii="Times New Roman" w:hAnsi="Times New Roman" w:cs="Times New Roman" w:eastAsiaTheme="majorEastAsia"/>
                      <w:color w:val="000000"/>
                      <w:kern w:val="2"/>
                      <w:sz w:val="21"/>
                      <w:szCs w:val="21"/>
                      <w:lang w:val="en-US" w:eastAsia="zh-CN" w:bidi="ar-SA"/>
                    </w:rPr>
                  </w:pPr>
                  <w:r>
                    <w:rPr>
                      <w:rFonts w:hint="default" w:ascii="Times New Roman" w:hAnsi="Times New Roman" w:cs="Times New Roman" w:eastAsiaTheme="majorEastAsia"/>
                      <w:color w:val="000000"/>
                      <w:kern w:val="2"/>
                      <w:sz w:val="21"/>
                      <w:szCs w:val="21"/>
                      <w:lang w:val="en-US" w:eastAsia="zh-CN" w:bidi="ar-SA"/>
                    </w:rPr>
                    <w:t>袋式过滤</w:t>
                  </w:r>
                </w:p>
              </w:tc>
              <w:tc>
                <w:tcPr>
                  <w:tcW w:w="838" w:type="pct"/>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进水</w:t>
                  </w:r>
                </w:p>
              </w:tc>
              <w:tc>
                <w:tcPr>
                  <w:tcW w:w="742"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5000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4000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1500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pct"/>
                  <w:vMerge w:val="continue"/>
                  <w:noWrap w:val="0"/>
                  <w:vAlign w:val="center"/>
                </w:tcPr>
                <w:p>
                  <w:pPr>
                    <w:widowControl w:val="0"/>
                    <w:spacing w:line="240" w:lineRule="auto"/>
                    <w:jc w:val="center"/>
                    <w:rPr>
                      <w:rFonts w:hint="default" w:ascii="Times New Roman" w:hAnsi="Times New Roman" w:cs="Times New Roman" w:eastAsiaTheme="majorEastAsia"/>
                      <w:color w:val="000000"/>
                      <w:kern w:val="2"/>
                      <w:sz w:val="21"/>
                      <w:szCs w:val="21"/>
                      <w:lang w:val="en-US" w:eastAsia="zh-CN" w:bidi="ar-SA"/>
                    </w:rPr>
                  </w:pPr>
                </w:p>
              </w:tc>
              <w:tc>
                <w:tcPr>
                  <w:tcW w:w="838" w:type="pct"/>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出水</w:t>
                  </w:r>
                </w:p>
              </w:tc>
              <w:tc>
                <w:tcPr>
                  <w:tcW w:w="742"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3750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3000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450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pct"/>
                  <w:vMerge w:val="continue"/>
                  <w:noWrap w:val="0"/>
                  <w:vAlign w:val="center"/>
                </w:tcPr>
                <w:p>
                  <w:pPr>
                    <w:widowControl w:val="0"/>
                    <w:spacing w:line="240" w:lineRule="auto"/>
                    <w:jc w:val="center"/>
                    <w:rPr>
                      <w:rFonts w:hint="default" w:ascii="Times New Roman" w:hAnsi="Times New Roman" w:cs="Times New Roman" w:eastAsiaTheme="majorEastAsia"/>
                      <w:color w:val="000000"/>
                      <w:kern w:val="2"/>
                      <w:sz w:val="21"/>
                      <w:szCs w:val="21"/>
                      <w:lang w:val="en-US" w:eastAsia="zh-CN" w:bidi="ar-SA"/>
                    </w:rPr>
                  </w:pPr>
                </w:p>
              </w:tc>
              <w:tc>
                <w:tcPr>
                  <w:tcW w:w="838" w:type="pct"/>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去除率（%）</w:t>
                  </w:r>
                </w:p>
              </w:tc>
              <w:tc>
                <w:tcPr>
                  <w:tcW w:w="742"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25</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25</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70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pct"/>
                  <w:vMerge w:val="restar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活性淤泥反应池</w:t>
                  </w:r>
                </w:p>
              </w:tc>
              <w:tc>
                <w:tcPr>
                  <w:tcW w:w="838" w:type="pct"/>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进水</w:t>
                  </w:r>
                </w:p>
              </w:tc>
              <w:tc>
                <w:tcPr>
                  <w:tcW w:w="742"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3750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3000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450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pct"/>
                  <w:vMerge w:val="continue"/>
                  <w:noWrap w:val="0"/>
                  <w:vAlign w:val="center"/>
                </w:tcPr>
                <w:p>
                  <w:pPr>
                    <w:widowControl w:val="0"/>
                    <w:spacing w:line="240" w:lineRule="auto"/>
                    <w:jc w:val="center"/>
                    <w:rPr>
                      <w:rFonts w:hint="default" w:ascii="Times New Roman" w:hAnsi="Times New Roman" w:cs="Times New Roman" w:eastAsiaTheme="majorEastAsia"/>
                      <w:color w:val="000000"/>
                      <w:kern w:val="2"/>
                      <w:sz w:val="21"/>
                      <w:szCs w:val="21"/>
                      <w:lang w:val="en-US" w:eastAsia="zh-CN" w:bidi="ar-SA"/>
                    </w:rPr>
                  </w:pPr>
                </w:p>
              </w:tc>
              <w:tc>
                <w:tcPr>
                  <w:tcW w:w="838" w:type="pct"/>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出水</w:t>
                  </w:r>
                </w:p>
              </w:tc>
              <w:tc>
                <w:tcPr>
                  <w:tcW w:w="742"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1312.5</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900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360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pct"/>
                  <w:vMerge w:val="continue"/>
                  <w:noWrap w:val="0"/>
                  <w:vAlign w:val="center"/>
                </w:tcPr>
                <w:p>
                  <w:pPr>
                    <w:widowControl w:val="0"/>
                    <w:spacing w:line="240" w:lineRule="auto"/>
                    <w:jc w:val="center"/>
                    <w:rPr>
                      <w:rFonts w:hint="default" w:ascii="Times New Roman" w:hAnsi="Times New Roman" w:cs="Times New Roman" w:eastAsiaTheme="majorEastAsia"/>
                      <w:color w:val="000000"/>
                      <w:kern w:val="2"/>
                      <w:sz w:val="21"/>
                      <w:szCs w:val="21"/>
                      <w:lang w:val="en-US" w:eastAsia="zh-CN" w:bidi="ar-SA"/>
                    </w:rPr>
                  </w:pPr>
                </w:p>
              </w:tc>
              <w:tc>
                <w:tcPr>
                  <w:tcW w:w="838" w:type="pct"/>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去除率（%）</w:t>
                  </w:r>
                </w:p>
              </w:tc>
              <w:tc>
                <w:tcPr>
                  <w:tcW w:w="742"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65</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70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pct"/>
                  <w:vMerge w:val="restart"/>
                  <w:noWrap w:val="0"/>
                  <w:vAlign w:val="center"/>
                </w:tcPr>
                <w:p>
                  <w:pPr>
                    <w:widowControl w:val="0"/>
                    <w:spacing w:line="240" w:lineRule="auto"/>
                    <w:jc w:val="center"/>
                    <w:rPr>
                      <w:rFonts w:hint="default" w:ascii="Times New Roman" w:hAnsi="Times New Roman" w:cs="Times New Roman" w:eastAsiaTheme="majorEastAsia"/>
                      <w:color w:val="000000"/>
                      <w:kern w:val="2"/>
                      <w:sz w:val="21"/>
                      <w:szCs w:val="21"/>
                      <w:lang w:val="en-US" w:eastAsia="zh-CN" w:bidi="ar-SA"/>
                    </w:rPr>
                  </w:pPr>
                  <w:r>
                    <w:rPr>
                      <w:rFonts w:hint="default" w:ascii="Times New Roman" w:hAnsi="Times New Roman" w:cs="Times New Roman" w:eastAsiaTheme="majorEastAsia"/>
                      <w:color w:val="000000"/>
                      <w:kern w:val="2"/>
                      <w:sz w:val="21"/>
                      <w:szCs w:val="21"/>
                      <w:lang w:val="en-US" w:eastAsia="zh-CN" w:bidi="ar-SA"/>
                    </w:rPr>
                    <w:t>厌氧水解池</w:t>
                  </w:r>
                </w:p>
              </w:tc>
              <w:tc>
                <w:tcPr>
                  <w:tcW w:w="838" w:type="pct"/>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进水</w:t>
                  </w:r>
                </w:p>
              </w:tc>
              <w:tc>
                <w:tcPr>
                  <w:tcW w:w="742"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1312.5</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900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360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pct"/>
                  <w:vMerge w:val="continue"/>
                  <w:noWrap w:val="0"/>
                  <w:vAlign w:val="center"/>
                </w:tcPr>
                <w:p>
                  <w:pPr>
                    <w:widowControl w:val="0"/>
                    <w:spacing w:line="240" w:lineRule="auto"/>
                    <w:jc w:val="center"/>
                    <w:rPr>
                      <w:rFonts w:hint="default" w:ascii="Times New Roman" w:hAnsi="Times New Roman" w:cs="Times New Roman" w:eastAsiaTheme="majorEastAsia"/>
                      <w:color w:val="000000"/>
                      <w:kern w:val="2"/>
                      <w:sz w:val="21"/>
                      <w:szCs w:val="21"/>
                      <w:lang w:val="en-US" w:eastAsia="zh-CN" w:bidi="ar-SA"/>
                    </w:rPr>
                  </w:pPr>
                </w:p>
              </w:tc>
              <w:tc>
                <w:tcPr>
                  <w:tcW w:w="838" w:type="pct"/>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出水</w:t>
                  </w:r>
                </w:p>
              </w:tc>
              <w:tc>
                <w:tcPr>
                  <w:tcW w:w="742"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328.1 </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180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270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pct"/>
                  <w:vMerge w:val="continue"/>
                  <w:noWrap w:val="0"/>
                  <w:vAlign w:val="center"/>
                </w:tcPr>
                <w:p>
                  <w:pPr>
                    <w:widowControl w:val="0"/>
                    <w:spacing w:line="240" w:lineRule="auto"/>
                    <w:jc w:val="center"/>
                    <w:rPr>
                      <w:rFonts w:hint="default" w:ascii="Times New Roman" w:hAnsi="Times New Roman" w:cs="Times New Roman" w:eastAsiaTheme="majorEastAsia"/>
                      <w:color w:val="000000"/>
                      <w:kern w:val="2"/>
                      <w:sz w:val="21"/>
                      <w:szCs w:val="21"/>
                      <w:lang w:val="en-US" w:eastAsia="zh-CN" w:bidi="ar-SA"/>
                    </w:rPr>
                  </w:pPr>
                </w:p>
              </w:tc>
              <w:tc>
                <w:tcPr>
                  <w:tcW w:w="838" w:type="pct"/>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去除率（%）</w:t>
                  </w:r>
                </w:p>
              </w:tc>
              <w:tc>
                <w:tcPr>
                  <w:tcW w:w="742"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75</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80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25</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pct"/>
                  <w:vMerge w:val="restart"/>
                  <w:noWrap w:val="0"/>
                  <w:vAlign w:val="center"/>
                </w:tcPr>
                <w:p>
                  <w:pPr>
                    <w:widowControl w:val="0"/>
                    <w:spacing w:line="240" w:lineRule="auto"/>
                    <w:jc w:val="center"/>
                    <w:rPr>
                      <w:rFonts w:hint="default" w:ascii="Times New Roman" w:hAnsi="Times New Roman" w:cs="Times New Roman" w:eastAsiaTheme="majorEastAsia"/>
                      <w:color w:val="000000"/>
                      <w:kern w:val="2"/>
                      <w:sz w:val="21"/>
                      <w:szCs w:val="21"/>
                      <w:lang w:val="en-US" w:eastAsia="zh-CN" w:bidi="ar-SA"/>
                    </w:rPr>
                  </w:pPr>
                  <w:r>
                    <w:rPr>
                      <w:rFonts w:hint="default" w:ascii="Times New Roman" w:hAnsi="Times New Roman" w:cs="Times New Roman" w:eastAsiaTheme="majorEastAsia"/>
                      <w:color w:val="000000"/>
                      <w:kern w:val="2"/>
                      <w:sz w:val="21"/>
                      <w:szCs w:val="21"/>
                      <w:lang w:val="en-US" w:eastAsia="zh-CN" w:bidi="ar-SA"/>
                    </w:rPr>
                    <w:t>好氧池</w:t>
                  </w:r>
                </w:p>
              </w:tc>
              <w:tc>
                <w:tcPr>
                  <w:tcW w:w="838" w:type="pct"/>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进水</w:t>
                  </w:r>
                </w:p>
              </w:tc>
              <w:tc>
                <w:tcPr>
                  <w:tcW w:w="742"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328.1 </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180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270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pct"/>
                  <w:vMerge w:val="continue"/>
                  <w:noWrap w:val="0"/>
                  <w:vAlign w:val="center"/>
                </w:tcPr>
                <w:p>
                  <w:pPr>
                    <w:widowControl w:val="0"/>
                    <w:spacing w:line="240" w:lineRule="auto"/>
                    <w:jc w:val="center"/>
                    <w:rPr>
                      <w:rFonts w:hint="default" w:ascii="Times New Roman" w:hAnsi="Times New Roman" w:cs="Times New Roman" w:eastAsiaTheme="majorEastAsia"/>
                      <w:color w:val="000000"/>
                      <w:kern w:val="2"/>
                      <w:sz w:val="21"/>
                      <w:szCs w:val="21"/>
                      <w:lang w:val="en-US" w:eastAsia="zh-CN" w:bidi="ar-SA"/>
                    </w:rPr>
                  </w:pPr>
                </w:p>
              </w:tc>
              <w:tc>
                <w:tcPr>
                  <w:tcW w:w="838" w:type="pct"/>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出水</w:t>
                  </w:r>
                </w:p>
              </w:tc>
              <w:tc>
                <w:tcPr>
                  <w:tcW w:w="742"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98.4 </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45</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189</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45.4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89" w:type="pct"/>
                  <w:vMerge w:val="continue"/>
                  <w:noWrap w:val="0"/>
                  <w:vAlign w:val="center"/>
                </w:tcPr>
                <w:p>
                  <w:pPr>
                    <w:widowControl w:val="0"/>
                    <w:spacing w:line="240" w:lineRule="auto"/>
                    <w:jc w:val="center"/>
                    <w:rPr>
                      <w:rFonts w:hint="default" w:ascii="Times New Roman" w:hAnsi="Times New Roman" w:cs="Times New Roman" w:eastAsiaTheme="majorEastAsia"/>
                      <w:color w:val="000000"/>
                      <w:kern w:val="2"/>
                      <w:sz w:val="21"/>
                      <w:szCs w:val="21"/>
                      <w:lang w:val="en-US" w:eastAsia="zh-CN" w:bidi="ar-SA"/>
                    </w:rPr>
                  </w:pPr>
                </w:p>
              </w:tc>
              <w:tc>
                <w:tcPr>
                  <w:tcW w:w="838" w:type="pct"/>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去除率（%）</w:t>
                  </w:r>
                </w:p>
              </w:tc>
              <w:tc>
                <w:tcPr>
                  <w:tcW w:w="742"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70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75</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pct"/>
                  <w:vMerge w:val="restart"/>
                  <w:noWrap w:val="0"/>
                  <w:vAlign w:val="center"/>
                </w:tcPr>
                <w:p>
                  <w:pPr>
                    <w:widowControl w:val="0"/>
                    <w:spacing w:line="240" w:lineRule="auto"/>
                    <w:jc w:val="center"/>
                    <w:rPr>
                      <w:rFonts w:hint="default" w:ascii="Times New Roman" w:hAnsi="Times New Roman" w:cs="Times New Roman" w:eastAsiaTheme="majorEastAsia"/>
                      <w:color w:val="000000"/>
                      <w:kern w:val="2"/>
                      <w:sz w:val="21"/>
                      <w:szCs w:val="21"/>
                      <w:lang w:val="en-US" w:eastAsia="zh-CN" w:bidi="ar-SA"/>
                    </w:rPr>
                  </w:pPr>
                  <w:r>
                    <w:rPr>
                      <w:rFonts w:hint="default" w:ascii="Times New Roman" w:hAnsi="Times New Roman" w:cs="Times New Roman" w:eastAsiaTheme="majorEastAsia"/>
                      <w:color w:val="000000"/>
                      <w:kern w:val="2"/>
                      <w:sz w:val="21"/>
                      <w:szCs w:val="21"/>
                      <w:lang w:val="en-US" w:eastAsia="zh-CN" w:bidi="ar-SA"/>
                    </w:rPr>
                    <w:t>沉淀池</w:t>
                  </w:r>
                </w:p>
              </w:tc>
              <w:tc>
                <w:tcPr>
                  <w:tcW w:w="838" w:type="pct"/>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进水</w:t>
                  </w:r>
                </w:p>
              </w:tc>
              <w:tc>
                <w:tcPr>
                  <w:tcW w:w="742"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98.4 </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45</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189</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45.4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pct"/>
                  <w:vMerge w:val="continue"/>
                  <w:noWrap w:val="0"/>
                  <w:vAlign w:val="center"/>
                </w:tcPr>
                <w:p>
                  <w:pPr>
                    <w:widowControl w:val="0"/>
                    <w:spacing w:line="240" w:lineRule="auto"/>
                    <w:jc w:val="center"/>
                    <w:rPr>
                      <w:rFonts w:hint="default" w:ascii="Times New Roman" w:hAnsi="Times New Roman" w:cs="Times New Roman" w:eastAsiaTheme="majorEastAsia"/>
                      <w:color w:val="000000"/>
                      <w:kern w:val="2"/>
                      <w:sz w:val="21"/>
                      <w:szCs w:val="21"/>
                      <w:lang w:val="en-US" w:eastAsia="zh-CN" w:bidi="ar-SA"/>
                    </w:rPr>
                  </w:pPr>
                </w:p>
              </w:tc>
              <w:tc>
                <w:tcPr>
                  <w:tcW w:w="838" w:type="pct"/>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出水</w:t>
                  </w:r>
                </w:p>
              </w:tc>
              <w:tc>
                <w:tcPr>
                  <w:tcW w:w="742"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88.6 </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38.3 </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56.7</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43.1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pct"/>
                  <w:vMerge w:val="continue"/>
                  <w:noWrap w:val="0"/>
                  <w:vAlign w:val="center"/>
                </w:tcPr>
                <w:p>
                  <w:pPr>
                    <w:widowControl w:val="0"/>
                    <w:spacing w:line="240" w:lineRule="auto"/>
                    <w:jc w:val="center"/>
                    <w:rPr>
                      <w:rFonts w:hint="default" w:ascii="Times New Roman" w:hAnsi="Times New Roman" w:cs="Times New Roman" w:eastAsiaTheme="majorEastAsia"/>
                      <w:color w:val="000000"/>
                      <w:kern w:val="2"/>
                      <w:sz w:val="21"/>
                      <w:szCs w:val="21"/>
                      <w:lang w:val="en-US" w:eastAsia="zh-CN" w:bidi="ar-SA"/>
                    </w:rPr>
                  </w:pPr>
                </w:p>
              </w:tc>
              <w:tc>
                <w:tcPr>
                  <w:tcW w:w="838" w:type="pct"/>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去除率（%）</w:t>
                  </w:r>
                </w:p>
              </w:tc>
              <w:tc>
                <w:tcPr>
                  <w:tcW w:w="742"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15</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70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pct"/>
                  <w:gridSpan w:val="2"/>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排放标准</w:t>
                  </w:r>
                </w:p>
              </w:tc>
              <w:tc>
                <w:tcPr>
                  <w:tcW w:w="742" w:type="pct"/>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100</w:t>
                  </w:r>
                </w:p>
              </w:tc>
              <w:tc>
                <w:tcPr>
                  <w:tcW w:w="743" w:type="pct"/>
                  <w:noWrap w:val="0"/>
                  <w:vAlign w:val="center"/>
                </w:tcPr>
                <w:p>
                  <w:pPr>
                    <w:snapToGrid w:val="0"/>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40</w:t>
                  </w:r>
                </w:p>
              </w:tc>
              <w:tc>
                <w:tcPr>
                  <w:tcW w:w="743" w:type="pct"/>
                  <w:noWrap w:val="0"/>
                  <w:vAlign w:val="center"/>
                </w:tcPr>
                <w:p>
                  <w:pPr>
                    <w:widowControl/>
                    <w:spacing w:line="240" w:lineRule="auto"/>
                    <w:jc w:val="center"/>
                    <w:textAlignment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60</w:t>
                  </w:r>
                </w:p>
              </w:tc>
              <w:tc>
                <w:tcPr>
                  <w:tcW w:w="743" w:type="pct"/>
                  <w:noWrap w:val="0"/>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pct"/>
                  <w:gridSpan w:val="2"/>
                  <w:noWrap w:val="0"/>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达标情况</w:t>
                  </w:r>
                </w:p>
              </w:tc>
              <w:tc>
                <w:tcPr>
                  <w:tcW w:w="742" w:type="pct"/>
                  <w:noWrap w:val="0"/>
                  <w:vAlign w:val="center"/>
                </w:tcPr>
                <w:p>
                  <w:pPr>
                    <w:snapToGrid w:val="0"/>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达标</w:t>
                  </w:r>
                </w:p>
              </w:tc>
              <w:tc>
                <w:tcPr>
                  <w:tcW w:w="743" w:type="pct"/>
                  <w:noWrap w:val="0"/>
                  <w:vAlign w:val="center"/>
                </w:tcPr>
                <w:p>
                  <w:pPr>
                    <w:widowControl/>
                    <w:spacing w:line="240" w:lineRule="auto"/>
                    <w:jc w:val="center"/>
                    <w:textAlignment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达标</w:t>
                  </w:r>
                </w:p>
              </w:tc>
              <w:tc>
                <w:tcPr>
                  <w:tcW w:w="743" w:type="pct"/>
                  <w:noWrap w:val="0"/>
                  <w:vAlign w:val="center"/>
                </w:tcPr>
                <w:p>
                  <w:pPr>
                    <w:snapToGrid w:val="0"/>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达标</w:t>
                  </w:r>
                </w:p>
              </w:tc>
              <w:tc>
                <w:tcPr>
                  <w:tcW w:w="743" w:type="pct"/>
                  <w:noWrap w:val="0"/>
                  <w:vAlign w:val="center"/>
                </w:tcPr>
                <w:p>
                  <w:pPr>
                    <w:widowControl/>
                    <w:spacing w:line="240" w:lineRule="auto"/>
                    <w:jc w:val="center"/>
                    <w:textAlignment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达标</w:t>
                  </w:r>
                </w:p>
              </w:tc>
            </w:tr>
          </w:tbl>
          <w:p>
            <w:pPr>
              <w:widowControl w:val="0"/>
              <w:spacing w:line="360" w:lineRule="auto"/>
              <w:ind w:firstLine="480" w:firstLineChars="200"/>
              <w:jc w:val="both"/>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经污水处理站处理后的生产废水污染物浓度降低用于菜地灌溉，不外排。</w:t>
            </w:r>
          </w:p>
          <w:p>
            <w:pPr>
              <w:widowControl w:val="0"/>
              <w:spacing w:line="360" w:lineRule="auto"/>
              <w:ind w:firstLine="480" w:firstLineChars="200"/>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kern w:val="2"/>
                <w:sz w:val="24"/>
                <w:szCs w:val="24"/>
                <w:lang w:val="en-US" w:eastAsia="zh-CN" w:bidi="ar-SA"/>
              </w:rPr>
              <w:t>（</w:t>
            </w:r>
            <w:r>
              <w:rPr>
                <w:rFonts w:hint="eastAsia" w:ascii="Times New Roman" w:hAnsi="Times New Roman" w:cs="Times New Roman"/>
                <w:color w:val="000000"/>
                <w:kern w:val="2"/>
                <w:sz w:val="24"/>
                <w:szCs w:val="24"/>
                <w:lang w:val="en-US" w:eastAsia="zh-CN" w:bidi="ar-SA"/>
              </w:rPr>
              <w:t>2</w:t>
            </w:r>
            <w:r>
              <w:rPr>
                <w:rFonts w:hint="eastAsia" w:ascii="Times New Roman" w:hAnsi="Times New Roman" w:eastAsia="宋体" w:cs="Times New Roman"/>
                <w:color w:val="000000"/>
                <w:kern w:val="2"/>
                <w:sz w:val="24"/>
                <w:szCs w:val="24"/>
                <w:lang w:val="en-US" w:eastAsia="zh-CN" w:bidi="ar-SA"/>
              </w:rPr>
              <w:t>）地表水环境影响评价</w:t>
            </w:r>
            <w:r>
              <w:rPr>
                <w:rFonts w:hint="eastAsia" w:ascii="Times New Roman" w:hAnsi="Times New Roman" w:eastAsia="宋体" w:cs="Times New Roman"/>
                <w:color w:val="000000"/>
                <w:sz w:val="24"/>
                <w:szCs w:val="24"/>
              </w:rPr>
              <w:t>等级判定</w:t>
            </w:r>
          </w:p>
          <w:p>
            <w:pPr>
              <w:widowControl w:val="0"/>
              <w:spacing w:line="360" w:lineRule="auto"/>
              <w:ind w:firstLine="480" w:firstLineChars="200"/>
              <w:jc w:val="both"/>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根据《环境影响评价技术导则地表水环境》（</w:t>
            </w:r>
            <w:r>
              <w:rPr>
                <w:rFonts w:ascii="Times New Roman" w:hAnsi="Times New Roman" w:eastAsia="宋体" w:cs="Times New Roman"/>
                <w:color w:val="000000"/>
                <w:kern w:val="2"/>
                <w:sz w:val="24"/>
                <w:szCs w:val="24"/>
                <w:lang w:val="en-US" w:eastAsia="zh-CN" w:bidi="ar-SA"/>
              </w:rPr>
              <w:t>HJ2.3-2018</w:t>
            </w:r>
            <w:r>
              <w:rPr>
                <w:rFonts w:hint="eastAsia" w:ascii="Times New Roman" w:hAnsi="Times New Roman" w:eastAsia="宋体" w:cs="Times New Roman"/>
                <w:color w:val="000000"/>
                <w:kern w:val="2"/>
                <w:sz w:val="24"/>
                <w:szCs w:val="24"/>
                <w:lang w:val="en-US" w:eastAsia="zh-CN" w:bidi="ar-SA"/>
              </w:rPr>
              <w:t>），地表水环境影响评价等级按照影响类型、排放方式、排放量或影响情况、受纳水体环境质量状况、水环境保护目标等综合确定，水污染影响型建设项目根据排放方式和废水排放量划分评价等级，判定依据见表</w:t>
            </w:r>
            <w:r>
              <w:rPr>
                <w:rFonts w:hint="eastAsia" w:ascii="Times New Roman" w:hAnsi="Times New Roman" w:cs="Times New Roman"/>
                <w:color w:val="000000"/>
                <w:kern w:val="2"/>
                <w:sz w:val="24"/>
                <w:szCs w:val="24"/>
                <w:lang w:val="en-US" w:eastAsia="zh-CN" w:bidi="ar-SA"/>
              </w:rPr>
              <w:t>4</w:t>
            </w:r>
            <w:r>
              <w:rPr>
                <w:rFonts w:hint="eastAsia" w:ascii="Times New Roman" w:hAnsi="Times New Roman" w:eastAsia="宋体" w:cs="Times New Roman"/>
                <w:color w:val="000000"/>
                <w:kern w:val="2"/>
                <w:sz w:val="24"/>
                <w:szCs w:val="24"/>
                <w:lang w:val="en-US" w:eastAsia="zh-CN" w:bidi="ar-SA"/>
              </w:rPr>
              <w:t>-</w:t>
            </w:r>
            <w:r>
              <w:rPr>
                <w:rFonts w:hint="eastAsia" w:ascii="Times New Roman" w:hAnsi="Times New Roman" w:cs="Times New Roman"/>
                <w:color w:val="000000"/>
                <w:kern w:val="2"/>
                <w:sz w:val="24"/>
                <w:szCs w:val="24"/>
                <w:lang w:val="en-US" w:eastAsia="zh-CN" w:bidi="ar-SA"/>
              </w:rPr>
              <w:t>17</w:t>
            </w:r>
            <w:r>
              <w:rPr>
                <w:rFonts w:hint="eastAsia" w:ascii="Times New Roman" w:hAnsi="Times New Roman" w:eastAsia="宋体" w:cs="Times New Roman"/>
                <w:color w:val="000000"/>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rPr>
              <w:t>表</w:t>
            </w:r>
            <w:r>
              <w:rPr>
                <w:rFonts w:hint="eastAsia" w:ascii="Times New Roman" w:hAnsi="Times New Roman" w:cs="Times New Roman"/>
                <w:b/>
                <w:bCs/>
                <w:color w:val="000000"/>
                <w:sz w:val="21"/>
                <w:szCs w:val="21"/>
                <w:lang w:val="en-US" w:eastAsia="zh-CN"/>
              </w:rPr>
              <w:t>4</w:t>
            </w:r>
            <w:r>
              <w:rPr>
                <w:rFonts w:hint="eastAsia" w:ascii="Times New Roman" w:hAnsi="Times New Roman" w:eastAsia="宋体" w:cs="Times New Roman"/>
                <w:b/>
                <w:bCs/>
                <w:color w:val="000000"/>
                <w:sz w:val="21"/>
                <w:szCs w:val="21"/>
              </w:rPr>
              <w:t>-</w:t>
            </w:r>
            <w:r>
              <w:rPr>
                <w:rFonts w:hint="eastAsia" w:ascii="Times New Roman" w:hAnsi="Times New Roman" w:cs="Times New Roman"/>
                <w:b/>
                <w:bCs/>
                <w:color w:val="000000"/>
                <w:sz w:val="21"/>
                <w:szCs w:val="21"/>
                <w:lang w:val="en-US" w:eastAsia="zh-CN"/>
              </w:rPr>
              <w:t>17</w:t>
            </w:r>
            <w:r>
              <w:rPr>
                <w:rFonts w:ascii="Times New Roman" w:hAnsi="Times New Roman" w:eastAsia="宋体" w:cs="Times New Roman"/>
                <w:b/>
                <w:bCs/>
                <w:color w:val="000000"/>
                <w:sz w:val="21"/>
                <w:szCs w:val="21"/>
              </w:rPr>
              <w:t xml:space="preserve"> </w:t>
            </w:r>
            <w:r>
              <w:rPr>
                <w:rFonts w:hint="eastAsia" w:ascii="Times New Roman" w:hAnsi="Times New Roman" w:eastAsia="宋体" w:cs="Times New Roman"/>
                <w:b/>
                <w:bCs/>
                <w:color w:val="000000"/>
                <w:sz w:val="21"/>
                <w:szCs w:val="21"/>
              </w:rPr>
              <w:t>水污染影响型建设项目评价等级判定</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755"/>
              <w:gridCol w:w="5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0" w:type="pct"/>
                  <w:vMerge w:val="restar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评价等级</w:t>
                  </w:r>
                </w:p>
              </w:tc>
              <w:tc>
                <w:tcPr>
                  <w:tcW w:w="4089" w:type="pct"/>
                  <w:gridSpan w:val="2"/>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0" w:type="pct"/>
                  <w:vMerge w:val="continue"/>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p>
              </w:tc>
              <w:tc>
                <w:tcPr>
                  <w:tcW w:w="1062"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排放方式</w:t>
                  </w:r>
                </w:p>
              </w:tc>
              <w:tc>
                <w:tcPr>
                  <w:tcW w:w="302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废水排放量Q(m</w:t>
                  </w:r>
                  <w:r>
                    <w:rPr>
                      <w:rFonts w:hint="eastAsia" w:ascii="Times New Roman" w:hAnsi="Times New Roman" w:eastAsia="宋体" w:cs="Times New Roman"/>
                      <w:color w:val="000000"/>
                      <w:kern w:val="2"/>
                      <w:sz w:val="21"/>
                      <w:szCs w:val="21"/>
                      <w:vertAlign w:val="superscript"/>
                      <w:lang w:val="en-US" w:eastAsia="zh-CN" w:bidi="ar-SA"/>
                    </w:rPr>
                    <w:t>3</w:t>
                  </w:r>
                  <w:r>
                    <w:rPr>
                      <w:rFonts w:hint="eastAsia" w:ascii="Times New Roman" w:hAnsi="Times New Roman" w:eastAsia="宋体" w:cs="Times New Roman"/>
                      <w:color w:val="000000"/>
                      <w:kern w:val="2"/>
                      <w:sz w:val="21"/>
                      <w:szCs w:val="21"/>
                      <w:lang w:val="en-US" w:eastAsia="zh-CN" w:bidi="ar-SA"/>
                    </w:rPr>
                    <w:t>/d)水污染物当量数W(无量纲)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0"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一级</w:t>
                  </w:r>
                </w:p>
              </w:tc>
              <w:tc>
                <w:tcPr>
                  <w:tcW w:w="1062"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直接排放</w:t>
                  </w:r>
                </w:p>
              </w:tc>
              <w:tc>
                <w:tcPr>
                  <w:tcW w:w="302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0"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二级</w:t>
                  </w:r>
                </w:p>
              </w:tc>
              <w:tc>
                <w:tcPr>
                  <w:tcW w:w="1062"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直接排放</w:t>
                  </w:r>
                </w:p>
              </w:tc>
              <w:tc>
                <w:tcPr>
                  <w:tcW w:w="302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0"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三级A</w:t>
                  </w:r>
                </w:p>
              </w:tc>
              <w:tc>
                <w:tcPr>
                  <w:tcW w:w="1062"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直接排放</w:t>
                  </w:r>
                </w:p>
              </w:tc>
              <w:tc>
                <w:tcPr>
                  <w:tcW w:w="302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Q&lt;200且W&lt;6000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0"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三级B</w:t>
                  </w:r>
                </w:p>
              </w:tc>
              <w:tc>
                <w:tcPr>
                  <w:tcW w:w="1062"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间接排放</w:t>
                  </w:r>
                </w:p>
              </w:tc>
              <w:tc>
                <w:tcPr>
                  <w:tcW w:w="3026" w:type="pct"/>
                  <w:noWrap w:val="0"/>
                  <w:vAlign w:val="center"/>
                </w:tcPr>
                <w:p>
                  <w:pPr>
                    <w:widowControl w:val="0"/>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r>
          </w:tbl>
          <w:p>
            <w:pPr>
              <w:spacing w:line="360" w:lineRule="auto"/>
              <w:ind w:firstLine="480" w:firstLineChars="200"/>
              <w:rPr>
                <w:rFonts w:hint="eastAsia" w:ascii="Times New Roman" w:hAnsi="Times New Roman" w:eastAsia="宋体" w:cs="Times New Roman"/>
                <w:color w:val="000000"/>
                <w:sz w:val="24"/>
                <w:szCs w:val="24"/>
                <w:u w:val="none"/>
              </w:rPr>
            </w:pPr>
            <w:r>
              <w:rPr>
                <w:rFonts w:hint="eastAsia" w:ascii="Times New Roman" w:hAnsi="Times New Roman" w:eastAsia="宋体" w:cs="Times New Roman"/>
                <w:color w:val="000000"/>
                <w:sz w:val="24"/>
                <w:szCs w:val="24"/>
              </w:rPr>
              <w:t>本项目废水主要为</w:t>
            </w:r>
            <w:r>
              <w:rPr>
                <w:rFonts w:hint="eastAsia" w:ascii="Times New Roman" w:hAnsi="Times New Roman" w:cs="Times New Roman"/>
                <w:color w:val="000000"/>
                <w:sz w:val="24"/>
                <w:szCs w:val="24"/>
                <w:lang w:val="en-US" w:eastAsia="zh-CN"/>
              </w:rPr>
              <w:t>黄豆清洗废水</w:t>
            </w:r>
            <w:r>
              <w:rPr>
                <w:rFonts w:hint="eastAsia" w:ascii="Times New Roman" w:hAnsi="Times New Roman" w:eastAsia="宋体" w:cs="Times New Roman"/>
                <w:color w:val="000000"/>
                <w:sz w:val="24"/>
                <w:szCs w:val="24"/>
              </w:rPr>
              <w:t>、设备清洗废水、地面清洁废水和生活污水，</w:t>
            </w:r>
            <w:r>
              <w:rPr>
                <w:rFonts w:hint="eastAsia" w:ascii="Times New Roman" w:hAnsi="Times New Roman" w:cs="Times New Roman"/>
                <w:color w:val="000000"/>
                <w:sz w:val="24"/>
                <w:szCs w:val="24"/>
                <w:lang w:val="en-US" w:eastAsia="zh-CN"/>
              </w:rPr>
              <w:t>黄豆清洗废水</w:t>
            </w:r>
            <w:r>
              <w:rPr>
                <w:rFonts w:hint="eastAsia" w:ascii="Times New Roman" w:hAnsi="Times New Roman" w:eastAsia="宋体" w:cs="Times New Roman"/>
                <w:color w:val="000000"/>
                <w:sz w:val="24"/>
                <w:szCs w:val="24"/>
              </w:rPr>
              <w:t>、设备清洗废水、地面清洁废水经厂区自建污水处理站处理</w:t>
            </w:r>
            <w:r>
              <w:rPr>
                <w:rFonts w:hint="eastAsia" w:ascii="Times New Roman" w:hAnsi="Times New Roman" w:cs="Times New Roman"/>
                <w:color w:val="000000"/>
                <w:sz w:val="24"/>
                <w:szCs w:val="24"/>
                <w:lang w:val="en-US" w:eastAsia="zh-CN"/>
              </w:rPr>
              <w:t>后</w:t>
            </w:r>
            <w:r>
              <w:rPr>
                <w:rFonts w:hint="eastAsia" w:ascii="Times New Roman" w:hAnsi="Times New Roman" w:eastAsia="宋体" w:cs="Times New Roman"/>
                <w:color w:val="000000"/>
                <w:sz w:val="24"/>
                <w:szCs w:val="24"/>
              </w:rPr>
              <w:t>用于</w:t>
            </w:r>
            <w:r>
              <w:rPr>
                <w:rFonts w:hint="eastAsia" w:ascii="Times New Roman" w:hAnsi="Times New Roman" w:cs="Times New Roman"/>
                <w:color w:val="000000"/>
                <w:sz w:val="24"/>
                <w:szCs w:val="24"/>
                <w:lang w:val="en-US" w:eastAsia="zh-CN"/>
              </w:rPr>
              <w:t>周边农田施肥不外排</w:t>
            </w:r>
            <w:r>
              <w:rPr>
                <w:rFonts w:hint="eastAsia" w:ascii="Times New Roman" w:hAnsi="Times New Roman" w:eastAsia="宋体" w:cs="Times New Roman"/>
                <w:color w:val="000000"/>
                <w:sz w:val="24"/>
                <w:szCs w:val="24"/>
              </w:rPr>
              <w:t>；项目生活污水经化粪池后用于</w:t>
            </w:r>
            <w:r>
              <w:rPr>
                <w:rFonts w:hint="eastAsia" w:ascii="Times New Roman" w:hAnsi="Times New Roman" w:cs="Times New Roman"/>
                <w:color w:val="000000"/>
                <w:sz w:val="24"/>
                <w:szCs w:val="24"/>
                <w:lang w:val="en-US" w:eastAsia="zh-CN"/>
              </w:rPr>
              <w:t>周边农田施肥不外排</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锅炉排污水和</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软</w:t>
            </w:r>
            <w:r>
              <w:rPr>
                <w:rFonts w:hint="eastAsia" w:ascii="Times New Roman" w:hAnsi="Times New Roman" w:cs="Times New Roman"/>
                <w:color w:val="000000"/>
                <w:sz w:val="24"/>
                <w:szCs w:val="24"/>
                <w:lang w:val="en-US" w:eastAsia="zh-CN"/>
              </w:rPr>
              <w:t>水制备排污水用于周边绿化浇洒。</w:t>
            </w:r>
            <w:r>
              <w:rPr>
                <w:rFonts w:hint="eastAsia" w:ascii="Times New Roman" w:hAnsi="Times New Roman" w:eastAsia="宋体" w:cs="Times New Roman"/>
                <w:color w:val="000000"/>
                <w:sz w:val="24"/>
                <w:szCs w:val="24"/>
              </w:rPr>
              <w:t>本项目无废水外排，因此，本项目地表水环境影响评价</w:t>
            </w:r>
            <w:r>
              <w:rPr>
                <w:rFonts w:hint="eastAsia" w:ascii="Times New Roman" w:hAnsi="Times New Roman" w:eastAsia="宋体" w:cs="Times New Roman"/>
                <w:color w:val="000000"/>
                <w:sz w:val="24"/>
                <w:szCs w:val="24"/>
                <w:u w:val="none"/>
              </w:rPr>
              <w:t>等级定位三级</w:t>
            </w:r>
            <w:r>
              <w:rPr>
                <w:rFonts w:ascii="Times New Roman" w:hAnsi="Times New Roman" w:eastAsia="宋体" w:cs="Times New Roman"/>
                <w:color w:val="000000"/>
                <w:sz w:val="24"/>
                <w:szCs w:val="24"/>
                <w:u w:val="none"/>
              </w:rPr>
              <w:t>B</w:t>
            </w:r>
            <w:r>
              <w:rPr>
                <w:rFonts w:hint="eastAsia" w:ascii="Times New Roman" w:hAnsi="Times New Roman" w:eastAsia="宋体" w:cs="Times New Roman"/>
                <w:color w:val="000000"/>
                <w:sz w:val="24"/>
                <w:szCs w:val="24"/>
                <w:u w:val="none"/>
              </w:rPr>
              <w:t>，可不进行水环境影响预测，分析水污染控制和水环境影响减缓措施有效性评价即可。</w:t>
            </w:r>
          </w:p>
          <w:p>
            <w:pPr>
              <w:spacing w:line="360" w:lineRule="auto"/>
              <w:ind w:firstLine="480" w:firstLineChars="200"/>
              <w:rPr>
                <w:rFonts w:hint="eastAsia" w:ascii="Times New Roman" w:hAnsi="Times New Roman" w:eastAsia="宋体" w:cs="Times New Roman"/>
                <w:color w:val="000000"/>
                <w:sz w:val="24"/>
                <w:szCs w:val="24"/>
                <w:u w:val="none"/>
              </w:rPr>
            </w:pPr>
            <w:r>
              <w:rPr>
                <w:rFonts w:hint="eastAsia" w:ascii="Times New Roman" w:hAnsi="Times New Roman" w:eastAsia="宋体" w:cs="Times New Roman"/>
                <w:color w:val="000000"/>
                <w:sz w:val="24"/>
                <w:szCs w:val="24"/>
                <w:u w:val="none"/>
              </w:rPr>
              <w:t>（</w:t>
            </w:r>
            <w:r>
              <w:rPr>
                <w:rFonts w:hint="eastAsia" w:ascii="Times New Roman" w:hAnsi="Times New Roman" w:cs="Times New Roman"/>
                <w:color w:val="000000"/>
                <w:sz w:val="24"/>
                <w:szCs w:val="24"/>
                <w:u w:val="none"/>
                <w:lang w:val="en-US" w:eastAsia="zh-CN"/>
              </w:rPr>
              <w:t>3</w:t>
            </w:r>
            <w:r>
              <w:rPr>
                <w:rFonts w:hint="eastAsia" w:ascii="Times New Roman" w:hAnsi="Times New Roman" w:eastAsia="宋体" w:cs="Times New Roman"/>
                <w:color w:val="000000"/>
                <w:sz w:val="24"/>
                <w:szCs w:val="24"/>
                <w:u w:val="none"/>
              </w:rPr>
              <w:t>）环境影响分析</w:t>
            </w:r>
          </w:p>
          <w:p>
            <w:pPr>
              <w:spacing w:line="360" w:lineRule="auto"/>
              <w:ind w:firstLine="480" w:firstLineChars="200"/>
              <w:rPr>
                <w:rFonts w:hint="eastAsia" w:ascii="Times New Roman" w:hAnsi="Times New Roman" w:eastAsia="宋体" w:cs="Times New Roman"/>
                <w:color w:val="000000"/>
                <w:sz w:val="24"/>
                <w:szCs w:val="24"/>
                <w:u w:val="none"/>
              </w:rPr>
            </w:pPr>
            <w:r>
              <w:rPr>
                <w:rFonts w:hint="eastAsia" w:ascii="Times New Roman" w:hAnsi="Times New Roman" w:eastAsia="宋体" w:cs="Times New Roman"/>
                <w:color w:val="000000"/>
                <w:sz w:val="24"/>
                <w:szCs w:val="24"/>
                <w:u w:val="none"/>
              </w:rPr>
              <w:t>通过工程分析可知，本项目生活污水产生量约为</w:t>
            </w:r>
            <w:r>
              <w:rPr>
                <w:rFonts w:hint="eastAsia" w:ascii="Times New Roman" w:hAnsi="Times New Roman" w:cs="Times New Roman"/>
                <w:color w:val="000000"/>
                <w:sz w:val="24"/>
                <w:szCs w:val="24"/>
                <w:u w:val="none"/>
                <w:lang w:val="en-US" w:eastAsia="zh-CN"/>
              </w:rPr>
              <w:t>1152t</w:t>
            </w:r>
            <w:r>
              <w:rPr>
                <w:rFonts w:hint="eastAsia" w:ascii="Times New Roman" w:hAnsi="Times New Roman" w:eastAsia="宋体" w:cs="Times New Roman"/>
                <w:color w:val="000000"/>
                <w:sz w:val="24"/>
                <w:szCs w:val="24"/>
                <w:u w:val="none"/>
              </w:rPr>
              <w:t>/a；生产废水产生量为</w:t>
            </w:r>
            <w:r>
              <w:rPr>
                <w:rFonts w:hint="eastAsia" w:ascii="Times New Roman" w:hAnsi="Times New Roman" w:cs="Times New Roman"/>
                <w:color w:val="000000"/>
                <w:sz w:val="24"/>
                <w:szCs w:val="24"/>
                <w:u w:val="none"/>
                <w:lang w:val="en-US" w:eastAsia="zh-CN"/>
              </w:rPr>
              <w:t>3298.704t</w:t>
            </w:r>
            <w:r>
              <w:rPr>
                <w:rFonts w:hint="eastAsia" w:ascii="Times New Roman" w:hAnsi="Times New Roman" w:eastAsia="宋体" w:cs="Times New Roman"/>
                <w:color w:val="000000"/>
                <w:sz w:val="24"/>
                <w:szCs w:val="24"/>
                <w:u w:val="none"/>
              </w:rPr>
              <w:t>/a。项目废水总计为</w:t>
            </w:r>
            <w:r>
              <w:rPr>
                <w:rFonts w:hint="eastAsia" w:ascii="Times New Roman" w:hAnsi="Times New Roman" w:cs="Times New Roman"/>
                <w:color w:val="000000"/>
                <w:sz w:val="24"/>
                <w:szCs w:val="24"/>
                <w:u w:val="none"/>
                <w:lang w:val="en-US" w:eastAsia="zh-CN"/>
              </w:rPr>
              <w:t>4450.704t</w:t>
            </w:r>
            <w:r>
              <w:rPr>
                <w:rFonts w:hint="eastAsia" w:ascii="Times New Roman" w:hAnsi="Times New Roman" w:eastAsia="宋体" w:cs="Times New Roman"/>
                <w:color w:val="000000"/>
                <w:sz w:val="24"/>
                <w:szCs w:val="24"/>
                <w:u w:val="none"/>
              </w:rPr>
              <w:t>/a</w:t>
            </w:r>
            <w:r>
              <w:rPr>
                <w:rFonts w:ascii="Times New Roman" w:hAnsi="Times New Roman" w:eastAsia="宋体" w:cs="Times New Roman"/>
                <w:color w:val="000000"/>
                <w:sz w:val="24"/>
                <w:szCs w:val="24"/>
                <w:u w:val="none"/>
              </w:rPr>
              <w:t>。</w:t>
            </w:r>
            <w:r>
              <w:rPr>
                <w:rFonts w:hint="eastAsia" w:ascii="Times New Roman" w:hAnsi="Times New Roman" w:eastAsia="宋体" w:cs="Times New Roman"/>
                <w:color w:val="000000"/>
                <w:sz w:val="24"/>
                <w:szCs w:val="24"/>
                <w:u w:val="none"/>
              </w:rPr>
              <w:t>根据相关资料可知，每亩早稻灌溉需水量180~230m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，中稻220~240m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，晚稻230~320m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，蔬菜220~550m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，棉花30~100m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，小麦10~80m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。农田、菜地用水系数按220m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计算，则消纳本项目废水需要农田或菜地约</w:t>
            </w:r>
            <w:r>
              <w:rPr>
                <w:rFonts w:hint="eastAsia" w:ascii="Times New Roman" w:hAnsi="Times New Roman" w:cs="Times New Roman"/>
                <w:color w:val="000000"/>
                <w:sz w:val="24"/>
                <w:szCs w:val="24"/>
                <w:u w:val="none"/>
                <w:lang w:val="en-US" w:eastAsia="zh-CN"/>
              </w:rPr>
              <w:t>20</w:t>
            </w:r>
            <w:r>
              <w:rPr>
                <w:rFonts w:hint="eastAsia" w:ascii="Times New Roman" w:hAnsi="Times New Roman" w:eastAsia="宋体" w:cs="Times New Roman"/>
                <w:color w:val="000000"/>
                <w:sz w:val="24"/>
                <w:szCs w:val="24"/>
                <w:u w:val="none"/>
              </w:rPr>
              <w:t>亩。本项目建设单位</w:t>
            </w:r>
            <w:r>
              <w:rPr>
                <w:rFonts w:hint="eastAsia" w:ascii="Times New Roman" w:hAnsi="Times New Roman" w:eastAsia="宋体" w:cs="Times New Roman"/>
                <w:color w:val="000000"/>
                <w:sz w:val="24"/>
                <w:szCs w:val="24"/>
                <w:u w:val="none"/>
                <w:lang w:val="en-US" w:eastAsia="zh-CN"/>
              </w:rPr>
              <w:t>新田县千山龙食品有限公司</w:t>
            </w:r>
            <w:r>
              <w:rPr>
                <w:rFonts w:hint="eastAsia" w:ascii="Times New Roman" w:hAnsi="Times New Roman" w:cs="Times New Roman"/>
                <w:color w:val="000000"/>
                <w:sz w:val="24"/>
                <w:szCs w:val="24"/>
                <w:u w:val="none"/>
                <w:lang w:val="en-US" w:eastAsia="zh-CN"/>
              </w:rPr>
              <w:t>周边约有30亩农田</w:t>
            </w:r>
            <w:r>
              <w:rPr>
                <w:rFonts w:hint="eastAsia" w:ascii="Times New Roman" w:hAnsi="Times New Roman" w:eastAsia="宋体" w:cs="Times New Roman"/>
                <w:color w:val="000000"/>
                <w:sz w:val="24"/>
                <w:szCs w:val="24"/>
                <w:u w:val="none"/>
              </w:rPr>
              <w:t>，可完全消纳本项目产生的污水。同时，</w:t>
            </w:r>
            <w:r>
              <w:rPr>
                <w:rFonts w:hint="eastAsia" w:ascii="Times New Roman" w:hAnsi="Times New Roman" w:cs="Times New Roman"/>
                <w:color w:val="000000"/>
                <w:sz w:val="24"/>
                <w:szCs w:val="24"/>
                <w:u w:val="none"/>
                <w:lang w:val="en-US" w:eastAsia="zh-CN"/>
              </w:rPr>
              <w:t>锅炉和</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软</w:t>
            </w:r>
            <w:r>
              <w:rPr>
                <w:rFonts w:hint="eastAsia" w:ascii="Times New Roman" w:hAnsi="Times New Roman" w:cs="Times New Roman"/>
                <w:color w:val="000000"/>
                <w:sz w:val="24"/>
                <w:szCs w:val="24"/>
                <w:u w:val="none"/>
                <w:lang w:val="en-US" w:eastAsia="zh-CN"/>
              </w:rPr>
              <w:t>水制备设备排污水为清净下水，用于周边绿化浇灌，</w:t>
            </w:r>
            <w:r>
              <w:rPr>
                <w:rFonts w:hint="eastAsia" w:ascii="Times New Roman" w:hAnsi="Times New Roman" w:eastAsia="宋体" w:cs="Times New Roman"/>
                <w:color w:val="000000"/>
                <w:sz w:val="24"/>
                <w:szCs w:val="24"/>
                <w:u w:val="none"/>
              </w:rPr>
              <w:t>本项目</w:t>
            </w:r>
            <w:r>
              <w:rPr>
                <w:rFonts w:hint="eastAsia" w:ascii="Times New Roman" w:hAnsi="Times New Roman" w:cs="Times New Roman"/>
                <w:color w:val="000000"/>
                <w:sz w:val="24"/>
                <w:szCs w:val="24"/>
                <w:u w:val="none"/>
                <w:lang w:val="en-US" w:eastAsia="zh-CN"/>
              </w:rPr>
              <w:t>西</w:t>
            </w:r>
            <w:r>
              <w:rPr>
                <w:rFonts w:hint="eastAsia" w:ascii="Times New Roman" w:hAnsi="Times New Roman" w:eastAsia="宋体" w:cs="Times New Roman"/>
                <w:color w:val="000000"/>
                <w:sz w:val="24"/>
                <w:szCs w:val="24"/>
                <w:u w:val="none"/>
              </w:rPr>
              <w:t>面有约</w:t>
            </w:r>
            <w:r>
              <w:rPr>
                <w:rFonts w:hint="eastAsia" w:ascii="Times New Roman" w:hAnsi="Times New Roman" w:cs="Times New Roman"/>
                <w:color w:val="000000"/>
                <w:sz w:val="24"/>
                <w:szCs w:val="24"/>
                <w:u w:val="none"/>
                <w:lang w:val="en-US" w:eastAsia="zh-CN"/>
              </w:rPr>
              <w:t>8</w:t>
            </w:r>
            <w:r>
              <w:rPr>
                <w:rFonts w:hint="eastAsia" w:ascii="Times New Roman" w:hAnsi="Times New Roman" w:eastAsia="宋体" w:cs="Times New Roman"/>
                <w:color w:val="000000"/>
                <w:sz w:val="24"/>
                <w:szCs w:val="24"/>
                <w:u w:val="none"/>
              </w:rPr>
              <w:t>亩的林地</w:t>
            </w:r>
            <w:r>
              <w:rPr>
                <w:rFonts w:hint="eastAsia" w:ascii="Times New Roman" w:hAnsi="Times New Roman" w:cs="Times New Roman"/>
                <w:color w:val="000000"/>
                <w:sz w:val="24"/>
                <w:szCs w:val="24"/>
                <w:u w:val="none"/>
                <w:lang w:eastAsia="zh-CN"/>
              </w:rPr>
              <w:t>，</w:t>
            </w:r>
            <w:r>
              <w:rPr>
                <w:rFonts w:hint="eastAsia" w:ascii="Times New Roman" w:hAnsi="Times New Roman" w:cs="Times New Roman"/>
                <w:color w:val="000000"/>
                <w:sz w:val="24"/>
                <w:szCs w:val="24"/>
                <w:u w:val="none"/>
                <w:lang w:val="en-US" w:eastAsia="zh-CN"/>
              </w:rPr>
              <w:t>可容纳项目为清净下水</w:t>
            </w:r>
            <w:r>
              <w:rPr>
                <w:rFonts w:hint="eastAsia" w:ascii="Times New Roman" w:hAnsi="Times New Roman" w:eastAsia="宋体" w:cs="Times New Roman"/>
                <w:color w:val="000000"/>
                <w:sz w:val="24"/>
                <w:szCs w:val="24"/>
                <w:u w:val="none"/>
              </w:rPr>
              <w:t>可以进行灌溉</w:t>
            </w:r>
            <w:r>
              <w:rPr>
                <w:rFonts w:hint="eastAsia" w:ascii="Times New Roman" w:hAnsi="Times New Roman" w:cs="Times New Roman"/>
                <w:color w:val="000000"/>
                <w:sz w:val="24"/>
                <w:szCs w:val="24"/>
                <w:u w:val="none"/>
                <w:lang w:val="en-US" w:eastAsia="zh-CN"/>
              </w:rPr>
              <w:t>浇洒</w:t>
            </w:r>
            <w:r>
              <w:rPr>
                <w:rFonts w:hint="eastAsia" w:ascii="Times New Roman" w:hAnsi="Times New Roman" w:eastAsia="宋体" w:cs="Times New Roman"/>
                <w:color w:val="000000"/>
                <w:sz w:val="24"/>
                <w:szCs w:val="24"/>
                <w:u w:val="none"/>
              </w:rPr>
              <w:t>，确保项目废水全部用于灌溉不外排。</w:t>
            </w:r>
          </w:p>
          <w:p>
            <w:pPr>
              <w:spacing w:line="360" w:lineRule="auto"/>
              <w:ind w:firstLine="480" w:firstLineChars="200"/>
              <w:rPr>
                <w:rFonts w:hint="eastAsia" w:ascii="Times New Roman" w:hAnsi="Times New Roman" w:eastAsia="宋体" w:cs="Times New Roman"/>
                <w:color w:val="000000"/>
                <w:sz w:val="24"/>
                <w:szCs w:val="24"/>
                <w:u w:val="none"/>
              </w:rPr>
            </w:pPr>
            <w:r>
              <w:rPr>
                <w:rFonts w:hint="eastAsia" w:ascii="Times New Roman" w:hAnsi="Times New Roman" w:eastAsia="宋体" w:cs="Times New Roman"/>
                <w:color w:val="000000"/>
                <w:sz w:val="24"/>
                <w:szCs w:val="24"/>
                <w:u w:val="none"/>
              </w:rPr>
              <w:t>项目拟新建一座污水处理站，规模为60m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/d，采用“调节池+活性污泥反应池+沉淀池+厌氧水解池+好氧池+沉淀池”处理。设计进水指标COD≦5000mg/L、BOD</w:t>
            </w:r>
            <w:r>
              <w:rPr>
                <w:rFonts w:hint="eastAsia" w:ascii="Times New Roman" w:hAnsi="Times New Roman" w:eastAsia="宋体" w:cs="Times New Roman"/>
                <w:color w:val="000000"/>
                <w:sz w:val="24"/>
                <w:szCs w:val="24"/>
                <w:u w:val="none"/>
                <w:vertAlign w:val="subscript"/>
              </w:rPr>
              <w:t>5</w:t>
            </w:r>
            <w:r>
              <w:rPr>
                <w:rFonts w:hint="eastAsia" w:ascii="Times New Roman" w:hAnsi="Times New Roman" w:eastAsia="宋体" w:cs="Times New Roman"/>
                <w:color w:val="000000"/>
                <w:sz w:val="24"/>
                <w:szCs w:val="24"/>
                <w:u w:val="none"/>
              </w:rPr>
              <w:t>≦4000mg/L、氨氮≦100mg/L、SS≦1500mg/L，根据各单元处理效率可知，污水处理站出水设计指标可达到COD≦100mg/L、BOD</w:t>
            </w:r>
            <w:r>
              <w:rPr>
                <w:rFonts w:hint="eastAsia" w:ascii="Times New Roman" w:hAnsi="Times New Roman" w:eastAsia="宋体" w:cs="Times New Roman"/>
                <w:color w:val="000000"/>
                <w:sz w:val="24"/>
                <w:szCs w:val="24"/>
                <w:u w:val="none"/>
                <w:vertAlign w:val="subscript"/>
              </w:rPr>
              <w:t>5</w:t>
            </w:r>
            <w:r>
              <w:rPr>
                <w:rFonts w:hint="eastAsia" w:ascii="Times New Roman" w:hAnsi="Times New Roman" w:eastAsia="宋体" w:cs="Times New Roman"/>
                <w:color w:val="000000"/>
                <w:sz w:val="24"/>
                <w:szCs w:val="24"/>
                <w:u w:val="none"/>
              </w:rPr>
              <w:t>≦40mg/L、氨氮≦45mg/L、SS≦60mg/L，项目生产废水产生量为</w:t>
            </w:r>
            <w:r>
              <w:rPr>
                <w:rFonts w:hint="eastAsia" w:ascii="Times New Roman" w:hAnsi="Times New Roman" w:cs="Times New Roman"/>
                <w:color w:val="000000"/>
                <w:sz w:val="24"/>
                <w:szCs w:val="24"/>
                <w:u w:val="none"/>
                <w:lang w:val="en-US" w:eastAsia="zh-CN"/>
              </w:rPr>
              <w:t>3298.704</w:t>
            </w:r>
            <w:r>
              <w:rPr>
                <w:rFonts w:hint="eastAsia" w:ascii="Times New Roman" w:hAnsi="Times New Roman" w:eastAsia="宋体" w:cs="Times New Roman"/>
                <w:color w:val="000000"/>
                <w:sz w:val="24"/>
                <w:szCs w:val="24"/>
                <w:u w:val="none"/>
              </w:rPr>
              <w:t>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/a（</w:t>
            </w:r>
            <w:r>
              <w:rPr>
                <w:rFonts w:hint="eastAsia" w:ascii="Times New Roman" w:hAnsi="Times New Roman" w:cs="Times New Roman"/>
                <w:color w:val="000000"/>
                <w:sz w:val="24"/>
                <w:szCs w:val="24"/>
                <w:u w:val="none"/>
                <w:lang w:val="en-US" w:eastAsia="zh-CN"/>
              </w:rPr>
              <w:t>11</w:t>
            </w:r>
            <w:r>
              <w:rPr>
                <w:rFonts w:hint="eastAsia" w:ascii="Times New Roman" w:hAnsi="Times New Roman" w:eastAsia="宋体" w:cs="Times New Roman"/>
                <w:color w:val="000000"/>
                <w:sz w:val="24"/>
                <w:szCs w:val="24"/>
                <w:u w:val="none"/>
              </w:rPr>
              <w:t>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/d），能够项目污水处理站废水处理规模，污水处理措施可行</w:t>
            </w:r>
            <w:r>
              <w:rPr>
                <w:rFonts w:hint="eastAsia" w:ascii="Times New Roman" w:hAnsi="Times New Roman" w:cs="Times New Roman"/>
                <w:color w:val="000000"/>
                <w:sz w:val="24"/>
                <w:szCs w:val="24"/>
                <w:u w:val="none"/>
                <w:lang w:eastAsia="zh-CN"/>
              </w:rPr>
              <w:t>。</w:t>
            </w:r>
            <w:r>
              <w:rPr>
                <w:rFonts w:hint="eastAsia" w:ascii="Times New Roman" w:hAnsi="Times New Roman" w:eastAsia="宋体" w:cs="Times New Roman"/>
                <w:color w:val="000000"/>
                <w:sz w:val="24"/>
                <w:szCs w:val="24"/>
                <w:u w:val="none"/>
              </w:rPr>
              <w:t>为了确保项目废水不外排，本环评要求企业建设有效容积不小于100m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（可暂存20天的废水）的废水暂存池，在非灌溉期废水无菜地灌溉时，可将废水暂存于废水暂存池内，以备灌溉期进行浇灌。</w:t>
            </w:r>
          </w:p>
          <w:p>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u w:val="none"/>
              </w:rPr>
              <w:t>总的来说，项目生产废水和生活污水分别经自建污水处理站和化粪池处理后用于</w:t>
            </w:r>
            <w:r>
              <w:rPr>
                <w:rFonts w:hint="eastAsia" w:ascii="Times New Roman" w:hAnsi="Times New Roman" w:cs="Times New Roman"/>
                <w:color w:val="000000"/>
                <w:sz w:val="24"/>
                <w:szCs w:val="24"/>
                <w:u w:val="none"/>
                <w:lang w:val="en-US" w:eastAsia="zh-CN"/>
              </w:rPr>
              <w:t>周边农田浇灌</w:t>
            </w:r>
            <w:r>
              <w:rPr>
                <w:rFonts w:hint="eastAsia" w:ascii="Times New Roman" w:hAnsi="Times New Roman" w:eastAsia="宋体" w:cs="Times New Roman"/>
                <w:color w:val="000000"/>
                <w:sz w:val="24"/>
                <w:szCs w:val="24"/>
                <w:u w:val="none"/>
              </w:rPr>
              <w:t>，对周边地表水</w:t>
            </w:r>
            <w:r>
              <w:rPr>
                <w:rFonts w:hint="eastAsia" w:ascii="Times New Roman" w:hAnsi="Times New Roman" w:eastAsia="宋体" w:cs="Times New Roman"/>
                <w:color w:val="000000"/>
                <w:sz w:val="24"/>
                <w:szCs w:val="24"/>
              </w:rPr>
              <w:t>环境影响不大。</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eastAsia="宋体" w:cs="Times New Roman"/>
                <w:b/>
                <w:bCs/>
                <w:color w:val="000000" w:themeColor="text1"/>
                <w:kern w:val="2"/>
                <w:sz w:val="24"/>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2"/>
                <w:lang w:val="en-US" w:eastAsia="zh-CN" w:bidi="ar-SA"/>
                <w14:textFill>
                  <w14:solidFill>
                    <w14:schemeClr w14:val="tx1"/>
                  </w14:solidFill>
                </w14:textFill>
              </w:rPr>
              <w:t>1.3</w:t>
            </w:r>
            <w:r>
              <w:rPr>
                <w:rFonts w:hint="default" w:ascii="Times New Roman" w:hAnsi="Times New Roman" w:eastAsia="宋体" w:cs="Times New Roman"/>
                <w:b/>
                <w:bCs/>
                <w:color w:val="000000" w:themeColor="text1"/>
                <w:kern w:val="2"/>
                <w:sz w:val="24"/>
                <w:szCs w:val="22"/>
                <w:lang w:val="en-US" w:eastAsia="zh-CN" w:bidi="ar-SA"/>
                <w14:textFill>
                  <w14:solidFill>
                    <w14:schemeClr w14:val="tx1"/>
                  </w14:solidFill>
                </w14:textFill>
              </w:rPr>
              <w:t>声环境影响分析</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（1）营运期噪声来源</w:t>
            </w:r>
          </w:p>
          <w:p>
            <w:pPr>
              <w:pageBreakBefore w:val="0"/>
              <w:widowControl w:val="0"/>
              <w:tabs>
                <w:tab w:val="left" w:pos="1620"/>
                <w:tab w:val="center" w:pos="4153"/>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FF0000"/>
                <w:sz w:val="24"/>
                <w:szCs w:val="22"/>
              </w:rPr>
            </w:pPr>
            <w:r>
              <w:rPr>
                <w:rFonts w:hint="eastAsia" w:ascii="Times New Roman" w:hAnsi="Times New Roman" w:eastAsia="宋体" w:cs="Times New Roman"/>
                <w:color w:val="000000"/>
                <w:sz w:val="24"/>
                <w:szCs w:val="24"/>
              </w:rPr>
              <w:t>项目噪声源主要为</w:t>
            </w:r>
            <w:r>
              <w:rPr>
                <w:rFonts w:hint="eastAsia" w:ascii="Times New Roman" w:hAnsi="Times New Roman" w:eastAsia="宋体" w:cs="Times New Roman"/>
                <w:color w:val="000000"/>
                <w:sz w:val="24"/>
                <w:szCs w:val="24"/>
                <w:lang w:val="en-US" w:eastAsia="zh-CN"/>
              </w:rPr>
              <w:t>搅拌机</w:t>
            </w:r>
            <w:r>
              <w:rPr>
                <w:rFonts w:hint="eastAsia"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豆皮膨化机</w:t>
            </w:r>
            <w:r>
              <w:rPr>
                <w:rFonts w:hint="eastAsia"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整切机</w:t>
            </w:r>
            <w:r>
              <w:rPr>
                <w:rFonts w:hint="eastAsia" w:ascii="Times New Roman" w:hAnsi="Times New Roman" w:eastAsia="宋体" w:cs="Times New Roman"/>
                <w:color w:val="000000"/>
                <w:sz w:val="24"/>
                <w:szCs w:val="24"/>
              </w:rPr>
              <w:t>、引风机、</w:t>
            </w:r>
            <w:r>
              <w:rPr>
                <w:rFonts w:hint="eastAsia" w:ascii="Times New Roman" w:hAnsi="Times New Roman" w:eastAsia="宋体" w:cs="Times New Roman"/>
                <w:color w:val="000000"/>
                <w:sz w:val="24"/>
                <w:szCs w:val="24"/>
                <w:lang w:val="en-US" w:eastAsia="zh-CN"/>
              </w:rPr>
              <w:t>烘房（风机）、</w:t>
            </w:r>
            <w:r>
              <w:rPr>
                <w:rFonts w:hint="eastAsia" w:ascii="Times New Roman" w:hAnsi="Times New Roman" w:eastAsia="宋体" w:cs="Times New Roman"/>
                <w:color w:val="000000"/>
                <w:sz w:val="24"/>
                <w:szCs w:val="24"/>
              </w:rPr>
              <w:t>锅炉、水泵等设备运转产生的噪声</w:t>
            </w:r>
            <w:r>
              <w:rPr>
                <w:rFonts w:hint="eastAsia" w:ascii="Times New Roman" w:hAnsi="Times New Roman" w:cs="Times New Roman"/>
                <w:color w:val="000000"/>
                <w:sz w:val="24"/>
                <w:szCs w:val="24"/>
                <w:lang w:eastAsia="zh-CN"/>
              </w:rPr>
              <w:t>，</w:t>
            </w:r>
            <w:r>
              <w:rPr>
                <w:rFonts w:hint="default" w:ascii="Times New Roman" w:hAnsi="Times New Roman" w:cs="Times New Roman" w:eastAsiaTheme="minorEastAsia"/>
                <w:color w:val="000000" w:themeColor="text1"/>
                <w:sz w:val="24"/>
                <w:szCs w:val="24"/>
                <w:u w:val="none" w:color="auto"/>
                <w14:textFill>
                  <w14:solidFill>
                    <w14:schemeClr w14:val="tx1"/>
                  </w14:solidFill>
                </w14:textFill>
              </w:rPr>
              <w:t>声级范围</w:t>
            </w:r>
            <w:r>
              <w:rPr>
                <w:rFonts w:hint="eastAsia" w:ascii="Times New Roman" w:hAnsi="Times New Roman" w:cs="Times New Roman" w:eastAsiaTheme="minorEastAsia"/>
                <w:color w:val="000000" w:themeColor="text1"/>
                <w:sz w:val="24"/>
                <w:szCs w:val="24"/>
                <w:u w:val="none" w:color="auto"/>
                <w:lang w:val="en-US" w:eastAsia="zh-CN"/>
                <w14:textFill>
                  <w14:solidFill>
                    <w14:schemeClr w14:val="tx1"/>
                  </w14:solidFill>
                </w14:textFill>
              </w:rPr>
              <w:t>75</w:t>
            </w:r>
            <w:r>
              <w:rPr>
                <w:rFonts w:hint="default" w:ascii="Times New Roman" w:hAnsi="Times New Roman" w:cs="Times New Roman" w:eastAsiaTheme="minorEastAsia"/>
                <w:color w:val="000000" w:themeColor="text1"/>
                <w:sz w:val="24"/>
                <w:szCs w:val="24"/>
                <w:u w:val="none" w:color="auto"/>
                <w14:textFill>
                  <w14:solidFill>
                    <w14:schemeClr w14:val="tx1"/>
                  </w14:solidFill>
                </w14:textFill>
              </w:rPr>
              <w:t>～100dB（A）之间</w:t>
            </w:r>
            <w:r>
              <w:rPr>
                <w:rFonts w:hint="eastAsia" w:ascii="Times New Roman" w:hAnsi="Times New Roman" w:eastAsia="宋体" w:cs="Times New Roman"/>
                <w:color w:val="000000"/>
                <w:sz w:val="24"/>
                <w:szCs w:val="24"/>
              </w:rPr>
              <w:t>。</w:t>
            </w:r>
          </w:p>
          <w:p>
            <w:pPr>
              <w:tabs>
                <w:tab w:val="left" w:pos="1620"/>
                <w:tab w:val="center" w:pos="4153"/>
              </w:tabs>
              <w:spacing w:line="240" w:lineRule="auto"/>
              <w:ind w:firstLine="0" w:firstLineChars="0"/>
              <w:jc w:val="center"/>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color w:val="000000" w:themeColor="text1"/>
                <w:sz w:val="21"/>
                <w:szCs w:val="21"/>
                <w14:textFill>
                  <w14:solidFill>
                    <w14:schemeClr w14:val="tx1"/>
                  </w14:solidFill>
                </w14:textFill>
              </w:rPr>
              <w:t>-</w:t>
            </w:r>
            <w:r>
              <w:rPr>
                <w:rFonts w:hint="eastAsia" w:ascii="Times New Roman" w:hAnsi="Times New Roman" w:cs="Times New Roman"/>
                <w:b/>
                <w:color w:val="000000" w:themeColor="text1"/>
                <w:sz w:val="21"/>
                <w:szCs w:val="21"/>
                <w:lang w:val="en-US" w:eastAsia="zh-CN"/>
                <w14:textFill>
                  <w14:solidFill>
                    <w14:schemeClr w14:val="tx1"/>
                  </w14:solidFill>
                </w14:textFill>
              </w:rPr>
              <w:t xml:space="preserve">18 </w:t>
            </w:r>
            <w:r>
              <w:rPr>
                <w:rFonts w:hint="default" w:ascii="Times New Roman" w:hAnsi="Times New Roman" w:eastAsia="宋体" w:cs="Times New Roman"/>
                <w:b/>
                <w:color w:val="000000" w:themeColor="text1"/>
                <w:sz w:val="21"/>
                <w:szCs w:val="21"/>
                <w14:textFill>
                  <w14:solidFill>
                    <w14:schemeClr w14:val="tx1"/>
                  </w14:solidFill>
                </w14:textFill>
              </w:rPr>
              <w:t>项目噪声源强及其与场界的距离统计表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2126"/>
              <w:gridCol w:w="1689"/>
              <w:gridCol w:w="683"/>
              <w:gridCol w:w="780"/>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577"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噪声设备位置</w:t>
                  </w:r>
                </w:p>
              </w:tc>
              <w:tc>
                <w:tcPr>
                  <w:tcW w:w="1286"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设备名称</w:t>
                  </w:r>
                </w:p>
              </w:tc>
              <w:tc>
                <w:tcPr>
                  <w:tcW w:w="1022"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单位</w:t>
                  </w:r>
                </w:p>
              </w:tc>
              <w:tc>
                <w:tcPr>
                  <w:tcW w:w="413"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设备数量</w:t>
                  </w:r>
                </w:p>
              </w:tc>
              <w:tc>
                <w:tcPr>
                  <w:tcW w:w="470"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噪声等级</w:t>
                  </w:r>
                </w:p>
              </w:tc>
              <w:tc>
                <w:tcPr>
                  <w:tcW w:w="1229"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采用降噪措施后车间声压级dB（A）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vMerge w:val="restar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t>生产车间</w:t>
                  </w:r>
                </w:p>
              </w:tc>
              <w:tc>
                <w:tcPr>
                  <w:tcW w:w="1286" w:type="pct"/>
                  <w:noWrap w:val="0"/>
                  <w:vAlign w:val="center"/>
                </w:tcPr>
                <w:p>
                  <w:pPr>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搅拌机</w:t>
                  </w:r>
                </w:p>
              </w:tc>
              <w:tc>
                <w:tcPr>
                  <w:tcW w:w="1022" w:type="pct"/>
                  <w:noWrap w:val="0"/>
                  <w:vAlign w:val="center"/>
                </w:tcPr>
                <w:p>
                  <w:pPr>
                    <w:widowControl/>
                    <w:spacing w:line="240" w:lineRule="auto"/>
                    <w:ind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台</w:t>
                  </w:r>
                </w:p>
              </w:tc>
              <w:tc>
                <w:tcPr>
                  <w:tcW w:w="413" w:type="pct"/>
                  <w:noWrap w:val="0"/>
                  <w:vAlign w:val="center"/>
                </w:tcPr>
                <w:p>
                  <w:pPr>
                    <w:widowControl/>
                    <w:spacing w:line="240" w:lineRule="auto"/>
                    <w:ind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u w:val="none"/>
                      <w:lang w:val="en-US" w:eastAsia="zh-CN"/>
                      <w14:textFill>
                        <w14:solidFill>
                          <w14:schemeClr w14:val="tx1"/>
                        </w14:solidFill>
                      </w14:textFill>
                    </w:rPr>
                    <w:t>1</w:t>
                  </w:r>
                </w:p>
              </w:tc>
              <w:tc>
                <w:tcPr>
                  <w:tcW w:w="470"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80</w:t>
                  </w:r>
                </w:p>
              </w:tc>
              <w:tc>
                <w:tcPr>
                  <w:tcW w:w="1229"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vMerge w:val="continue"/>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pPr>
                </w:p>
              </w:tc>
              <w:tc>
                <w:tcPr>
                  <w:tcW w:w="1286" w:type="pct"/>
                  <w:noWrap w:val="0"/>
                  <w:vAlign w:val="center"/>
                </w:tcPr>
                <w:p>
                  <w:pPr>
                    <w:spacing w:line="240" w:lineRule="auto"/>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豆皮膨化机</w:t>
                  </w:r>
                </w:p>
              </w:tc>
              <w:tc>
                <w:tcPr>
                  <w:tcW w:w="1022" w:type="pct"/>
                  <w:noWrap w:val="0"/>
                  <w:vAlign w:val="center"/>
                </w:tcPr>
                <w:p>
                  <w:pPr>
                    <w:widowControl/>
                    <w:spacing w:line="240" w:lineRule="auto"/>
                    <w:ind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台</w:t>
                  </w:r>
                </w:p>
              </w:tc>
              <w:tc>
                <w:tcPr>
                  <w:tcW w:w="413"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u w:val="none"/>
                      <w:lang w:val="en-US" w:eastAsia="zh-CN"/>
                      <w14:textFill>
                        <w14:solidFill>
                          <w14:schemeClr w14:val="tx1"/>
                        </w14:solidFill>
                      </w14:textFill>
                    </w:rPr>
                    <w:t>10</w:t>
                  </w:r>
                </w:p>
              </w:tc>
              <w:tc>
                <w:tcPr>
                  <w:tcW w:w="470"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80</w:t>
                  </w:r>
                </w:p>
              </w:tc>
              <w:tc>
                <w:tcPr>
                  <w:tcW w:w="1229"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vMerge w:val="continue"/>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p>
              </w:tc>
              <w:tc>
                <w:tcPr>
                  <w:tcW w:w="1286" w:type="pct"/>
                  <w:noWrap w:val="0"/>
                  <w:vAlign w:val="center"/>
                </w:tcPr>
                <w:p>
                  <w:pPr>
                    <w:spacing w:line="240" w:lineRule="auto"/>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整切机</w:t>
                  </w:r>
                </w:p>
              </w:tc>
              <w:tc>
                <w:tcPr>
                  <w:tcW w:w="1022" w:type="pct"/>
                  <w:noWrap w:val="0"/>
                  <w:vAlign w:val="center"/>
                </w:tcPr>
                <w:p>
                  <w:pPr>
                    <w:widowControl/>
                    <w:spacing w:line="240" w:lineRule="auto"/>
                    <w:ind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台</w:t>
                  </w:r>
                </w:p>
              </w:tc>
              <w:tc>
                <w:tcPr>
                  <w:tcW w:w="413"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pPr>
                  <w:r>
                    <w:rPr>
                      <w:rFonts w:hint="eastAsia" w:ascii="Times New Roman" w:hAnsi="Times New Roman" w:cs="Times New Roman"/>
                      <w:b w:val="0"/>
                      <w:bCs w:val="0"/>
                      <w:color w:val="000000" w:themeColor="text1"/>
                      <w:sz w:val="21"/>
                      <w:szCs w:val="21"/>
                      <w:u w:val="none"/>
                      <w:lang w:val="en-US" w:eastAsia="zh-CN"/>
                      <w14:textFill>
                        <w14:solidFill>
                          <w14:schemeClr w14:val="tx1"/>
                        </w14:solidFill>
                      </w14:textFill>
                    </w:rPr>
                    <w:t>1</w:t>
                  </w:r>
                </w:p>
              </w:tc>
              <w:tc>
                <w:tcPr>
                  <w:tcW w:w="470"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85</w:t>
                  </w:r>
                </w:p>
              </w:tc>
              <w:tc>
                <w:tcPr>
                  <w:tcW w:w="1229"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vMerge w:val="continue"/>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p>
              </w:tc>
              <w:tc>
                <w:tcPr>
                  <w:tcW w:w="1286" w:type="pct"/>
                  <w:noWrap w:val="0"/>
                  <w:vAlign w:val="center"/>
                </w:tcPr>
                <w:p>
                  <w:pPr>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烘房（风机）</w:t>
                  </w:r>
                </w:p>
              </w:tc>
              <w:tc>
                <w:tcPr>
                  <w:tcW w:w="1022" w:type="pct"/>
                  <w:noWrap w:val="0"/>
                  <w:vAlign w:val="center"/>
                </w:tcPr>
                <w:p>
                  <w:pPr>
                    <w:widowControl/>
                    <w:spacing w:line="240" w:lineRule="auto"/>
                    <w:ind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台</w:t>
                  </w:r>
                </w:p>
              </w:tc>
              <w:tc>
                <w:tcPr>
                  <w:tcW w:w="413"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u w:val="none"/>
                      <w:lang w:val="en-US" w:eastAsia="zh-CN"/>
                      <w14:textFill>
                        <w14:solidFill>
                          <w14:schemeClr w14:val="tx1"/>
                        </w14:solidFill>
                      </w14:textFill>
                    </w:rPr>
                    <w:t>6</w:t>
                  </w:r>
                </w:p>
              </w:tc>
              <w:tc>
                <w:tcPr>
                  <w:tcW w:w="470"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85</w:t>
                  </w:r>
                </w:p>
              </w:tc>
              <w:tc>
                <w:tcPr>
                  <w:tcW w:w="1229"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vMerge w:val="continue"/>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p>
              </w:tc>
              <w:tc>
                <w:tcPr>
                  <w:tcW w:w="1286" w:type="pct"/>
                  <w:noWrap w:val="0"/>
                  <w:vAlign w:val="center"/>
                </w:tcPr>
                <w:p>
                  <w:pPr>
                    <w:spacing w:line="240" w:lineRule="auto"/>
                    <w:jc w:val="cente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黄豆脱机</w:t>
                  </w:r>
                </w:p>
              </w:tc>
              <w:tc>
                <w:tcPr>
                  <w:tcW w:w="1022" w:type="pct"/>
                  <w:noWrap w:val="0"/>
                  <w:vAlign w:val="center"/>
                </w:tcPr>
                <w:p>
                  <w:pPr>
                    <w:widowControl/>
                    <w:spacing w:line="240" w:lineRule="auto"/>
                    <w:ind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台</w:t>
                  </w:r>
                </w:p>
              </w:tc>
              <w:tc>
                <w:tcPr>
                  <w:tcW w:w="413"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u w:val="none"/>
                      <w:lang w:val="en-US" w:eastAsia="zh-CN" w:bidi="ar-SA"/>
                      <w14:textFill>
                        <w14:solidFill>
                          <w14:schemeClr w14:val="tx1"/>
                        </w14:solidFill>
                      </w14:textFill>
                    </w:rPr>
                    <w:t>2</w:t>
                  </w:r>
                </w:p>
              </w:tc>
              <w:tc>
                <w:tcPr>
                  <w:tcW w:w="470"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85</w:t>
                  </w:r>
                </w:p>
              </w:tc>
              <w:tc>
                <w:tcPr>
                  <w:tcW w:w="1229"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vMerge w:val="continue"/>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p>
              </w:tc>
              <w:tc>
                <w:tcPr>
                  <w:tcW w:w="1286" w:type="pct"/>
                  <w:noWrap w:val="0"/>
                  <w:vAlign w:val="center"/>
                </w:tcPr>
                <w:p>
                  <w:pPr>
                    <w:spacing w:line="240" w:lineRule="auto"/>
                    <w:jc w:val="cente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振动筛</w:t>
                  </w:r>
                </w:p>
              </w:tc>
              <w:tc>
                <w:tcPr>
                  <w:tcW w:w="1022" w:type="pct"/>
                  <w:noWrap w:val="0"/>
                  <w:vAlign w:val="center"/>
                </w:tcPr>
                <w:p>
                  <w:pPr>
                    <w:widowControl/>
                    <w:spacing w:line="240" w:lineRule="auto"/>
                    <w:ind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台</w:t>
                  </w:r>
                </w:p>
              </w:tc>
              <w:tc>
                <w:tcPr>
                  <w:tcW w:w="413"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u w:val="none"/>
                      <w:lang w:val="en-US" w:eastAsia="zh-CN"/>
                      <w14:textFill>
                        <w14:solidFill>
                          <w14:schemeClr w14:val="tx1"/>
                        </w14:solidFill>
                      </w14:textFill>
                    </w:rPr>
                    <w:t>1</w:t>
                  </w:r>
                </w:p>
              </w:tc>
              <w:tc>
                <w:tcPr>
                  <w:tcW w:w="470"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75</w:t>
                  </w:r>
                </w:p>
              </w:tc>
              <w:tc>
                <w:tcPr>
                  <w:tcW w:w="1229"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77" w:type="pct"/>
                  <w:vMerge w:val="continue"/>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p>
              </w:tc>
              <w:tc>
                <w:tcPr>
                  <w:tcW w:w="1286" w:type="pct"/>
                  <w:noWrap w:val="0"/>
                  <w:vAlign w:val="center"/>
                </w:tcPr>
                <w:p>
                  <w:pPr>
                    <w:widowControl/>
                    <w:snapToGrid/>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r>
                    <w:rPr>
                      <w:rStyle w:val="45"/>
                      <w:rFonts w:eastAsia="宋体"/>
                      <w:b w:val="0"/>
                      <w:i w:val="0"/>
                      <w:caps w:val="0"/>
                      <w:color w:val="000000" w:themeColor="text1"/>
                      <w:spacing w:val="0"/>
                      <w:w w:val="100"/>
                      <w:kern w:val="2"/>
                      <w:sz w:val="21"/>
                      <w:szCs w:val="21"/>
                      <w:lang w:val="en-US" w:eastAsia="zh-CN" w:bidi="ar-SA"/>
                      <w14:textFill>
                        <w14:solidFill>
                          <w14:schemeClr w14:val="tx1"/>
                        </w14:solidFill>
                      </w14:textFill>
                    </w:rPr>
                    <w:t>磨浆机组</w:t>
                  </w:r>
                </w:p>
              </w:tc>
              <w:tc>
                <w:tcPr>
                  <w:tcW w:w="1022" w:type="pct"/>
                  <w:noWrap w:val="0"/>
                  <w:vAlign w:val="center"/>
                </w:tcPr>
                <w:p>
                  <w:pPr>
                    <w:widowControl/>
                    <w:spacing w:line="240" w:lineRule="auto"/>
                    <w:ind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u w:val="none"/>
                      <w:lang w:val="en-US" w:eastAsia="zh-CN"/>
                      <w14:textFill>
                        <w14:solidFill>
                          <w14:schemeClr w14:val="tx1"/>
                        </w14:solidFill>
                      </w14:textFill>
                    </w:rPr>
                    <w:t>套</w:t>
                  </w:r>
                </w:p>
              </w:tc>
              <w:tc>
                <w:tcPr>
                  <w:tcW w:w="413"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u w:val="none"/>
                      <w:lang w:val="en-US" w:eastAsia="zh-CN" w:bidi="ar-SA"/>
                      <w14:textFill>
                        <w14:solidFill>
                          <w14:schemeClr w14:val="tx1"/>
                        </w14:solidFill>
                      </w14:textFill>
                    </w:rPr>
                    <w:t>2</w:t>
                  </w:r>
                </w:p>
              </w:tc>
              <w:tc>
                <w:tcPr>
                  <w:tcW w:w="470"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90</w:t>
                  </w:r>
                </w:p>
              </w:tc>
              <w:tc>
                <w:tcPr>
                  <w:tcW w:w="1229"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577" w:type="pct"/>
                  <w:vMerge w:val="continue"/>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pPr>
                </w:p>
              </w:tc>
              <w:tc>
                <w:tcPr>
                  <w:tcW w:w="1286" w:type="pct"/>
                  <w:noWrap w:val="0"/>
                  <w:vAlign w:val="center"/>
                </w:tcPr>
                <w:p>
                  <w:pPr>
                    <w:snapToGrid w:val="0"/>
                    <w:spacing w:before="0" w:beforeAutospacing="0" w:after="0" w:afterAutospacing="0" w:line="240" w:lineRule="auto"/>
                    <w:jc w:val="center"/>
                    <w:textAlignment w:val="baseline"/>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Style w:val="45"/>
                      <w:rFonts w:ascii="Times New Roman" w:hAnsi="Times New Roman" w:eastAsia="宋体"/>
                      <w:b w:val="0"/>
                      <w:i w:val="0"/>
                      <w:caps w:val="0"/>
                      <w:color w:val="000000" w:themeColor="text1"/>
                      <w:spacing w:val="0"/>
                      <w:w w:val="100"/>
                      <w:kern w:val="2"/>
                      <w:sz w:val="21"/>
                      <w:szCs w:val="21"/>
                      <w:lang w:val="en-US" w:eastAsia="zh-CN" w:bidi="ar-SA"/>
                      <w14:textFill>
                        <w14:solidFill>
                          <w14:schemeClr w14:val="tx1"/>
                        </w14:solidFill>
                      </w14:textFill>
                    </w:rPr>
                    <w:t>煮浆</w:t>
                  </w:r>
                  <w:r>
                    <w:rPr>
                      <w:rStyle w:val="45"/>
                      <w:rFonts w:hint="eastAsia" w:ascii="Times New Roman" w:hAnsi="Times New Roman"/>
                      <w:b w:val="0"/>
                      <w:i w:val="0"/>
                      <w:caps w:val="0"/>
                      <w:color w:val="000000" w:themeColor="text1"/>
                      <w:spacing w:val="0"/>
                      <w:w w:val="100"/>
                      <w:kern w:val="2"/>
                      <w:sz w:val="21"/>
                      <w:szCs w:val="21"/>
                      <w:lang w:val="en-US" w:eastAsia="zh-CN" w:bidi="ar-SA"/>
                      <w14:textFill>
                        <w14:solidFill>
                          <w14:schemeClr w14:val="tx1"/>
                        </w14:solidFill>
                      </w14:textFill>
                    </w:rPr>
                    <w:t>罐</w:t>
                  </w:r>
                </w:p>
              </w:tc>
              <w:tc>
                <w:tcPr>
                  <w:tcW w:w="1022" w:type="pct"/>
                  <w:noWrap w:val="0"/>
                  <w:vAlign w:val="center"/>
                </w:tcPr>
                <w:p>
                  <w:pPr>
                    <w:widowControl/>
                    <w:spacing w:line="240" w:lineRule="auto"/>
                    <w:ind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个</w:t>
                  </w:r>
                </w:p>
              </w:tc>
              <w:tc>
                <w:tcPr>
                  <w:tcW w:w="413"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u w:val="none"/>
                      <w:lang w:val="en-US" w:eastAsia="zh-CN"/>
                      <w14:textFill>
                        <w14:solidFill>
                          <w14:schemeClr w14:val="tx1"/>
                        </w14:solidFill>
                      </w14:textFill>
                    </w:rPr>
                    <w:t>10</w:t>
                  </w:r>
                </w:p>
              </w:tc>
              <w:tc>
                <w:tcPr>
                  <w:tcW w:w="470"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85</w:t>
                  </w:r>
                </w:p>
              </w:tc>
              <w:tc>
                <w:tcPr>
                  <w:tcW w:w="1229"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577" w:type="pct"/>
                  <w:vMerge w:val="continue"/>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p>
              </w:tc>
              <w:tc>
                <w:tcPr>
                  <w:tcW w:w="1286" w:type="pct"/>
                  <w:noWrap w:val="0"/>
                  <w:vAlign w:val="center"/>
                </w:tcPr>
                <w:p>
                  <w:pPr>
                    <w:spacing w:line="240" w:lineRule="auto"/>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引风机</w:t>
                  </w:r>
                </w:p>
              </w:tc>
              <w:tc>
                <w:tcPr>
                  <w:tcW w:w="1022" w:type="pct"/>
                  <w:noWrap w:val="0"/>
                  <w:vAlign w:val="center"/>
                </w:tcPr>
                <w:p>
                  <w:pPr>
                    <w:widowControl/>
                    <w:spacing w:line="240" w:lineRule="auto"/>
                    <w:ind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台</w:t>
                  </w:r>
                </w:p>
              </w:tc>
              <w:tc>
                <w:tcPr>
                  <w:tcW w:w="413"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1</w:t>
                  </w:r>
                </w:p>
              </w:tc>
              <w:tc>
                <w:tcPr>
                  <w:tcW w:w="470"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90</w:t>
                  </w:r>
                </w:p>
              </w:tc>
              <w:tc>
                <w:tcPr>
                  <w:tcW w:w="1229"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77" w:type="pct"/>
                  <w:vMerge w:val="continue"/>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p>
              </w:tc>
              <w:tc>
                <w:tcPr>
                  <w:tcW w:w="1286" w:type="pct"/>
                  <w:noWrap w:val="0"/>
                  <w:vAlign w:val="center"/>
                </w:tcPr>
                <w:p>
                  <w:pPr>
                    <w:spacing w:line="240" w:lineRule="auto"/>
                    <w:jc w:val="cente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水泵</w:t>
                  </w:r>
                </w:p>
              </w:tc>
              <w:tc>
                <w:tcPr>
                  <w:tcW w:w="1022" w:type="pct"/>
                  <w:noWrap w:val="0"/>
                  <w:vAlign w:val="center"/>
                </w:tcPr>
                <w:p>
                  <w:pPr>
                    <w:widowControl/>
                    <w:spacing w:line="240" w:lineRule="auto"/>
                    <w:ind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个</w:t>
                  </w:r>
                </w:p>
              </w:tc>
              <w:tc>
                <w:tcPr>
                  <w:tcW w:w="413"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u w:val="none"/>
                      <w:lang w:val="en-US" w:eastAsia="zh-CN"/>
                      <w14:textFill>
                        <w14:solidFill>
                          <w14:schemeClr w14:val="tx1"/>
                        </w14:solidFill>
                      </w14:textFill>
                    </w:rPr>
                    <w:t>30</w:t>
                  </w:r>
                </w:p>
              </w:tc>
              <w:tc>
                <w:tcPr>
                  <w:tcW w:w="470"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75</w:t>
                  </w:r>
                </w:p>
              </w:tc>
              <w:tc>
                <w:tcPr>
                  <w:tcW w:w="1229"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77"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u w:val="none"/>
                      <w:lang w:val="en-US" w:eastAsia="zh-CN" w:bidi="ar-SA"/>
                      <w14:textFill>
                        <w14:solidFill>
                          <w14:schemeClr w14:val="tx1"/>
                        </w14:solidFill>
                      </w14:textFill>
                    </w:rPr>
                    <w:t>锅炉房</w:t>
                  </w:r>
                </w:p>
              </w:tc>
              <w:tc>
                <w:tcPr>
                  <w:tcW w:w="1286" w:type="pct"/>
                  <w:noWrap w:val="0"/>
                  <w:vAlign w:val="center"/>
                </w:tcPr>
                <w:p>
                  <w:pPr>
                    <w:spacing w:line="240" w:lineRule="auto"/>
                    <w:jc w:val="center"/>
                    <w:rPr>
                      <w:rFonts w:hint="eastAsia"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锅炉</w:t>
                  </w:r>
                </w:p>
              </w:tc>
              <w:tc>
                <w:tcPr>
                  <w:tcW w:w="1022" w:type="pct"/>
                  <w:noWrap w:val="0"/>
                  <w:vAlign w:val="center"/>
                </w:tcPr>
                <w:p>
                  <w:pPr>
                    <w:widowControl/>
                    <w:spacing w:line="240" w:lineRule="auto"/>
                    <w:ind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个</w:t>
                  </w:r>
                </w:p>
              </w:tc>
              <w:tc>
                <w:tcPr>
                  <w:tcW w:w="413" w:type="pct"/>
                  <w:noWrap w:val="0"/>
                  <w:vAlign w:val="center"/>
                </w:tcPr>
                <w:p>
                  <w:pPr>
                    <w:spacing w:line="240" w:lineRule="exact"/>
                    <w:ind w:left="0" w:leftChars="0" w:firstLine="0" w:firstLineChars="0"/>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u w:val="none"/>
                      <w:lang w:val="en-US" w:eastAsia="zh-CN"/>
                      <w14:textFill>
                        <w14:solidFill>
                          <w14:schemeClr w14:val="tx1"/>
                        </w14:solidFill>
                      </w14:textFill>
                    </w:rPr>
                    <w:t>2</w:t>
                  </w:r>
                </w:p>
              </w:tc>
              <w:tc>
                <w:tcPr>
                  <w:tcW w:w="470"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100</w:t>
                  </w:r>
                </w:p>
              </w:tc>
              <w:tc>
                <w:tcPr>
                  <w:tcW w:w="1229"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770" w:type="pct"/>
                  <w:gridSpan w:val="5"/>
                  <w:noWrap w:val="0"/>
                  <w:vAlign w:val="center"/>
                </w:tcPr>
                <w:p>
                  <w:pPr>
                    <w:adjustRightInd w:val="0"/>
                    <w:snapToGrid w:val="0"/>
                    <w:spacing w:line="240" w:lineRule="auto"/>
                    <w:jc w:val="center"/>
                    <w:rPr>
                      <w:rFonts w:hint="default" w:ascii="Times New Roman" w:hAnsi="Times New Roman" w:cs="宋体"/>
                      <w:b w:val="0"/>
                      <w:bCs/>
                      <w:color w:val="000000" w:themeColor="text1"/>
                      <w:sz w:val="21"/>
                      <w:szCs w:val="21"/>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叠加值</w:t>
                  </w:r>
                </w:p>
              </w:tc>
              <w:tc>
                <w:tcPr>
                  <w:tcW w:w="1229" w:type="pct"/>
                  <w:noWrap w:val="0"/>
                  <w:vAlign w:val="center"/>
                </w:tcPr>
                <w:p>
                  <w:pPr>
                    <w:adjustRightInd w:val="0"/>
                    <w:snapToGrid w:val="0"/>
                    <w:spacing w:line="240" w:lineRule="auto"/>
                    <w:jc w:val="center"/>
                    <w:rPr>
                      <w:rFonts w:hint="eastAsia" w:ascii="Times New Roman" w:hAnsi="Times New Roman" w:cs="宋体"/>
                      <w:b w:val="0"/>
                      <w:bCs/>
                      <w:color w:val="000000" w:themeColor="text1"/>
                      <w:sz w:val="21"/>
                      <w:szCs w:val="21"/>
                      <w:lang w:val="en-US"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81.41</w:t>
                  </w:r>
                </w:p>
              </w:tc>
            </w:tr>
          </w:tbl>
          <w:p>
            <w:pPr>
              <w:numPr>
                <w:ilvl w:val="0"/>
                <w:numId w:val="0"/>
              </w:numPr>
              <w:spacing w:line="360" w:lineRule="auto"/>
              <w:ind w:firstLine="480" w:firstLineChars="200"/>
              <w:rPr>
                <w:rFonts w:hint="default"/>
              </w:rPr>
            </w:pPr>
            <w:r>
              <w:rPr>
                <w:rFonts w:hint="eastAsia" w:ascii="Times New Roman" w:hAnsi="Times New Roman" w:cs="Times New Roman"/>
                <w:color w:val="000000"/>
                <w:sz w:val="24"/>
                <w:szCs w:val="22"/>
                <w:lang w:eastAsia="zh-CN"/>
              </w:rPr>
              <w:t>（</w:t>
            </w:r>
            <w:r>
              <w:rPr>
                <w:rFonts w:hint="eastAsia" w:ascii="Times New Roman" w:hAnsi="Times New Roman" w:cs="Times New Roman"/>
                <w:color w:val="000000"/>
                <w:sz w:val="24"/>
                <w:szCs w:val="22"/>
                <w:lang w:val="en-US" w:eastAsia="zh-CN"/>
              </w:rPr>
              <w:t>2</w:t>
            </w:r>
            <w:r>
              <w:rPr>
                <w:rFonts w:hint="eastAsia" w:ascii="Times New Roman" w:hAnsi="Times New Roman" w:cs="Times New Roman"/>
                <w:color w:val="000000"/>
                <w:sz w:val="24"/>
                <w:szCs w:val="22"/>
                <w:lang w:eastAsia="zh-CN"/>
              </w:rPr>
              <w:t>）</w:t>
            </w:r>
            <w:r>
              <w:rPr>
                <w:rFonts w:hint="default" w:ascii="Times New Roman" w:hAnsi="Times New Roman" w:eastAsia="宋体" w:cs="Times New Roman"/>
                <w:color w:val="000000"/>
                <w:sz w:val="24"/>
                <w:szCs w:val="22"/>
              </w:rPr>
              <w:t>预测模式</w:t>
            </w:r>
          </w:p>
          <w:p>
            <w:pPr>
              <w:spacing w:line="360" w:lineRule="auto"/>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根据《环境影响评价技术导则 声环境》（HJ 2.4-2009），本评价采用下述噪声预测模式：</w:t>
            </w:r>
          </w:p>
          <w:p>
            <w:pPr>
              <w:widowControl w:val="0"/>
              <w:spacing w:line="360" w:lineRule="auto"/>
              <w:ind w:firstLine="480" w:firstLineChars="2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①建设项目声源在预测点产生的等效声级贡献值（</w:t>
            </w: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eqg</w:t>
            </w:r>
            <w:r>
              <w:rPr>
                <w:rFonts w:hint="default" w:ascii="Times New Roman" w:hAnsi="Times New Roman" w:eastAsia="宋体" w:cs="Times New Roman"/>
                <w:kern w:val="0"/>
                <w:sz w:val="24"/>
                <w:szCs w:val="24"/>
                <w:lang w:val="en-US" w:eastAsia="zh-CN" w:bidi="ar-SA"/>
              </w:rPr>
              <w:t>）计算公式：</w:t>
            </w:r>
          </w:p>
          <w:p>
            <w:pPr>
              <w:widowControl w:val="0"/>
              <w:spacing w:line="360" w:lineRule="auto"/>
              <w:ind w:firstLine="480" w:firstLineChars="20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eqg</w:t>
            </w:r>
            <w:r>
              <w:rPr>
                <w:rFonts w:hint="default" w:ascii="Times New Roman" w:hAnsi="Times New Roman" w:eastAsia="宋体" w:cs="Times New Roman"/>
                <w:kern w:val="0"/>
                <w:sz w:val="24"/>
                <w:szCs w:val="24"/>
                <w:lang w:val="en-US" w:eastAsia="zh-CN" w:bidi="ar-SA"/>
              </w:rPr>
              <w:t>=10lg</w:t>
            </w:r>
            <w:r>
              <w:rPr>
                <w:rFonts w:hint="default" w:ascii="Times New Roman" w:hAnsi="Times New Roman" w:eastAsia="宋体" w:cs="Times New Roman"/>
                <w:kern w:val="0"/>
                <w:sz w:val="24"/>
                <w:szCs w:val="24"/>
                <w:lang w:val="en-US" w:eastAsia="zh-CN" w:bidi="ar-SA"/>
              </w:rPr>
              <w:object>
                <v:shape id="_x0000_i1032" o:spt="75" type="#_x0000_t75" style="height:36.75pt;width:79.65pt;" o:ole="t" filled="f" o:preferrelative="t" stroked="f" coordsize="21600,21600">
                  <v:path/>
                  <v:fill on="f" focussize="0,0"/>
                  <v:stroke on="f"/>
                  <v:imagedata r:id="rId23" o:title=""/>
                  <o:lock v:ext="edit" aspectratio="t"/>
                  <w10:wrap type="none"/>
                  <w10:anchorlock/>
                </v:shape>
                <o:OLEObject Type="Embed" ProgID="Equation.3" ShapeID="_x0000_i1032" DrawAspect="Content" ObjectID="_1468075726" r:id="rId22">
                  <o:LockedField>false</o:LockedField>
                </o:OLEObject>
              </w:object>
            </w:r>
          </w:p>
          <w:p>
            <w:pPr>
              <w:widowControl w:val="0"/>
              <w:spacing w:line="360" w:lineRule="auto"/>
              <w:ind w:firstLine="480" w:firstLineChars="2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式中</w:t>
            </w:r>
            <w:r>
              <w:rPr>
                <w:rFonts w:hint="default" w:ascii="Times New Roman" w:hAnsi="Times New Roman" w:eastAsia="宋体" w:cs="Times New Roman"/>
                <w:b/>
                <w:kern w:val="0"/>
                <w:sz w:val="24"/>
                <w:szCs w:val="24"/>
                <w:lang w:val="en-US" w:eastAsia="zh-CN" w:bidi="ar-SA"/>
              </w:rPr>
              <w:t>：</w:t>
            </w: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eqg</w:t>
            </w:r>
            <w:r>
              <w:rPr>
                <w:rFonts w:hint="default" w:ascii="Times New Roman" w:hAnsi="Times New Roman" w:eastAsia="宋体" w:cs="Times New Roman"/>
                <w:kern w:val="0"/>
                <w:sz w:val="24"/>
                <w:szCs w:val="24"/>
                <w:lang w:val="en-US" w:eastAsia="zh-CN" w:bidi="ar-SA"/>
              </w:rPr>
              <w:t>——建设项目声源在预测点的等效声级贡献值，dB（A）；</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Ai</w:t>
            </w:r>
            <w:r>
              <w:rPr>
                <w:rFonts w:hint="default" w:ascii="Times New Roman" w:hAnsi="Times New Roman" w:eastAsia="宋体" w:cs="Times New Roman"/>
                <w:kern w:val="0"/>
                <w:sz w:val="24"/>
                <w:szCs w:val="24"/>
                <w:lang w:val="en-US" w:eastAsia="zh-CN" w:bidi="ar-SA"/>
              </w:rPr>
              <w:t>——</w:t>
            </w:r>
            <w:r>
              <w:rPr>
                <w:rFonts w:hint="default" w:ascii="Times New Roman" w:hAnsi="Times New Roman" w:eastAsia="宋体" w:cs="Times New Roman"/>
                <w:i/>
                <w:kern w:val="0"/>
                <w:sz w:val="24"/>
                <w:szCs w:val="24"/>
                <w:lang w:val="en-US" w:eastAsia="zh-CN" w:bidi="ar-SA"/>
              </w:rPr>
              <w:t>i</w:t>
            </w:r>
            <w:r>
              <w:rPr>
                <w:rFonts w:hint="default" w:ascii="Times New Roman" w:hAnsi="Times New Roman" w:eastAsia="宋体" w:cs="Times New Roman"/>
                <w:kern w:val="0"/>
                <w:sz w:val="24"/>
                <w:szCs w:val="24"/>
                <w:lang w:val="en-US" w:eastAsia="zh-CN" w:bidi="ar-SA"/>
              </w:rPr>
              <w:t>声源在预测点产生的A声级，dB（A）；</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T</w:t>
            </w:r>
            <w:r>
              <w:rPr>
                <w:rFonts w:hint="default" w:ascii="Times New Roman" w:hAnsi="Times New Roman" w:eastAsia="宋体" w:cs="Times New Roman"/>
                <w:kern w:val="0"/>
                <w:sz w:val="24"/>
                <w:szCs w:val="24"/>
                <w:lang w:val="en-US" w:eastAsia="zh-CN" w:bidi="ar-SA"/>
              </w:rPr>
              <w:t>——预测计算的时间段，s；</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t</w:t>
            </w:r>
            <w:r>
              <w:rPr>
                <w:rFonts w:hint="default" w:ascii="Times New Roman" w:hAnsi="Times New Roman" w:eastAsia="宋体" w:cs="Times New Roman"/>
                <w:i/>
                <w:kern w:val="0"/>
                <w:sz w:val="24"/>
                <w:szCs w:val="24"/>
                <w:vertAlign w:val="subscript"/>
                <w:lang w:val="en-US" w:eastAsia="zh-CN" w:bidi="ar-SA"/>
              </w:rPr>
              <w:t>i</w:t>
            </w:r>
            <w:r>
              <w:rPr>
                <w:rFonts w:hint="default" w:ascii="Times New Roman" w:hAnsi="Times New Roman" w:eastAsia="宋体" w:cs="Times New Roman"/>
                <w:kern w:val="0"/>
                <w:sz w:val="24"/>
                <w:szCs w:val="24"/>
                <w:lang w:val="en-US" w:eastAsia="zh-CN" w:bidi="ar-SA"/>
              </w:rPr>
              <w:t>——</w:t>
            </w:r>
            <w:r>
              <w:rPr>
                <w:rFonts w:hint="default" w:ascii="Times New Roman" w:hAnsi="Times New Roman" w:eastAsia="宋体" w:cs="Times New Roman"/>
                <w:i/>
                <w:kern w:val="0"/>
                <w:sz w:val="24"/>
                <w:szCs w:val="24"/>
                <w:lang w:val="en-US" w:eastAsia="zh-CN" w:bidi="ar-SA"/>
              </w:rPr>
              <w:t>i</w:t>
            </w:r>
            <w:r>
              <w:rPr>
                <w:rFonts w:hint="default" w:ascii="Times New Roman" w:hAnsi="Times New Roman" w:eastAsia="宋体" w:cs="Times New Roman"/>
                <w:kern w:val="0"/>
                <w:sz w:val="24"/>
                <w:szCs w:val="24"/>
                <w:lang w:val="en-US" w:eastAsia="zh-CN" w:bidi="ar-SA"/>
              </w:rPr>
              <w:t>声源在</w:t>
            </w:r>
            <w:r>
              <w:rPr>
                <w:rFonts w:hint="default" w:ascii="Times New Roman" w:hAnsi="Times New Roman" w:eastAsia="宋体" w:cs="Times New Roman"/>
                <w:i/>
                <w:kern w:val="0"/>
                <w:sz w:val="24"/>
                <w:szCs w:val="24"/>
                <w:lang w:val="en-US" w:eastAsia="zh-CN" w:bidi="ar-SA"/>
              </w:rPr>
              <w:t>T</w:t>
            </w:r>
            <w:r>
              <w:rPr>
                <w:rFonts w:hint="default" w:ascii="Times New Roman" w:hAnsi="Times New Roman" w:eastAsia="宋体" w:cs="Times New Roman"/>
                <w:kern w:val="0"/>
                <w:sz w:val="24"/>
                <w:szCs w:val="24"/>
                <w:lang w:val="en-US" w:eastAsia="zh-CN" w:bidi="ar-SA"/>
              </w:rPr>
              <w:t>时段内的运行时间，s。</w:t>
            </w:r>
          </w:p>
          <w:p>
            <w:pPr>
              <w:widowControl w:val="0"/>
              <w:spacing w:line="360" w:lineRule="auto"/>
              <w:ind w:firstLine="480" w:firstLineChars="2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②预测点的预测等效声级（</w:t>
            </w: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eq</w:t>
            </w:r>
            <w:r>
              <w:rPr>
                <w:rFonts w:hint="default" w:ascii="Times New Roman" w:hAnsi="Times New Roman" w:eastAsia="宋体" w:cs="Times New Roman"/>
                <w:kern w:val="0"/>
                <w:sz w:val="24"/>
                <w:szCs w:val="24"/>
                <w:lang w:val="en-US" w:eastAsia="zh-CN" w:bidi="ar-SA"/>
              </w:rPr>
              <w:t>）计算公式：</w:t>
            </w:r>
          </w:p>
          <w:p>
            <w:pPr>
              <w:widowControl w:val="0"/>
              <w:spacing w:line="360" w:lineRule="auto"/>
              <w:ind w:firstLine="480" w:firstLineChars="20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eq</w:t>
            </w:r>
            <w:r>
              <w:rPr>
                <w:rFonts w:hint="default" w:ascii="Times New Roman" w:hAnsi="Times New Roman" w:eastAsia="宋体" w:cs="Times New Roman"/>
                <w:kern w:val="0"/>
                <w:sz w:val="24"/>
                <w:szCs w:val="24"/>
                <w:lang w:val="en-US" w:eastAsia="zh-CN" w:bidi="ar-SA"/>
              </w:rPr>
              <w:t>=10lg（</w:t>
            </w:r>
            <w:r>
              <w:rPr>
                <w:rFonts w:hint="default" w:ascii="Times New Roman" w:hAnsi="Times New Roman" w:eastAsia="宋体" w:cs="Times New Roman"/>
                <w:kern w:val="0"/>
                <w:sz w:val="24"/>
                <w:szCs w:val="24"/>
                <w:lang w:val="en-US" w:eastAsia="zh-CN" w:bidi="ar-SA"/>
              </w:rPr>
              <w:object>
                <v:shape id="_x0000_i1033" o:spt="75" type="#_x0000_t75" style="height:15.3pt;width:79.65pt;" o:ole="t" filled="f" o:preferrelative="t" stroked="f" coordsize="21600,21600">
                  <v:path/>
                  <v:fill on="f" focussize="0,0"/>
                  <v:stroke on="f"/>
                  <v:imagedata r:id="rId25" o:title=""/>
                  <o:lock v:ext="edit" aspectratio="t"/>
                  <w10:wrap type="none"/>
                  <w10:anchorlock/>
                </v:shape>
                <o:OLEObject Type="Embed" ProgID="Equation.3" ShapeID="_x0000_i1033" DrawAspect="Content" ObjectID="_1468075727" r:id="rId24">
                  <o:LockedField>false</o:LockedField>
                </o:OLEObject>
              </w:object>
            </w:r>
            <w:r>
              <w:rPr>
                <w:rFonts w:hint="default" w:ascii="Times New Roman" w:hAnsi="Times New Roman" w:eastAsia="宋体" w:cs="Times New Roman"/>
                <w:kern w:val="0"/>
                <w:sz w:val="24"/>
                <w:szCs w:val="24"/>
                <w:lang w:val="en-US" w:eastAsia="zh-CN" w:bidi="ar-SA"/>
              </w:rPr>
              <w:t>）</w:t>
            </w:r>
          </w:p>
          <w:p>
            <w:pPr>
              <w:widowControl w:val="0"/>
              <w:spacing w:line="360" w:lineRule="auto"/>
              <w:ind w:firstLine="480" w:firstLineChars="2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式中</w:t>
            </w:r>
            <w:r>
              <w:rPr>
                <w:rFonts w:hint="default" w:ascii="Times New Roman" w:hAnsi="Times New Roman" w:eastAsia="宋体" w:cs="Times New Roman"/>
                <w:b/>
                <w:kern w:val="0"/>
                <w:sz w:val="24"/>
                <w:szCs w:val="24"/>
                <w:lang w:val="en-US" w:eastAsia="zh-CN" w:bidi="ar-SA"/>
              </w:rPr>
              <w:t>：</w:t>
            </w: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eqg</w:t>
            </w:r>
            <w:r>
              <w:rPr>
                <w:rFonts w:hint="default" w:ascii="Times New Roman" w:hAnsi="Times New Roman" w:eastAsia="宋体" w:cs="Times New Roman"/>
                <w:kern w:val="0"/>
                <w:sz w:val="24"/>
                <w:szCs w:val="24"/>
                <w:lang w:val="en-US" w:eastAsia="zh-CN" w:bidi="ar-SA"/>
              </w:rPr>
              <w:t>——建设项目声源在预测点的等效声级贡献值，dB（A）；</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eqb</w:t>
            </w:r>
            <w:r>
              <w:rPr>
                <w:rFonts w:hint="default" w:ascii="Times New Roman" w:hAnsi="Times New Roman" w:eastAsia="宋体" w:cs="Times New Roman"/>
                <w:kern w:val="0"/>
                <w:sz w:val="24"/>
                <w:szCs w:val="24"/>
                <w:lang w:val="en-US" w:eastAsia="zh-CN" w:bidi="ar-SA"/>
              </w:rPr>
              <w:t>——预测点的背景值，dB（A）。</w:t>
            </w:r>
          </w:p>
          <w:p>
            <w:pPr>
              <w:widowControl w:val="0"/>
              <w:spacing w:line="360" w:lineRule="auto"/>
              <w:ind w:firstLine="480" w:firstLineChars="2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③点声源在预测点的声压级：</w:t>
            </w:r>
          </w:p>
          <w:p>
            <w:pPr>
              <w:widowControl w:val="0"/>
              <w:spacing w:line="360" w:lineRule="auto"/>
              <w:ind w:firstLine="480" w:firstLineChars="20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L</w:t>
            </w:r>
            <w:r>
              <w:rPr>
                <w:rFonts w:hint="default" w:ascii="Times New Roman" w:hAnsi="Times New Roman" w:eastAsia="宋体" w:cs="Times New Roman"/>
                <w:kern w:val="0"/>
                <w:sz w:val="24"/>
                <w:szCs w:val="24"/>
                <w:vertAlign w:val="subscript"/>
                <w:lang w:val="en-US" w:eastAsia="zh-CN" w:bidi="ar-SA"/>
              </w:rPr>
              <w:t>p</w:t>
            </w:r>
            <w:r>
              <w:rPr>
                <w:rFonts w:hint="default" w:ascii="Times New Roman" w:hAnsi="Times New Roman" w:eastAsia="宋体" w:cs="Times New Roman"/>
                <w:kern w:val="0"/>
                <w:sz w:val="24"/>
                <w:szCs w:val="24"/>
                <w:lang w:val="en-US" w:eastAsia="zh-CN" w:bidi="ar-SA"/>
              </w:rPr>
              <w:t>(r)=L</w:t>
            </w:r>
            <w:r>
              <w:rPr>
                <w:rFonts w:hint="default" w:ascii="Times New Roman" w:hAnsi="Times New Roman" w:eastAsia="宋体" w:cs="Times New Roman"/>
                <w:kern w:val="0"/>
                <w:sz w:val="24"/>
                <w:szCs w:val="24"/>
                <w:vertAlign w:val="subscript"/>
                <w:lang w:val="en-US" w:eastAsia="zh-CN" w:bidi="ar-SA"/>
              </w:rPr>
              <w:t>p</w:t>
            </w:r>
            <w:r>
              <w:rPr>
                <w:rFonts w:hint="default" w:ascii="Times New Roman" w:hAnsi="Times New Roman" w:eastAsia="宋体" w:cs="Times New Roman"/>
                <w:kern w:val="0"/>
                <w:sz w:val="24"/>
                <w:szCs w:val="24"/>
                <w:lang w:val="en-US" w:eastAsia="zh-CN" w:bidi="ar-SA"/>
              </w:rPr>
              <w:t>(r</w:t>
            </w:r>
            <w:r>
              <w:rPr>
                <w:rFonts w:hint="default" w:ascii="Times New Roman" w:hAnsi="Times New Roman" w:eastAsia="宋体" w:cs="Times New Roman"/>
                <w:kern w:val="0"/>
                <w:sz w:val="24"/>
                <w:szCs w:val="24"/>
                <w:vertAlign w:val="subscript"/>
                <w:lang w:val="en-US" w:eastAsia="zh-CN" w:bidi="ar-SA"/>
              </w:rPr>
              <w:t>0</w:t>
            </w:r>
            <w:r>
              <w:rPr>
                <w:rFonts w:hint="default" w:ascii="Times New Roman" w:hAnsi="Times New Roman" w:eastAsia="宋体" w:cs="Times New Roman"/>
                <w:kern w:val="0"/>
                <w:sz w:val="24"/>
                <w:szCs w:val="24"/>
                <w:lang w:val="en-US" w:eastAsia="zh-CN" w:bidi="ar-SA"/>
              </w:rPr>
              <w:t>)－(A</w:t>
            </w:r>
            <w:r>
              <w:rPr>
                <w:rFonts w:hint="default" w:ascii="Times New Roman" w:hAnsi="Times New Roman" w:eastAsia="宋体" w:cs="Times New Roman"/>
                <w:kern w:val="0"/>
                <w:sz w:val="24"/>
                <w:szCs w:val="24"/>
                <w:vertAlign w:val="subscript"/>
                <w:lang w:val="en-US" w:eastAsia="zh-CN" w:bidi="ar-SA"/>
              </w:rPr>
              <w:t>div</w:t>
            </w:r>
            <w:r>
              <w:rPr>
                <w:rFonts w:hint="default" w:ascii="Times New Roman" w:hAnsi="Times New Roman" w:eastAsia="宋体" w:cs="Times New Roman"/>
                <w:kern w:val="0"/>
                <w:sz w:val="24"/>
                <w:szCs w:val="24"/>
                <w:lang w:val="en-US" w:eastAsia="zh-CN" w:bidi="ar-SA"/>
              </w:rPr>
              <w:t>+A</w:t>
            </w:r>
            <w:r>
              <w:rPr>
                <w:rFonts w:hint="default" w:ascii="Times New Roman" w:hAnsi="Times New Roman" w:eastAsia="宋体" w:cs="Times New Roman"/>
                <w:kern w:val="0"/>
                <w:sz w:val="24"/>
                <w:szCs w:val="24"/>
                <w:vertAlign w:val="subscript"/>
                <w:lang w:val="en-US" w:eastAsia="zh-CN" w:bidi="ar-SA"/>
              </w:rPr>
              <w:t>atm</w:t>
            </w:r>
            <w:r>
              <w:rPr>
                <w:rFonts w:hint="default" w:ascii="Times New Roman" w:hAnsi="Times New Roman" w:eastAsia="宋体" w:cs="Times New Roman"/>
                <w:kern w:val="0"/>
                <w:sz w:val="24"/>
                <w:szCs w:val="24"/>
                <w:lang w:val="en-US" w:eastAsia="zh-CN" w:bidi="ar-SA"/>
              </w:rPr>
              <w:t>+A</w:t>
            </w:r>
            <w:r>
              <w:rPr>
                <w:rFonts w:hint="default" w:ascii="Times New Roman" w:hAnsi="Times New Roman" w:eastAsia="宋体" w:cs="Times New Roman"/>
                <w:kern w:val="0"/>
                <w:sz w:val="24"/>
                <w:szCs w:val="24"/>
                <w:vertAlign w:val="subscript"/>
                <w:lang w:val="en-US" w:eastAsia="zh-CN" w:bidi="ar-SA"/>
              </w:rPr>
              <w:t>bar</w:t>
            </w:r>
            <w:r>
              <w:rPr>
                <w:rFonts w:hint="default" w:ascii="Times New Roman" w:hAnsi="Times New Roman" w:eastAsia="宋体" w:cs="Times New Roman"/>
                <w:kern w:val="0"/>
                <w:sz w:val="24"/>
                <w:szCs w:val="24"/>
                <w:lang w:val="en-US" w:eastAsia="zh-CN" w:bidi="ar-SA"/>
              </w:rPr>
              <w:t>+A</w:t>
            </w:r>
            <w:r>
              <w:rPr>
                <w:rFonts w:hint="default" w:ascii="Times New Roman" w:hAnsi="Times New Roman" w:eastAsia="宋体" w:cs="Times New Roman"/>
                <w:kern w:val="0"/>
                <w:sz w:val="24"/>
                <w:szCs w:val="24"/>
                <w:vertAlign w:val="subscript"/>
                <w:lang w:val="en-US" w:eastAsia="zh-CN" w:bidi="ar-SA"/>
              </w:rPr>
              <w:t>gr</w:t>
            </w:r>
            <w:r>
              <w:rPr>
                <w:rFonts w:hint="default" w:ascii="Times New Roman" w:hAnsi="Times New Roman" w:eastAsia="宋体" w:cs="Times New Roman"/>
                <w:kern w:val="0"/>
                <w:sz w:val="24"/>
                <w:szCs w:val="24"/>
                <w:lang w:val="en-US" w:eastAsia="zh-CN" w:bidi="ar-SA"/>
              </w:rPr>
              <w:t>+A</w:t>
            </w:r>
            <w:r>
              <w:rPr>
                <w:rFonts w:hint="default" w:ascii="Times New Roman" w:hAnsi="Times New Roman" w:eastAsia="宋体" w:cs="Times New Roman"/>
                <w:kern w:val="0"/>
                <w:sz w:val="24"/>
                <w:szCs w:val="24"/>
                <w:vertAlign w:val="subscript"/>
                <w:lang w:val="en-US" w:eastAsia="zh-CN" w:bidi="ar-SA"/>
              </w:rPr>
              <w:t>misc</w:t>
            </w:r>
            <w:r>
              <w:rPr>
                <w:rFonts w:hint="default" w:ascii="Times New Roman" w:hAnsi="Times New Roman" w:eastAsia="宋体" w:cs="Times New Roman"/>
                <w:kern w:val="0"/>
                <w:sz w:val="24"/>
                <w:szCs w:val="24"/>
                <w:lang w:val="en-US" w:eastAsia="zh-CN" w:bidi="ar-SA"/>
              </w:rPr>
              <w:t>)</w:t>
            </w:r>
          </w:p>
          <w:p>
            <w:pPr>
              <w:widowControl w:val="0"/>
              <w:spacing w:line="360" w:lineRule="auto"/>
              <w:ind w:firstLine="480" w:firstLineChars="2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式中</w:t>
            </w:r>
            <w:r>
              <w:rPr>
                <w:rFonts w:hint="default" w:ascii="Times New Roman" w:hAnsi="Times New Roman" w:eastAsia="宋体" w:cs="Times New Roman"/>
                <w:b/>
                <w:kern w:val="0"/>
                <w:sz w:val="24"/>
                <w:szCs w:val="24"/>
                <w:lang w:val="en-US" w:eastAsia="zh-CN" w:bidi="ar-SA"/>
              </w:rPr>
              <w:t>：</w:t>
            </w: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p</w:t>
            </w:r>
            <w:r>
              <w:rPr>
                <w:rFonts w:hint="default" w:ascii="Times New Roman" w:hAnsi="Times New Roman" w:eastAsia="宋体" w:cs="Times New Roman"/>
                <w:kern w:val="0"/>
                <w:sz w:val="24"/>
                <w:szCs w:val="24"/>
                <w:lang w:val="en-US" w:eastAsia="zh-CN" w:bidi="ar-SA"/>
              </w:rPr>
              <w:t>(</w:t>
            </w:r>
            <w:r>
              <w:rPr>
                <w:rFonts w:hint="default" w:ascii="Times New Roman" w:hAnsi="Times New Roman" w:eastAsia="宋体" w:cs="Times New Roman"/>
                <w:i/>
                <w:kern w:val="0"/>
                <w:sz w:val="24"/>
                <w:szCs w:val="24"/>
                <w:lang w:val="en-US" w:eastAsia="zh-CN" w:bidi="ar-SA"/>
              </w:rPr>
              <w:t>r</w:t>
            </w:r>
            <w:r>
              <w:rPr>
                <w:rFonts w:hint="default" w:ascii="Times New Roman" w:hAnsi="Times New Roman" w:eastAsia="宋体" w:cs="Times New Roman"/>
                <w:kern w:val="0"/>
                <w:sz w:val="24"/>
                <w:szCs w:val="24"/>
                <w:lang w:val="en-US" w:eastAsia="zh-CN" w:bidi="ar-SA"/>
              </w:rPr>
              <w:t>)——点声源在预测点产生的声压级；</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p</w:t>
            </w:r>
            <w:r>
              <w:rPr>
                <w:rFonts w:hint="default" w:ascii="Times New Roman" w:hAnsi="Times New Roman" w:eastAsia="宋体" w:cs="Times New Roman"/>
                <w:kern w:val="0"/>
                <w:sz w:val="24"/>
                <w:szCs w:val="24"/>
                <w:lang w:val="en-US" w:eastAsia="zh-CN" w:bidi="ar-SA"/>
              </w:rPr>
              <w:t>(</w:t>
            </w:r>
            <w:r>
              <w:rPr>
                <w:rFonts w:hint="default" w:ascii="Times New Roman" w:hAnsi="Times New Roman" w:eastAsia="宋体" w:cs="Times New Roman"/>
                <w:i/>
                <w:kern w:val="0"/>
                <w:sz w:val="24"/>
                <w:szCs w:val="24"/>
                <w:lang w:val="en-US" w:eastAsia="zh-CN" w:bidi="ar-SA"/>
              </w:rPr>
              <w:t>r</w:t>
            </w:r>
            <w:r>
              <w:rPr>
                <w:rFonts w:hint="default" w:ascii="Times New Roman" w:hAnsi="Times New Roman" w:eastAsia="宋体" w:cs="Times New Roman"/>
                <w:i/>
                <w:kern w:val="0"/>
                <w:sz w:val="24"/>
                <w:szCs w:val="24"/>
                <w:vertAlign w:val="subscript"/>
                <w:lang w:val="en-US" w:eastAsia="zh-CN" w:bidi="ar-SA"/>
              </w:rPr>
              <w:t>0</w:t>
            </w:r>
            <w:r>
              <w:rPr>
                <w:rFonts w:hint="default" w:ascii="Times New Roman" w:hAnsi="Times New Roman" w:eastAsia="宋体" w:cs="Times New Roman"/>
                <w:kern w:val="0"/>
                <w:sz w:val="24"/>
                <w:szCs w:val="24"/>
                <w:lang w:val="en-US" w:eastAsia="zh-CN" w:bidi="ar-SA"/>
              </w:rPr>
              <w:t>)——参考位置</w:t>
            </w:r>
            <w:r>
              <w:rPr>
                <w:rFonts w:hint="default" w:ascii="Times New Roman" w:hAnsi="Times New Roman" w:eastAsia="宋体" w:cs="Times New Roman"/>
                <w:i/>
                <w:kern w:val="0"/>
                <w:sz w:val="24"/>
                <w:szCs w:val="24"/>
                <w:lang w:val="en-US" w:eastAsia="zh-CN" w:bidi="ar-SA"/>
              </w:rPr>
              <w:t>r</w:t>
            </w:r>
            <w:r>
              <w:rPr>
                <w:rFonts w:hint="default" w:ascii="Times New Roman" w:hAnsi="Times New Roman" w:eastAsia="宋体" w:cs="Times New Roman"/>
                <w:i/>
                <w:kern w:val="0"/>
                <w:sz w:val="24"/>
                <w:szCs w:val="24"/>
                <w:vertAlign w:val="subscript"/>
                <w:lang w:val="en-US" w:eastAsia="zh-CN" w:bidi="ar-SA"/>
              </w:rPr>
              <w:t>0</w:t>
            </w:r>
            <w:r>
              <w:rPr>
                <w:rFonts w:hint="default" w:ascii="Times New Roman" w:hAnsi="Times New Roman" w:eastAsia="宋体" w:cs="Times New Roman"/>
                <w:kern w:val="0"/>
                <w:sz w:val="24"/>
                <w:szCs w:val="24"/>
                <w:lang w:val="en-US" w:eastAsia="zh-CN" w:bidi="ar-SA"/>
              </w:rPr>
              <w:t>的声压级；</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r</w:t>
            </w:r>
            <w:r>
              <w:rPr>
                <w:rFonts w:hint="default" w:ascii="Times New Roman" w:hAnsi="Times New Roman" w:eastAsia="宋体" w:cs="Times New Roman"/>
                <w:kern w:val="0"/>
                <w:sz w:val="24"/>
                <w:szCs w:val="24"/>
                <w:lang w:val="en-US" w:eastAsia="zh-CN" w:bidi="ar-SA"/>
              </w:rPr>
              <w:t>——为预测点距声源的距离；</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r</w:t>
            </w:r>
            <w:r>
              <w:rPr>
                <w:rFonts w:hint="default" w:ascii="Times New Roman" w:hAnsi="Times New Roman" w:eastAsia="宋体" w:cs="Times New Roman"/>
                <w:i/>
                <w:kern w:val="0"/>
                <w:sz w:val="24"/>
                <w:szCs w:val="24"/>
                <w:vertAlign w:val="subscript"/>
                <w:lang w:val="en-US" w:eastAsia="zh-CN" w:bidi="ar-SA"/>
              </w:rPr>
              <w:t>0</w:t>
            </w:r>
            <w:r>
              <w:rPr>
                <w:rFonts w:hint="default" w:ascii="Times New Roman" w:hAnsi="Times New Roman" w:eastAsia="宋体" w:cs="Times New Roman"/>
                <w:kern w:val="0"/>
                <w:sz w:val="24"/>
                <w:szCs w:val="24"/>
                <w:lang w:val="en-US" w:eastAsia="zh-CN" w:bidi="ar-SA"/>
              </w:rPr>
              <w:t>——为参考位置距声源的距离；</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A</w:t>
            </w:r>
            <w:r>
              <w:rPr>
                <w:rFonts w:hint="default" w:ascii="Times New Roman" w:hAnsi="Times New Roman" w:eastAsia="宋体" w:cs="Times New Roman"/>
                <w:i/>
                <w:kern w:val="0"/>
                <w:sz w:val="24"/>
                <w:szCs w:val="24"/>
                <w:vertAlign w:val="subscript"/>
                <w:lang w:val="en-US" w:eastAsia="zh-CN" w:bidi="ar-SA"/>
              </w:rPr>
              <w:t>div</w:t>
            </w:r>
            <w:r>
              <w:rPr>
                <w:rFonts w:hint="default" w:ascii="Times New Roman" w:hAnsi="Times New Roman" w:eastAsia="宋体" w:cs="Times New Roman"/>
                <w:kern w:val="0"/>
                <w:sz w:val="24"/>
                <w:szCs w:val="24"/>
                <w:lang w:val="en-US" w:eastAsia="zh-CN" w:bidi="ar-SA"/>
              </w:rPr>
              <w:t>——几何发散衰减量，</w:t>
            </w:r>
            <w:r>
              <w:rPr>
                <w:rFonts w:hint="default" w:ascii="Times New Roman" w:hAnsi="Times New Roman" w:eastAsia="宋体" w:cs="Times New Roman"/>
                <w:i/>
                <w:kern w:val="0"/>
                <w:sz w:val="24"/>
                <w:szCs w:val="24"/>
                <w:lang w:val="en-US" w:eastAsia="zh-CN" w:bidi="ar-SA"/>
              </w:rPr>
              <w:t>A</w:t>
            </w:r>
            <w:r>
              <w:rPr>
                <w:rFonts w:hint="default" w:ascii="Times New Roman" w:hAnsi="Times New Roman" w:eastAsia="宋体" w:cs="Times New Roman"/>
                <w:i/>
                <w:kern w:val="0"/>
                <w:sz w:val="24"/>
                <w:szCs w:val="24"/>
                <w:vertAlign w:val="subscript"/>
                <w:lang w:val="en-US" w:eastAsia="zh-CN" w:bidi="ar-SA"/>
              </w:rPr>
              <w:t>div</w:t>
            </w:r>
            <w:r>
              <w:rPr>
                <w:rFonts w:hint="default" w:ascii="Times New Roman" w:hAnsi="Times New Roman" w:eastAsia="宋体" w:cs="Times New Roman"/>
                <w:kern w:val="0"/>
                <w:sz w:val="24"/>
                <w:szCs w:val="24"/>
                <w:lang w:val="en-US" w:eastAsia="zh-CN" w:bidi="ar-SA"/>
              </w:rPr>
              <w:t>=20lg(</w:t>
            </w:r>
            <w:r>
              <w:rPr>
                <w:rFonts w:hint="default" w:ascii="Times New Roman" w:hAnsi="Times New Roman" w:eastAsia="宋体" w:cs="Times New Roman"/>
                <w:i/>
                <w:kern w:val="0"/>
                <w:sz w:val="24"/>
                <w:szCs w:val="24"/>
                <w:lang w:val="en-US" w:eastAsia="zh-CN" w:bidi="ar-SA"/>
              </w:rPr>
              <w:t>r</w:t>
            </w:r>
            <w:r>
              <w:rPr>
                <w:rFonts w:hint="default" w:ascii="Times New Roman" w:hAnsi="Times New Roman" w:eastAsia="宋体" w:cs="Times New Roman"/>
                <w:kern w:val="0"/>
                <w:sz w:val="24"/>
                <w:szCs w:val="24"/>
                <w:lang w:val="en-US" w:eastAsia="zh-CN" w:bidi="ar-SA"/>
              </w:rPr>
              <w:t>/</w:t>
            </w:r>
            <w:r>
              <w:rPr>
                <w:rFonts w:hint="default" w:ascii="Times New Roman" w:hAnsi="Times New Roman" w:eastAsia="宋体" w:cs="Times New Roman"/>
                <w:i/>
                <w:kern w:val="0"/>
                <w:sz w:val="24"/>
                <w:szCs w:val="24"/>
                <w:lang w:val="en-US" w:eastAsia="zh-CN" w:bidi="ar-SA"/>
              </w:rPr>
              <w:t>r</w:t>
            </w:r>
            <w:r>
              <w:rPr>
                <w:rFonts w:hint="default" w:ascii="Times New Roman" w:hAnsi="Times New Roman" w:eastAsia="宋体" w:cs="Times New Roman"/>
                <w:i/>
                <w:kern w:val="0"/>
                <w:sz w:val="24"/>
                <w:szCs w:val="24"/>
                <w:vertAlign w:val="subscript"/>
                <w:lang w:val="en-US" w:eastAsia="zh-CN" w:bidi="ar-SA"/>
              </w:rPr>
              <w:t>0</w:t>
            </w:r>
            <w:r>
              <w:rPr>
                <w:rFonts w:hint="default" w:ascii="Times New Roman" w:hAnsi="Times New Roman" w:eastAsia="宋体" w:cs="Times New Roman"/>
                <w:kern w:val="0"/>
                <w:sz w:val="24"/>
                <w:szCs w:val="24"/>
                <w:lang w:val="en-US" w:eastAsia="zh-CN" w:bidi="ar-SA"/>
              </w:rPr>
              <w:t>)；</w:t>
            </w:r>
          </w:p>
          <w:p>
            <w:pPr>
              <w:widowControl w:val="0"/>
              <w:spacing w:line="360" w:lineRule="auto"/>
              <w:ind w:firstLine="1200" w:firstLineChars="500"/>
              <w:jc w:val="both"/>
              <w:rPr>
                <w:rFonts w:hint="default" w:ascii="Times New Roman" w:hAnsi="Times New Roman" w:eastAsia="宋体" w:cs="Times New Roman"/>
                <w:i/>
                <w:kern w:val="0"/>
                <w:sz w:val="24"/>
                <w:szCs w:val="24"/>
                <w:lang w:val="en-US" w:eastAsia="zh-CN" w:bidi="ar-SA"/>
              </w:rPr>
            </w:pPr>
            <w:r>
              <w:rPr>
                <w:rFonts w:hint="default" w:ascii="Times New Roman" w:hAnsi="Times New Roman" w:eastAsia="宋体" w:cs="Times New Roman"/>
                <w:i/>
                <w:kern w:val="0"/>
                <w:sz w:val="24"/>
                <w:szCs w:val="24"/>
                <w:lang w:val="en-US" w:eastAsia="zh-CN" w:bidi="ar-SA"/>
              </w:rPr>
              <w:t>A</w:t>
            </w:r>
            <w:r>
              <w:rPr>
                <w:rFonts w:hint="default" w:ascii="Times New Roman" w:hAnsi="Times New Roman" w:eastAsia="宋体" w:cs="Times New Roman"/>
                <w:i/>
                <w:kern w:val="0"/>
                <w:sz w:val="24"/>
                <w:szCs w:val="24"/>
                <w:vertAlign w:val="subscript"/>
                <w:lang w:val="en-US" w:eastAsia="zh-CN" w:bidi="ar-SA"/>
              </w:rPr>
              <w:t>atm</w:t>
            </w:r>
            <w:r>
              <w:rPr>
                <w:rFonts w:hint="default" w:ascii="Times New Roman" w:hAnsi="Times New Roman" w:eastAsia="宋体" w:cs="Times New Roman"/>
                <w:i/>
                <w:kern w:val="0"/>
                <w:sz w:val="24"/>
                <w:szCs w:val="24"/>
                <w:lang w:val="en-US" w:eastAsia="zh-CN" w:bidi="ar-SA"/>
              </w:rPr>
              <w:t>——</w:t>
            </w:r>
            <w:r>
              <w:rPr>
                <w:rFonts w:hint="default" w:ascii="Times New Roman" w:hAnsi="Times New Roman" w:eastAsia="宋体" w:cs="Times New Roman"/>
                <w:kern w:val="0"/>
                <w:sz w:val="24"/>
                <w:szCs w:val="24"/>
                <w:lang w:val="en-US" w:eastAsia="zh-CN" w:bidi="ar-SA"/>
              </w:rPr>
              <w:t>大气吸收衰减量；</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A</w:t>
            </w:r>
            <w:r>
              <w:rPr>
                <w:rFonts w:hint="default" w:ascii="Times New Roman" w:hAnsi="Times New Roman" w:eastAsia="宋体" w:cs="Times New Roman"/>
                <w:i/>
                <w:kern w:val="0"/>
                <w:sz w:val="24"/>
                <w:szCs w:val="24"/>
                <w:vertAlign w:val="subscript"/>
                <w:lang w:val="en-US" w:eastAsia="zh-CN" w:bidi="ar-SA"/>
              </w:rPr>
              <w:t>bar</w:t>
            </w:r>
            <w:r>
              <w:rPr>
                <w:rFonts w:hint="default" w:ascii="Times New Roman" w:hAnsi="Times New Roman" w:eastAsia="宋体" w:cs="Times New Roman"/>
                <w:i/>
                <w:kern w:val="0"/>
                <w:sz w:val="24"/>
                <w:szCs w:val="24"/>
                <w:lang w:val="en-US" w:eastAsia="zh-CN" w:bidi="ar-SA"/>
              </w:rPr>
              <w:t>——</w:t>
            </w:r>
            <w:r>
              <w:rPr>
                <w:rFonts w:hint="default" w:ascii="Times New Roman" w:hAnsi="Times New Roman" w:eastAsia="宋体" w:cs="Times New Roman"/>
                <w:kern w:val="0"/>
                <w:sz w:val="24"/>
                <w:szCs w:val="24"/>
                <w:lang w:val="en-US" w:eastAsia="zh-CN" w:bidi="ar-SA"/>
              </w:rPr>
              <w:t>屏障屏蔽衰减量，声源和预测点之间的实体障碍物引起的声能量衰减；</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A</w:t>
            </w:r>
            <w:r>
              <w:rPr>
                <w:rFonts w:hint="default" w:ascii="Times New Roman" w:hAnsi="Times New Roman" w:eastAsia="宋体" w:cs="Times New Roman"/>
                <w:i/>
                <w:kern w:val="0"/>
                <w:sz w:val="24"/>
                <w:szCs w:val="24"/>
                <w:vertAlign w:val="subscript"/>
                <w:lang w:val="en-US" w:eastAsia="zh-CN" w:bidi="ar-SA"/>
              </w:rPr>
              <w:t>gr</w:t>
            </w:r>
            <w:r>
              <w:rPr>
                <w:rFonts w:hint="default" w:ascii="Times New Roman" w:hAnsi="Times New Roman" w:eastAsia="宋体" w:cs="Times New Roman"/>
                <w:i/>
                <w:kern w:val="0"/>
                <w:sz w:val="24"/>
                <w:szCs w:val="24"/>
                <w:lang w:val="en-US" w:eastAsia="zh-CN" w:bidi="ar-SA"/>
              </w:rPr>
              <w:t>——</w:t>
            </w:r>
            <w:r>
              <w:rPr>
                <w:rFonts w:hint="default" w:ascii="Times New Roman" w:hAnsi="Times New Roman" w:eastAsia="宋体" w:cs="Times New Roman"/>
                <w:kern w:val="0"/>
                <w:sz w:val="24"/>
                <w:szCs w:val="24"/>
                <w:lang w:val="en-US" w:eastAsia="zh-CN" w:bidi="ar-SA"/>
              </w:rPr>
              <w:t>地面效应衰减量；</w:t>
            </w:r>
          </w:p>
          <w:p>
            <w:pPr>
              <w:spacing w:line="360" w:lineRule="auto"/>
              <w:ind w:firstLine="1200" w:firstLineChars="500"/>
              <w:rPr>
                <w:rFonts w:hint="default" w:ascii="Times New Roman" w:hAnsi="Times New Roman" w:eastAsia="宋体" w:cs="Times New Roman"/>
                <w:kern w:val="0"/>
                <w:sz w:val="24"/>
                <w:szCs w:val="24"/>
              </w:rPr>
            </w:pPr>
            <w:r>
              <w:rPr>
                <w:rFonts w:hint="default" w:ascii="Times New Roman" w:hAnsi="Times New Roman" w:eastAsia="宋体" w:cs="Times New Roman"/>
                <w:i/>
                <w:kern w:val="0"/>
                <w:sz w:val="24"/>
                <w:szCs w:val="24"/>
              </w:rPr>
              <w:t>A</w:t>
            </w:r>
            <w:r>
              <w:rPr>
                <w:rFonts w:hint="default" w:ascii="Times New Roman" w:hAnsi="Times New Roman" w:eastAsia="宋体" w:cs="Times New Roman"/>
                <w:i/>
                <w:kern w:val="0"/>
                <w:sz w:val="24"/>
                <w:szCs w:val="24"/>
                <w:vertAlign w:val="subscript"/>
              </w:rPr>
              <w:t>misc</w:t>
            </w:r>
            <w:r>
              <w:rPr>
                <w:rFonts w:hint="default" w:ascii="Times New Roman" w:hAnsi="Times New Roman" w:eastAsia="宋体" w:cs="Times New Roman"/>
                <w:i/>
                <w:kern w:val="0"/>
                <w:sz w:val="24"/>
                <w:szCs w:val="24"/>
              </w:rPr>
              <w:t>——</w:t>
            </w:r>
            <w:r>
              <w:rPr>
                <w:rFonts w:hint="default" w:ascii="Times New Roman" w:hAnsi="Times New Roman" w:eastAsia="宋体" w:cs="Times New Roman"/>
                <w:kern w:val="0"/>
                <w:sz w:val="24"/>
                <w:szCs w:val="24"/>
              </w:rPr>
              <w:t>其他多方面效应衰减量。</w:t>
            </w:r>
          </w:p>
          <w:p>
            <w:pPr>
              <w:spacing w:line="360" w:lineRule="auto"/>
              <w:ind w:firstLine="480" w:firstLineChars="200"/>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（3）预测结果及评价</w:t>
            </w:r>
          </w:p>
          <w:p>
            <w:pPr>
              <w:spacing w:line="360" w:lineRule="auto"/>
              <w:ind w:firstLine="480" w:firstLineChars="20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噪声源对各场界</w:t>
            </w:r>
            <w:r>
              <w:rPr>
                <w:rFonts w:hint="default" w:ascii="Times New Roman" w:hAnsi="Times New Roman" w:eastAsia="宋体" w:cs="Times New Roman"/>
                <w:bCs/>
                <w:color w:val="000000" w:themeColor="text1"/>
                <w:kern w:val="0"/>
                <w:sz w:val="24"/>
                <w:szCs w:val="24"/>
                <w14:textFill>
                  <w14:solidFill>
                    <w14:schemeClr w14:val="tx1"/>
                  </w14:solidFill>
                </w14:textFill>
              </w:rPr>
              <w:t>噪声预测结果见下表：</w:t>
            </w:r>
          </w:p>
          <w:p>
            <w:pPr>
              <w:tabs>
                <w:tab w:val="left" w:pos="1620"/>
                <w:tab w:val="center" w:pos="4153"/>
              </w:tabs>
              <w:spacing w:line="240" w:lineRule="auto"/>
              <w:ind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color w:val="000000" w:themeColor="text1"/>
                <w:sz w:val="21"/>
                <w:szCs w:val="21"/>
                <w14:textFill>
                  <w14:solidFill>
                    <w14:schemeClr w14:val="tx1"/>
                  </w14:solidFill>
                </w14:textFill>
              </w:rPr>
              <w:t>-</w:t>
            </w:r>
            <w:r>
              <w:rPr>
                <w:rFonts w:hint="eastAsia" w:ascii="Times New Roman" w:hAnsi="Times New Roman" w:cs="Times New Roman"/>
                <w:b/>
                <w:color w:val="000000" w:themeColor="text1"/>
                <w:sz w:val="21"/>
                <w:szCs w:val="21"/>
                <w:lang w:val="en-US" w:eastAsia="zh-CN"/>
                <w14:textFill>
                  <w14:solidFill>
                    <w14:schemeClr w14:val="tx1"/>
                  </w14:solidFill>
                </w14:textFill>
              </w:rPr>
              <w:t>19</w:t>
            </w:r>
            <w:r>
              <w:rPr>
                <w:rFonts w:hint="default" w:ascii="Times New Roman" w:hAnsi="Times New Roman" w:eastAsia="宋体" w:cs="Times New Roman"/>
                <w:b/>
                <w:color w:val="000000" w:themeColor="text1"/>
                <w:sz w:val="21"/>
                <w:szCs w:val="21"/>
                <w14:textFill>
                  <w14:solidFill>
                    <w14:schemeClr w14:val="tx1"/>
                  </w14:solidFill>
                </w14:textFill>
              </w:rPr>
              <w:t xml:space="preserve"> 各场界噪声预测结果   单位：dB（A）</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690"/>
              <w:gridCol w:w="822"/>
              <w:gridCol w:w="2407"/>
              <w:gridCol w:w="1023"/>
              <w:gridCol w:w="856"/>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93" w:type="pct"/>
                  <w:vMerge w:val="restar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序号</w:t>
                  </w:r>
                </w:p>
              </w:tc>
              <w:tc>
                <w:tcPr>
                  <w:tcW w:w="1022" w:type="pct"/>
                  <w:vMerge w:val="restar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厂界方位</w:t>
                  </w:r>
                </w:p>
              </w:tc>
              <w:tc>
                <w:tcPr>
                  <w:tcW w:w="497" w:type="pct"/>
                  <w:vMerge w:val="restar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叠加值</w:t>
                  </w:r>
                </w:p>
              </w:tc>
              <w:tc>
                <w:tcPr>
                  <w:tcW w:w="1456" w:type="pct"/>
                  <w:vMerge w:val="restar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kern w:val="2"/>
                      <w:sz w:val="21"/>
                      <w:szCs w:val="21"/>
                      <w:u w:val="none"/>
                      <w:lang w:val="en-US" w:eastAsia="zh-CN" w:bidi="ar-SA"/>
                    </w:rPr>
                    <w:t>生产车间距离厂界的距离（m）</w:t>
                  </w:r>
                </w:p>
              </w:tc>
              <w:tc>
                <w:tcPr>
                  <w:tcW w:w="619" w:type="pct"/>
                  <w:vMerge w:val="restar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贡献值</w:t>
                  </w:r>
                </w:p>
              </w:tc>
              <w:tc>
                <w:tcPr>
                  <w:tcW w:w="1110" w:type="pct"/>
                  <w:gridSpan w:val="2"/>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93" w:type="pct"/>
                  <w:vMerge w:val="continue"/>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c>
                <w:tcPr>
                  <w:tcW w:w="1022" w:type="pct"/>
                  <w:vMerge w:val="continue"/>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c>
                <w:tcPr>
                  <w:tcW w:w="497" w:type="pct"/>
                  <w:vMerge w:val="continue"/>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c>
                <w:tcPr>
                  <w:tcW w:w="1456" w:type="pct"/>
                  <w:vMerge w:val="continue"/>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c>
                <w:tcPr>
                  <w:tcW w:w="619" w:type="pct"/>
                  <w:vMerge w:val="continue"/>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c>
                <w:tcPr>
                  <w:tcW w:w="518"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昼间</w:t>
                  </w:r>
                </w:p>
              </w:tc>
              <w:tc>
                <w:tcPr>
                  <w:tcW w:w="592"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1</w:t>
                  </w:r>
                </w:p>
              </w:tc>
              <w:tc>
                <w:tcPr>
                  <w:tcW w:w="1022"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东厂界</w:t>
                  </w:r>
                </w:p>
              </w:tc>
              <w:tc>
                <w:tcPr>
                  <w:tcW w:w="497" w:type="pct"/>
                  <w:vMerge w:val="restar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宋体"/>
                      <w:b w:val="0"/>
                      <w:bCs/>
                      <w:color w:val="000000" w:themeColor="text1"/>
                      <w:sz w:val="21"/>
                      <w:szCs w:val="21"/>
                      <w:u w:val="none"/>
                      <w:lang w:val="en-US" w:eastAsia="zh-CN"/>
                      <w14:textFill>
                        <w14:solidFill>
                          <w14:schemeClr w14:val="tx1"/>
                        </w14:solidFill>
                      </w14:textFill>
                    </w:rPr>
                    <w:t>81.41</w:t>
                  </w:r>
                </w:p>
              </w:tc>
              <w:tc>
                <w:tcPr>
                  <w:tcW w:w="1456"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28</w:t>
                  </w:r>
                </w:p>
              </w:tc>
              <w:tc>
                <w:tcPr>
                  <w:tcW w:w="619"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45.77</w:t>
                  </w:r>
                </w:p>
              </w:tc>
              <w:tc>
                <w:tcPr>
                  <w:tcW w:w="518"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60</w:t>
                  </w:r>
                </w:p>
              </w:tc>
              <w:tc>
                <w:tcPr>
                  <w:tcW w:w="592"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2</w:t>
                  </w:r>
                </w:p>
              </w:tc>
              <w:tc>
                <w:tcPr>
                  <w:tcW w:w="1022"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南厂界</w:t>
                  </w:r>
                </w:p>
              </w:tc>
              <w:tc>
                <w:tcPr>
                  <w:tcW w:w="497" w:type="pct"/>
                  <w:vMerge w:val="continue"/>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c>
                <w:tcPr>
                  <w:tcW w:w="1456"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25</w:t>
                  </w:r>
                </w:p>
              </w:tc>
              <w:tc>
                <w:tcPr>
                  <w:tcW w:w="619"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46.61</w:t>
                  </w:r>
                </w:p>
              </w:tc>
              <w:tc>
                <w:tcPr>
                  <w:tcW w:w="518"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60</w:t>
                  </w:r>
                </w:p>
              </w:tc>
              <w:tc>
                <w:tcPr>
                  <w:tcW w:w="592"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3</w:t>
                  </w:r>
                </w:p>
              </w:tc>
              <w:tc>
                <w:tcPr>
                  <w:tcW w:w="1022"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西厂界</w:t>
                  </w:r>
                </w:p>
              </w:tc>
              <w:tc>
                <w:tcPr>
                  <w:tcW w:w="497" w:type="pct"/>
                  <w:vMerge w:val="continue"/>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c>
                <w:tcPr>
                  <w:tcW w:w="1456"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26</w:t>
                  </w:r>
                </w:p>
              </w:tc>
              <w:tc>
                <w:tcPr>
                  <w:tcW w:w="619"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46.72</w:t>
                  </w:r>
                </w:p>
              </w:tc>
              <w:tc>
                <w:tcPr>
                  <w:tcW w:w="518"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60</w:t>
                  </w:r>
                </w:p>
              </w:tc>
              <w:tc>
                <w:tcPr>
                  <w:tcW w:w="592"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4</w:t>
                  </w:r>
                </w:p>
              </w:tc>
              <w:tc>
                <w:tcPr>
                  <w:tcW w:w="1022"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北厂界</w:t>
                  </w:r>
                </w:p>
              </w:tc>
              <w:tc>
                <w:tcPr>
                  <w:tcW w:w="497" w:type="pct"/>
                  <w:vMerge w:val="continue"/>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c>
                <w:tcPr>
                  <w:tcW w:w="1456"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23</w:t>
                  </w:r>
                </w:p>
              </w:tc>
              <w:tc>
                <w:tcPr>
                  <w:tcW w:w="619"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45.21</w:t>
                  </w:r>
                </w:p>
              </w:tc>
              <w:tc>
                <w:tcPr>
                  <w:tcW w:w="518"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60</w:t>
                  </w:r>
                </w:p>
              </w:tc>
              <w:tc>
                <w:tcPr>
                  <w:tcW w:w="592"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5</w:t>
                  </w:r>
                </w:p>
              </w:tc>
              <w:tc>
                <w:tcPr>
                  <w:tcW w:w="1022"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西北侧133m居民点</w:t>
                  </w:r>
                </w:p>
              </w:tc>
              <w:tc>
                <w:tcPr>
                  <w:tcW w:w="497" w:type="pct"/>
                  <w:vMerge w:val="continue"/>
                  <w:noWrap w:val="0"/>
                  <w:vAlign w:val="center"/>
                </w:tcPr>
                <w:p>
                  <w:pPr>
                    <w:widowControl w:val="0"/>
                    <w:spacing w:after="120" w:line="240" w:lineRule="auto"/>
                    <w:ind w:firstLine="0" w:firstLineChars="0"/>
                    <w:jc w:val="cente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pPr>
                </w:p>
              </w:tc>
              <w:tc>
                <w:tcPr>
                  <w:tcW w:w="1456" w:type="pct"/>
                  <w:noWrap w:val="0"/>
                  <w:vAlign w:val="center"/>
                </w:tcPr>
                <w:p>
                  <w:pPr>
                    <w:widowControl w:val="0"/>
                    <w:spacing w:after="120" w:line="240" w:lineRule="auto"/>
                    <w:ind w:firstLine="0" w:firstLineChars="0"/>
                    <w:jc w:val="center"/>
                    <w:rPr>
                      <w:rFonts w:hint="default" w:ascii="Times New Roman" w:hAnsi="Times New Roman"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133</w:t>
                  </w:r>
                </w:p>
              </w:tc>
              <w:tc>
                <w:tcPr>
                  <w:tcW w:w="619"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38.93</w:t>
                  </w:r>
                </w:p>
              </w:tc>
              <w:tc>
                <w:tcPr>
                  <w:tcW w:w="518"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60</w:t>
                  </w:r>
                </w:p>
              </w:tc>
              <w:tc>
                <w:tcPr>
                  <w:tcW w:w="592" w:type="pct"/>
                  <w:noWrap w:val="0"/>
                  <w:vAlign w:val="center"/>
                </w:tcPr>
                <w:p>
                  <w:pPr>
                    <w:widowControl w:val="0"/>
                    <w:spacing w:after="120" w:line="240" w:lineRule="auto"/>
                    <w:ind w:firstLine="0" w:firstLineChars="0"/>
                    <w:jc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50</w:t>
                  </w:r>
                </w:p>
              </w:tc>
            </w:tr>
          </w:tbl>
          <w:p>
            <w:pPr>
              <w:spacing w:line="360" w:lineRule="auto"/>
              <w:ind w:firstLine="480" w:firstLineChars="200"/>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建设方在采取保证生产的同时选用低噪声的设备，振动设备进行基础的隔振减振、厂房内墙壁采用隔声较好材料、合理布局等措施后，噪声源对厂界</w:t>
            </w:r>
            <w:r>
              <w:rPr>
                <w:rFonts w:hint="eastAsia" w:ascii="Times New Roman" w:hAnsi="Times New Roman" w:cs="Times New Roman"/>
                <w:color w:val="000000" w:themeColor="text1"/>
                <w:sz w:val="24"/>
                <w:szCs w:val="22"/>
                <w:lang w:val="en-US" w:eastAsia="zh-CN"/>
                <w14:textFill>
                  <w14:solidFill>
                    <w14:schemeClr w14:val="tx1"/>
                  </w14:solidFill>
                </w14:textFill>
              </w:rPr>
              <w:t>及敏感点</w:t>
            </w:r>
            <w:r>
              <w:rPr>
                <w:rFonts w:hint="default" w:ascii="Times New Roman" w:hAnsi="Times New Roman" w:eastAsia="宋体" w:cs="Times New Roman"/>
                <w:color w:val="000000" w:themeColor="text1"/>
                <w:sz w:val="24"/>
                <w:szCs w:val="22"/>
                <w14:textFill>
                  <w14:solidFill>
                    <w14:schemeClr w14:val="tx1"/>
                  </w14:solidFill>
                </w14:textFill>
              </w:rPr>
              <w:t>排放噪声贡献值在</w:t>
            </w:r>
            <w:r>
              <w:rPr>
                <w:rFonts w:hint="eastAsia" w:ascii="Times New Roman" w:hAnsi="Times New Roman" w:cs="Times New Roman"/>
                <w:color w:val="000000" w:themeColor="text1"/>
                <w:sz w:val="24"/>
                <w:szCs w:val="22"/>
                <w:lang w:val="en-US" w:eastAsia="zh-CN"/>
                <w14:textFill>
                  <w14:solidFill>
                    <w14:schemeClr w14:val="tx1"/>
                  </w14:solidFill>
                </w14:textFill>
              </w:rPr>
              <w:t>38.93</w:t>
            </w:r>
            <w:r>
              <w:rPr>
                <w:rFonts w:hint="default" w:ascii="Times New Roman" w:hAnsi="Times New Roman" w:eastAsia="宋体" w:cs="Times New Roman"/>
                <w:color w:val="000000" w:themeColor="text1"/>
                <w:sz w:val="24"/>
                <w:szCs w:val="22"/>
                <w14:textFill>
                  <w14:solidFill>
                    <w14:schemeClr w14:val="tx1"/>
                  </w14:solidFill>
                </w14:textFill>
              </w:rPr>
              <w:t>~</w:t>
            </w:r>
            <w:r>
              <w:rPr>
                <w:rFonts w:hint="eastAsia" w:ascii="Times New Roman" w:hAnsi="Times New Roman" w:cs="Times New Roman"/>
                <w:color w:val="000000" w:themeColor="text1"/>
                <w:sz w:val="24"/>
                <w:szCs w:val="22"/>
                <w:lang w:val="en-US" w:eastAsia="zh-CN"/>
                <w14:textFill>
                  <w14:solidFill>
                    <w14:schemeClr w14:val="tx1"/>
                  </w14:solidFill>
                </w14:textFill>
              </w:rPr>
              <w:t>46.72</w:t>
            </w:r>
            <w:r>
              <w:rPr>
                <w:rFonts w:hint="default" w:ascii="Times New Roman" w:hAnsi="Times New Roman" w:eastAsia="宋体" w:cs="Times New Roman"/>
                <w:color w:val="000000" w:themeColor="text1"/>
                <w:sz w:val="24"/>
                <w:szCs w:val="22"/>
                <w14:textFill>
                  <w14:solidFill>
                    <w14:schemeClr w14:val="tx1"/>
                  </w14:solidFill>
                </w14:textFill>
              </w:rPr>
              <w:t>dB（A）之间，厂界排放噪声满足《工业企业厂界环境噪声排放标准》（GB12348-2008）2类（昼间≤60dB（A））标准的要求。</w:t>
            </w:r>
          </w:p>
          <w:p>
            <w:pPr>
              <w:spacing w:line="360" w:lineRule="auto"/>
              <w:ind w:firstLine="480" w:firstLineChars="200"/>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（4）营运期噪声影响减缓措施</w:t>
            </w:r>
          </w:p>
          <w:p>
            <w:pPr>
              <w:spacing w:line="360" w:lineRule="auto"/>
              <w:ind w:firstLine="480" w:firstLineChars="200"/>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①机械设备采取消声、隔声、减震等降噪措施；</w:t>
            </w:r>
          </w:p>
          <w:p>
            <w:pPr>
              <w:spacing w:line="360" w:lineRule="auto"/>
              <w:ind w:firstLine="480" w:firstLineChars="200"/>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②应注意设备的日常维护，防止出现因机器不正常运转造成噪声值异常升高的问题；</w:t>
            </w:r>
          </w:p>
          <w:p>
            <w:pPr>
              <w:spacing w:line="360" w:lineRule="auto"/>
              <w:ind w:firstLine="480" w:firstLineChars="200"/>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③在项目厂界四周种植高大乔木，尽量利用建（构）筑物与绿化林带阻隔声波向外辐射传播；</w:t>
            </w:r>
          </w:p>
          <w:p>
            <w:pPr>
              <w:spacing w:line="360" w:lineRule="auto"/>
              <w:ind w:firstLine="480" w:firstLineChars="200"/>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④对进出车辆要加强管理，限制车速，禁鸣喇叭。</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r>
              <w:rPr>
                <w:rFonts w:hint="default" w:ascii="Times New Roman" w:hAnsi="Times New Roman" w:eastAsia="宋体" w:cs="Times New Roman"/>
                <w:color w:val="000000"/>
                <w:sz w:val="24"/>
                <w:szCs w:val="22"/>
              </w:rPr>
              <w:t>通过以上降噪措施处理后，使噪声对厂区环境和厂界外环境的污染影响减至最小并控制在《工业企业厂界环境噪声排放标准》GB12348-2008中规定的2类标</w:t>
            </w:r>
            <w:r>
              <w:rPr>
                <w:rFonts w:hint="default" w:ascii="Times New Roman" w:hAnsi="Times New Roman" w:eastAsia="宋体" w:cs="Times New Roman"/>
                <w:color w:val="000000"/>
                <w:sz w:val="24"/>
                <w:szCs w:val="22"/>
                <w:u w:val="none"/>
              </w:rPr>
              <w:t>准限值。</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eastAsia="宋体" w:cs="Times New Roman"/>
                <w:b/>
                <w:bCs/>
                <w:color w:val="000000"/>
                <w:kern w:val="2"/>
                <w:sz w:val="24"/>
                <w:szCs w:val="22"/>
                <w:u w:val="none"/>
                <w:lang w:val="en-US" w:eastAsia="zh-CN" w:bidi="ar-SA"/>
              </w:rPr>
            </w:pPr>
            <w:r>
              <w:rPr>
                <w:rFonts w:hint="eastAsia" w:ascii="Times New Roman" w:hAnsi="Times New Roman" w:eastAsia="宋体" w:cs="Times New Roman"/>
                <w:b/>
                <w:bCs/>
                <w:color w:val="000000"/>
                <w:kern w:val="2"/>
                <w:sz w:val="24"/>
                <w:szCs w:val="22"/>
                <w:u w:val="none"/>
                <w:lang w:val="en-US" w:eastAsia="zh-CN" w:bidi="ar-SA"/>
              </w:rPr>
              <w:t>1.4</w:t>
            </w:r>
            <w:r>
              <w:rPr>
                <w:rFonts w:hint="default" w:ascii="Times New Roman" w:hAnsi="Times New Roman" w:eastAsia="宋体" w:cs="Times New Roman"/>
                <w:b/>
                <w:bCs/>
                <w:color w:val="000000"/>
                <w:kern w:val="2"/>
                <w:sz w:val="24"/>
                <w:szCs w:val="22"/>
                <w:u w:val="none"/>
                <w:lang w:val="en-US" w:eastAsia="zh-CN" w:bidi="ar-SA"/>
              </w:rPr>
              <w:t>固废环境影响分析</w:t>
            </w:r>
          </w:p>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kern w:val="2"/>
                <w:sz w:val="24"/>
                <w:szCs w:val="24"/>
                <w:lang w:val="en-US" w:eastAsia="zh-CN" w:bidi="ar-SA"/>
              </w:rPr>
            </w:pPr>
            <w:r>
              <w:rPr>
                <w:rFonts w:hint="eastAsia" w:ascii="Times New Roman" w:hAnsi="Times New Roman" w:cs="Times New Roman"/>
                <w:b w:val="0"/>
                <w:bCs w:val="0"/>
                <w:color w:val="000000"/>
                <w:kern w:val="2"/>
                <w:sz w:val="24"/>
                <w:szCs w:val="24"/>
                <w:lang w:val="en-US" w:eastAsia="zh-CN" w:bidi="ar-SA"/>
              </w:rPr>
              <w:t>（1）项目生产过程中产生的固体废物</w:t>
            </w:r>
          </w:p>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本项目产生的固废主要是大豆除杂废物、脱壳工序产生的脱壳豆皮、磨浆过滤产生的豆渣、提皮工序产生的剩余浆液、腐竹和豆皮包装工序产生的废包装材料、污水站污泥、</w:t>
            </w:r>
            <w:r>
              <w:rPr>
                <w:rFonts w:hint="default" w:ascii="Times New Roman" w:hAnsi="Times New Roman" w:eastAsia="宋体" w:cs="Times New Roman"/>
                <w:b w:val="0"/>
                <w:bCs w:val="0"/>
                <w:color w:val="000000"/>
                <w:kern w:val="2"/>
                <w:sz w:val="24"/>
                <w:szCs w:val="24"/>
                <w:lang w:val="en-US" w:eastAsia="zh-CN" w:bidi="ar-SA"/>
              </w:rPr>
              <w:t>软水制备系统</w:t>
            </w:r>
            <w:r>
              <w:rPr>
                <w:rFonts w:hint="eastAsia" w:ascii="Times New Roman" w:hAnsi="Times New Roman" w:eastAsia="宋体" w:cs="Times New Roman"/>
                <w:b w:val="0"/>
                <w:bCs w:val="0"/>
                <w:color w:val="000000"/>
                <w:kern w:val="2"/>
                <w:sz w:val="24"/>
                <w:szCs w:val="24"/>
                <w:lang w:val="en-US" w:eastAsia="zh-CN" w:bidi="ar-SA"/>
              </w:rPr>
              <w:t>产生的废树脂、锅炉废气处理产生的脱硫石膏以及职工生活垃圾。</w:t>
            </w:r>
          </w:p>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①</w:t>
            </w:r>
            <w:r>
              <w:rPr>
                <w:rFonts w:hint="eastAsia" w:ascii="Times New Roman" w:hAnsi="Times New Roman" w:eastAsia="宋体" w:cs="Times New Roman"/>
                <w:b w:val="0"/>
                <w:bCs w:val="0"/>
                <w:color w:val="000000"/>
                <w:kern w:val="2"/>
                <w:sz w:val="24"/>
                <w:szCs w:val="24"/>
                <w:lang w:val="en-US" w:eastAsia="zh-CN" w:bidi="ar-SA"/>
              </w:rPr>
              <w:t>大豆除杂废物：外购大豆不能直接进行生产，必须先人工去杂，去除可</w:t>
            </w:r>
          </w:p>
          <w:p>
            <w:pPr>
              <w:pageBreakBefore w:val="0"/>
              <w:widowControl w:val="0"/>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能的小石子、虫蛀大豆等，产生量约为原料的1%，约21.01t/a。收集至一般固废暂存间后交由环卫部门处理。</w:t>
            </w:r>
          </w:p>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②</w:t>
            </w:r>
            <w:r>
              <w:rPr>
                <w:rFonts w:hint="eastAsia" w:ascii="Times New Roman" w:hAnsi="Times New Roman" w:eastAsia="宋体" w:cs="Times New Roman"/>
                <w:b w:val="0"/>
                <w:bCs w:val="0"/>
                <w:color w:val="000000"/>
                <w:kern w:val="2"/>
                <w:sz w:val="24"/>
                <w:szCs w:val="24"/>
                <w:lang w:val="en-US" w:eastAsia="zh-CN" w:bidi="ar-SA"/>
              </w:rPr>
              <w:t>脱壳工序产生的脱壳豆皮：黄豆进行除杂和烘干后进入脱皮工序的黄豆约2018.55吨，本项目黄豆脱壳工序产生豆皮、豆粉和碎豆子，豆皮产生量约为黄豆使用量的</w:t>
            </w:r>
            <w:r>
              <w:rPr>
                <w:rFonts w:hint="default" w:ascii="Times New Roman" w:hAnsi="Times New Roman" w:eastAsia="宋体" w:cs="Times New Roman"/>
                <w:b w:val="0"/>
                <w:bCs w:val="0"/>
                <w:color w:val="000000"/>
                <w:kern w:val="2"/>
                <w:sz w:val="24"/>
                <w:szCs w:val="24"/>
                <w:lang w:val="en-US" w:eastAsia="zh-CN" w:bidi="ar-SA"/>
              </w:rPr>
              <w:t>1%，即</w:t>
            </w:r>
            <w:r>
              <w:rPr>
                <w:rFonts w:hint="eastAsia" w:ascii="Times New Roman" w:hAnsi="Times New Roman" w:eastAsia="宋体" w:cs="Times New Roman"/>
                <w:b w:val="0"/>
                <w:bCs w:val="0"/>
                <w:color w:val="000000"/>
                <w:kern w:val="2"/>
                <w:sz w:val="24"/>
                <w:szCs w:val="24"/>
                <w:lang w:val="en-US" w:eastAsia="zh-CN" w:bidi="ar-SA"/>
              </w:rPr>
              <w:t>约为201.86</w:t>
            </w:r>
            <w:r>
              <w:rPr>
                <w:rFonts w:hint="default" w:ascii="Times New Roman" w:hAnsi="Times New Roman" w:eastAsia="宋体" w:cs="Times New Roman"/>
                <w:b w:val="0"/>
                <w:bCs w:val="0"/>
                <w:color w:val="000000"/>
                <w:kern w:val="2"/>
                <w:sz w:val="24"/>
                <w:szCs w:val="24"/>
                <w:lang w:val="en-US" w:eastAsia="zh-CN" w:bidi="ar-SA"/>
              </w:rPr>
              <w:t>t/a；</w:t>
            </w:r>
          </w:p>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③</w:t>
            </w:r>
            <w:r>
              <w:rPr>
                <w:rFonts w:hint="eastAsia" w:ascii="Times New Roman" w:hAnsi="Times New Roman" w:eastAsia="宋体" w:cs="Times New Roman"/>
                <w:b w:val="0"/>
                <w:bCs w:val="0"/>
                <w:color w:val="000000"/>
                <w:kern w:val="2"/>
                <w:sz w:val="24"/>
                <w:szCs w:val="24"/>
                <w:lang w:val="en-US" w:eastAsia="zh-CN" w:bidi="ar-SA"/>
              </w:rPr>
              <w:t>磨浆豆渣：经脱壳后的黄豆进入磨浆工序，约1816.69吨，磨浆工序通过自带的过滤系统进行过滤，根据业主提供资料，豆渣产生量约为原料用量的45%，即817.51t/a。豆渣可以作为养殖饲料，外售当地的养殖场。评价提出将豆渣存放于防渗性能较好的桶或箱等容器内（容器累加存储量应不小于3吨）。</w:t>
            </w:r>
          </w:p>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④</w:t>
            </w:r>
            <w:r>
              <w:rPr>
                <w:rFonts w:hint="eastAsia" w:ascii="Times New Roman" w:hAnsi="Times New Roman" w:eastAsia="宋体" w:cs="Times New Roman"/>
                <w:b w:val="0"/>
                <w:bCs w:val="0"/>
                <w:color w:val="000000"/>
                <w:kern w:val="2"/>
                <w:sz w:val="24"/>
                <w:szCs w:val="24"/>
                <w:lang w:val="en-US" w:eastAsia="zh-CN" w:bidi="ar-SA"/>
              </w:rPr>
              <w:t>提皮工序产生的剩余浆液：根据业主提供资料，本项目豆浆经多次拉皮过后，产生剩余浆液，产生量约为960</w:t>
            </w:r>
            <w:r>
              <w:rPr>
                <w:rFonts w:hint="default" w:ascii="Times New Roman" w:hAnsi="Times New Roman" w:eastAsia="宋体" w:cs="Times New Roman"/>
                <w:b w:val="0"/>
                <w:bCs w:val="0"/>
                <w:color w:val="000000"/>
                <w:kern w:val="2"/>
                <w:sz w:val="24"/>
                <w:szCs w:val="24"/>
                <w:lang w:val="en-US" w:eastAsia="zh-CN" w:bidi="ar-SA"/>
              </w:rPr>
              <w:t>t/a</w:t>
            </w:r>
            <w:r>
              <w:rPr>
                <w:rFonts w:hint="eastAsia" w:ascii="Times New Roman" w:hAnsi="Times New Roman" w:eastAsia="宋体" w:cs="Times New Roman"/>
                <w:b w:val="0"/>
                <w:bCs w:val="0"/>
                <w:color w:val="000000"/>
                <w:kern w:val="2"/>
                <w:sz w:val="24"/>
                <w:szCs w:val="24"/>
                <w:lang w:val="en-US" w:eastAsia="zh-CN" w:bidi="ar-SA"/>
              </w:rPr>
              <w:t>。</w:t>
            </w:r>
          </w:p>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以上腐竹生产过程的</w:t>
            </w:r>
            <w:r>
              <w:rPr>
                <w:rFonts w:hint="eastAsia" w:ascii="Times New Roman" w:hAnsi="Times New Roman" w:eastAsia="宋体" w:cs="Times New Roman"/>
                <w:b w:val="0"/>
                <w:bCs w:val="0"/>
                <w:color w:val="000000"/>
                <w:kern w:val="2"/>
                <w:sz w:val="24"/>
                <w:szCs w:val="24"/>
                <w:lang w:val="en-US" w:eastAsia="zh-CN" w:bidi="ar-SA"/>
              </w:rPr>
              <w:t>产生的固废（豆渣、脱壳豆皮、剩余浆液）</w:t>
            </w:r>
            <w:r>
              <w:rPr>
                <w:rFonts w:hint="default" w:ascii="Times New Roman" w:hAnsi="Times New Roman" w:eastAsia="宋体" w:cs="Times New Roman"/>
                <w:b w:val="0"/>
                <w:bCs w:val="0"/>
                <w:color w:val="000000"/>
                <w:kern w:val="2"/>
                <w:sz w:val="24"/>
                <w:szCs w:val="24"/>
                <w:lang w:val="en-US" w:eastAsia="zh-CN" w:bidi="ar-SA"/>
              </w:rPr>
              <w:t>均富含蛋白质，是养殖业理想的饲料蛋白来源，故豆皮、豆渣、剩余浆液均</w:t>
            </w:r>
            <w:r>
              <w:rPr>
                <w:rFonts w:hint="eastAsia" w:ascii="Times New Roman" w:hAnsi="Times New Roman" w:eastAsia="宋体" w:cs="Times New Roman"/>
                <w:b w:val="0"/>
                <w:bCs w:val="0"/>
                <w:color w:val="000000"/>
                <w:kern w:val="2"/>
                <w:sz w:val="24"/>
                <w:szCs w:val="24"/>
                <w:lang w:val="en-US" w:eastAsia="zh-CN" w:bidi="ar-SA"/>
              </w:rPr>
              <w:t>收集至一般固废暂存间，</w:t>
            </w:r>
            <w:r>
              <w:rPr>
                <w:rFonts w:hint="default" w:ascii="Times New Roman" w:hAnsi="Times New Roman" w:eastAsia="宋体" w:cs="Times New Roman"/>
                <w:b w:val="0"/>
                <w:bCs w:val="0"/>
                <w:color w:val="000000"/>
                <w:kern w:val="2"/>
                <w:sz w:val="24"/>
                <w:szCs w:val="24"/>
                <w:lang w:val="en-US" w:eastAsia="zh-CN" w:bidi="ar-SA"/>
              </w:rPr>
              <w:t>卖给养殖户用作饲料。本项目已与周边养殖户周新举等数人达成初步合作协议，由其负责本项目的</w:t>
            </w:r>
            <w:r>
              <w:rPr>
                <w:rFonts w:hint="eastAsia" w:ascii="Times New Roman" w:hAnsi="Times New Roman" w:eastAsia="宋体" w:cs="Times New Roman"/>
                <w:b w:val="0"/>
                <w:bCs w:val="0"/>
                <w:color w:val="000000"/>
                <w:kern w:val="2"/>
                <w:sz w:val="24"/>
                <w:szCs w:val="24"/>
                <w:lang w:val="en-US" w:eastAsia="zh-CN" w:bidi="ar-SA"/>
              </w:rPr>
              <w:t>脱壳</w:t>
            </w:r>
            <w:r>
              <w:rPr>
                <w:rFonts w:hint="default" w:ascii="Times New Roman" w:hAnsi="Times New Roman" w:eastAsia="宋体" w:cs="Times New Roman"/>
                <w:b w:val="0"/>
                <w:bCs w:val="0"/>
                <w:color w:val="000000"/>
                <w:kern w:val="2"/>
                <w:sz w:val="24"/>
                <w:szCs w:val="24"/>
                <w:lang w:val="en-US" w:eastAsia="zh-CN" w:bidi="ar-SA"/>
              </w:rPr>
              <w:t>豆皮、豆渣、</w:t>
            </w:r>
            <w:r>
              <w:rPr>
                <w:rFonts w:hint="eastAsia" w:ascii="Times New Roman" w:hAnsi="Times New Roman" w:eastAsia="宋体" w:cs="Times New Roman"/>
                <w:b w:val="0"/>
                <w:bCs w:val="0"/>
                <w:color w:val="000000"/>
                <w:kern w:val="2"/>
                <w:sz w:val="24"/>
                <w:szCs w:val="24"/>
                <w:lang w:val="en-US" w:eastAsia="zh-CN" w:bidi="ar-SA"/>
              </w:rPr>
              <w:t>拉皮废豆皮和</w:t>
            </w:r>
            <w:r>
              <w:rPr>
                <w:rFonts w:hint="default" w:ascii="Times New Roman" w:hAnsi="Times New Roman" w:eastAsia="宋体" w:cs="Times New Roman"/>
                <w:b w:val="0"/>
                <w:bCs w:val="0"/>
                <w:color w:val="000000"/>
                <w:kern w:val="2"/>
                <w:sz w:val="24"/>
                <w:szCs w:val="24"/>
                <w:lang w:val="en-US" w:eastAsia="zh-CN" w:bidi="ar-SA"/>
              </w:rPr>
              <w:t>剩余浆液清运，日常清运不少于1次，高温季节时，适当增加转运次数，日清运次数不少于2次，不会出现因豆皮、豆渣及剩余浆液堆积问题</w:t>
            </w:r>
            <w:r>
              <w:rPr>
                <w:rFonts w:hint="eastAsia" w:ascii="Times New Roman" w:hAnsi="Times New Roman" w:eastAsia="宋体" w:cs="Times New Roman"/>
                <w:b w:val="0"/>
                <w:bCs w:val="0"/>
                <w:color w:val="000000"/>
                <w:kern w:val="2"/>
                <w:sz w:val="24"/>
                <w:szCs w:val="24"/>
                <w:lang w:val="en-US" w:eastAsia="zh-CN" w:bidi="ar-SA"/>
              </w:rPr>
              <w:t>。</w:t>
            </w:r>
          </w:p>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2"/>
                <w:sz w:val="24"/>
                <w:szCs w:val="24"/>
                <w:lang w:val="en-US" w:eastAsia="zh-CN" w:bidi="ar-SA"/>
              </w:rPr>
              <w:t>⑤废包装材料：</w:t>
            </w:r>
            <w:r>
              <w:rPr>
                <w:rFonts w:hint="default" w:ascii="Times New Roman" w:hAnsi="Times New Roman" w:eastAsia="宋体" w:cs="Times New Roman"/>
                <w:b w:val="0"/>
                <w:bCs w:val="0"/>
                <w:color w:val="000000"/>
                <w:kern w:val="2"/>
                <w:sz w:val="24"/>
                <w:szCs w:val="24"/>
                <w:lang w:val="en-US" w:eastAsia="zh-CN" w:bidi="ar-SA"/>
              </w:rPr>
              <w:t>本项目废包装袋约为包装袋使用量的1%，年使用包装袋量</w:t>
            </w:r>
            <w:r>
              <w:rPr>
                <w:rFonts w:hint="eastAsia" w:ascii="Times New Roman" w:hAnsi="Times New Roman" w:eastAsia="宋体" w:cs="Times New Roman"/>
                <w:b w:val="0"/>
                <w:bCs w:val="0"/>
                <w:color w:val="000000"/>
                <w:kern w:val="2"/>
                <w:sz w:val="24"/>
                <w:szCs w:val="24"/>
                <w:lang w:val="en-US" w:eastAsia="zh-CN" w:bidi="ar-SA"/>
              </w:rPr>
              <w:t>20</w:t>
            </w:r>
            <w:r>
              <w:rPr>
                <w:rFonts w:hint="default" w:ascii="Times New Roman" w:hAnsi="Times New Roman" w:eastAsia="宋体" w:cs="Times New Roman"/>
                <w:b w:val="0"/>
                <w:bCs w:val="0"/>
                <w:color w:val="000000"/>
                <w:kern w:val="2"/>
                <w:sz w:val="24"/>
                <w:szCs w:val="24"/>
                <w:lang w:val="en-US" w:eastAsia="zh-CN" w:bidi="ar-SA"/>
              </w:rPr>
              <w:t>吨</w:t>
            </w:r>
            <w:r>
              <w:rPr>
                <w:rFonts w:hint="eastAsia" w:ascii="Times New Roman" w:hAnsi="Times New Roman" w:eastAsia="宋体" w:cs="Times New Roman"/>
                <w:b w:val="0"/>
                <w:bCs w:val="0"/>
                <w:color w:val="000000"/>
                <w:kern w:val="2"/>
                <w:sz w:val="24"/>
                <w:szCs w:val="24"/>
                <w:lang w:val="en-US" w:eastAsia="zh-CN" w:bidi="ar-SA"/>
              </w:rPr>
              <w:t>/</w:t>
            </w:r>
            <w:r>
              <w:rPr>
                <w:rFonts w:hint="default" w:ascii="Times New Roman" w:hAnsi="Times New Roman" w:eastAsia="宋体" w:cs="Times New Roman"/>
                <w:b w:val="0"/>
                <w:bCs w:val="0"/>
                <w:color w:val="000000"/>
                <w:kern w:val="2"/>
                <w:sz w:val="24"/>
                <w:szCs w:val="24"/>
                <w:lang w:val="en-US" w:eastAsia="zh-CN" w:bidi="ar-SA"/>
              </w:rPr>
              <w:t>年，</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即年产生废包装物</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吨/年</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，收集至一般固废暂存间后交由当地环卫部门统一清运处理。</w:t>
            </w:r>
          </w:p>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⑥污水处理站污泥：项目污水处理站沉淀池会产生沉淀污泥，其产生量约为污水处理量的0.2%，本项目废水处理量为3928.704t/a，则污泥产生量约为7.86t/a，定期清掏晾干收集至一般固废暂存间后</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交由当地环卫部门统一清运处理。</w:t>
            </w:r>
          </w:p>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⑦软水制备系统产生的废树脂：本项目软水制备系统采用树脂</w:t>
            </w:r>
            <w:r>
              <w:rPr>
                <w:rFonts w:hint="default" w:ascii="Times New Roman" w:hAnsi="Times New Roman" w:eastAsia="宋体" w:cs="Times New Roman"/>
                <w:b w:val="0"/>
                <w:bCs w:val="0"/>
                <w:color w:val="000000"/>
                <w:kern w:val="2"/>
                <w:sz w:val="24"/>
                <w:szCs w:val="24"/>
                <w:lang w:val="en-US" w:eastAsia="zh-CN" w:bidi="ar-SA"/>
              </w:rPr>
              <w:t>交换来制备软水，当树脂使用时间较长，每年需对树脂进行更换，类比同类项目，年更换量约为1t。</w:t>
            </w:r>
            <w:r>
              <w:rPr>
                <w:rFonts w:hint="eastAsia" w:ascii="Times New Roman" w:hAnsi="Times New Roman" w:eastAsia="宋体" w:cs="Times New Roman"/>
                <w:b w:val="0"/>
                <w:bCs w:val="0"/>
                <w:color w:val="000000"/>
                <w:kern w:val="2"/>
                <w:sz w:val="24"/>
                <w:szCs w:val="24"/>
                <w:lang w:val="en-US" w:eastAsia="zh-CN" w:bidi="ar-SA"/>
              </w:rPr>
              <w:t>由于本</w:t>
            </w:r>
            <w:r>
              <w:rPr>
                <w:rFonts w:hint="default" w:ascii="Times New Roman" w:hAnsi="Times New Roman" w:eastAsia="宋体" w:cs="Times New Roman"/>
                <w:b w:val="0"/>
                <w:bCs w:val="0"/>
                <w:color w:val="000000"/>
                <w:kern w:val="2"/>
                <w:sz w:val="24"/>
                <w:szCs w:val="24"/>
                <w:lang w:val="en-US" w:eastAsia="zh-CN" w:bidi="ar-SA"/>
              </w:rPr>
              <w:t>项目离子交换树脂仅用于制备软水，制备软水的原材料自来水不含有毒有害物质，废弃离子交换树脂属于一般固废，</w:t>
            </w:r>
            <w:r>
              <w:rPr>
                <w:rFonts w:hint="eastAsia" w:ascii="Times New Roman" w:hAnsi="Times New Roman" w:eastAsia="宋体" w:cs="Times New Roman"/>
                <w:b w:val="0"/>
                <w:bCs w:val="0"/>
                <w:color w:val="000000"/>
                <w:kern w:val="2"/>
                <w:sz w:val="24"/>
                <w:szCs w:val="24"/>
                <w:lang w:val="en-US" w:eastAsia="zh-CN" w:bidi="ar-SA"/>
              </w:rPr>
              <w:t>收集至一般固废暂存间后</w:t>
            </w:r>
            <w:r>
              <w:rPr>
                <w:rFonts w:hint="default" w:ascii="Times New Roman" w:hAnsi="Times New Roman" w:eastAsia="宋体" w:cs="Times New Roman"/>
                <w:b w:val="0"/>
                <w:bCs w:val="0"/>
                <w:color w:val="000000"/>
                <w:kern w:val="2"/>
                <w:sz w:val="24"/>
                <w:szCs w:val="24"/>
                <w:lang w:val="en-US" w:eastAsia="zh-CN" w:bidi="ar-SA"/>
              </w:rPr>
              <w:t>交由供应</w:t>
            </w:r>
            <w:r>
              <w:rPr>
                <w:rFonts w:hint="eastAsia" w:ascii="Times New Roman" w:hAnsi="Times New Roman" w:eastAsia="宋体" w:cs="Times New Roman"/>
                <w:b w:val="0"/>
                <w:bCs w:val="0"/>
                <w:color w:val="000000"/>
                <w:kern w:val="2"/>
                <w:sz w:val="24"/>
                <w:szCs w:val="24"/>
                <w:lang w:val="en-US" w:eastAsia="zh-CN" w:bidi="ar-SA"/>
              </w:rPr>
              <w:t>厂家回收处理</w:t>
            </w:r>
            <w:r>
              <w:rPr>
                <w:rFonts w:hint="default" w:ascii="Times New Roman" w:hAnsi="Times New Roman" w:eastAsia="宋体" w:cs="Times New Roman"/>
                <w:b w:val="0"/>
                <w:bCs w:val="0"/>
                <w:color w:val="000000"/>
                <w:kern w:val="2"/>
                <w:sz w:val="24"/>
                <w:szCs w:val="24"/>
                <w:lang w:val="en-US" w:eastAsia="zh-CN" w:bidi="ar-SA"/>
              </w:rPr>
              <w:t>。</w:t>
            </w:r>
          </w:p>
          <w:p>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⑧脱硫石膏：项</w:t>
            </w:r>
            <w:r>
              <w:rPr>
                <w:rFonts w:hint="eastAsia" w:ascii="Times New Roman" w:hAnsi="Times New Roman" w:eastAsia="宋体" w:cs="Times New Roman"/>
                <w:b w:val="0"/>
                <w:bCs w:val="0"/>
                <w:color w:val="000000"/>
                <w:kern w:val="2"/>
                <w:sz w:val="24"/>
                <w:szCs w:val="24"/>
                <w:lang w:val="en-US" w:eastAsia="zh-CN" w:bidi="ar-SA"/>
              </w:rPr>
              <w:t>目锅炉烟气碱液喷淋产生的脱硫石膏约为0.5t/a，收集至一般固废暂存间后可外运给砖厂制砖。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color w:val="000000"/>
                <w:kern w:val="2"/>
                <w:sz w:val="21"/>
                <w:szCs w:val="21"/>
                <w:lang w:val="en-US" w:eastAsia="zh-CN" w:bidi="ar-SA"/>
              </w:rPr>
            </w:pPr>
            <w:r>
              <w:rPr>
                <w:rFonts w:hint="eastAsia" w:ascii="宋体" w:hAnsi="宋体" w:eastAsia="宋体" w:cs="宋体"/>
                <w:b w:val="0"/>
                <w:bCs w:val="0"/>
                <w:color w:val="000000"/>
                <w:kern w:val="2"/>
                <w:sz w:val="24"/>
                <w:szCs w:val="24"/>
                <w:lang w:val="en-US" w:eastAsia="zh-CN" w:bidi="ar-SA"/>
              </w:rPr>
              <w:t>⑨</w:t>
            </w:r>
            <w:r>
              <w:rPr>
                <w:rFonts w:hint="eastAsia" w:ascii="Times New Roman" w:hAnsi="Times New Roman" w:eastAsia="宋体" w:cs="Times New Roman"/>
                <w:b w:val="0"/>
                <w:bCs w:val="0"/>
                <w:color w:val="000000"/>
                <w:kern w:val="2"/>
                <w:sz w:val="24"/>
                <w:szCs w:val="24"/>
                <w:lang w:val="en-US" w:eastAsia="zh-CN" w:bidi="ar-SA"/>
              </w:rPr>
              <w:t>生活垃圾：本项目员工30人，按0.5kg/人·天计算，则生活垃圾产生量为4.5t/a，经统一收集后交由当地环卫部门统一清运处理。</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表</w:t>
            </w:r>
            <w:r>
              <w:rPr>
                <w:rFonts w:hint="eastAsia" w:ascii="Times New Roman" w:hAnsi="Times New Roman" w:cs="Times New Roman"/>
                <w:b/>
                <w:color w:val="000000"/>
                <w:sz w:val="21"/>
                <w:szCs w:val="21"/>
                <w:lang w:val="en-US" w:eastAsia="zh-CN"/>
              </w:rPr>
              <w:t>4</w:t>
            </w:r>
            <w:r>
              <w:rPr>
                <w:rFonts w:ascii="Times New Roman" w:hAnsi="Times New Roman" w:eastAsia="宋体" w:cs="Times New Roman"/>
                <w:b/>
                <w:color w:val="000000"/>
                <w:sz w:val="21"/>
                <w:szCs w:val="21"/>
              </w:rPr>
              <w:t>-</w:t>
            </w:r>
            <w:r>
              <w:rPr>
                <w:rFonts w:hint="eastAsia" w:ascii="Times New Roman" w:hAnsi="Times New Roman" w:cs="Times New Roman"/>
                <w:b/>
                <w:color w:val="000000"/>
                <w:sz w:val="21"/>
                <w:szCs w:val="21"/>
                <w:lang w:val="en-US" w:eastAsia="zh-CN"/>
              </w:rPr>
              <w:t>20</w:t>
            </w:r>
            <w:r>
              <w:rPr>
                <w:rFonts w:hint="eastAsia" w:ascii="Times New Roman" w:hAnsi="Times New Roman" w:eastAsia="宋体" w:cs="Times New Roman"/>
                <w:b/>
                <w:color w:val="000000"/>
                <w:sz w:val="21"/>
                <w:szCs w:val="21"/>
              </w:rPr>
              <w:t xml:space="preserve"> 固体废物产生量估算及去向一览表（单位：t/a）</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2271"/>
              <w:gridCol w:w="1403"/>
              <w:gridCol w:w="1131"/>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358" w:type="pct"/>
                  <w:noWrap w:val="0"/>
                  <w:vAlign w:val="center"/>
                </w:tcPr>
                <w:p>
                  <w:pPr>
                    <w:adjustRightInd w:val="0"/>
                    <w:spacing w:line="240" w:lineRule="auto"/>
                    <w:jc w:val="center"/>
                    <w:rPr>
                      <w:rFonts w:ascii="Times New Roman" w:hAnsi="Times New Roman" w:eastAsia="宋体" w:cs="宋体"/>
                      <w:b w:val="0"/>
                      <w:bCs/>
                      <w:color w:val="000000"/>
                      <w:sz w:val="21"/>
                      <w:szCs w:val="21"/>
                    </w:rPr>
                  </w:pPr>
                  <w:r>
                    <w:rPr>
                      <w:rFonts w:hint="eastAsia" w:ascii="Times New Roman" w:hAnsi="Times New Roman" w:eastAsia="宋体" w:cs="宋体"/>
                      <w:b w:val="0"/>
                      <w:bCs/>
                      <w:color w:val="000000"/>
                      <w:sz w:val="21"/>
                      <w:szCs w:val="21"/>
                    </w:rPr>
                    <w:t>序号</w:t>
                  </w:r>
                </w:p>
              </w:tc>
              <w:tc>
                <w:tcPr>
                  <w:tcW w:w="1374" w:type="pct"/>
                  <w:noWrap w:val="0"/>
                  <w:vAlign w:val="center"/>
                </w:tcPr>
                <w:p>
                  <w:pPr>
                    <w:adjustRightInd w:val="0"/>
                    <w:spacing w:line="240" w:lineRule="auto"/>
                    <w:jc w:val="center"/>
                    <w:rPr>
                      <w:rFonts w:ascii="Times New Roman" w:hAnsi="Times New Roman" w:eastAsia="宋体" w:cs="宋体"/>
                      <w:b w:val="0"/>
                      <w:bCs/>
                      <w:color w:val="000000"/>
                      <w:sz w:val="21"/>
                      <w:szCs w:val="21"/>
                    </w:rPr>
                  </w:pPr>
                  <w:r>
                    <w:rPr>
                      <w:rFonts w:hint="eastAsia" w:ascii="Times New Roman" w:hAnsi="Times New Roman" w:eastAsia="宋体" w:cs="宋体"/>
                      <w:b w:val="0"/>
                      <w:bCs/>
                      <w:color w:val="000000"/>
                      <w:sz w:val="21"/>
                      <w:szCs w:val="21"/>
                    </w:rPr>
                    <w:t>固废名称</w:t>
                  </w:r>
                </w:p>
              </w:tc>
              <w:tc>
                <w:tcPr>
                  <w:tcW w:w="849" w:type="pct"/>
                  <w:noWrap w:val="0"/>
                  <w:vAlign w:val="center"/>
                </w:tcPr>
                <w:p>
                  <w:pPr>
                    <w:adjustRightInd w:val="0"/>
                    <w:spacing w:line="240" w:lineRule="auto"/>
                    <w:jc w:val="center"/>
                    <w:rPr>
                      <w:rFonts w:ascii="Times New Roman" w:hAnsi="Times New Roman" w:eastAsia="宋体" w:cs="宋体"/>
                      <w:b w:val="0"/>
                      <w:bCs/>
                      <w:color w:val="000000"/>
                      <w:sz w:val="21"/>
                      <w:szCs w:val="21"/>
                    </w:rPr>
                  </w:pPr>
                  <w:r>
                    <w:rPr>
                      <w:rFonts w:hint="eastAsia" w:ascii="Times New Roman" w:hAnsi="Times New Roman" w:eastAsia="宋体" w:cs="宋体"/>
                      <w:b w:val="0"/>
                      <w:bCs/>
                      <w:color w:val="000000"/>
                      <w:sz w:val="21"/>
                      <w:szCs w:val="21"/>
                    </w:rPr>
                    <w:t>类别</w:t>
                  </w:r>
                </w:p>
              </w:tc>
              <w:tc>
                <w:tcPr>
                  <w:tcW w:w="684" w:type="pct"/>
                  <w:noWrap w:val="0"/>
                  <w:vAlign w:val="center"/>
                </w:tcPr>
                <w:p>
                  <w:pPr>
                    <w:adjustRightInd w:val="0"/>
                    <w:spacing w:line="240" w:lineRule="auto"/>
                    <w:jc w:val="center"/>
                    <w:rPr>
                      <w:rFonts w:hint="eastAsia" w:ascii="Times New Roman" w:hAnsi="Times New Roman" w:eastAsia="宋体" w:cs="宋体"/>
                      <w:b w:val="0"/>
                      <w:bCs/>
                      <w:color w:val="000000"/>
                      <w:sz w:val="21"/>
                      <w:szCs w:val="21"/>
                    </w:rPr>
                  </w:pPr>
                  <w:r>
                    <w:rPr>
                      <w:rFonts w:hint="eastAsia" w:ascii="Times New Roman" w:hAnsi="Times New Roman" w:eastAsia="宋体" w:cs="宋体"/>
                      <w:b w:val="0"/>
                      <w:bCs/>
                      <w:color w:val="000000"/>
                      <w:sz w:val="21"/>
                      <w:szCs w:val="21"/>
                    </w:rPr>
                    <w:t>产生量（t/a）</w:t>
                  </w:r>
                </w:p>
              </w:tc>
              <w:tc>
                <w:tcPr>
                  <w:tcW w:w="1733" w:type="pct"/>
                  <w:noWrap w:val="0"/>
                  <w:vAlign w:val="center"/>
                </w:tcPr>
                <w:p>
                  <w:pPr>
                    <w:adjustRightInd w:val="0"/>
                    <w:spacing w:line="240" w:lineRule="auto"/>
                    <w:jc w:val="center"/>
                    <w:rPr>
                      <w:rFonts w:ascii="Times New Roman" w:hAnsi="Times New Roman" w:eastAsia="宋体" w:cs="宋体"/>
                      <w:b w:val="0"/>
                      <w:bCs/>
                      <w:color w:val="000000"/>
                      <w:sz w:val="21"/>
                      <w:szCs w:val="21"/>
                    </w:rPr>
                  </w:pPr>
                  <w:r>
                    <w:rPr>
                      <w:rFonts w:hint="eastAsia" w:ascii="Times New Roman" w:hAnsi="Times New Roman" w:eastAsia="宋体" w:cs="宋体"/>
                      <w:b w:val="0"/>
                      <w:bCs/>
                      <w:color w:val="000000"/>
                      <w:sz w:val="21"/>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8" w:type="pct"/>
                  <w:noWrap w:val="0"/>
                  <w:vAlign w:val="center"/>
                </w:tcPr>
                <w:p>
                  <w:pPr>
                    <w:adjustRightInd w:val="0"/>
                    <w:spacing w:line="240" w:lineRule="auto"/>
                    <w:jc w:val="center"/>
                    <w:rPr>
                      <w:rFonts w:hint="eastAsia" w:ascii="Times New Roman" w:hAnsi="Times New Roman" w:eastAsia="宋体" w:cs="宋体"/>
                      <w:b w:val="0"/>
                      <w:bCs/>
                      <w:color w:val="000000"/>
                      <w:kern w:val="2"/>
                      <w:sz w:val="21"/>
                      <w:szCs w:val="21"/>
                      <w:lang w:val="en-US" w:eastAsia="zh-CN" w:bidi="ar-SA"/>
                    </w:rPr>
                  </w:pPr>
                  <w:r>
                    <w:rPr>
                      <w:rFonts w:hint="eastAsia" w:ascii="Times New Roman" w:hAnsi="Times New Roman" w:eastAsia="宋体" w:cs="宋体"/>
                      <w:b w:val="0"/>
                      <w:bCs/>
                      <w:color w:val="000000"/>
                      <w:kern w:val="2"/>
                      <w:sz w:val="21"/>
                      <w:szCs w:val="21"/>
                      <w:lang w:val="en-US" w:eastAsia="zh-CN" w:bidi="ar-SA"/>
                    </w:rPr>
                    <w:t>1</w:t>
                  </w:r>
                </w:p>
              </w:tc>
              <w:tc>
                <w:tcPr>
                  <w:tcW w:w="1374" w:type="pct"/>
                  <w:noWrap w:val="0"/>
                  <w:vAlign w:val="center"/>
                </w:tcPr>
                <w:p>
                  <w:pPr>
                    <w:adjustRightInd w:val="0"/>
                    <w:spacing w:line="240" w:lineRule="auto"/>
                    <w:jc w:val="center"/>
                    <w:rPr>
                      <w:rFonts w:hint="default" w:ascii="Times New Roman" w:hAnsi="Times New Roman" w:eastAsia="宋体" w:cs="宋体"/>
                      <w:b w:val="0"/>
                      <w:bCs/>
                      <w:color w:val="000000"/>
                      <w:sz w:val="21"/>
                      <w:szCs w:val="21"/>
                      <w:lang w:val="en-US" w:eastAsia="zh-CN"/>
                    </w:rPr>
                  </w:pPr>
                  <w:r>
                    <w:rPr>
                      <w:rFonts w:hint="eastAsia" w:ascii="Times New Roman" w:hAnsi="Times New Roman" w:cs="宋体"/>
                      <w:b w:val="0"/>
                      <w:bCs/>
                      <w:color w:val="000000"/>
                      <w:sz w:val="21"/>
                      <w:szCs w:val="21"/>
                      <w:lang w:val="en-US" w:eastAsia="zh-CN"/>
                    </w:rPr>
                    <w:t>除杂废物（废豆子）</w:t>
                  </w:r>
                </w:p>
              </w:tc>
              <w:tc>
                <w:tcPr>
                  <w:tcW w:w="849" w:type="pct"/>
                  <w:noWrap w:val="0"/>
                  <w:vAlign w:val="center"/>
                </w:tcPr>
                <w:p>
                  <w:pPr>
                    <w:adjustRightInd w:val="0"/>
                    <w:spacing w:line="240" w:lineRule="auto"/>
                    <w:jc w:val="center"/>
                    <w:rPr>
                      <w:rFonts w:hint="eastAsia" w:ascii="Times New Roman" w:hAnsi="Times New Roman" w:eastAsia="宋体" w:cs="宋体"/>
                      <w:b w:val="0"/>
                      <w:bCs/>
                      <w:color w:val="000000"/>
                      <w:sz w:val="21"/>
                      <w:szCs w:val="21"/>
                    </w:rPr>
                  </w:pPr>
                  <w:r>
                    <w:rPr>
                      <w:rFonts w:hint="eastAsia" w:ascii="Times New Roman" w:hAnsi="Times New Roman" w:eastAsia="宋体" w:cs="宋体"/>
                      <w:b w:val="0"/>
                      <w:bCs/>
                      <w:color w:val="000000"/>
                      <w:sz w:val="21"/>
                      <w:szCs w:val="21"/>
                    </w:rPr>
                    <w:t>一般固废</w:t>
                  </w:r>
                </w:p>
              </w:tc>
              <w:tc>
                <w:tcPr>
                  <w:tcW w:w="684" w:type="pct"/>
                  <w:noWrap w:val="0"/>
                  <w:vAlign w:val="center"/>
                </w:tcPr>
                <w:p>
                  <w:pPr>
                    <w:adjustRightInd w:val="0"/>
                    <w:spacing w:line="240" w:lineRule="auto"/>
                    <w:jc w:val="center"/>
                    <w:rPr>
                      <w:rFonts w:hint="default" w:ascii="Times New Roman" w:hAnsi="Times New Roman" w:eastAsia="宋体" w:cs="宋体"/>
                      <w:b w:val="0"/>
                      <w:bCs/>
                      <w:color w:val="000000"/>
                      <w:sz w:val="21"/>
                      <w:szCs w:val="21"/>
                      <w:lang w:val="en-US" w:eastAsia="zh-CN"/>
                    </w:rPr>
                  </w:pPr>
                  <w:r>
                    <w:rPr>
                      <w:rFonts w:hint="eastAsia" w:ascii="Times New Roman" w:hAnsi="Times New Roman" w:cs="宋体"/>
                      <w:b w:val="0"/>
                      <w:bCs/>
                      <w:color w:val="000000"/>
                      <w:sz w:val="21"/>
                      <w:szCs w:val="21"/>
                      <w:lang w:val="en-US" w:eastAsia="zh-CN"/>
                    </w:rPr>
                    <w:t>21.02</w:t>
                  </w:r>
                </w:p>
              </w:tc>
              <w:tc>
                <w:tcPr>
                  <w:tcW w:w="1733" w:type="pct"/>
                  <w:vMerge w:val="restart"/>
                  <w:noWrap w:val="0"/>
                  <w:vAlign w:val="center"/>
                </w:tcPr>
                <w:p>
                  <w:pPr>
                    <w:adjustRightInd w:val="0"/>
                    <w:spacing w:line="240" w:lineRule="auto"/>
                    <w:jc w:val="center"/>
                    <w:rPr>
                      <w:rFonts w:hint="eastAsia" w:ascii="Times New Roman" w:hAnsi="Times New Roman" w:eastAsia="宋体" w:cs="宋体"/>
                      <w:b w:val="0"/>
                      <w:bCs/>
                      <w:color w:val="000000"/>
                      <w:sz w:val="21"/>
                      <w:szCs w:val="21"/>
                    </w:rPr>
                  </w:pPr>
                  <w:r>
                    <w:rPr>
                      <w:rFonts w:hint="eastAsia" w:ascii="Times New Roman" w:hAnsi="Times New Roman" w:eastAsia="宋体" w:cs="宋体"/>
                      <w:b w:val="0"/>
                      <w:bCs/>
                      <w:color w:val="000000"/>
                      <w:sz w:val="21"/>
                      <w:szCs w:val="21"/>
                    </w:rPr>
                    <w:t>定期外运给养殖户饲养牲畜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noWrap w:val="0"/>
                  <w:vAlign w:val="center"/>
                </w:tcPr>
                <w:p>
                  <w:pPr>
                    <w:adjustRightInd w:val="0"/>
                    <w:spacing w:line="240" w:lineRule="auto"/>
                    <w:jc w:val="center"/>
                    <w:rPr>
                      <w:rFonts w:hint="default" w:ascii="Times New Roman" w:hAnsi="Times New Roman" w:eastAsia="宋体" w:cs="宋体"/>
                      <w:b w:val="0"/>
                      <w:bCs/>
                      <w:color w:val="000000"/>
                      <w:kern w:val="2"/>
                      <w:sz w:val="21"/>
                      <w:szCs w:val="21"/>
                      <w:lang w:val="en-US" w:eastAsia="zh-CN" w:bidi="ar-SA"/>
                    </w:rPr>
                  </w:pPr>
                  <w:r>
                    <w:rPr>
                      <w:rFonts w:hint="eastAsia" w:ascii="Times New Roman" w:hAnsi="Times New Roman" w:eastAsia="宋体" w:cs="宋体"/>
                      <w:b w:val="0"/>
                      <w:bCs/>
                      <w:color w:val="000000"/>
                      <w:sz w:val="21"/>
                      <w:szCs w:val="21"/>
                    </w:rPr>
                    <w:t>2</w:t>
                  </w:r>
                </w:p>
              </w:tc>
              <w:tc>
                <w:tcPr>
                  <w:tcW w:w="1374" w:type="pct"/>
                  <w:noWrap w:val="0"/>
                  <w:vAlign w:val="center"/>
                </w:tcPr>
                <w:p>
                  <w:pPr>
                    <w:adjustRightInd w:val="0"/>
                    <w:spacing w:line="240" w:lineRule="auto"/>
                    <w:jc w:val="center"/>
                    <w:rPr>
                      <w:rFonts w:hint="default" w:ascii="Times New Roman" w:hAnsi="Times New Roman" w:eastAsia="宋体" w:cs="宋体"/>
                      <w:b w:val="0"/>
                      <w:bCs/>
                      <w:color w:val="000000"/>
                      <w:sz w:val="21"/>
                      <w:szCs w:val="21"/>
                      <w:lang w:val="en-US"/>
                    </w:rPr>
                  </w:pPr>
                  <w:r>
                    <w:rPr>
                      <w:rFonts w:hint="eastAsia" w:ascii="Times New Roman" w:hAnsi="Times New Roman" w:eastAsia="宋体" w:cs="宋体"/>
                      <w:b w:val="0"/>
                      <w:bCs/>
                      <w:color w:val="000000"/>
                      <w:sz w:val="21"/>
                      <w:szCs w:val="21"/>
                      <w:lang w:val="en-US" w:eastAsia="zh-CN"/>
                    </w:rPr>
                    <w:t>脱壳豆皮</w:t>
                  </w:r>
                  <w:r>
                    <w:rPr>
                      <w:rFonts w:hint="eastAsia" w:ascii="Times New Roman" w:hAnsi="Times New Roman" w:cs="宋体"/>
                      <w:b w:val="0"/>
                      <w:bCs/>
                      <w:color w:val="000000"/>
                      <w:sz w:val="21"/>
                      <w:szCs w:val="21"/>
                      <w:lang w:val="en-US" w:eastAsia="zh-CN"/>
                    </w:rPr>
                    <w:t>、碎豆子和豆粉</w:t>
                  </w:r>
                </w:p>
              </w:tc>
              <w:tc>
                <w:tcPr>
                  <w:tcW w:w="849" w:type="pct"/>
                  <w:noWrap w:val="0"/>
                  <w:vAlign w:val="center"/>
                </w:tcPr>
                <w:p>
                  <w:pPr>
                    <w:adjustRightInd w:val="0"/>
                    <w:spacing w:line="240" w:lineRule="auto"/>
                    <w:jc w:val="center"/>
                    <w:rPr>
                      <w:rFonts w:hint="eastAsia" w:ascii="Times New Roman" w:hAnsi="Times New Roman" w:eastAsia="宋体" w:cs="宋体"/>
                      <w:b w:val="0"/>
                      <w:bCs/>
                      <w:color w:val="000000"/>
                      <w:sz w:val="21"/>
                      <w:szCs w:val="21"/>
                    </w:rPr>
                  </w:pPr>
                  <w:r>
                    <w:rPr>
                      <w:rFonts w:hint="eastAsia" w:ascii="Times New Roman" w:hAnsi="Times New Roman" w:eastAsia="宋体" w:cs="宋体"/>
                      <w:b w:val="0"/>
                      <w:bCs/>
                      <w:color w:val="000000"/>
                      <w:sz w:val="21"/>
                      <w:szCs w:val="21"/>
                    </w:rPr>
                    <w:t>一般固废</w:t>
                  </w:r>
                </w:p>
              </w:tc>
              <w:tc>
                <w:tcPr>
                  <w:tcW w:w="684" w:type="pct"/>
                  <w:noWrap w:val="0"/>
                  <w:vAlign w:val="center"/>
                </w:tcPr>
                <w:p>
                  <w:pPr>
                    <w:adjustRightInd w:val="0"/>
                    <w:spacing w:line="240" w:lineRule="auto"/>
                    <w:jc w:val="center"/>
                    <w:rPr>
                      <w:rFonts w:hint="default" w:ascii="Times New Roman" w:hAnsi="Times New Roman" w:eastAsia="宋体" w:cs="宋体"/>
                      <w:b w:val="0"/>
                      <w:bCs/>
                      <w:color w:val="000000"/>
                      <w:sz w:val="21"/>
                      <w:szCs w:val="21"/>
                      <w:lang w:val="en-US" w:eastAsia="zh-CN"/>
                    </w:rPr>
                  </w:pPr>
                  <w:r>
                    <w:rPr>
                      <w:rFonts w:hint="eastAsia" w:ascii="Times New Roman" w:hAnsi="Times New Roman" w:cs="宋体"/>
                      <w:b w:val="0"/>
                      <w:bCs/>
                      <w:color w:val="000000"/>
                      <w:sz w:val="21"/>
                      <w:szCs w:val="21"/>
                      <w:lang w:val="en-US" w:eastAsia="zh-CN"/>
                    </w:rPr>
                    <w:t>201.86</w:t>
                  </w:r>
                </w:p>
              </w:tc>
              <w:tc>
                <w:tcPr>
                  <w:tcW w:w="1733" w:type="pct"/>
                  <w:vMerge w:val="continue"/>
                  <w:noWrap w:val="0"/>
                  <w:vAlign w:val="center"/>
                </w:tcPr>
                <w:p>
                  <w:pPr>
                    <w:adjustRightInd w:val="0"/>
                    <w:spacing w:line="240" w:lineRule="auto"/>
                    <w:jc w:val="center"/>
                    <w:rPr>
                      <w:rFonts w:hint="eastAsia" w:ascii="Times New Roman" w:hAnsi="Times New Roman" w:eastAsia="宋体" w:cs="宋体"/>
                      <w:b w:val="0"/>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noWrap w:val="0"/>
                  <w:vAlign w:val="center"/>
                </w:tcPr>
                <w:p>
                  <w:pPr>
                    <w:adjustRightInd w:val="0"/>
                    <w:spacing w:line="240" w:lineRule="auto"/>
                    <w:jc w:val="center"/>
                    <w:rPr>
                      <w:rFonts w:hint="eastAsia" w:ascii="Times New Roman" w:hAnsi="Times New Roman" w:eastAsia="宋体" w:cs="宋体"/>
                      <w:b w:val="0"/>
                      <w:bCs/>
                      <w:color w:val="000000"/>
                      <w:kern w:val="2"/>
                      <w:sz w:val="21"/>
                      <w:szCs w:val="21"/>
                      <w:lang w:val="en-US" w:eastAsia="zh-CN" w:bidi="ar-SA"/>
                    </w:rPr>
                  </w:pPr>
                  <w:r>
                    <w:rPr>
                      <w:rFonts w:hint="eastAsia" w:ascii="Times New Roman" w:hAnsi="Times New Roman" w:eastAsia="宋体" w:cs="宋体"/>
                      <w:b w:val="0"/>
                      <w:bCs/>
                      <w:color w:val="000000"/>
                      <w:sz w:val="21"/>
                      <w:szCs w:val="21"/>
                    </w:rPr>
                    <w:t>3</w:t>
                  </w:r>
                </w:p>
              </w:tc>
              <w:tc>
                <w:tcPr>
                  <w:tcW w:w="1374" w:type="pct"/>
                  <w:noWrap w:val="0"/>
                  <w:vAlign w:val="center"/>
                </w:tcPr>
                <w:p>
                  <w:pPr>
                    <w:adjustRightInd w:val="0"/>
                    <w:spacing w:line="240" w:lineRule="auto"/>
                    <w:jc w:val="center"/>
                    <w:rPr>
                      <w:rFonts w:hint="eastAsia" w:ascii="Times New Roman" w:hAnsi="Times New Roman" w:eastAsia="宋体" w:cs="宋体"/>
                      <w:b w:val="0"/>
                      <w:bCs/>
                      <w:color w:val="000000"/>
                      <w:sz w:val="21"/>
                      <w:szCs w:val="21"/>
                    </w:rPr>
                  </w:pPr>
                  <w:r>
                    <w:rPr>
                      <w:rFonts w:hint="eastAsia" w:ascii="Times New Roman" w:hAnsi="Times New Roman" w:eastAsia="宋体" w:cs="宋体"/>
                      <w:b w:val="0"/>
                      <w:bCs/>
                      <w:color w:val="000000"/>
                      <w:sz w:val="21"/>
                      <w:szCs w:val="21"/>
                    </w:rPr>
                    <w:t>豆渣</w:t>
                  </w:r>
                </w:p>
              </w:tc>
              <w:tc>
                <w:tcPr>
                  <w:tcW w:w="849" w:type="pct"/>
                  <w:noWrap w:val="0"/>
                  <w:vAlign w:val="center"/>
                </w:tcPr>
                <w:p>
                  <w:pPr>
                    <w:adjustRightInd w:val="0"/>
                    <w:spacing w:line="240" w:lineRule="auto"/>
                    <w:jc w:val="center"/>
                    <w:rPr>
                      <w:rFonts w:hint="eastAsia" w:ascii="Times New Roman" w:hAnsi="Times New Roman" w:eastAsia="宋体" w:cs="宋体"/>
                      <w:b w:val="0"/>
                      <w:bCs/>
                      <w:color w:val="000000"/>
                      <w:sz w:val="21"/>
                      <w:szCs w:val="21"/>
                    </w:rPr>
                  </w:pPr>
                  <w:r>
                    <w:rPr>
                      <w:rFonts w:hint="eastAsia" w:ascii="Times New Roman" w:hAnsi="Times New Roman" w:eastAsia="宋体" w:cs="宋体"/>
                      <w:b w:val="0"/>
                      <w:bCs/>
                      <w:color w:val="000000"/>
                      <w:sz w:val="21"/>
                      <w:szCs w:val="21"/>
                    </w:rPr>
                    <w:t>一般固废</w:t>
                  </w:r>
                </w:p>
              </w:tc>
              <w:tc>
                <w:tcPr>
                  <w:tcW w:w="684" w:type="pct"/>
                  <w:noWrap w:val="0"/>
                  <w:vAlign w:val="center"/>
                </w:tcPr>
                <w:p>
                  <w:pPr>
                    <w:adjustRightInd w:val="0"/>
                    <w:spacing w:line="240" w:lineRule="auto"/>
                    <w:jc w:val="center"/>
                    <w:rPr>
                      <w:rFonts w:hint="default" w:ascii="Times New Roman" w:hAnsi="Times New Roman" w:eastAsia="宋体" w:cs="宋体"/>
                      <w:b w:val="0"/>
                      <w:bCs/>
                      <w:color w:val="000000"/>
                      <w:sz w:val="21"/>
                      <w:szCs w:val="21"/>
                      <w:lang w:val="en-US" w:eastAsia="zh-CN"/>
                    </w:rPr>
                  </w:pPr>
                  <w:r>
                    <w:rPr>
                      <w:rFonts w:hint="eastAsia" w:ascii="Times New Roman" w:hAnsi="Times New Roman" w:cs="宋体"/>
                      <w:b w:val="0"/>
                      <w:bCs/>
                      <w:color w:val="000000"/>
                      <w:sz w:val="21"/>
                      <w:szCs w:val="21"/>
                      <w:lang w:val="en-US" w:eastAsia="zh-CN"/>
                    </w:rPr>
                    <w:t>817.51</w:t>
                  </w:r>
                </w:p>
              </w:tc>
              <w:tc>
                <w:tcPr>
                  <w:tcW w:w="1733" w:type="pct"/>
                  <w:vMerge w:val="continue"/>
                  <w:noWrap w:val="0"/>
                  <w:vAlign w:val="center"/>
                </w:tcPr>
                <w:p>
                  <w:pPr>
                    <w:adjustRightInd w:val="0"/>
                    <w:spacing w:line="240" w:lineRule="auto"/>
                    <w:jc w:val="center"/>
                    <w:rPr>
                      <w:rFonts w:hint="eastAsia" w:ascii="Times New Roman" w:hAnsi="Times New Roman" w:eastAsia="宋体" w:cs="宋体"/>
                      <w:b w:val="0"/>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noWrap w:val="0"/>
                  <w:vAlign w:val="center"/>
                </w:tcPr>
                <w:p>
                  <w:pPr>
                    <w:adjustRightInd w:val="0"/>
                    <w:spacing w:line="240" w:lineRule="auto"/>
                    <w:jc w:val="center"/>
                    <w:rPr>
                      <w:rFonts w:hint="eastAsia" w:ascii="Times New Roman" w:hAnsi="Times New Roman" w:eastAsia="宋体" w:cs="宋体"/>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4</w:t>
                  </w:r>
                </w:p>
              </w:tc>
              <w:tc>
                <w:tcPr>
                  <w:tcW w:w="1374" w:type="pct"/>
                  <w:noWrap w:val="0"/>
                  <w:vAlign w:val="center"/>
                </w:tcPr>
                <w:p>
                  <w:pPr>
                    <w:adjustRightInd w:val="0"/>
                    <w:spacing w:line="240" w:lineRule="auto"/>
                    <w:jc w:val="center"/>
                    <w:rPr>
                      <w:rFonts w:hint="eastAsia" w:ascii="Times New Roman" w:hAnsi="Times New Roman" w:eastAsia="宋体" w:cs="宋体"/>
                      <w:b w:val="0"/>
                      <w:bCs/>
                      <w:color w:val="000000"/>
                      <w:sz w:val="21"/>
                      <w:szCs w:val="21"/>
                      <w:lang w:val="en-US" w:eastAsia="zh-CN"/>
                    </w:rPr>
                  </w:pPr>
                  <w:r>
                    <w:rPr>
                      <w:rFonts w:hint="eastAsia" w:ascii="Times New Roman" w:hAnsi="Times New Roman" w:eastAsia="宋体" w:cs="宋体"/>
                      <w:b w:val="0"/>
                      <w:bCs/>
                      <w:color w:val="000000"/>
                      <w:sz w:val="21"/>
                      <w:szCs w:val="21"/>
                      <w:lang w:val="en-US" w:eastAsia="zh-CN"/>
                    </w:rPr>
                    <w:t>提皮剩余浆液</w:t>
                  </w:r>
                </w:p>
              </w:tc>
              <w:tc>
                <w:tcPr>
                  <w:tcW w:w="849" w:type="pct"/>
                  <w:noWrap w:val="0"/>
                  <w:vAlign w:val="center"/>
                </w:tcPr>
                <w:p>
                  <w:pPr>
                    <w:adjustRightInd w:val="0"/>
                    <w:spacing w:line="240" w:lineRule="auto"/>
                    <w:jc w:val="center"/>
                    <w:rPr>
                      <w:rFonts w:hint="eastAsia" w:ascii="Times New Roman" w:hAnsi="Times New Roman" w:eastAsia="宋体" w:cs="宋体"/>
                      <w:b w:val="0"/>
                      <w:bCs/>
                      <w:color w:val="000000"/>
                      <w:sz w:val="21"/>
                      <w:szCs w:val="21"/>
                    </w:rPr>
                  </w:pPr>
                  <w:r>
                    <w:rPr>
                      <w:rFonts w:hint="eastAsia" w:ascii="Times New Roman" w:hAnsi="Times New Roman" w:eastAsia="宋体" w:cs="宋体"/>
                      <w:b w:val="0"/>
                      <w:bCs/>
                      <w:color w:val="000000"/>
                      <w:sz w:val="21"/>
                      <w:szCs w:val="21"/>
                    </w:rPr>
                    <w:t>一般固废</w:t>
                  </w:r>
                </w:p>
              </w:tc>
              <w:tc>
                <w:tcPr>
                  <w:tcW w:w="684" w:type="pct"/>
                  <w:noWrap w:val="0"/>
                  <w:vAlign w:val="center"/>
                </w:tcPr>
                <w:p>
                  <w:pPr>
                    <w:adjustRightInd w:val="0"/>
                    <w:spacing w:line="240" w:lineRule="auto"/>
                    <w:jc w:val="center"/>
                    <w:rPr>
                      <w:rFonts w:hint="default" w:ascii="Times New Roman" w:hAnsi="Times New Roman" w:eastAsia="宋体" w:cs="宋体"/>
                      <w:b w:val="0"/>
                      <w:bCs/>
                      <w:color w:val="000000"/>
                      <w:sz w:val="21"/>
                      <w:szCs w:val="21"/>
                      <w:lang w:val="en-US" w:eastAsia="zh-CN"/>
                    </w:rPr>
                  </w:pPr>
                  <w:r>
                    <w:rPr>
                      <w:rFonts w:hint="eastAsia" w:ascii="Times New Roman" w:hAnsi="Times New Roman" w:cs="宋体"/>
                      <w:b w:val="0"/>
                      <w:bCs/>
                      <w:color w:val="000000"/>
                      <w:sz w:val="21"/>
                      <w:szCs w:val="21"/>
                      <w:lang w:val="en-US" w:eastAsia="zh-CN"/>
                    </w:rPr>
                    <w:t>960</w:t>
                  </w:r>
                </w:p>
              </w:tc>
              <w:tc>
                <w:tcPr>
                  <w:tcW w:w="1733" w:type="pct"/>
                  <w:vMerge w:val="continue"/>
                  <w:noWrap w:val="0"/>
                  <w:vAlign w:val="center"/>
                </w:tcPr>
                <w:p>
                  <w:pPr>
                    <w:adjustRightInd w:val="0"/>
                    <w:spacing w:line="240" w:lineRule="auto"/>
                    <w:jc w:val="center"/>
                    <w:rPr>
                      <w:rFonts w:hint="eastAsia" w:ascii="Times New Roman" w:hAnsi="Times New Roman" w:eastAsia="宋体" w:cs="宋体"/>
                      <w:b w:val="0"/>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8" w:type="pct"/>
                  <w:noWrap w:val="0"/>
                  <w:vAlign w:val="center"/>
                </w:tcPr>
                <w:p>
                  <w:pPr>
                    <w:adjustRightInd w:val="0"/>
                    <w:spacing w:line="240" w:lineRule="auto"/>
                    <w:jc w:val="center"/>
                    <w:rPr>
                      <w:rFonts w:hint="eastAsia" w:ascii="Times New Roman" w:hAnsi="Times New Roman" w:eastAsia="宋体" w:cs="宋体"/>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5</w:t>
                  </w:r>
                </w:p>
              </w:tc>
              <w:tc>
                <w:tcPr>
                  <w:tcW w:w="1374" w:type="pct"/>
                  <w:noWrap w:val="0"/>
                  <w:vAlign w:val="center"/>
                </w:tcPr>
                <w:p>
                  <w:pPr>
                    <w:adjustRightInd w:val="0"/>
                    <w:spacing w:line="240" w:lineRule="auto"/>
                    <w:jc w:val="center"/>
                    <w:rPr>
                      <w:rFonts w:hint="eastAsia" w:ascii="Times New Roman" w:hAnsi="Times New Roman" w:eastAsia="宋体" w:cs="宋体"/>
                      <w:b w:val="0"/>
                      <w:bCs/>
                      <w:color w:val="000000" w:themeColor="text1"/>
                      <w:sz w:val="21"/>
                      <w:szCs w:val="21"/>
                      <w:lang w:val="en-US" w:eastAsia="zh-CN"/>
                      <w14:textFill>
                        <w14:solidFill>
                          <w14:schemeClr w14:val="tx1"/>
                        </w14:solidFill>
                      </w14:textFill>
                    </w:rPr>
                  </w:pPr>
                  <w:r>
                    <w:rPr>
                      <w:rFonts w:hint="default" w:ascii="Times New Roman" w:hAnsi="Times New Roman" w:eastAsia="宋体" w:cs="宋体"/>
                      <w:b w:val="0"/>
                      <w:bCs/>
                      <w:color w:val="000000" w:themeColor="text1"/>
                      <w:sz w:val="21"/>
                      <w:szCs w:val="21"/>
                      <w:lang w:val="en-US" w:eastAsia="zh-CN"/>
                      <w14:textFill>
                        <w14:solidFill>
                          <w14:schemeClr w14:val="tx1"/>
                        </w14:solidFill>
                      </w14:textFill>
                    </w:rPr>
                    <w:t>废树脂</w:t>
                  </w:r>
                </w:p>
              </w:tc>
              <w:tc>
                <w:tcPr>
                  <w:tcW w:w="849" w:type="pct"/>
                  <w:noWrap w:val="0"/>
                  <w:vAlign w:val="center"/>
                </w:tcPr>
                <w:p>
                  <w:pPr>
                    <w:adjustRightInd w:val="0"/>
                    <w:spacing w:line="240" w:lineRule="auto"/>
                    <w:jc w:val="center"/>
                    <w:rPr>
                      <w:rFonts w:hint="eastAsia" w:ascii="Times New Roman" w:hAnsi="Times New Roman" w:eastAsia="宋体" w:cs="宋体"/>
                      <w:b w:val="0"/>
                      <w:bCs/>
                      <w:color w:val="000000" w:themeColor="text1"/>
                      <w:sz w:val="21"/>
                      <w:szCs w:val="21"/>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一般固废</w:t>
                  </w:r>
                </w:p>
              </w:tc>
              <w:tc>
                <w:tcPr>
                  <w:tcW w:w="684" w:type="pct"/>
                  <w:noWrap w:val="0"/>
                  <w:vAlign w:val="center"/>
                </w:tcPr>
                <w:p>
                  <w:pPr>
                    <w:adjustRightInd w:val="0"/>
                    <w:spacing w:line="240" w:lineRule="auto"/>
                    <w:jc w:val="center"/>
                    <w:rPr>
                      <w:rFonts w:hint="eastAsia" w:ascii="Times New Roman" w:hAnsi="Times New Roman" w:eastAsia="宋体" w:cs="宋体"/>
                      <w:b w:val="0"/>
                      <w:bCs/>
                      <w:color w:val="000000" w:themeColor="text1"/>
                      <w:sz w:val="21"/>
                      <w:szCs w:val="21"/>
                      <w:lang w:eastAsia="zh-CN"/>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1</w:t>
                  </w:r>
                </w:p>
              </w:tc>
              <w:tc>
                <w:tcPr>
                  <w:tcW w:w="1733" w:type="pct"/>
                  <w:noWrap w:val="0"/>
                  <w:vAlign w:val="center"/>
                </w:tcPr>
                <w:p>
                  <w:pPr>
                    <w:adjustRightInd w:val="0"/>
                    <w:spacing w:line="240" w:lineRule="auto"/>
                    <w:jc w:val="center"/>
                    <w:rPr>
                      <w:rFonts w:hint="eastAsia" w:ascii="Times New Roman" w:hAnsi="Times New Roman" w:eastAsia="宋体" w:cs="宋体"/>
                      <w:b w:val="0"/>
                      <w:bCs/>
                      <w:color w:val="000000"/>
                      <w:sz w:val="21"/>
                      <w:szCs w:val="21"/>
                    </w:rPr>
                  </w:pPr>
                  <w:r>
                    <w:rPr>
                      <w:rFonts w:ascii="Times New Roman" w:hAnsi="Times New Roman" w:eastAsia="宋体" w:cs="宋体"/>
                      <w:b w:val="0"/>
                      <w:bCs/>
                      <w:color w:val="000000"/>
                      <w:sz w:val="21"/>
                      <w:szCs w:val="21"/>
                    </w:rPr>
                    <w:t>交供应厂家回收处置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8" w:type="pct"/>
                  <w:noWrap w:val="0"/>
                  <w:vAlign w:val="center"/>
                </w:tcPr>
                <w:p>
                  <w:pPr>
                    <w:adjustRightInd w:val="0"/>
                    <w:spacing w:line="240" w:lineRule="auto"/>
                    <w:jc w:val="center"/>
                    <w:rPr>
                      <w:rFonts w:hint="eastAsia" w:ascii="Times New Roman" w:hAnsi="Times New Roman" w:eastAsia="宋体" w:cs="宋体"/>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6</w:t>
                  </w:r>
                </w:p>
              </w:tc>
              <w:tc>
                <w:tcPr>
                  <w:tcW w:w="1374" w:type="pct"/>
                  <w:noWrap w:val="0"/>
                  <w:vAlign w:val="center"/>
                </w:tcPr>
                <w:p>
                  <w:pPr>
                    <w:adjustRightInd w:val="0"/>
                    <w:spacing w:line="240" w:lineRule="auto"/>
                    <w:jc w:val="center"/>
                    <w:rPr>
                      <w:rFonts w:hint="eastAsia" w:ascii="Times New Roman" w:hAnsi="Times New Roman" w:eastAsia="宋体" w:cs="宋体"/>
                      <w:b w:val="0"/>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color w:val="000000" w:themeColor="text1"/>
                      <w:sz w:val="21"/>
                      <w:szCs w:val="21"/>
                      <w:lang w:val="en-US" w:eastAsia="zh-CN"/>
                      <w14:textFill>
                        <w14:solidFill>
                          <w14:schemeClr w14:val="tx1"/>
                        </w14:solidFill>
                      </w14:textFill>
                    </w:rPr>
                    <w:t>脱硫石膏</w:t>
                  </w:r>
                </w:p>
              </w:tc>
              <w:tc>
                <w:tcPr>
                  <w:tcW w:w="849" w:type="pct"/>
                  <w:noWrap w:val="0"/>
                  <w:vAlign w:val="center"/>
                </w:tcPr>
                <w:p>
                  <w:pPr>
                    <w:adjustRightInd w:val="0"/>
                    <w:spacing w:line="240" w:lineRule="auto"/>
                    <w:jc w:val="center"/>
                    <w:rPr>
                      <w:rFonts w:hint="eastAsia" w:ascii="Times New Roman" w:hAnsi="Times New Roman" w:eastAsia="宋体" w:cs="宋体"/>
                      <w:b w:val="0"/>
                      <w:bCs/>
                      <w:color w:val="000000" w:themeColor="text1"/>
                      <w:sz w:val="21"/>
                      <w:szCs w:val="21"/>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一般固废</w:t>
                  </w:r>
                </w:p>
              </w:tc>
              <w:tc>
                <w:tcPr>
                  <w:tcW w:w="684" w:type="pct"/>
                  <w:noWrap w:val="0"/>
                  <w:vAlign w:val="center"/>
                </w:tcPr>
                <w:p>
                  <w:pPr>
                    <w:adjustRightInd w:val="0"/>
                    <w:spacing w:line="240" w:lineRule="auto"/>
                    <w:jc w:val="center"/>
                    <w:rPr>
                      <w:rFonts w:hint="eastAsia" w:ascii="Times New Roman" w:hAnsi="Times New Roman" w:eastAsia="宋体" w:cs="宋体"/>
                      <w:b w:val="0"/>
                      <w:bCs/>
                      <w:color w:val="000000" w:themeColor="text1"/>
                      <w:sz w:val="21"/>
                      <w:szCs w:val="21"/>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0.5</w:t>
                  </w:r>
                </w:p>
              </w:tc>
              <w:tc>
                <w:tcPr>
                  <w:tcW w:w="1733" w:type="pct"/>
                  <w:noWrap w:val="0"/>
                  <w:vAlign w:val="center"/>
                </w:tcPr>
                <w:p>
                  <w:pPr>
                    <w:adjustRightInd w:val="0"/>
                    <w:spacing w:line="240" w:lineRule="auto"/>
                    <w:jc w:val="center"/>
                    <w:rPr>
                      <w:rFonts w:ascii="Times New Roman" w:hAnsi="Times New Roman" w:eastAsia="宋体" w:cs="宋体"/>
                      <w:b w:val="0"/>
                      <w:bCs/>
                      <w:color w:val="000000"/>
                      <w:sz w:val="21"/>
                      <w:szCs w:val="21"/>
                    </w:rPr>
                  </w:pPr>
                  <w:r>
                    <w:rPr>
                      <w:rFonts w:hint="eastAsia" w:ascii="Times New Roman" w:hAnsi="Times New Roman" w:eastAsia="宋体" w:cs="宋体"/>
                      <w:b w:val="0"/>
                      <w:bCs/>
                      <w:color w:val="000000"/>
                      <w:sz w:val="21"/>
                      <w:szCs w:val="21"/>
                    </w:rPr>
                    <w:t>外运制砖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noWrap w:val="0"/>
                  <w:vAlign w:val="center"/>
                </w:tcPr>
                <w:p>
                  <w:pPr>
                    <w:adjustRightInd w:val="0"/>
                    <w:spacing w:line="240" w:lineRule="auto"/>
                    <w:jc w:val="center"/>
                    <w:rPr>
                      <w:rFonts w:hint="eastAsia" w:ascii="Times New Roman" w:hAnsi="Times New Roman" w:eastAsia="宋体" w:cs="宋体"/>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7</w:t>
                  </w:r>
                </w:p>
              </w:tc>
              <w:tc>
                <w:tcPr>
                  <w:tcW w:w="1374" w:type="pct"/>
                  <w:noWrap w:val="0"/>
                  <w:vAlign w:val="center"/>
                </w:tcPr>
                <w:p>
                  <w:pPr>
                    <w:adjustRightInd w:val="0"/>
                    <w:spacing w:line="240" w:lineRule="auto"/>
                    <w:jc w:val="center"/>
                    <w:rPr>
                      <w:rFonts w:hint="eastAsia" w:ascii="Times New Roman" w:hAnsi="Times New Roman" w:eastAsia="宋体" w:cs="宋体"/>
                      <w:b w:val="0"/>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color w:val="000000" w:themeColor="text1"/>
                      <w:sz w:val="21"/>
                      <w:szCs w:val="21"/>
                      <w:lang w:val="en-US" w:eastAsia="zh-CN"/>
                      <w14:textFill>
                        <w14:solidFill>
                          <w14:schemeClr w14:val="tx1"/>
                        </w14:solidFill>
                      </w14:textFill>
                    </w:rPr>
                    <w:t>生活垃圾</w:t>
                  </w:r>
                </w:p>
              </w:tc>
              <w:tc>
                <w:tcPr>
                  <w:tcW w:w="849" w:type="pct"/>
                  <w:noWrap w:val="0"/>
                  <w:vAlign w:val="center"/>
                </w:tcPr>
                <w:p>
                  <w:pPr>
                    <w:adjustRightInd w:val="0"/>
                    <w:spacing w:line="240" w:lineRule="auto"/>
                    <w:jc w:val="center"/>
                    <w:rPr>
                      <w:rFonts w:ascii="Times New Roman" w:hAnsi="Times New Roman" w:eastAsia="宋体" w:cs="宋体"/>
                      <w:b w:val="0"/>
                      <w:bCs/>
                      <w:color w:val="000000" w:themeColor="text1"/>
                      <w:sz w:val="21"/>
                      <w:szCs w:val="21"/>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一般固废</w:t>
                  </w:r>
                </w:p>
              </w:tc>
              <w:tc>
                <w:tcPr>
                  <w:tcW w:w="684" w:type="pct"/>
                  <w:noWrap w:val="0"/>
                  <w:vAlign w:val="center"/>
                </w:tcPr>
                <w:p>
                  <w:pPr>
                    <w:adjustRightInd w:val="0"/>
                    <w:spacing w:line="240" w:lineRule="auto"/>
                    <w:jc w:val="center"/>
                    <w:rPr>
                      <w:rFonts w:hint="eastAsia" w:ascii="Times New Roman" w:hAnsi="Times New Roman" w:eastAsia="宋体" w:cs="宋体"/>
                      <w:b w:val="0"/>
                      <w:bCs/>
                      <w:color w:val="000000" w:themeColor="text1"/>
                      <w:sz w:val="21"/>
                      <w:szCs w:val="21"/>
                      <w:lang w:eastAsia="zh-CN"/>
                      <w14:textFill>
                        <w14:solidFill>
                          <w14:schemeClr w14:val="tx1"/>
                        </w14:solidFill>
                      </w14:textFill>
                    </w:rPr>
                  </w:pPr>
                  <w:r>
                    <w:rPr>
                      <w:rFonts w:hint="eastAsia" w:ascii="Times New Roman" w:hAnsi="Times New Roman" w:eastAsia="宋体" w:cs="宋体"/>
                      <w:b w:val="0"/>
                      <w:bCs/>
                      <w:color w:val="000000" w:themeColor="text1"/>
                      <w:sz w:val="21"/>
                      <w:szCs w:val="21"/>
                      <w:lang w:val="en-US" w:eastAsia="zh-CN"/>
                      <w14:textFill>
                        <w14:solidFill>
                          <w14:schemeClr w14:val="tx1"/>
                        </w14:solidFill>
                      </w14:textFill>
                    </w:rPr>
                    <w:t>4.5</w:t>
                  </w:r>
                </w:p>
              </w:tc>
              <w:tc>
                <w:tcPr>
                  <w:tcW w:w="1733" w:type="pct"/>
                  <w:vMerge w:val="restart"/>
                  <w:noWrap w:val="0"/>
                  <w:vAlign w:val="center"/>
                </w:tcPr>
                <w:p>
                  <w:pPr>
                    <w:adjustRightInd w:val="0"/>
                    <w:spacing w:line="240" w:lineRule="auto"/>
                    <w:jc w:val="center"/>
                    <w:rPr>
                      <w:rFonts w:hint="eastAsia" w:ascii="Times New Roman" w:hAnsi="Times New Roman" w:eastAsia="宋体" w:cs="宋体"/>
                      <w:b w:val="0"/>
                      <w:bCs/>
                      <w:color w:val="000000"/>
                      <w:sz w:val="21"/>
                      <w:szCs w:val="21"/>
                      <w:lang w:val="en-US" w:eastAsia="zh-CN"/>
                    </w:rPr>
                  </w:pPr>
                  <w:r>
                    <w:rPr>
                      <w:rFonts w:hint="eastAsia" w:ascii="Times New Roman" w:hAnsi="Times New Roman" w:eastAsia="宋体" w:cs="宋体"/>
                      <w:b w:val="0"/>
                      <w:bCs/>
                      <w:color w:val="000000"/>
                      <w:sz w:val="21"/>
                      <w:szCs w:val="21"/>
                    </w:rPr>
                    <w:t>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noWrap w:val="0"/>
                  <w:vAlign w:val="center"/>
                </w:tcPr>
                <w:p>
                  <w:pPr>
                    <w:adjustRightInd w:val="0"/>
                    <w:spacing w:line="240" w:lineRule="auto"/>
                    <w:jc w:val="center"/>
                    <w:rPr>
                      <w:rFonts w:hint="eastAsia" w:ascii="Times New Roman" w:hAnsi="Times New Roman" w:eastAsia="宋体" w:cs="宋体"/>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8</w:t>
                  </w:r>
                </w:p>
              </w:tc>
              <w:tc>
                <w:tcPr>
                  <w:tcW w:w="1374" w:type="pct"/>
                  <w:noWrap w:val="0"/>
                  <w:vAlign w:val="center"/>
                </w:tcPr>
                <w:p>
                  <w:pPr>
                    <w:adjustRightInd w:val="0"/>
                    <w:spacing w:line="240" w:lineRule="auto"/>
                    <w:jc w:val="center"/>
                    <w:rPr>
                      <w:rFonts w:hint="eastAsia" w:ascii="Times New Roman" w:hAnsi="Times New Roman" w:eastAsia="宋体" w:cs="宋体"/>
                      <w:b w:val="0"/>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val="0"/>
                      <w:bCs/>
                      <w:color w:val="000000" w:themeColor="text1"/>
                      <w:sz w:val="21"/>
                      <w:szCs w:val="21"/>
                      <w:lang w:val="en-US" w:eastAsia="zh-CN"/>
                      <w14:textFill>
                        <w14:solidFill>
                          <w14:schemeClr w14:val="tx1"/>
                        </w14:solidFill>
                      </w14:textFill>
                    </w:rPr>
                    <w:t>除杂杂物</w:t>
                  </w:r>
                </w:p>
              </w:tc>
              <w:tc>
                <w:tcPr>
                  <w:tcW w:w="849" w:type="pct"/>
                  <w:noWrap w:val="0"/>
                  <w:vAlign w:val="center"/>
                </w:tcPr>
                <w:p>
                  <w:pPr>
                    <w:adjustRightInd w:val="0"/>
                    <w:spacing w:line="240" w:lineRule="auto"/>
                    <w:jc w:val="center"/>
                    <w:rPr>
                      <w:rFonts w:hint="eastAsia" w:ascii="Times New Roman" w:hAnsi="Times New Roman" w:eastAsia="宋体" w:cs="宋体"/>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一般固废</w:t>
                  </w:r>
                </w:p>
              </w:tc>
              <w:tc>
                <w:tcPr>
                  <w:tcW w:w="684" w:type="pct"/>
                  <w:noWrap w:val="0"/>
                  <w:vAlign w:val="center"/>
                </w:tcPr>
                <w:p>
                  <w:pPr>
                    <w:adjustRightInd w:val="0"/>
                    <w:spacing w:line="240" w:lineRule="auto"/>
                    <w:jc w:val="center"/>
                    <w:rPr>
                      <w:rFonts w:hint="default" w:ascii="Times New Roman" w:hAnsi="Times New Roman" w:eastAsia="宋体" w:cs="宋体"/>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4</w:t>
                  </w:r>
                </w:p>
              </w:tc>
              <w:tc>
                <w:tcPr>
                  <w:tcW w:w="1733" w:type="pct"/>
                  <w:vMerge w:val="continue"/>
                  <w:noWrap w:val="0"/>
                  <w:vAlign w:val="center"/>
                </w:tcPr>
                <w:p>
                  <w:pPr>
                    <w:adjustRightInd w:val="0"/>
                    <w:spacing w:line="240" w:lineRule="auto"/>
                    <w:jc w:val="center"/>
                    <w:rPr>
                      <w:rFonts w:hint="eastAsia" w:ascii="Times New Roman" w:hAnsi="Times New Roman" w:eastAsia="宋体" w:cs="宋体"/>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noWrap w:val="0"/>
                  <w:vAlign w:val="center"/>
                </w:tcPr>
                <w:p>
                  <w:pPr>
                    <w:adjustRightInd w:val="0"/>
                    <w:spacing w:line="240" w:lineRule="auto"/>
                    <w:jc w:val="center"/>
                    <w:rPr>
                      <w:rFonts w:hint="eastAsia" w:ascii="Times New Roman" w:hAnsi="Times New Roman" w:eastAsia="宋体" w:cs="宋体"/>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9</w:t>
                  </w:r>
                </w:p>
              </w:tc>
              <w:tc>
                <w:tcPr>
                  <w:tcW w:w="1374" w:type="pct"/>
                  <w:noWrap w:val="0"/>
                  <w:vAlign w:val="center"/>
                </w:tcPr>
                <w:p>
                  <w:pPr>
                    <w:adjustRightInd w:val="0"/>
                    <w:spacing w:line="240" w:lineRule="auto"/>
                    <w:jc w:val="center"/>
                    <w:rPr>
                      <w:rFonts w:hint="eastAsia" w:ascii="Times New Roman" w:hAnsi="Times New Roman" w:eastAsia="宋体" w:cs="宋体"/>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color w:val="000000" w:themeColor="text1"/>
                      <w:sz w:val="21"/>
                      <w:szCs w:val="21"/>
                      <w:lang w:val="en-US" w:eastAsia="zh-CN"/>
                      <w14:textFill>
                        <w14:solidFill>
                          <w14:schemeClr w14:val="tx1"/>
                        </w14:solidFill>
                      </w14:textFill>
                    </w:rPr>
                    <w:t>废包装材料</w:t>
                  </w:r>
                </w:p>
              </w:tc>
              <w:tc>
                <w:tcPr>
                  <w:tcW w:w="849" w:type="pct"/>
                  <w:noWrap w:val="0"/>
                  <w:vAlign w:val="center"/>
                </w:tcPr>
                <w:p>
                  <w:pPr>
                    <w:adjustRightInd w:val="0"/>
                    <w:spacing w:line="240" w:lineRule="auto"/>
                    <w:jc w:val="center"/>
                    <w:rPr>
                      <w:rFonts w:hint="eastAsia" w:ascii="Times New Roman" w:hAnsi="Times New Roman" w:eastAsia="宋体" w:cs="宋体"/>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一般固废</w:t>
                  </w:r>
                </w:p>
              </w:tc>
              <w:tc>
                <w:tcPr>
                  <w:tcW w:w="684" w:type="pct"/>
                  <w:noWrap w:val="0"/>
                  <w:vAlign w:val="center"/>
                </w:tcPr>
                <w:p>
                  <w:pPr>
                    <w:adjustRightInd w:val="0"/>
                    <w:spacing w:line="240" w:lineRule="auto"/>
                    <w:jc w:val="center"/>
                    <w:rPr>
                      <w:rFonts w:hint="eastAsia" w:ascii="Times New Roman" w:hAnsi="Times New Roman" w:eastAsia="宋体" w:cs="宋体"/>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0.2</w:t>
                  </w:r>
                </w:p>
              </w:tc>
              <w:tc>
                <w:tcPr>
                  <w:tcW w:w="1733" w:type="pct"/>
                  <w:vMerge w:val="continue"/>
                  <w:noWrap w:val="0"/>
                  <w:vAlign w:val="center"/>
                </w:tcPr>
                <w:p>
                  <w:pPr>
                    <w:adjustRightInd w:val="0"/>
                    <w:spacing w:line="240" w:lineRule="auto"/>
                    <w:jc w:val="center"/>
                    <w:rPr>
                      <w:rFonts w:hint="eastAsia" w:ascii="Times New Roman" w:hAnsi="Times New Roman" w:eastAsia="宋体" w:cs="宋体"/>
                      <w:b w:val="0"/>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noWrap w:val="0"/>
                  <w:vAlign w:val="center"/>
                </w:tcPr>
                <w:p>
                  <w:pPr>
                    <w:adjustRightInd w:val="0"/>
                    <w:spacing w:line="240" w:lineRule="auto"/>
                    <w:jc w:val="center"/>
                    <w:rPr>
                      <w:rFonts w:hint="default" w:ascii="Times New Roman" w:hAnsi="Times New Roman" w:eastAsia="宋体" w:cs="宋体"/>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color w:val="000000" w:themeColor="text1"/>
                      <w:kern w:val="2"/>
                      <w:sz w:val="21"/>
                      <w:szCs w:val="21"/>
                      <w:lang w:val="en-US" w:eastAsia="zh-CN" w:bidi="ar-SA"/>
                      <w14:textFill>
                        <w14:solidFill>
                          <w14:schemeClr w14:val="tx1"/>
                        </w14:solidFill>
                      </w14:textFill>
                    </w:rPr>
                    <w:t>10</w:t>
                  </w:r>
                </w:p>
              </w:tc>
              <w:tc>
                <w:tcPr>
                  <w:tcW w:w="1374" w:type="pct"/>
                  <w:noWrap w:val="0"/>
                  <w:vAlign w:val="center"/>
                </w:tcPr>
                <w:p>
                  <w:pPr>
                    <w:adjustRightInd w:val="0"/>
                    <w:spacing w:line="240" w:lineRule="auto"/>
                    <w:jc w:val="center"/>
                    <w:rPr>
                      <w:rFonts w:hint="eastAsia" w:ascii="Times New Roman" w:hAnsi="Times New Roman" w:eastAsia="宋体" w:cs="宋体"/>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color w:val="000000" w:themeColor="text1"/>
                      <w:sz w:val="21"/>
                      <w:szCs w:val="21"/>
                      <w:lang w:val="en-US" w:eastAsia="zh-CN"/>
                      <w14:textFill>
                        <w14:solidFill>
                          <w14:schemeClr w14:val="tx1"/>
                        </w14:solidFill>
                      </w14:textFill>
                    </w:rPr>
                    <w:t>污水处理站污泥</w:t>
                  </w:r>
                </w:p>
              </w:tc>
              <w:tc>
                <w:tcPr>
                  <w:tcW w:w="849" w:type="pct"/>
                  <w:noWrap w:val="0"/>
                  <w:vAlign w:val="center"/>
                </w:tcPr>
                <w:p>
                  <w:pPr>
                    <w:adjustRightInd w:val="0"/>
                    <w:spacing w:line="240" w:lineRule="auto"/>
                    <w:jc w:val="center"/>
                    <w:rPr>
                      <w:rFonts w:hint="eastAsia" w:ascii="Times New Roman" w:hAnsi="Times New Roman" w:eastAsia="宋体" w:cs="宋体"/>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 w:val="0"/>
                      <w:bCs/>
                      <w:color w:val="000000" w:themeColor="text1"/>
                      <w:sz w:val="21"/>
                      <w:szCs w:val="21"/>
                      <w14:textFill>
                        <w14:solidFill>
                          <w14:schemeClr w14:val="tx1"/>
                        </w14:solidFill>
                      </w14:textFill>
                    </w:rPr>
                    <w:t>一般固废</w:t>
                  </w:r>
                </w:p>
              </w:tc>
              <w:tc>
                <w:tcPr>
                  <w:tcW w:w="684" w:type="pct"/>
                  <w:noWrap w:val="0"/>
                  <w:vAlign w:val="center"/>
                </w:tcPr>
                <w:p>
                  <w:pPr>
                    <w:adjustRightInd w:val="0"/>
                    <w:spacing w:line="240" w:lineRule="auto"/>
                    <w:jc w:val="center"/>
                    <w:rPr>
                      <w:rFonts w:hint="default" w:ascii="Times New Roman" w:hAnsi="Times New Roman" w:eastAsia="宋体" w:cs="宋体"/>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宋体"/>
                      <w:b w:val="0"/>
                      <w:bCs/>
                      <w:color w:val="000000" w:themeColor="text1"/>
                      <w:sz w:val="21"/>
                      <w:szCs w:val="21"/>
                      <w:lang w:val="en-US" w:eastAsia="zh-CN"/>
                      <w14:textFill>
                        <w14:solidFill>
                          <w14:schemeClr w14:val="tx1"/>
                        </w14:solidFill>
                      </w14:textFill>
                    </w:rPr>
                    <w:t>7.86</w:t>
                  </w:r>
                </w:p>
              </w:tc>
              <w:tc>
                <w:tcPr>
                  <w:tcW w:w="1733" w:type="pct"/>
                  <w:vMerge w:val="continue"/>
                  <w:noWrap w:val="0"/>
                  <w:vAlign w:val="center"/>
                </w:tcPr>
                <w:p>
                  <w:pPr>
                    <w:adjustRightInd w:val="0"/>
                    <w:spacing w:line="240" w:lineRule="auto"/>
                    <w:jc w:val="center"/>
                    <w:rPr>
                      <w:rFonts w:hint="eastAsia" w:ascii="Times New Roman" w:hAnsi="Times New Roman" w:eastAsia="宋体" w:cs="宋体"/>
                      <w:b w:val="0"/>
                      <w:bCs/>
                      <w:color w:val="000000"/>
                      <w:sz w:val="21"/>
                      <w:szCs w:val="21"/>
                      <w:lang w:val="en-US" w:eastAsia="zh-CN"/>
                    </w:rPr>
                  </w:pPr>
                </w:p>
              </w:tc>
            </w:tr>
          </w:tbl>
          <w:p>
            <w:pPr>
              <w:adjustRightInd w:val="0"/>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（2）一般固废处置措施要求</w:t>
            </w:r>
          </w:p>
          <w:p>
            <w:pPr>
              <w:adjustRightInd w:val="0"/>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本项目固废为一般固体废物，建设单位应按照《一般工业固体废物贮存、处置场污染控制标准》（GB18599-2001）及其2013年修改单的相关要求建立固体废物临时堆放场地，该场所应防雨、防风、防渗漏，不得随处堆放，不得混入生活垃圾，固废临时贮存场应满足如下要求：</w:t>
            </w:r>
          </w:p>
          <w:p>
            <w:pPr>
              <w:adjustRightInd w:val="0"/>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①地面应采取硬化措施并满足承载力要求，必要时采取相应措施防止地基下沉。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②要求设置必要的防风、防雨、防晒措施，堆放场周边应设置导流渠。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③按《环境保护图形标识—固体废物贮存（处置）场》（GB15562.2）要求设置环境保护图形标志。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营运期各种固废都能得到妥善处置，不会产生二次污染。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（3）生活垃圾处置措施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项目生活垃圾集中收集（如放置于垃圾桶）后由环卫部门统一清运。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综上所述，本项目固体废物处理处置符合国家《固体废物污染环境防治法》规定的原则，符合《一般工业固体废物贮存、处置场污染控制标准》（GB18599-2001）及其2013年修改单，采取上述措施后，本工程固体废物可得到妥善的处理，对周围环境造成的影响很小。</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eastAsia="宋体" w:cs="Times New Roman"/>
                <w:b/>
                <w:bCs/>
                <w:color w:val="000000"/>
                <w:kern w:val="2"/>
                <w:sz w:val="24"/>
                <w:szCs w:val="22"/>
                <w:u w:val="none"/>
                <w:lang w:val="en-US" w:eastAsia="zh-CN" w:bidi="ar-SA"/>
              </w:rPr>
            </w:pPr>
            <w:r>
              <w:rPr>
                <w:rFonts w:hint="eastAsia" w:ascii="Times New Roman" w:hAnsi="Times New Roman" w:eastAsia="宋体" w:cs="Times New Roman"/>
                <w:b/>
                <w:bCs/>
                <w:color w:val="000000"/>
                <w:kern w:val="2"/>
                <w:sz w:val="24"/>
                <w:szCs w:val="22"/>
                <w:u w:val="none"/>
                <w:lang w:val="en-US" w:eastAsia="zh-CN" w:bidi="ar-SA"/>
              </w:rPr>
              <w:t>1.5</w:t>
            </w:r>
            <w:r>
              <w:rPr>
                <w:rFonts w:hint="default" w:ascii="Times New Roman" w:hAnsi="Times New Roman" w:eastAsia="宋体" w:cs="Times New Roman"/>
                <w:b/>
                <w:bCs/>
                <w:color w:val="000000"/>
                <w:kern w:val="2"/>
                <w:sz w:val="24"/>
                <w:szCs w:val="22"/>
                <w:u w:val="none"/>
                <w:lang w:val="en-US" w:eastAsia="zh-CN" w:bidi="ar-SA"/>
              </w:rPr>
              <w:t>地下水环境影响分析</w:t>
            </w:r>
          </w:p>
          <w:p>
            <w:pPr>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sz w:val="24"/>
                <w:szCs w:val="22"/>
              </w:rPr>
            </w:pPr>
            <w:r>
              <w:rPr>
                <w:rFonts w:hint="eastAsia" w:ascii="Times New Roman" w:hAnsi="Times New Roman" w:eastAsia="宋体" w:cs="Times New Roman"/>
                <w:color w:val="000000"/>
                <w:sz w:val="24"/>
                <w:szCs w:val="22"/>
              </w:rPr>
              <w:t>依据《环境影响评价技术导则 地下水环境》（HJ610-2016）的规定，评价工作等级的划分应依据建设项目行业分类和地下水环境敏感程度分级进行判定，划分为一、二、三级。</w:t>
            </w:r>
          </w:p>
          <w:p>
            <w:pPr>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sz w:val="24"/>
                <w:szCs w:val="22"/>
              </w:rPr>
            </w:pPr>
            <w:r>
              <w:rPr>
                <w:rFonts w:hint="eastAsia" w:ascii="Times New Roman" w:hAnsi="Times New Roman" w:eastAsia="宋体" w:cs="Times New Roman"/>
                <w:color w:val="000000"/>
                <w:sz w:val="24"/>
                <w:szCs w:val="22"/>
              </w:rPr>
              <w:t>根据建设项目对地下水环境影响的程度，结合《建设项目环境影响评价分类管理名录》将建设项目分为四类，详见 HJ610-2016 的附录A。Ⅰ、Ⅱ、Ⅲ类建设项目的地下水进行环境影响评价，Ⅳ类项目不开展地下水环境影响评价。根据附录A确定建设项目所属的地下水环境影响评价项目类别。项目属于“二 农副食品加工业 9 豆制品制造 除手工制作和单纯分装外的”，地下水环境影响评价项目类别属于“报告表的Ⅳ类”，不开展地下水环境影响评价。</w:t>
            </w:r>
          </w:p>
          <w:p>
            <w:pPr>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sz w:val="24"/>
                <w:szCs w:val="22"/>
              </w:rPr>
            </w:pPr>
            <w:r>
              <w:rPr>
                <w:rFonts w:hint="eastAsia" w:ascii="Times New Roman" w:hAnsi="Times New Roman" w:eastAsia="宋体" w:cs="Times New Roman"/>
                <w:color w:val="000000"/>
                <w:sz w:val="24"/>
                <w:szCs w:val="22"/>
              </w:rPr>
              <w:t>本项目对地下水产生影响的可能环节是污水处理站，在做好防雨、防渗工作前提下，对地下水影响很小。</w:t>
            </w:r>
          </w:p>
          <w:p>
            <w:pPr>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sz w:val="24"/>
                <w:szCs w:val="22"/>
              </w:rPr>
            </w:pPr>
            <w:r>
              <w:rPr>
                <w:rFonts w:hint="eastAsia" w:ascii="Times New Roman" w:hAnsi="Times New Roman" w:eastAsia="宋体" w:cs="Times New Roman"/>
                <w:color w:val="000000"/>
                <w:sz w:val="24"/>
                <w:szCs w:val="22"/>
              </w:rPr>
              <w:t>项目污水处理站区域为重点防渗区。项目区采用的具体防渗措施见表</w:t>
            </w:r>
            <w:r>
              <w:rPr>
                <w:rFonts w:hint="eastAsia" w:ascii="Times New Roman" w:hAnsi="Times New Roman" w:cs="Times New Roman"/>
                <w:color w:val="000000"/>
                <w:sz w:val="24"/>
                <w:szCs w:val="22"/>
                <w:lang w:val="en-US" w:eastAsia="zh-CN"/>
              </w:rPr>
              <w:t>4</w:t>
            </w:r>
            <w:r>
              <w:rPr>
                <w:rFonts w:hint="eastAsia" w:ascii="Times New Roman" w:hAnsi="Times New Roman" w:eastAsia="宋体" w:cs="Times New Roman"/>
                <w:color w:val="000000"/>
                <w:sz w:val="24"/>
                <w:szCs w:val="22"/>
              </w:rPr>
              <w:t>-</w:t>
            </w:r>
            <w:r>
              <w:rPr>
                <w:rFonts w:hint="eastAsia" w:ascii="Times New Roman" w:hAnsi="Times New Roman" w:cs="Times New Roman"/>
                <w:color w:val="000000"/>
                <w:sz w:val="24"/>
                <w:szCs w:val="22"/>
                <w:lang w:val="en-US" w:eastAsia="zh-CN"/>
              </w:rPr>
              <w:t>21</w:t>
            </w:r>
            <w:r>
              <w:rPr>
                <w:rFonts w:hint="eastAsia" w:ascii="Times New Roman" w:hAnsi="Times New Roman" w:eastAsia="宋体" w:cs="Times New Roman"/>
                <w:color w:val="000000"/>
                <w:sz w:val="24"/>
                <w:szCs w:val="22"/>
              </w:rPr>
              <w:t>。</w:t>
            </w:r>
          </w:p>
          <w:p>
            <w:pPr>
              <w:pStyle w:val="44"/>
              <w:spacing w:line="240" w:lineRule="auto"/>
              <w:jc w:val="center"/>
              <w:rPr>
                <w:rFonts w:hint="eastAsia" w:hAnsi="Times New Roman" w:eastAsia="宋体"/>
                <w:b/>
                <w:bCs/>
                <w:sz w:val="21"/>
                <w:szCs w:val="21"/>
              </w:rPr>
            </w:pPr>
            <w:r>
              <w:rPr>
                <w:rFonts w:hint="eastAsia" w:hAnsi="Times New Roman" w:eastAsia="宋体"/>
                <w:b/>
                <w:bCs/>
                <w:sz w:val="21"/>
                <w:szCs w:val="21"/>
              </w:rPr>
              <w:t>表</w:t>
            </w:r>
            <w:r>
              <w:rPr>
                <w:rFonts w:hint="eastAsia" w:ascii="Times New Roman" w:cs="Times New Roman"/>
                <w:b/>
                <w:bCs/>
                <w:sz w:val="21"/>
                <w:szCs w:val="21"/>
                <w:lang w:val="en-US" w:eastAsia="zh-CN"/>
              </w:rPr>
              <w:t>4</w:t>
            </w:r>
            <w:r>
              <w:rPr>
                <w:rFonts w:ascii="Times New Roman" w:hAnsi="Times New Roman" w:eastAsia="宋体" w:cs="Times New Roman"/>
                <w:b/>
                <w:bCs/>
                <w:sz w:val="21"/>
                <w:szCs w:val="21"/>
              </w:rPr>
              <w:t>-</w:t>
            </w:r>
            <w:r>
              <w:rPr>
                <w:rFonts w:hint="eastAsia" w:ascii="Times New Roman" w:cs="Times New Roman"/>
                <w:b/>
                <w:bCs/>
                <w:sz w:val="21"/>
                <w:szCs w:val="21"/>
                <w:lang w:val="en-US" w:eastAsia="zh-CN"/>
              </w:rPr>
              <w:t>21</w:t>
            </w:r>
            <w:r>
              <w:rPr>
                <w:rFonts w:hint="eastAsia" w:hAnsi="Times New Roman" w:eastAsia="宋体"/>
                <w:b/>
                <w:bCs/>
                <w:sz w:val="21"/>
                <w:szCs w:val="21"/>
              </w:rPr>
              <w:t xml:space="preserve">  目厂区采取的防渗措施</w:t>
            </w:r>
          </w:p>
          <w:tbl>
            <w:tblPr>
              <w:tblStyle w:val="20"/>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995"/>
              <w:gridCol w:w="6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pPr>
                    <w:pStyle w:val="44"/>
                    <w:spacing w:line="240" w:lineRule="auto"/>
                    <w:jc w:val="center"/>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序号</w:t>
                  </w:r>
                </w:p>
              </w:tc>
              <w:tc>
                <w:tcPr>
                  <w:tcW w:w="602" w:type="pct"/>
                  <w:noWrap w:val="0"/>
                  <w:vAlign w:val="center"/>
                </w:tcPr>
                <w:p>
                  <w:pPr>
                    <w:pStyle w:val="44"/>
                    <w:spacing w:line="240" w:lineRule="auto"/>
                    <w:jc w:val="center"/>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地点</w:t>
                  </w:r>
                </w:p>
              </w:tc>
              <w:tc>
                <w:tcPr>
                  <w:tcW w:w="3936" w:type="pct"/>
                  <w:noWrap w:val="0"/>
                  <w:vAlign w:val="center"/>
                </w:tcPr>
                <w:p>
                  <w:pPr>
                    <w:pStyle w:val="44"/>
                    <w:spacing w:line="240" w:lineRule="auto"/>
                    <w:jc w:val="center"/>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pPr>
                    <w:pStyle w:val="44"/>
                    <w:spacing w:line="240" w:lineRule="auto"/>
                    <w:jc w:val="center"/>
                    <w:rPr>
                      <w:rFonts w:hint="eastAsia" w:ascii="Times New Roman" w:hAnsi="Times New Roman" w:eastAsia="宋体"/>
                      <w:sz w:val="21"/>
                      <w:szCs w:val="21"/>
                    </w:rPr>
                  </w:pPr>
                  <w:r>
                    <w:rPr>
                      <w:rFonts w:hint="eastAsia" w:ascii="Times New Roman" w:hAnsi="Times New Roman" w:eastAsia="宋体"/>
                      <w:sz w:val="21"/>
                      <w:szCs w:val="21"/>
                    </w:rPr>
                    <w:t>1</w:t>
                  </w:r>
                </w:p>
              </w:tc>
              <w:tc>
                <w:tcPr>
                  <w:tcW w:w="602" w:type="pct"/>
                  <w:noWrap w:val="0"/>
                  <w:vAlign w:val="center"/>
                </w:tcPr>
                <w:p>
                  <w:pPr>
                    <w:pStyle w:val="44"/>
                    <w:spacing w:line="240" w:lineRule="auto"/>
                    <w:jc w:val="center"/>
                    <w:rPr>
                      <w:rFonts w:hint="eastAsia" w:ascii="Times New Roman" w:hAnsi="Times New Roman" w:eastAsia="宋体"/>
                      <w:sz w:val="21"/>
                      <w:szCs w:val="21"/>
                    </w:rPr>
                  </w:pPr>
                  <w:r>
                    <w:rPr>
                      <w:rFonts w:hint="eastAsia" w:ascii="Times New Roman" w:hAnsi="Times New Roman" w:eastAsia="宋体"/>
                      <w:sz w:val="21"/>
                      <w:szCs w:val="21"/>
                    </w:rPr>
                    <w:t>污水处理站</w:t>
                  </w:r>
                </w:p>
              </w:tc>
              <w:tc>
                <w:tcPr>
                  <w:tcW w:w="3936" w:type="pct"/>
                  <w:noWrap w:val="0"/>
                  <w:vAlign w:val="center"/>
                </w:tcPr>
                <w:p>
                  <w:pPr>
                    <w:pStyle w:val="44"/>
                    <w:spacing w:line="240" w:lineRule="auto"/>
                    <w:jc w:val="center"/>
                    <w:rPr>
                      <w:rFonts w:hint="eastAsia" w:ascii="Times New Roman" w:hAnsi="Times New Roman" w:eastAsia="宋体"/>
                      <w:sz w:val="21"/>
                      <w:szCs w:val="21"/>
                    </w:rPr>
                  </w:pPr>
                  <w:r>
                    <w:rPr>
                      <w:rFonts w:hint="eastAsia" w:ascii="Times New Roman" w:hAnsi="Times New Roman" w:eastAsia="宋体"/>
                      <w:sz w:val="21"/>
                      <w:szCs w:val="21"/>
                    </w:rPr>
                    <w:t>地面防渗方案自上而下：①40mm厚细石砼；②水泥砂浆结合层一道；③100mm厚c15混凝土随打随抹光；④50mm厚级配砂石垫层；⑤3:7水泥土夯实。</w:t>
                  </w:r>
                </w:p>
              </w:tc>
            </w:tr>
          </w:tbl>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eastAsia="宋体" w:cs="Times New Roman"/>
                <w:b/>
                <w:bCs/>
                <w:color w:val="000000"/>
                <w:kern w:val="2"/>
                <w:sz w:val="24"/>
                <w:szCs w:val="22"/>
                <w:u w:val="none"/>
                <w:lang w:val="en-US" w:eastAsia="zh-CN" w:bidi="ar-SA"/>
              </w:rPr>
            </w:pPr>
            <w:r>
              <w:rPr>
                <w:rFonts w:hint="eastAsia" w:ascii="Times New Roman" w:hAnsi="Times New Roman" w:eastAsia="宋体" w:cs="Times New Roman"/>
                <w:b/>
                <w:bCs/>
                <w:color w:val="000000"/>
                <w:kern w:val="2"/>
                <w:sz w:val="24"/>
                <w:szCs w:val="22"/>
                <w:u w:val="none"/>
                <w:lang w:val="en-US" w:eastAsia="zh-CN" w:bidi="ar-SA"/>
              </w:rPr>
              <w:t>1.6</w:t>
            </w:r>
            <w:r>
              <w:rPr>
                <w:rFonts w:hint="default" w:ascii="Times New Roman" w:hAnsi="Times New Roman" w:eastAsia="宋体" w:cs="Times New Roman"/>
                <w:b/>
                <w:bCs/>
                <w:color w:val="000000"/>
                <w:kern w:val="2"/>
                <w:sz w:val="24"/>
                <w:szCs w:val="22"/>
                <w:u w:val="none"/>
                <w:lang w:val="en-US" w:eastAsia="zh-CN" w:bidi="ar-SA"/>
              </w:rPr>
              <w:t>土壤环境影响分析</w:t>
            </w:r>
          </w:p>
          <w:p>
            <w:pPr>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根据《环境影响评价技术导则 土壤环境（试行）》（HJ964-2018），污染影响型项目评价等级是根据土壤环境影响评价项目类别、占地规模与敏感程度进行划分。本项目为豆制品加工行业，根据《环境影响评价技术导则 土壤环境（试行）》（HJ964-2018）附录A：“土壤环境影响评价项目类别”，本项目属于表中的其他行业：</w:t>
            </w:r>
          </w:p>
          <w:p>
            <w:pPr>
              <w:spacing w:line="240" w:lineRule="auto"/>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表</w:t>
            </w:r>
            <w:r>
              <w:rPr>
                <w:rFonts w:hint="eastAsia" w:ascii="Times New Roman" w:hAnsi="Times New Roman" w:cs="Times New Roman"/>
                <w:b/>
                <w:bCs/>
                <w:color w:val="000000"/>
                <w:sz w:val="21"/>
                <w:szCs w:val="21"/>
                <w:lang w:val="en-US" w:eastAsia="zh-CN"/>
              </w:rPr>
              <w:t>4</w:t>
            </w:r>
            <w:r>
              <w:rPr>
                <w:rFonts w:hint="eastAsia" w:ascii="Times New Roman" w:hAnsi="Times New Roman" w:eastAsia="宋体" w:cs="Times New Roman"/>
                <w:b/>
                <w:bCs/>
                <w:color w:val="000000"/>
                <w:sz w:val="21"/>
                <w:szCs w:val="21"/>
              </w:rPr>
              <w:t>-</w:t>
            </w:r>
            <w:r>
              <w:rPr>
                <w:rFonts w:hint="eastAsia" w:ascii="Times New Roman" w:hAnsi="Times New Roman" w:cs="Times New Roman"/>
                <w:b/>
                <w:bCs/>
                <w:color w:val="000000"/>
                <w:sz w:val="21"/>
                <w:szCs w:val="21"/>
                <w:lang w:val="en-US" w:eastAsia="zh-CN"/>
              </w:rPr>
              <w:t xml:space="preserve">22 </w:t>
            </w:r>
            <w:r>
              <w:rPr>
                <w:rFonts w:ascii="Times New Roman" w:hAnsi="Times New Roman" w:eastAsia="宋体" w:cs="Times New Roman"/>
                <w:b/>
                <w:bCs/>
                <w:color w:val="000000"/>
                <w:sz w:val="21"/>
                <w:szCs w:val="21"/>
              </w:rPr>
              <w:t>土壤环境影响评价项目类别表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354"/>
              <w:gridCol w:w="1895"/>
              <w:gridCol w:w="1911"/>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vMerge w:val="restart"/>
                  <w:noWrap w:val="0"/>
                  <w:vAlign w:val="center"/>
                </w:tcPr>
                <w:p>
                  <w:pPr>
                    <w:spacing w:line="240" w:lineRule="auto"/>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行业类别</w:t>
                  </w:r>
                </w:p>
              </w:tc>
              <w:tc>
                <w:tcPr>
                  <w:tcW w:w="4239" w:type="pct"/>
                  <w:gridSpan w:val="4"/>
                  <w:noWrap w:val="0"/>
                  <w:vAlign w:val="center"/>
                </w:tcPr>
                <w:p>
                  <w:pPr>
                    <w:spacing w:line="240" w:lineRule="auto"/>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vMerge w:val="continue"/>
                  <w:noWrap w:val="0"/>
                  <w:vAlign w:val="center"/>
                </w:tcPr>
                <w:p>
                  <w:pPr>
                    <w:spacing w:line="240" w:lineRule="auto"/>
                    <w:jc w:val="center"/>
                    <w:rPr>
                      <w:rFonts w:ascii="Times New Roman" w:hAnsi="Times New Roman" w:eastAsia="宋体" w:cs="Times New Roman"/>
                      <w:b w:val="0"/>
                      <w:bCs/>
                      <w:color w:val="000000"/>
                      <w:sz w:val="21"/>
                      <w:szCs w:val="21"/>
                    </w:rPr>
                  </w:pPr>
                </w:p>
              </w:tc>
              <w:tc>
                <w:tcPr>
                  <w:tcW w:w="819" w:type="pct"/>
                  <w:noWrap w:val="0"/>
                  <w:vAlign w:val="center"/>
                </w:tcPr>
                <w:p>
                  <w:pPr>
                    <w:spacing w:line="240" w:lineRule="auto"/>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Ⅰ类</w:t>
                  </w:r>
                </w:p>
              </w:tc>
              <w:tc>
                <w:tcPr>
                  <w:tcW w:w="1146" w:type="pct"/>
                  <w:noWrap w:val="0"/>
                  <w:vAlign w:val="center"/>
                </w:tcPr>
                <w:p>
                  <w:pPr>
                    <w:spacing w:line="240" w:lineRule="auto"/>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Ⅱ类</w:t>
                  </w:r>
                </w:p>
              </w:tc>
              <w:tc>
                <w:tcPr>
                  <w:tcW w:w="1156" w:type="pct"/>
                  <w:noWrap w:val="0"/>
                  <w:vAlign w:val="center"/>
                </w:tcPr>
                <w:p>
                  <w:pPr>
                    <w:spacing w:line="240" w:lineRule="auto"/>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Ⅲ类</w:t>
                  </w:r>
                </w:p>
              </w:tc>
              <w:tc>
                <w:tcPr>
                  <w:tcW w:w="1117" w:type="pct"/>
                  <w:noWrap w:val="0"/>
                  <w:vAlign w:val="center"/>
                </w:tcPr>
                <w:p>
                  <w:pPr>
                    <w:spacing w:line="240" w:lineRule="auto"/>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noWrap w:val="0"/>
                  <w:vAlign w:val="center"/>
                </w:tcPr>
                <w:p>
                  <w:pPr>
                    <w:autoSpaceDE w:val="0"/>
                    <w:autoSpaceDN w:val="0"/>
                    <w:adjustRightInd w:val="0"/>
                    <w:spacing w:line="240" w:lineRule="auto"/>
                    <w:jc w:val="center"/>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kern w:val="0"/>
                      <w:sz w:val="21"/>
                      <w:szCs w:val="21"/>
                    </w:rPr>
                    <w:t>其他行业</w:t>
                  </w:r>
                </w:p>
              </w:tc>
              <w:tc>
                <w:tcPr>
                  <w:tcW w:w="819" w:type="pct"/>
                  <w:noWrap w:val="0"/>
                  <w:vAlign w:val="center"/>
                </w:tcPr>
                <w:p>
                  <w:pPr>
                    <w:spacing w:line="240" w:lineRule="auto"/>
                    <w:jc w:val="center"/>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w:t>
                  </w:r>
                </w:p>
              </w:tc>
              <w:tc>
                <w:tcPr>
                  <w:tcW w:w="1146" w:type="pct"/>
                  <w:noWrap w:val="0"/>
                  <w:vAlign w:val="center"/>
                </w:tcPr>
                <w:p>
                  <w:pPr>
                    <w:autoSpaceDE w:val="0"/>
                    <w:autoSpaceDN w:val="0"/>
                    <w:adjustRightInd w:val="0"/>
                    <w:spacing w:line="240" w:lineRule="auto"/>
                    <w:jc w:val="center"/>
                    <w:rPr>
                      <w:rFonts w:hint="eastAsia"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w:t>
                  </w:r>
                </w:p>
              </w:tc>
              <w:tc>
                <w:tcPr>
                  <w:tcW w:w="1156" w:type="pct"/>
                  <w:noWrap w:val="0"/>
                  <w:vAlign w:val="center"/>
                </w:tcPr>
                <w:p>
                  <w:pPr>
                    <w:autoSpaceDE w:val="0"/>
                    <w:autoSpaceDN w:val="0"/>
                    <w:adjustRightInd w:val="0"/>
                    <w:spacing w:line="240" w:lineRule="auto"/>
                    <w:jc w:val="center"/>
                    <w:rPr>
                      <w:rFonts w:hint="eastAsia"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w:t>
                  </w:r>
                </w:p>
              </w:tc>
              <w:tc>
                <w:tcPr>
                  <w:tcW w:w="1117" w:type="pct"/>
                  <w:noWrap w:val="0"/>
                  <w:vAlign w:val="center"/>
                </w:tcPr>
                <w:p>
                  <w:pPr>
                    <w:spacing w:line="240" w:lineRule="auto"/>
                    <w:jc w:val="center"/>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全部</w:t>
                  </w:r>
                </w:p>
              </w:tc>
            </w:tr>
          </w:tbl>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r>
              <w:rPr>
                <w:rFonts w:hint="eastAsia" w:ascii="Times New Roman" w:hAnsi="Times New Roman" w:eastAsia="宋体" w:cs="Times New Roman"/>
                <w:color w:val="000000"/>
                <w:kern w:val="2"/>
                <w:sz w:val="24"/>
                <w:szCs w:val="24"/>
                <w:lang w:val="en-US" w:eastAsia="zh-CN" w:bidi="ar-SA"/>
              </w:rPr>
              <w:t>项目属于</w:t>
            </w:r>
            <w:r>
              <w:rPr>
                <w:rFonts w:hint="eastAsia" w:ascii="宋体" w:hAnsi="宋体" w:eastAsia="宋体" w:cs="Times New Roman"/>
                <w:bCs/>
                <w:color w:val="000000"/>
                <w:kern w:val="2"/>
                <w:sz w:val="24"/>
                <w:szCs w:val="24"/>
                <w:lang w:val="en-US" w:eastAsia="zh-CN" w:bidi="ar-SA"/>
              </w:rPr>
              <w:t>Ⅳ</w:t>
            </w:r>
            <w:r>
              <w:rPr>
                <w:rFonts w:hint="eastAsia" w:ascii="Times New Roman" w:hAnsi="Times New Roman" w:eastAsia="宋体" w:cs="Times New Roman"/>
                <w:color w:val="000000"/>
                <w:kern w:val="2"/>
                <w:sz w:val="24"/>
                <w:szCs w:val="24"/>
                <w:lang w:val="en-US" w:eastAsia="zh-CN" w:bidi="ar-SA"/>
              </w:rPr>
              <w:t>类项目，</w:t>
            </w:r>
            <w:r>
              <w:rPr>
                <w:rFonts w:ascii="Times New Roman" w:hAnsi="Calibri" w:eastAsia="宋体" w:cs="Times New Roman"/>
                <w:color w:val="000000"/>
                <w:kern w:val="2"/>
                <w:sz w:val="24"/>
                <w:szCs w:val="24"/>
                <w:lang w:val="en-US" w:eastAsia="zh-CN" w:bidi="ar-SA"/>
              </w:rPr>
              <w:t>故本项目可不开展土壤环境影响评价工作。</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eastAsia="宋体" w:cs="Times New Roman"/>
                <w:b/>
                <w:bCs/>
                <w:color w:val="000000"/>
                <w:kern w:val="2"/>
                <w:sz w:val="24"/>
                <w:szCs w:val="22"/>
                <w:u w:val="none"/>
                <w:lang w:val="en-US" w:eastAsia="zh-CN" w:bidi="ar-SA"/>
              </w:rPr>
            </w:pPr>
            <w:r>
              <w:rPr>
                <w:rFonts w:hint="eastAsia" w:ascii="Times New Roman" w:hAnsi="Times New Roman" w:eastAsia="宋体" w:cs="Times New Roman"/>
                <w:b/>
                <w:bCs/>
                <w:color w:val="000000"/>
                <w:kern w:val="2"/>
                <w:sz w:val="24"/>
                <w:szCs w:val="22"/>
                <w:u w:val="none"/>
                <w:lang w:val="en-US" w:eastAsia="zh-CN" w:bidi="ar-SA"/>
              </w:rPr>
              <w:t>1.7</w:t>
            </w:r>
            <w:r>
              <w:rPr>
                <w:rFonts w:hint="default" w:ascii="Times New Roman" w:hAnsi="Times New Roman" w:eastAsia="宋体" w:cs="Times New Roman"/>
                <w:b/>
                <w:bCs/>
                <w:color w:val="000000"/>
                <w:kern w:val="2"/>
                <w:sz w:val="24"/>
                <w:szCs w:val="22"/>
                <w:u w:val="none"/>
                <w:lang w:val="en-US" w:eastAsia="zh-CN" w:bidi="ar-SA"/>
              </w:rPr>
              <w:t>环境风险分析</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sz w:val="24"/>
                <w:szCs w:val="22"/>
                <w:u w:val="none"/>
              </w:rPr>
            </w:pPr>
            <w:r>
              <w:rPr>
                <w:rFonts w:hint="eastAsia" w:ascii="Times New Roman" w:hAnsi="Times New Roman" w:eastAsia="宋体" w:cs="Times New Roman"/>
                <w:b/>
                <w:bCs/>
                <w:color w:val="000000"/>
                <w:sz w:val="24"/>
                <w:szCs w:val="22"/>
                <w:u w:val="none"/>
                <w:lang w:val="en-US" w:eastAsia="zh-CN"/>
              </w:rPr>
              <w:t>1.7.1</w:t>
            </w:r>
            <w:r>
              <w:rPr>
                <w:rFonts w:hint="default" w:ascii="Times New Roman" w:hAnsi="Times New Roman" w:eastAsia="宋体" w:cs="Times New Roman"/>
                <w:b/>
                <w:bCs/>
                <w:color w:val="000000"/>
                <w:sz w:val="24"/>
                <w:szCs w:val="22"/>
                <w:u w:val="none"/>
              </w:rPr>
              <w:t>风险调查、风险潜式初判、评价等级</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000000"/>
                <w:kern w:val="2"/>
                <w:sz w:val="21"/>
                <w:szCs w:val="21"/>
                <w:lang w:val="en-US" w:eastAsia="zh-CN" w:bidi="ar-SA"/>
              </w:rPr>
            </w:pPr>
            <w:r>
              <w:rPr>
                <w:rFonts w:hint="eastAsia" w:ascii="Times New Roman" w:hAnsi="Times New Roman" w:eastAsia="宋体" w:cs="Times New Roman"/>
                <w:color w:val="000000"/>
                <w:sz w:val="24"/>
                <w:szCs w:val="24"/>
              </w:rPr>
              <w:t>本项目生产过程中不涉及有毒有害、易燃易爆物质生产、使用、储存，厂区内无重大危险源，对照《建设项目环境风险评价技术导则》（HJ169-2018）中内容，本项目风险浅势</w:t>
            </w:r>
            <w:r>
              <w:rPr>
                <w:rFonts w:ascii="Times New Roman" w:hAnsi="Times New Roman" w:eastAsia="宋体" w:cs="Times New Roman"/>
                <w:color w:val="000000"/>
                <w:sz w:val="24"/>
                <w:szCs w:val="24"/>
              </w:rPr>
              <w:t>为</w:t>
            </w:r>
            <w:r>
              <w:rPr>
                <w:rFonts w:ascii="Times New Roman" w:hAnsi="Times New Roman" w:eastAsia="宋体" w:cs="Times New Roman"/>
                <w:color w:val="000000"/>
                <w:sz w:val="24"/>
                <w:szCs w:val="24"/>
              </w:rPr>
              <w:fldChar w:fldCharType="begin"/>
            </w:r>
            <w:r>
              <w:rPr>
                <w:rFonts w:ascii="Times New Roman" w:hAnsi="Times New Roman" w:eastAsia="宋体" w:cs="Times New Roman"/>
                <w:color w:val="000000"/>
                <w:sz w:val="24"/>
                <w:szCs w:val="24"/>
              </w:rPr>
              <w:instrText xml:space="preserve"> = 1 \* ROMAN \* MERGEFORMAT </w:instrText>
            </w:r>
            <w:r>
              <w:rPr>
                <w:rFonts w:ascii="Times New Roman" w:hAnsi="Times New Roman" w:eastAsia="宋体" w:cs="Times New Roman"/>
                <w:color w:val="000000"/>
                <w:sz w:val="24"/>
                <w:szCs w:val="24"/>
              </w:rPr>
              <w:fldChar w:fldCharType="separate"/>
            </w:r>
            <w:r>
              <w:rPr>
                <w:rFonts w:ascii="Times New Roman" w:hAnsi="Times New Roman" w:eastAsia="宋体" w:cs="Times New Roman"/>
                <w:color w:val="000000"/>
                <w:sz w:val="24"/>
                <w:szCs w:val="24"/>
              </w:rPr>
              <w:t>I</w:t>
            </w:r>
            <w:r>
              <w:rPr>
                <w:rFonts w:ascii="Times New Roman" w:hAnsi="Times New Roman" w:eastAsia="宋体" w:cs="Times New Roman"/>
                <w:color w:val="000000"/>
                <w:sz w:val="24"/>
                <w:szCs w:val="24"/>
              </w:rPr>
              <w:fldChar w:fldCharType="end"/>
            </w:r>
            <w:r>
              <w:rPr>
                <w:rFonts w:hint="eastAsia" w:ascii="Times New Roman" w:hAnsi="Times New Roman" w:eastAsia="宋体" w:cs="Times New Roman"/>
                <w:color w:val="000000"/>
                <w:sz w:val="24"/>
                <w:szCs w:val="24"/>
              </w:rPr>
              <w:t>，可开展简单分析，见表</w:t>
            </w:r>
            <w:r>
              <w:rPr>
                <w:rFonts w:hint="eastAsia" w:ascii="Times New Roman" w:hAnsi="Times New Roman" w:cs="Times New Roman"/>
                <w:color w:val="000000"/>
                <w:sz w:val="24"/>
                <w:szCs w:val="24"/>
                <w:lang w:val="en-US" w:eastAsia="zh-CN"/>
              </w:rPr>
              <w:t>4</w:t>
            </w:r>
            <w:r>
              <w:rPr>
                <w:rFonts w:hint="eastAsia" w:ascii="Times New Roman" w:hAnsi="Times New Roman" w:eastAsia="宋体" w:cs="Times New Roman"/>
                <w:color w:val="000000"/>
                <w:sz w:val="24"/>
                <w:szCs w:val="24"/>
              </w:rPr>
              <w:t>-</w:t>
            </w:r>
            <w:r>
              <w:rPr>
                <w:rFonts w:hint="eastAsia" w:ascii="Times New Roman" w:hAnsi="Times New Roman" w:cs="Times New Roman"/>
                <w:color w:val="000000"/>
                <w:sz w:val="24"/>
                <w:szCs w:val="24"/>
                <w:lang w:val="en-US" w:eastAsia="zh-CN"/>
              </w:rPr>
              <w:t>23</w:t>
            </w:r>
            <w:r>
              <w:rPr>
                <w:rFonts w:hint="eastAsia" w:ascii="Times New Roman" w:hAnsi="Times New Roman" w:eastAsia="宋体" w:cs="Times New Roman"/>
                <w:color w:val="000000"/>
                <w:sz w:val="24"/>
                <w:szCs w:val="24"/>
              </w:rPr>
              <w:t>。</w:t>
            </w:r>
          </w:p>
          <w:p>
            <w:pPr>
              <w:widowControl w:val="0"/>
              <w:spacing w:line="240" w:lineRule="auto"/>
              <w:jc w:val="center"/>
              <w:rPr>
                <w:rFonts w:hint="eastAsia" w:ascii="Times New Roman" w:hAnsi="Times New Roman" w:eastAsia="宋体" w:cs="Times New Roman"/>
                <w:b/>
                <w:bCs/>
                <w:color w:val="000000"/>
                <w:kern w:val="2"/>
                <w:sz w:val="21"/>
                <w:szCs w:val="21"/>
                <w:lang w:val="en-US" w:eastAsia="zh-CN" w:bidi="ar-SA"/>
              </w:rPr>
            </w:pPr>
          </w:p>
          <w:p>
            <w:pPr>
              <w:widowControl w:val="0"/>
              <w:spacing w:line="240" w:lineRule="auto"/>
              <w:jc w:val="center"/>
              <w:rPr>
                <w:rFonts w:hint="eastAsia" w:ascii="Times New Roman" w:hAnsi="Times New Roman" w:eastAsia="宋体" w:cs="Times New Roman"/>
                <w:b/>
                <w:bCs/>
                <w:color w:val="000000"/>
                <w:kern w:val="2"/>
                <w:sz w:val="21"/>
                <w:szCs w:val="21"/>
                <w:lang w:val="en-US" w:eastAsia="zh-CN" w:bidi="ar-SA"/>
              </w:rPr>
            </w:pPr>
          </w:p>
          <w:p>
            <w:pPr>
              <w:widowControl w:val="0"/>
              <w:spacing w:line="240" w:lineRule="auto"/>
              <w:jc w:val="center"/>
              <w:rPr>
                <w:rFonts w:hint="eastAsia" w:ascii="Times New Roman" w:hAnsi="Times New Roman" w:eastAsia="宋体" w:cs="Times New Roman"/>
                <w:b/>
                <w:bCs/>
                <w:color w:val="000000"/>
                <w:kern w:val="2"/>
                <w:sz w:val="21"/>
                <w:szCs w:val="21"/>
                <w:lang w:val="en-US" w:eastAsia="zh-CN" w:bidi="ar-SA"/>
              </w:rPr>
            </w:pPr>
          </w:p>
          <w:p>
            <w:pPr>
              <w:widowControl w:val="0"/>
              <w:spacing w:line="240" w:lineRule="auto"/>
              <w:jc w:val="center"/>
              <w:rPr>
                <w:rFonts w:hint="eastAsia" w:ascii="Times New Roman" w:hAnsi="Times New Roman" w:eastAsia="宋体" w:cs="Times New Roman"/>
                <w:b/>
                <w:bCs/>
                <w:color w:val="000000"/>
                <w:kern w:val="2"/>
                <w:sz w:val="21"/>
                <w:szCs w:val="21"/>
                <w:lang w:val="en-US" w:eastAsia="zh-CN" w:bidi="ar-SA"/>
              </w:rPr>
            </w:pPr>
          </w:p>
          <w:p>
            <w:pPr>
              <w:widowControl w:val="0"/>
              <w:spacing w:line="240" w:lineRule="auto"/>
              <w:jc w:val="center"/>
              <w:rPr>
                <w:rFonts w:hint="eastAsia" w:ascii="Times New Roman" w:hAnsi="Times New Roman" w:eastAsia="宋体" w:cs="Times New Roman"/>
                <w:b/>
                <w:bCs/>
                <w:color w:val="000000"/>
                <w:kern w:val="2"/>
                <w:sz w:val="21"/>
                <w:szCs w:val="21"/>
                <w:lang w:val="en-US" w:eastAsia="zh-CN" w:bidi="ar-SA"/>
              </w:rPr>
            </w:pPr>
          </w:p>
          <w:p>
            <w:pPr>
              <w:widowControl w:val="0"/>
              <w:spacing w:line="240" w:lineRule="auto"/>
              <w:jc w:val="center"/>
              <w:rPr>
                <w:rFonts w:hint="eastAsia" w:ascii="Times New Roman" w:hAnsi="Times New Roman" w:eastAsia="宋体" w:cs="Times New Roman"/>
                <w:b/>
                <w:bCs/>
                <w:color w:val="000000"/>
                <w:kern w:val="2"/>
                <w:sz w:val="21"/>
                <w:szCs w:val="21"/>
                <w:lang w:val="en-US" w:eastAsia="zh-CN" w:bidi="ar-SA"/>
              </w:rPr>
            </w:pPr>
          </w:p>
          <w:p>
            <w:pPr>
              <w:widowControl w:val="0"/>
              <w:spacing w:line="240" w:lineRule="auto"/>
              <w:jc w:val="center"/>
              <w:rPr>
                <w:rFonts w:hint="eastAsia" w:ascii="Times New Roman" w:hAnsi="Times New Roman" w:eastAsia="宋体" w:cs="Times New Roman"/>
                <w:b/>
                <w:bCs/>
                <w:color w:val="000000"/>
                <w:kern w:val="2"/>
                <w:sz w:val="21"/>
                <w:szCs w:val="21"/>
                <w:lang w:val="en-US" w:eastAsia="zh-CN" w:bidi="ar-SA"/>
              </w:rPr>
            </w:pPr>
          </w:p>
          <w:p>
            <w:pPr>
              <w:widowControl w:val="0"/>
              <w:spacing w:line="240" w:lineRule="auto"/>
              <w:jc w:val="center"/>
              <w:rPr>
                <w:rFonts w:hint="eastAsia" w:ascii="Times New Roman" w:hAnsi="Times New Roman" w:eastAsia="宋体" w:cs="Times New Roman"/>
                <w:b/>
                <w:bCs/>
                <w:color w:val="000000"/>
                <w:kern w:val="2"/>
                <w:sz w:val="21"/>
                <w:szCs w:val="21"/>
                <w:lang w:val="en-US" w:eastAsia="zh-CN" w:bidi="ar-SA"/>
              </w:rPr>
            </w:pPr>
          </w:p>
          <w:p>
            <w:pPr>
              <w:widowControl w:val="0"/>
              <w:spacing w:line="240" w:lineRule="auto"/>
              <w:jc w:val="center"/>
              <w:rPr>
                <w:rFonts w:hint="eastAsia" w:ascii="Times New Roman" w:hAnsi="Times New Roman" w:eastAsia="宋体" w:cs="Times New Roman"/>
                <w:b/>
                <w:bCs/>
                <w:color w:val="000000"/>
                <w:kern w:val="2"/>
                <w:sz w:val="21"/>
                <w:szCs w:val="21"/>
                <w:lang w:val="en-US" w:eastAsia="zh-CN" w:bidi="ar-SA"/>
              </w:rPr>
            </w:pPr>
          </w:p>
          <w:p>
            <w:pPr>
              <w:widowControl w:val="0"/>
              <w:spacing w:line="240" w:lineRule="auto"/>
              <w:jc w:val="center"/>
              <w:rPr>
                <w:rFonts w:hint="eastAsia" w:ascii="Times New Roman" w:hAnsi="Times New Roman" w:eastAsia="宋体" w:cs="Times New Roman"/>
                <w:b/>
                <w:bCs/>
                <w:color w:val="000000"/>
                <w:kern w:val="2"/>
                <w:sz w:val="21"/>
                <w:szCs w:val="21"/>
                <w:lang w:val="en-US" w:eastAsia="zh-CN" w:bidi="ar-SA"/>
              </w:rPr>
            </w:pPr>
          </w:p>
          <w:p>
            <w:pPr>
              <w:widowControl w:val="0"/>
              <w:spacing w:line="240" w:lineRule="auto"/>
              <w:jc w:val="center"/>
              <w:rPr>
                <w:rFonts w:hint="eastAsia" w:ascii="Times New Roman" w:hAnsi="Times New Roman" w:eastAsia="宋体" w:cs="Times New Roman"/>
                <w:b/>
                <w:bCs/>
                <w:color w:val="000000"/>
                <w:kern w:val="2"/>
                <w:sz w:val="21"/>
                <w:szCs w:val="21"/>
                <w:lang w:val="en-US" w:eastAsia="zh-CN" w:bidi="ar-SA"/>
              </w:rPr>
            </w:pPr>
          </w:p>
          <w:p>
            <w:pPr>
              <w:widowControl w:val="0"/>
              <w:spacing w:line="240" w:lineRule="auto"/>
              <w:jc w:val="center"/>
              <w:rPr>
                <w:rFonts w:ascii="Times New Roman" w:hAnsi="Times New Roman" w:eastAsia="宋体" w:cs="Times New Roman"/>
                <w:b/>
                <w:bCs/>
                <w:color w:val="000000"/>
                <w:kern w:val="2"/>
                <w:sz w:val="21"/>
                <w:szCs w:val="21"/>
                <w:lang w:val="en-US" w:eastAsia="zh-CN" w:bidi="ar-SA"/>
              </w:rPr>
            </w:pPr>
            <w:r>
              <w:rPr>
                <w:rFonts w:hint="eastAsia" w:ascii="Times New Roman" w:hAnsi="Times New Roman" w:eastAsia="宋体" w:cs="Times New Roman"/>
                <w:b/>
                <w:bCs/>
                <w:color w:val="000000"/>
                <w:kern w:val="2"/>
                <w:sz w:val="21"/>
                <w:szCs w:val="21"/>
                <w:lang w:val="en-US" w:eastAsia="zh-CN" w:bidi="ar-SA"/>
              </w:rPr>
              <w:t>表</w:t>
            </w:r>
            <w:r>
              <w:rPr>
                <w:rFonts w:hint="eastAsia" w:ascii="Times New Roman" w:hAnsi="Times New Roman" w:cs="Times New Roman"/>
                <w:b/>
                <w:bCs/>
                <w:color w:val="000000"/>
                <w:kern w:val="2"/>
                <w:sz w:val="21"/>
                <w:szCs w:val="21"/>
                <w:lang w:val="en-US" w:eastAsia="zh-CN" w:bidi="ar-SA"/>
              </w:rPr>
              <w:t>4</w:t>
            </w:r>
            <w:r>
              <w:rPr>
                <w:rFonts w:hint="eastAsia" w:ascii="Times New Roman" w:hAnsi="Times New Roman" w:eastAsia="宋体" w:cs="Times New Roman"/>
                <w:b/>
                <w:bCs/>
                <w:color w:val="000000"/>
                <w:kern w:val="2"/>
                <w:sz w:val="21"/>
                <w:szCs w:val="21"/>
                <w:lang w:val="en-US" w:eastAsia="zh-CN" w:bidi="ar-SA"/>
              </w:rPr>
              <w:t>-</w:t>
            </w:r>
            <w:r>
              <w:rPr>
                <w:rFonts w:hint="eastAsia" w:ascii="Times New Roman" w:hAnsi="Times New Roman" w:cs="Times New Roman"/>
                <w:b/>
                <w:bCs/>
                <w:color w:val="000000"/>
                <w:kern w:val="2"/>
                <w:sz w:val="21"/>
                <w:szCs w:val="21"/>
                <w:lang w:val="en-US" w:eastAsia="zh-CN" w:bidi="ar-SA"/>
              </w:rPr>
              <w:t>23</w:t>
            </w:r>
            <w:r>
              <w:rPr>
                <w:rFonts w:hint="eastAsia" w:ascii="Times New Roman" w:hAnsi="Times New Roman" w:eastAsia="宋体" w:cs="Times New Roman"/>
                <w:b/>
                <w:bCs/>
                <w:color w:val="000000"/>
                <w:kern w:val="2"/>
                <w:sz w:val="21"/>
                <w:szCs w:val="21"/>
                <w:lang w:val="en-US" w:eastAsia="zh-CN" w:bidi="ar-SA"/>
              </w:rPr>
              <w:t xml:space="preserve"> 项目环境风险简单分析内容表</w:t>
            </w:r>
          </w:p>
          <w:tbl>
            <w:tblPr>
              <w:tblStyle w:val="20"/>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962"/>
              <w:gridCol w:w="2023"/>
              <w:gridCol w:w="970"/>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pct"/>
                  <w:noWrap w:val="0"/>
                  <w:vAlign w:val="center"/>
                </w:tcPr>
                <w:p>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建设项目名称</w:t>
                  </w:r>
                </w:p>
              </w:tc>
              <w:tc>
                <w:tcPr>
                  <w:tcW w:w="3732" w:type="pct"/>
                  <w:gridSpan w:val="4"/>
                  <w:noWrap w:val="0"/>
                  <w:vAlign w:val="center"/>
                </w:tcPr>
                <w:p>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年产1900吨豆制品</w:t>
                  </w:r>
                  <w:r>
                    <w:rPr>
                      <w:rFonts w:hint="default" w:ascii="Times New Roman" w:hAnsi="Times New Roman" w:eastAsia="宋体" w:cs="Times New Roman"/>
                      <w:color w:val="000000"/>
                      <w:sz w:val="21"/>
                      <w:szCs w:val="21"/>
                      <w:lang w:val="en-US" w:eastAsia="zh-CN"/>
                    </w:rPr>
                    <w:t>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pct"/>
                  <w:noWrap w:val="0"/>
                  <w:vAlign w:val="center"/>
                </w:tcPr>
                <w:p>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建设地点</w:t>
                  </w:r>
                </w:p>
              </w:tc>
              <w:tc>
                <w:tcPr>
                  <w:tcW w:w="582" w:type="pct"/>
                  <w:noWrap w:val="0"/>
                  <w:vAlign w:val="center"/>
                </w:tcPr>
                <w:p>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湖南省</w:t>
                  </w:r>
                </w:p>
              </w:tc>
              <w:tc>
                <w:tcPr>
                  <w:tcW w:w="1224" w:type="pct"/>
                  <w:noWrap w:val="0"/>
                  <w:vAlign w:val="center"/>
                </w:tcPr>
                <w:p>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永州市</w:t>
                  </w:r>
                </w:p>
              </w:tc>
              <w:tc>
                <w:tcPr>
                  <w:tcW w:w="587" w:type="pct"/>
                  <w:noWrap w:val="0"/>
                  <w:vAlign w:val="center"/>
                </w:tcPr>
                <w:p>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新田县</w:t>
                  </w:r>
                </w:p>
              </w:tc>
              <w:tc>
                <w:tcPr>
                  <w:tcW w:w="1338" w:type="pct"/>
                  <w:noWrap w:val="0"/>
                  <w:vAlign w:val="center"/>
                </w:tcPr>
                <w:p>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大坪塘小明路村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pct"/>
                  <w:noWrap w:val="0"/>
                  <w:vAlign w:val="center"/>
                </w:tcPr>
                <w:p>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地理坐标</w:t>
                  </w:r>
                </w:p>
              </w:tc>
              <w:tc>
                <w:tcPr>
                  <w:tcW w:w="582" w:type="pct"/>
                  <w:noWrap w:val="0"/>
                  <w:vAlign w:val="center"/>
                </w:tcPr>
                <w:p>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经度</w:t>
                  </w:r>
                </w:p>
              </w:tc>
              <w:tc>
                <w:tcPr>
                  <w:tcW w:w="1224" w:type="pct"/>
                  <w:noWrap w:val="0"/>
                  <w:vAlign w:val="center"/>
                </w:tcPr>
                <w:p>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112 °20 ′10.94097 ″</w:t>
                  </w:r>
                </w:p>
              </w:tc>
              <w:tc>
                <w:tcPr>
                  <w:tcW w:w="587" w:type="pct"/>
                  <w:noWrap w:val="0"/>
                  <w:vAlign w:val="center"/>
                </w:tcPr>
                <w:p>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纬度</w:t>
                  </w:r>
                </w:p>
              </w:tc>
              <w:tc>
                <w:tcPr>
                  <w:tcW w:w="1338" w:type="pct"/>
                  <w:noWrap w:val="0"/>
                  <w:vAlign w:val="center"/>
                </w:tcPr>
                <w:p>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25°50′55.96061″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pct"/>
                  <w:noWrap w:val="0"/>
                  <w:vAlign w:val="center"/>
                </w:tcPr>
                <w:p>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主要危险物质及分布</w:t>
                  </w:r>
                </w:p>
              </w:tc>
              <w:tc>
                <w:tcPr>
                  <w:tcW w:w="3732" w:type="pct"/>
                  <w:gridSpan w:val="4"/>
                  <w:noWrap w:val="0"/>
                  <w:vAlign w:val="center"/>
                </w:tcPr>
                <w:p>
                  <w:pPr>
                    <w:spacing w:line="240" w:lineRule="auto"/>
                    <w:jc w:val="left"/>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本项目不构成重大危险源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pct"/>
                  <w:noWrap w:val="0"/>
                  <w:vAlign w:val="center"/>
                </w:tcPr>
                <w:p>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环境影响途径及危害后果（大气、地表水、地下水等）</w:t>
                  </w:r>
                </w:p>
              </w:tc>
              <w:tc>
                <w:tcPr>
                  <w:tcW w:w="3732" w:type="pct"/>
                  <w:gridSpan w:val="4"/>
                  <w:noWrap w:val="0"/>
                  <w:vAlign w:val="center"/>
                </w:tcPr>
                <w:p>
                  <w:pPr>
                    <w:spacing w:line="240" w:lineRule="auto"/>
                    <w:jc w:val="lef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（1）废水事故排放对区域水环境造成不利影响。</w:t>
                  </w:r>
                </w:p>
                <w:p>
                  <w:pPr>
                    <w:spacing w:line="240" w:lineRule="auto"/>
                    <w:jc w:val="lef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（2）发生火灾事故，事故废气、废水对区域环境空气和环境敏感目标造成不利影响。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pct"/>
                  <w:noWrap w:val="0"/>
                  <w:vAlign w:val="center"/>
                </w:tcPr>
                <w:p>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风险防范措施要求</w:t>
                  </w:r>
                </w:p>
              </w:tc>
              <w:tc>
                <w:tcPr>
                  <w:tcW w:w="3732" w:type="pct"/>
                  <w:gridSpan w:val="4"/>
                  <w:noWrap w:val="0"/>
                  <w:vAlign w:val="center"/>
                </w:tcPr>
                <w:p>
                  <w:pPr>
                    <w:spacing w:line="240" w:lineRule="auto"/>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（1）整体防范措施：企业应设立环境风险机构，负责建立和健全企业环境风险防范的制度，根据本企业的生产特点，制定环境污染事故防范措施，并落实在企业各生产环节。</w:t>
                  </w:r>
                </w:p>
                <w:p>
                  <w:pPr>
                    <w:spacing w:line="240" w:lineRule="auto"/>
                    <w:jc w:val="lef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火灾防范措施：生产厂房可燃物品贮存区须确保通风良好、配备相应品种和数量的消防器材、设置必要的防火防爆与降温技术措施、按安全部门要求预留必要的安全间距，远离火种和热源。生产车间和原辅料及产品仓库禁止明火进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000" w:type="pct"/>
                  <w:gridSpan w:val="5"/>
                  <w:noWrap w:val="0"/>
                  <w:vAlign w:val="center"/>
                </w:tcPr>
                <w:p>
                  <w:pPr>
                    <w:spacing w:line="240" w:lineRule="auto"/>
                    <w:jc w:val="lef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填表说明（列出项目相关信息及评价说明）：项目采取以上环境风险防范措施后，对环境的风险可接受。</w:t>
                  </w:r>
                </w:p>
              </w:tc>
            </w:tr>
          </w:tbl>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575" w:leftChars="0" w:right="0" w:rightChars="0" w:hanging="575" w:firstLineChars="0"/>
              <w:jc w:val="both"/>
              <w:textAlignment w:val="auto"/>
              <w:outlineLvl w:val="1"/>
              <w:rPr>
                <w:rFonts w:hint="default" w:ascii="Times New Roman" w:hAnsi="Times New Roman" w:eastAsia="宋体" w:cs="Times New Roman"/>
                <w:b/>
                <w:bCs/>
                <w:color w:val="000000"/>
                <w:kern w:val="2"/>
                <w:sz w:val="28"/>
                <w:szCs w:val="32"/>
                <w:u w:val="none"/>
                <w:lang w:val="en-US" w:eastAsia="zh-CN" w:bidi="ar-SA"/>
              </w:rPr>
            </w:pPr>
            <w:r>
              <w:rPr>
                <w:rFonts w:hint="eastAsia" w:ascii="Times New Roman" w:hAnsi="Times New Roman" w:eastAsia="宋体" w:cs="Times New Roman"/>
                <w:b/>
                <w:bCs/>
                <w:color w:val="000000"/>
                <w:kern w:val="2"/>
                <w:sz w:val="28"/>
                <w:szCs w:val="32"/>
                <w:u w:val="none"/>
                <w:lang w:val="en-US" w:eastAsia="zh-CN" w:bidi="ar-SA"/>
              </w:rPr>
              <w:t>2、</w:t>
            </w:r>
            <w:r>
              <w:rPr>
                <w:rFonts w:hint="default" w:ascii="Times New Roman" w:hAnsi="Times New Roman" w:eastAsia="宋体" w:cs="Times New Roman"/>
                <w:b/>
                <w:bCs/>
                <w:color w:val="000000"/>
                <w:kern w:val="2"/>
                <w:sz w:val="28"/>
                <w:szCs w:val="32"/>
                <w:u w:val="none"/>
                <w:lang w:val="en-US" w:eastAsia="zh-CN" w:bidi="ar-SA"/>
              </w:rPr>
              <w:t>环境管理及环境监测计划</w:t>
            </w:r>
          </w:p>
          <w:p>
            <w:pPr>
              <w:pageBreakBefore w:val="0"/>
              <w:widowControl w:val="0"/>
              <w:tabs>
                <w:tab w:val="left" w:pos="105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sz w:val="24"/>
                <w:szCs w:val="22"/>
                <w:u w:val="none"/>
              </w:rPr>
            </w:pPr>
            <w:bookmarkStart w:id="13" w:name="_Toc224925314"/>
            <w:r>
              <w:rPr>
                <w:rFonts w:hint="default" w:ascii="Times New Roman" w:hAnsi="Times New Roman" w:eastAsia="宋体" w:cs="Times New Roman"/>
                <w:bCs/>
                <w:color w:val="000000"/>
                <w:sz w:val="24"/>
                <w:szCs w:val="22"/>
                <w:u w:val="none"/>
              </w:rPr>
              <w:t>（1）环境管理制度</w:t>
            </w:r>
            <w:bookmarkEnd w:id="13"/>
          </w:p>
          <w:p>
            <w:pPr>
              <w:pageBreakBefore w:val="0"/>
              <w:widowControl w:val="0"/>
              <w:tabs>
                <w:tab w:val="left" w:pos="105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sz w:val="24"/>
                <w:szCs w:val="22"/>
                <w:u w:val="none"/>
              </w:rPr>
            </w:pPr>
            <w:r>
              <w:rPr>
                <w:rFonts w:hint="default" w:ascii="Times New Roman" w:hAnsi="Times New Roman" w:eastAsia="宋体" w:cs="Times New Roman"/>
                <w:bCs/>
                <w:color w:val="000000"/>
                <w:sz w:val="24"/>
                <w:szCs w:val="22"/>
                <w:u w:val="none"/>
              </w:rPr>
              <w:t>环境管理是企业管理的重要组成部分，是要利用行政、经济、技术、法律和教育等手段，对企业经营发展和环境保护的关系进行协调，对环境污染进行综合治理，达到既能盈利又保护环境的目的。</w:t>
            </w:r>
          </w:p>
          <w:p>
            <w:pPr>
              <w:pageBreakBefore w:val="0"/>
              <w:widowControl w:val="0"/>
              <w:tabs>
                <w:tab w:val="left" w:pos="105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sz w:val="24"/>
                <w:szCs w:val="22"/>
                <w:u w:val="none"/>
              </w:rPr>
            </w:pPr>
            <w:r>
              <w:rPr>
                <w:rFonts w:hint="default" w:ascii="Times New Roman" w:hAnsi="Times New Roman" w:eastAsia="宋体" w:cs="Times New Roman"/>
                <w:bCs/>
                <w:color w:val="000000"/>
                <w:sz w:val="24"/>
                <w:szCs w:val="22"/>
                <w:u w:val="none"/>
              </w:rPr>
              <w:t>为落实各项污染防治措施，加强环境保护工作管理，企业应根据实际特点，制定各类环保制度，并以文件形式规定，形成一套完善的环境管理制度体系。主要的环境保护制度，如：污染物治理设施运行、药剂管理登记等。</w:t>
            </w:r>
          </w:p>
          <w:p>
            <w:pPr>
              <w:pageBreakBefore w:val="0"/>
              <w:widowControl w:val="0"/>
              <w:tabs>
                <w:tab w:val="left" w:pos="105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sz w:val="24"/>
                <w:szCs w:val="22"/>
                <w:u w:val="none"/>
              </w:rPr>
            </w:pPr>
            <w:r>
              <w:rPr>
                <w:rFonts w:hint="default" w:ascii="Times New Roman" w:hAnsi="Times New Roman" w:eastAsia="宋体" w:cs="Times New Roman"/>
                <w:bCs/>
                <w:color w:val="000000"/>
                <w:sz w:val="24"/>
                <w:szCs w:val="22"/>
                <w:u w:val="none"/>
              </w:rPr>
              <w:t>环境管理体制应实行总经理领导下的部门责任制，可由一名副经理主管厂区的环保工作，并设置环保科，安排1~2名工作人员，以负责工程的环保工作。</w:t>
            </w:r>
          </w:p>
          <w:p>
            <w:pPr>
              <w:pageBreakBefore w:val="0"/>
              <w:widowControl w:val="0"/>
              <w:tabs>
                <w:tab w:val="left" w:pos="105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sz w:val="24"/>
                <w:szCs w:val="22"/>
                <w:u w:val="none"/>
              </w:rPr>
            </w:pPr>
            <w:r>
              <w:rPr>
                <w:rFonts w:hint="default" w:ascii="Times New Roman" w:hAnsi="Times New Roman" w:eastAsia="宋体" w:cs="Times New Roman"/>
                <w:bCs/>
                <w:color w:val="000000"/>
                <w:sz w:val="24"/>
                <w:szCs w:val="22"/>
                <w:u w:val="none"/>
              </w:rPr>
              <w:t>（2）环境管理的主要工作职责</w:t>
            </w:r>
          </w:p>
          <w:p>
            <w:pPr>
              <w:pageBreakBefore w:val="0"/>
              <w:widowControl w:val="0"/>
              <w:tabs>
                <w:tab w:val="left" w:pos="105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sz w:val="24"/>
                <w:szCs w:val="22"/>
                <w:u w:val="none"/>
              </w:rPr>
            </w:pPr>
            <w:r>
              <w:rPr>
                <w:rFonts w:hint="default" w:ascii="Times New Roman" w:hAnsi="Times New Roman" w:eastAsia="宋体" w:cs="Times New Roman"/>
                <w:bCs/>
                <w:color w:val="000000"/>
                <w:sz w:val="24"/>
                <w:szCs w:val="22"/>
                <w:u w:val="none"/>
              </w:rPr>
              <w:t>①贯彻国家和地方的环境法规和政策，组织环境保护宣传教育和技术培训。</w:t>
            </w:r>
          </w:p>
          <w:p>
            <w:pPr>
              <w:pageBreakBefore w:val="0"/>
              <w:widowControl w:val="0"/>
              <w:tabs>
                <w:tab w:val="left" w:pos="105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sz w:val="24"/>
                <w:szCs w:val="22"/>
                <w:u w:val="none"/>
              </w:rPr>
            </w:pPr>
            <w:r>
              <w:rPr>
                <w:rFonts w:hint="default" w:ascii="Times New Roman" w:hAnsi="Times New Roman" w:eastAsia="宋体" w:cs="Times New Roman"/>
                <w:bCs/>
                <w:color w:val="000000"/>
                <w:sz w:val="24"/>
                <w:szCs w:val="22"/>
                <w:u w:val="none"/>
              </w:rPr>
              <w:t>②组织环境监测和污染源调查，建立企业污染源档案，掌握企业排污情况的污染现状，为企业决策提供依据。</w:t>
            </w:r>
          </w:p>
          <w:p>
            <w:pPr>
              <w:pageBreakBefore w:val="0"/>
              <w:widowControl w:val="0"/>
              <w:tabs>
                <w:tab w:val="left" w:pos="105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sz w:val="24"/>
                <w:szCs w:val="22"/>
                <w:u w:val="none"/>
              </w:rPr>
            </w:pPr>
            <w:r>
              <w:rPr>
                <w:rFonts w:hint="default" w:ascii="Times New Roman" w:hAnsi="Times New Roman" w:eastAsia="宋体" w:cs="Times New Roman"/>
                <w:bCs/>
                <w:color w:val="000000"/>
                <w:sz w:val="24"/>
                <w:szCs w:val="22"/>
                <w:u w:val="none"/>
              </w:rPr>
              <w:t>③制订环境保护规划，提出环境保护目标，制订和不断完善企业的各项环境保护规章、制度和办法。</w:t>
            </w:r>
          </w:p>
          <w:p>
            <w:pPr>
              <w:pageBreakBefore w:val="0"/>
              <w:widowControl w:val="0"/>
              <w:tabs>
                <w:tab w:val="left" w:pos="105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sz w:val="24"/>
                <w:szCs w:val="22"/>
                <w:u w:val="none"/>
              </w:rPr>
            </w:pPr>
            <w:r>
              <w:rPr>
                <w:rFonts w:hint="default" w:ascii="Times New Roman" w:hAnsi="Times New Roman" w:eastAsia="宋体" w:cs="Times New Roman"/>
                <w:bCs/>
                <w:color w:val="000000"/>
                <w:sz w:val="24"/>
                <w:szCs w:val="22"/>
                <w:u w:val="none"/>
              </w:rPr>
              <w:t>④考核企业环保工作，管理和考核各种环保治理设施，制定各种考核指标和考核办法，订立奖惩制度，使环保考核工作经常化、制度化。</w:t>
            </w:r>
          </w:p>
          <w:p>
            <w:pPr>
              <w:pageBreakBefore w:val="0"/>
              <w:widowControl w:val="0"/>
              <w:tabs>
                <w:tab w:val="left" w:pos="105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sz w:val="24"/>
                <w:szCs w:val="22"/>
                <w:u w:val="none"/>
              </w:rPr>
            </w:pPr>
            <w:r>
              <w:rPr>
                <w:rFonts w:hint="default" w:ascii="Times New Roman" w:hAnsi="Times New Roman" w:eastAsia="宋体" w:cs="Times New Roman"/>
                <w:bCs/>
                <w:color w:val="000000"/>
                <w:sz w:val="24"/>
                <w:szCs w:val="22"/>
                <w:u w:val="none"/>
              </w:rPr>
              <w:t>⑤组织和协调企业污染治理工作和</w:t>
            </w:r>
            <w:r>
              <w:rPr>
                <w:rFonts w:hint="eastAsia" w:ascii="Times New Roman" w:hAnsi="Times New Roman" w:cs="Times New Roman"/>
                <w:bCs/>
                <w:color w:val="000000"/>
                <w:sz w:val="24"/>
                <w:szCs w:val="22"/>
                <w:u w:val="none"/>
                <w:lang w:eastAsia="zh-CN"/>
              </w:rPr>
              <w:t>“</w:t>
            </w:r>
            <w:r>
              <w:rPr>
                <w:rFonts w:hint="default" w:ascii="Times New Roman" w:hAnsi="Times New Roman" w:eastAsia="宋体" w:cs="Times New Roman"/>
                <w:bCs/>
                <w:color w:val="000000"/>
                <w:sz w:val="24"/>
                <w:szCs w:val="22"/>
                <w:u w:val="none"/>
              </w:rPr>
              <w:t>三废</w:t>
            </w:r>
            <w:r>
              <w:rPr>
                <w:rFonts w:hint="eastAsia" w:ascii="Times New Roman" w:hAnsi="Times New Roman" w:cs="Times New Roman"/>
                <w:bCs/>
                <w:color w:val="000000"/>
                <w:sz w:val="24"/>
                <w:szCs w:val="22"/>
                <w:u w:val="none"/>
                <w:lang w:eastAsia="zh-CN"/>
              </w:rPr>
              <w:t>”</w:t>
            </w:r>
            <w:r>
              <w:rPr>
                <w:rFonts w:hint="default" w:ascii="Times New Roman" w:hAnsi="Times New Roman" w:eastAsia="宋体" w:cs="Times New Roman"/>
                <w:bCs/>
                <w:color w:val="000000"/>
                <w:sz w:val="24"/>
                <w:szCs w:val="22"/>
                <w:u w:val="none"/>
              </w:rPr>
              <w:t>综合利用工作</w:t>
            </w:r>
            <w:r>
              <w:rPr>
                <w:rFonts w:hint="default" w:ascii="Times New Roman" w:hAnsi="Times New Roman" w:eastAsia="宋体" w:cs="Times New Roman"/>
                <w:color w:val="000000"/>
                <w:sz w:val="24"/>
                <w:szCs w:val="22"/>
                <w:u w:val="none"/>
              </w:rPr>
              <w:t>。</w:t>
            </w:r>
          </w:p>
          <w:p>
            <w:pPr>
              <w:pageBreakBefore w:val="0"/>
              <w:widowControl w:val="0"/>
              <w:tabs>
                <w:tab w:val="left" w:pos="105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sz w:val="24"/>
                <w:szCs w:val="22"/>
                <w:u w:val="none"/>
              </w:rPr>
            </w:pPr>
            <w:r>
              <w:rPr>
                <w:rFonts w:hint="default" w:ascii="Times New Roman" w:hAnsi="Times New Roman" w:eastAsia="宋体" w:cs="Times New Roman"/>
                <w:bCs/>
                <w:color w:val="000000"/>
                <w:sz w:val="24"/>
                <w:szCs w:val="22"/>
                <w:u w:val="none"/>
              </w:rPr>
              <w:t>⑥处理各种污染事故和污染纠纷，协调处理好各种关系。</w:t>
            </w:r>
          </w:p>
          <w:p>
            <w:pPr>
              <w:pageBreakBefore w:val="0"/>
              <w:widowControl w:val="0"/>
              <w:tabs>
                <w:tab w:val="left" w:pos="105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sz w:val="24"/>
                <w:szCs w:val="22"/>
                <w:u w:val="none"/>
              </w:rPr>
            </w:pPr>
            <w:r>
              <w:rPr>
                <w:rFonts w:hint="default" w:ascii="Times New Roman" w:hAnsi="Times New Roman" w:eastAsia="宋体" w:cs="Times New Roman"/>
                <w:bCs/>
                <w:color w:val="000000"/>
                <w:sz w:val="24"/>
                <w:szCs w:val="22"/>
                <w:u w:val="none"/>
              </w:rPr>
              <w:t>⑦领导和组织实施厂区的环境监测计划。</w:t>
            </w:r>
          </w:p>
          <w:p>
            <w:pPr>
              <w:tabs>
                <w:tab w:val="left" w:pos="1050"/>
              </w:tabs>
              <w:spacing w:line="360" w:lineRule="auto"/>
              <w:ind w:firstLine="480" w:firstLineChars="200"/>
              <w:rPr>
                <w:rFonts w:hint="default" w:ascii="Times New Roman" w:hAnsi="Times New Roman" w:eastAsia="宋体" w:cs="Times New Roman"/>
                <w:bCs/>
                <w:color w:val="000000"/>
                <w:sz w:val="24"/>
                <w:szCs w:val="22"/>
                <w:u w:val="none"/>
              </w:rPr>
            </w:pPr>
            <w:r>
              <w:rPr>
                <w:rFonts w:hint="default" w:ascii="Times New Roman" w:hAnsi="Times New Roman" w:eastAsia="宋体" w:cs="Times New Roman"/>
                <w:bCs/>
                <w:color w:val="000000"/>
                <w:sz w:val="24"/>
                <w:szCs w:val="22"/>
                <w:u w:val="none"/>
              </w:rPr>
              <w:t>⑧负责该工程环境报告的填写、上报任务，与上级环境管理部门保持密切联系。</w:t>
            </w:r>
          </w:p>
          <w:p>
            <w:pPr>
              <w:tabs>
                <w:tab w:val="left" w:pos="1050"/>
              </w:tabs>
              <w:spacing w:line="360" w:lineRule="auto"/>
              <w:ind w:firstLine="480" w:firstLineChars="200"/>
              <w:rPr>
                <w:rFonts w:hint="default" w:ascii="Times New Roman" w:hAnsi="Times New Roman" w:eastAsia="宋体" w:cs="Times New Roman"/>
                <w:bCs/>
                <w:color w:val="000000"/>
                <w:sz w:val="24"/>
                <w:szCs w:val="22"/>
                <w:u w:val="none"/>
              </w:rPr>
            </w:pPr>
            <w:r>
              <w:rPr>
                <w:rFonts w:hint="default" w:ascii="Times New Roman" w:hAnsi="Times New Roman" w:eastAsia="宋体" w:cs="Times New Roman"/>
                <w:bCs/>
                <w:color w:val="000000"/>
                <w:sz w:val="24"/>
                <w:szCs w:val="22"/>
                <w:u w:val="none"/>
              </w:rPr>
              <w:t>⑨检查环保设施的运行情况，并根据存在的问题提出改进意见。</w:t>
            </w:r>
          </w:p>
          <w:p>
            <w:pPr>
              <w:pageBreakBefore w:val="0"/>
              <w:widowControl w:val="0"/>
              <w:tabs>
                <w:tab w:val="left" w:pos="105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sz w:val="24"/>
                <w:szCs w:val="22"/>
                <w:u w:val="none"/>
              </w:rPr>
            </w:pPr>
            <w:r>
              <w:rPr>
                <w:rFonts w:hint="default" w:ascii="Times New Roman" w:hAnsi="Times New Roman" w:eastAsia="宋体" w:cs="Times New Roman"/>
                <w:bCs/>
                <w:color w:val="000000"/>
                <w:sz w:val="24"/>
                <w:szCs w:val="22"/>
                <w:u w:val="none"/>
              </w:rPr>
              <w:t>本工程应建立以企业总经理领导，专职环保职能科室负责企业的环境档案管理，制定各项环保计划并监督实施，对厂区排污实行全程控制的监管，确保环保计划的实施和各项污染物的达标排放。</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575" w:leftChars="0" w:right="0" w:rightChars="0" w:hanging="575" w:firstLineChars="0"/>
              <w:jc w:val="both"/>
              <w:textAlignment w:val="auto"/>
              <w:outlineLvl w:val="1"/>
              <w:rPr>
                <w:rFonts w:hint="default" w:ascii="Times New Roman" w:hAnsi="Times New Roman" w:eastAsia="宋体" w:cs="Times New Roman"/>
                <w:b/>
                <w:bCs/>
                <w:color w:val="000000" w:themeColor="text1"/>
                <w:kern w:val="2"/>
                <w:sz w:val="28"/>
                <w:szCs w:val="32"/>
                <w:u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8"/>
                <w:szCs w:val="32"/>
                <w:u w:val="none"/>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8"/>
                <w:szCs w:val="32"/>
                <w:u w:val="none"/>
                <w:lang w:val="en-US" w:eastAsia="zh-CN" w:bidi="ar-SA"/>
                <w14:textFill>
                  <w14:solidFill>
                    <w14:schemeClr w14:val="tx1"/>
                  </w14:solidFill>
                </w14:textFill>
              </w:rPr>
              <w:t>环境监测计划</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4"/>
                <w:szCs w:val="22"/>
                <w:u w:val="none"/>
                <w14:textFill>
                  <w14:solidFill>
                    <w14:schemeClr w14:val="tx1"/>
                  </w14:solidFill>
                </w14:textFill>
              </w:rPr>
              <w:t>为及时了解污染源情况，项目要经常开展污染源和环境质量的监测工作，及时发现环境污染问题，并加以控制和解决。可委托有资质的环境监测单位进行；根据本项目污染物排放实际情况，项目常规监测工作计划见表</w:t>
            </w:r>
            <w:r>
              <w:rPr>
                <w:rFonts w:hint="eastAsia" w:ascii="Times New Roman" w:hAnsi="Times New Roman" w:eastAsia="宋体" w:cs="Times New Roman"/>
                <w:color w:val="000000" w:themeColor="text1"/>
                <w:sz w:val="24"/>
                <w:szCs w:val="22"/>
                <w:u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2"/>
                <w:u w:val="none"/>
                <w:lang w:val="en-US" w:eastAsia="zh-CN"/>
                <w14:textFill>
                  <w14:solidFill>
                    <w14:schemeClr w14:val="tx1"/>
                  </w14:solidFill>
                </w14:textFill>
              </w:rPr>
              <w:t>-</w:t>
            </w:r>
            <w:r>
              <w:rPr>
                <w:rFonts w:hint="eastAsia" w:ascii="Times New Roman" w:hAnsi="Times New Roman" w:cs="Times New Roman"/>
                <w:color w:val="000000" w:themeColor="text1"/>
                <w:sz w:val="24"/>
                <w:szCs w:val="22"/>
                <w:u w:val="none"/>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2"/>
                <w:u w:val="none"/>
                <w14:textFill>
                  <w14:solidFill>
                    <w14:schemeClr w14:val="tx1"/>
                  </w14:solidFill>
                </w14:textFill>
              </w:rPr>
              <w:t>、表</w:t>
            </w:r>
            <w:r>
              <w:rPr>
                <w:rFonts w:hint="eastAsia" w:ascii="Times New Roman" w:hAnsi="Times New Roman" w:eastAsia="宋体" w:cs="Times New Roman"/>
                <w:color w:val="000000" w:themeColor="text1"/>
                <w:sz w:val="24"/>
                <w:szCs w:val="22"/>
                <w:u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2"/>
                <w:u w:val="none"/>
                <w:lang w:val="en-US" w:eastAsia="zh-CN"/>
                <w14:textFill>
                  <w14:solidFill>
                    <w14:schemeClr w14:val="tx1"/>
                  </w14:solidFill>
                </w14:textFill>
              </w:rPr>
              <w:t>-</w:t>
            </w:r>
            <w:r>
              <w:rPr>
                <w:rFonts w:hint="eastAsia" w:ascii="Times New Roman" w:hAnsi="Times New Roman" w:cs="Times New Roman"/>
                <w:color w:val="000000" w:themeColor="text1"/>
                <w:sz w:val="24"/>
                <w:szCs w:val="22"/>
                <w:u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2"/>
                <w:u w:val="none"/>
                <w14:textFill>
                  <w14:solidFill>
                    <w14:schemeClr w14:val="tx1"/>
                  </w14:solidFill>
                </w14:textFill>
              </w:rPr>
              <w:t>。</w:t>
            </w:r>
          </w:p>
          <w:p>
            <w:pPr>
              <w:spacing w:line="240" w:lineRule="auto"/>
              <w:ind w:left="0" w:leftChars="0" w:firstLine="0" w:firstLineChars="0"/>
              <w:jc w:val="center"/>
              <w:rPr>
                <w:rFonts w:hint="default" w:ascii="Times New Roman" w:hAnsi="Times New Roman" w:eastAsia="宋体" w:cs="Times New Roman"/>
                <w:b/>
                <w:color w:val="000000" w:themeColor="text1"/>
                <w:sz w:val="21"/>
                <w:szCs w:val="21"/>
                <w:u w:val="none"/>
                <w14:textFill>
                  <w14:solidFill>
                    <w14:schemeClr w14:val="tx1"/>
                  </w14:solidFill>
                </w14:textFill>
              </w:rPr>
            </w:pPr>
            <w:r>
              <w:rPr>
                <w:rFonts w:hint="default" w:ascii="Times New Roman" w:hAnsi="Times New Roman" w:eastAsia="宋体" w:cs="Times New Roman"/>
                <w:b/>
                <w:color w:val="000000" w:themeColor="text1"/>
                <w:sz w:val="21"/>
                <w:szCs w:val="21"/>
                <w:u w:val="none"/>
                <w14:textFill>
                  <w14:solidFill>
                    <w14:schemeClr w14:val="tx1"/>
                  </w14:solidFill>
                </w14:textFill>
              </w:rPr>
              <w:t>表</w:t>
            </w:r>
            <w:r>
              <w:rPr>
                <w:rFonts w:hint="eastAsia" w:ascii="Times New Roman" w:hAnsi="Times New Roman" w:eastAsia="宋体" w:cs="Times New Roman"/>
                <w:b/>
                <w:color w:val="000000" w:themeColor="text1"/>
                <w:sz w:val="21"/>
                <w:szCs w:val="21"/>
                <w:u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1"/>
                <w:szCs w:val="21"/>
                <w:u w:val="none"/>
                <w:lang w:val="en-US" w:eastAsia="zh-CN"/>
                <w14:textFill>
                  <w14:solidFill>
                    <w14:schemeClr w14:val="tx1"/>
                  </w14:solidFill>
                </w14:textFill>
              </w:rPr>
              <w:t>-</w:t>
            </w:r>
            <w:r>
              <w:rPr>
                <w:rFonts w:hint="eastAsia" w:ascii="Times New Roman" w:hAnsi="Times New Roman" w:cs="Times New Roman"/>
                <w:b/>
                <w:color w:val="000000" w:themeColor="text1"/>
                <w:sz w:val="21"/>
                <w:szCs w:val="21"/>
                <w:u w:val="none"/>
                <w:lang w:val="en-US" w:eastAsia="zh-CN"/>
                <w14:textFill>
                  <w14:solidFill>
                    <w14:schemeClr w14:val="tx1"/>
                  </w14:solidFill>
                </w14:textFill>
              </w:rPr>
              <w:t>24</w:t>
            </w:r>
            <w:r>
              <w:rPr>
                <w:rFonts w:hint="default" w:ascii="Times New Roman" w:hAnsi="Times New Roman" w:eastAsia="宋体" w:cs="Times New Roman"/>
                <w:b/>
                <w:color w:val="000000" w:themeColor="text1"/>
                <w:sz w:val="21"/>
                <w:szCs w:val="21"/>
                <w:u w:val="none"/>
                <w14:textFill>
                  <w14:solidFill>
                    <w14:schemeClr w14:val="tx1"/>
                  </w14:solidFill>
                </w14:textFill>
              </w:rPr>
              <w:t xml:space="preserve"> </w:t>
            </w:r>
            <w:r>
              <w:rPr>
                <w:rFonts w:hint="default" w:ascii="Times New Roman" w:hAnsi="Times New Roman" w:eastAsia="宋体" w:cs="Times New Roman"/>
                <w:b/>
                <w:color w:val="000000" w:themeColor="text1"/>
                <w:sz w:val="21"/>
                <w:szCs w:val="21"/>
                <w:u w:val="none"/>
                <w:lang w:val="en-US" w:eastAsia="zh-CN"/>
                <w14:textFill>
                  <w14:solidFill>
                    <w14:schemeClr w14:val="tx1"/>
                  </w14:solidFill>
                </w14:textFill>
              </w:rPr>
              <w:t>项目三期全部建成后</w:t>
            </w:r>
            <w:r>
              <w:rPr>
                <w:rFonts w:hint="default" w:ascii="Times New Roman" w:hAnsi="Times New Roman" w:eastAsia="宋体" w:cs="Times New Roman"/>
                <w:b/>
                <w:color w:val="000000" w:themeColor="text1"/>
                <w:sz w:val="21"/>
                <w:szCs w:val="21"/>
                <w:u w:val="none"/>
                <w14:textFill>
                  <w14:solidFill>
                    <w14:schemeClr w14:val="tx1"/>
                  </w14:solidFill>
                </w14:textFill>
              </w:rPr>
              <w:t>污染源监测计划</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76"/>
              <w:gridCol w:w="1089"/>
              <w:gridCol w:w="704"/>
              <w:gridCol w:w="1244"/>
              <w:gridCol w:w="674"/>
              <w:gridCol w:w="407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288" w:type="pct"/>
                  <w:tcBorders>
                    <w:top w:val="single" w:color="auto" w:sz="4"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类型</w:t>
                  </w:r>
                </w:p>
              </w:tc>
              <w:tc>
                <w:tcPr>
                  <w:tcW w:w="659" w:type="pct"/>
                  <w:tcBorders>
                    <w:top w:val="single" w:color="auto" w:sz="4"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监测点位</w:t>
                  </w:r>
                </w:p>
              </w:tc>
              <w:tc>
                <w:tcPr>
                  <w:tcW w:w="426" w:type="pct"/>
                  <w:tcBorders>
                    <w:top w:val="single" w:color="auto" w:sz="4"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点数</w:t>
                  </w:r>
                </w:p>
              </w:tc>
              <w:tc>
                <w:tcPr>
                  <w:tcW w:w="753" w:type="pct"/>
                  <w:tcBorders>
                    <w:top w:val="single" w:color="auto" w:sz="4"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监测项目</w:t>
                  </w:r>
                </w:p>
              </w:tc>
              <w:tc>
                <w:tcPr>
                  <w:tcW w:w="408" w:type="pct"/>
                  <w:tcBorders>
                    <w:top w:val="single" w:color="auto" w:sz="4" w:space="0"/>
                    <w:left w:val="single" w:color="auto" w:sz="6" w:space="0"/>
                    <w:bottom w:val="single" w:color="auto" w:sz="6"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监测频率</w:t>
                  </w:r>
                </w:p>
              </w:tc>
              <w:tc>
                <w:tcPr>
                  <w:tcW w:w="2463" w:type="pct"/>
                  <w:tcBorders>
                    <w:top w:val="single" w:color="auto" w:sz="4" w:space="0"/>
                    <w:left w:val="single" w:color="auto" w:sz="6" w:space="0"/>
                    <w:bottom w:val="single" w:color="auto" w:sz="6" w:space="0"/>
                    <w:right w:val="single" w:color="auto" w:sz="4" w:space="0"/>
                  </w:tcBorders>
                  <w:noWrap w:val="0"/>
                  <w:vAlign w:val="top"/>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288" w:type="pct"/>
                  <w:vMerge w:val="restart"/>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废气</w:t>
                  </w:r>
                </w:p>
              </w:tc>
              <w:tc>
                <w:tcPr>
                  <w:tcW w:w="65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40m烟囱</w:t>
                  </w:r>
                  <w:r>
                    <w:rPr>
                      <w:rFonts w:hint="default" w:ascii="Times New Roman" w:hAnsi="Times New Roman" w:eastAsia="宋体" w:cs="Times New Roman"/>
                      <w:color w:val="000000" w:themeColor="text1"/>
                      <w:kern w:val="0"/>
                      <w:sz w:val="21"/>
                      <w:szCs w:val="21"/>
                      <w:u w:val="none"/>
                      <w14:textFill>
                        <w14:solidFill>
                          <w14:schemeClr w14:val="tx1"/>
                        </w14:solidFill>
                      </w14:textFill>
                    </w:rPr>
                    <w:t>出口</w:t>
                  </w:r>
                </w:p>
              </w:tc>
              <w:tc>
                <w:tcPr>
                  <w:tcW w:w="426"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1个</w:t>
                  </w:r>
                </w:p>
              </w:tc>
              <w:tc>
                <w:tcPr>
                  <w:tcW w:w="753"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SO</w:t>
                  </w:r>
                  <w:r>
                    <w:rPr>
                      <w:rFonts w:hint="eastAsia" w:ascii="Times New Roman" w:hAnsi="Times New Roman" w:cs="Times New Roman"/>
                      <w:color w:val="000000" w:themeColor="text1"/>
                      <w:kern w:val="0"/>
                      <w:sz w:val="21"/>
                      <w:szCs w:val="21"/>
                      <w:u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kern w:val="0"/>
                      <w:sz w:val="21"/>
                      <w:szCs w:val="21"/>
                      <w:u w:val="none"/>
                      <w:vertAlign w:val="baseline"/>
                      <w:lang w:val="en-US" w:eastAsia="zh-CN"/>
                      <w14:textFill>
                        <w14:solidFill>
                          <w14:schemeClr w14:val="tx1"/>
                        </w14:solidFill>
                      </w14:textFill>
                    </w:rPr>
                    <w:t>、NO</w:t>
                  </w:r>
                  <w:r>
                    <w:rPr>
                      <w:rFonts w:hint="eastAsia" w:ascii="Times New Roman" w:hAnsi="Times New Roman" w:cs="Times New Roman"/>
                      <w:color w:val="000000" w:themeColor="text1"/>
                      <w:kern w:val="0"/>
                      <w:sz w:val="21"/>
                      <w:szCs w:val="21"/>
                      <w:u w:val="none"/>
                      <w:vertAlign w:val="subscript"/>
                      <w:lang w:val="en-US" w:eastAsia="zh-CN"/>
                      <w14:textFill>
                        <w14:solidFill>
                          <w14:schemeClr w14:val="tx1"/>
                        </w14:solidFill>
                      </w14:textFill>
                    </w:rPr>
                    <w:t>X</w:t>
                  </w:r>
                  <w:r>
                    <w:rPr>
                      <w:rFonts w:hint="eastAsia" w:ascii="Times New Roman" w:hAnsi="Times New Roman" w:cs="Times New Roman"/>
                      <w:color w:val="000000" w:themeColor="text1"/>
                      <w:kern w:val="0"/>
                      <w:sz w:val="21"/>
                      <w:szCs w:val="21"/>
                      <w:u w:val="none"/>
                      <w:vertAlign w:val="baseline"/>
                      <w:lang w:val="en-US" w:eastAsia="zh-CN"/>
                      <w14:textFill>
                        <w14:solidFill>
                          <w14:schemeClr w14:val="tx1"/>
                        </w14:solidFill>
                      </w14:textFill>
                    </w:rPr>
                    <w:t>、TSP</w:t>
                  </w:r>
                </w:p>
              </w:tc>
              <w:tc>
                <w:tcPr>
                  <w:tcW w:w="408" w:type="pct"/>
                  <w:tcBorders>
                    <w:top w:val="single" w:color="auto" w:sz="6" w:space="0"/>
                    <w:left w:val="single" w:color="auto" w:sz="6" w:space="0"/>
                    <w:bottom w:val="single" w:color="auto" w:sz="6"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每年一次</w:t>
                  </w:r>
                </w:p>
              </w:tc>
              <w:tc>
                <w:tcPr>
                  <w:tcW w:w="2463" w:type="pct"/>
                  <w:vMerge w:val="restart"/>
                  <w:tcBorders>
                    <w:top w:val="single" w:color="auto" w:sz="6" w:space="0"/>
                    <w:left w:val="single" w:color="auto" w:sz="6"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《恶臭污染物排放标准》（GB14554-93）中新扩改建项目的二级标准；《锅炉大气污染物排放标准》（GB13271-2014）中表2燃气锅炉排放控制要求；</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《大气污染物综合排放标准》（GB16297-1996）表2中二级排放标准</w:t>
                  </w: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《大气污染物综合排放标准》（GB16297-1996）表2中</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无组织</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排放标准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288" w:type="pct"/>
                  <w:vMerge w:val="continue"/>
                  <w:tcBorders>
                    <w:left w:val="single" w:color="auto" w:sz="4" w:space="0"/>
                    <w:right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p>
              </w:tc>
              <w:tc>
                <w:tcPr>
                  <w:tcW w:w="65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15m排气筒</w:t>
                  </w:r>
                  <w:r>
                    <w:rPr>
                      <w:rFonts w:hint="default" w:ascii="Times New Roman" w:hAnsi="Times New Roman" w:eastAsia="宋体" w:cs="Times New Roman"/>
                      <w:color w:val="000000" w:themeColor="text1"/>
                      <w:kern w:val="0"/>
                      <w:sz w:val="21"/>
                      <w:szCs w:val="21"/>
                      <w:u w:val="none"/>
                      <w14:textFill>
                        <w14:solidFill>
                          <w14:schemeClr w14:val="tx1"/>
                        </w14:solidFill>
                      </w14:textFill>
                    </w:rPr>
                    <w:t>出口</w:t>
                  </w:r>
                </w:p>
              </w:tc>
              <w:tc>
                <w:tcPr>
                  <w:tcW w:w="426"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1个</w:t>
                  </w:r>
                </w:p>
              </w:tc>
              <w:tc>
                <w:tcPr>
                  <w:tcW w:w="753"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SO</w:t>
                  </w:r>
                  <w:r>
                    <w:rPr>
                      <w:rFonts w:hint="eastAsia" w:ascii="Times New Roman" w:hAnsi="Times New Roman" w:cs="Times New Roman"/>
                      <w:color w:val="000000" w:themeColor="text1"/>
                      <w:kern w:val="0"/>
                      <w:sz w:val="21"/>
                      <w:szCs w:val="21"/>
                      <w:u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kern w:val="0"/>
                      <w:sz w:val="21"/>
                      <w:szCs w:val="21"/>
                      <w:u w:val="none"/>
                      <w:vertAlign w:val="baseline"/>
                      <w:lang w:val="en-US" w:eastAsia="zh-CN"/>
                      <w14:textFill>
                        <w14:solidFill>
                          <w14:schemeClr w14:val="tx1"/>
                        </w14:solidFill>
                      </w14:textFill>
                    </w:rPr>
                    <w:t>、NO</w:t>
                  </w:r>
                  <w:r>
                    <w:rPr>
                      <w:rFonts w:hint="eastAsia" w:ascii="Times New Roman" w:hAnsi="Times New Roman" w:cs="Times New Roman"/>
                      <w:color w:val="000000" w:themeColor="text1"/>
                      <w:kern w:val="0"/>
                      <w:sz w:val="21"/>
                      <w:szCs w:val="21"/>
                      <w:u w:val="none"/>
                      <w:vertAlign w:val="subscript"/>
                      <w:lang w:val="en-US" w:eastAsia="zh-CN"/>
                      <w14:textFill>
                        <w14:solidFill>
                          <w14:schemeClr w14:val="tx1"/>
                        </w14:solidFill>
                      </w14:textFill>
                    </w:rPr>
                    <w:t>X</w:t>
                  </w:r>
                  <w:r>
                    <w:rPr>
                      <w:rFonts w:hint="eastAsia" w:ascii="Times New Roman" w:hAnsi="Times New Roman" w:cs="Times New Roman"/>
                      <w:color w:val="000000" w:themeColor="text1"/>
                      <w:kern w:val="0"/>
                      <w:sz w:val="21"/>
                      <w:szCs w:val="21"/>
                      <w:u w:val="none"/>
                      <w:vertAlign w:val="baseline"/>
                      <w:lang w:val="en-US" w:eastAsia="zh-CN"/>
                      <w14:textFill>
                        <w14:solidFill>
                          <w14:schemeClr w14:val="tx1"/>
                        </w14:solidFill>
                      </w14:textFill>
                    </w:rPr>
                    <w:t>、TSP</w:t>
                  </w:r>
                </w:p>
              </w:tc>
              <w:tc>
                <w:tcPr>
                  <w:tcW w:w="408" w:type="pct"/>
                  <w:tcBorders>
                    <w:top w:val="single" w:color="auto" w:sz="6" w:space="0"/>
                    <w:left w:val="single" w:color="auto" w:sz="6" w:space="0"/>
                    <w:bottom w:val="single" w:color="auto" w:sz="6"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每年一次</w:t>
                  </w:r>
                </w:p>
              </w:tc>
              <w:tc>
                <w:tcPr>
                  <w:tcW w:w="2463" w:type="pct"/>
                  <w:vMerge w:val="continue"/>
                  <w:tcBorders>
                    <w:left w:val="single" w:color="auto" w:sz="6"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288" w:type="pct"/>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p>
              </w:tc>
              <w:tc>
                <w:tcPr>
                  <w:tcW w:w="659" w:type="pct"/>
                  <w:tcBorders>
                    <w:top w:val="single" w:color="auto" w:sz="6" w:space="0"/>
                    <w:left w:val="single" w:color="auto" w:sz="6" w:space="0"/>
                    <w:bottom w:val="single" w:color="auto" w:sz="6" w:space="0"/>
                    <w:right w:val="single" w:color="auto" w:sz="6" w:space="0"/>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上风向、下风向厂界</w:t>
                  </w:r>
                </w:p>
              </w:tc>
              <w:tc>
                <w:tcPr>
                  <w:tcW w:w="426" w:type="pct"/>
                  <w:tcBorders>
                    <w:top w:val="single" w:color="auto" w:sz="6" w:space="0"/>
                    <w:left w:val="single" w:color="auto" w:sz="6" w:space="0"/>
                    <w:bottom w:val="single" w:color="auto" w:sz="6" w:space="0"/>
                    <w:right w:val="single" w:color="auto" w:sz="6" w:space="0"/>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2个</w:t>
                  </w:r>
                </w:p>
              </w:tc>
              <w:tc>
                <w:tcPr>
                  <w:tcW w:w="753" w:type="pct"/>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ind w:left="0" w:leftChars="0" w:firstLine="0" w:firstLineChars="0"/>
                    <w:jc w:val="cente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SO</w:t>
                  </w:r>
                  <w:r>
                    <w:rPr>
                      <w:rFonts w:hint="eastAsia" w:ascii="Times New Roman" w:hAnsi="Times New Roman" w:cs="Times New Roman"/>
                      <w:color w:val="000000" w:themeColor="text1"/>
                      <w:kern w:val="0"/>
                      <w:sz w:val="21"/>
                      <w:szCs w:val="21"/>
                      <w:u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kern w:val="0"/>
                      <w:sz w:val="21"/>
                      <w:szCs w:val="21"/>
                      <w:u w:val="none"/>
                      <w:vertAlign w:val="baseline"/>
                      <w:lang w:val="en-US" w:eastAsia="zh-CN"/>
                      <w14:textFill>
                        <w14:solidFill>
                          <w14:schemeClr w14:val="tx1"/>
                        </w14:solidFill>
                      </w14:textFill>
                    </w:rPr>
                    <w:t>、NO</w:t>
                  </w:r>
                  <w:r>
                    <w:rPr>
                      <w:rFonts w:hint="eastAsia" w:ascii="Times New Roman" w:hAnsi="Times New Roman" w:cs="Times New Roman"/>
                      <w:color w:val="000000" w:themeColor="text1"/>
                      <w:kern w:val="0"/>
                      <w:sz w:val="21"/>
                      <w:szCs w:val="21"/>
                      <w:u w:val="none"/>
                      <w:vertAlign w:val="subscript"/>
                      <w:lang w:val="en-US" w:eastAsia="zh-CN"/>
                      <w14:textFill>
                        <w14:solidFill>
                          <w14:schemeClr w14:val="tx1"/>
                        </w14:solidFill>
                      </w14:textFill>
                    </w:rPr>
                    <w:t>X</w:t>
                  </w:r>
                  <w:r>
                    <w:rPr>
                      <w:rFonts w:hint="eastAsia" w:ascii="Times New Roman" w:hAnsi="Times New Roman" w:cs="Times New Roman"/>
                      <w:color w:val="000000" w:themeColor="text1"/>
                      <w:kern w:val="0"/>
                      <w:sz w:val="21"/>
                      <w:szCs w:val="21"/>
                      <w:u w:val="none"/>
                      <w:vertAlign w:val="baseline"/>
                      <w:lang w:val="en-US" w:eastAsia="zh-CN"/>
                      <w14:textFill>
                        <w14:solidFill>
                          <w14:schemeClr w14:val="tx1"/>
                        </w14:solidFill>
                      </w14:textFill>
                    </w:rPr>
                    <w:t>、TSP</w:t>
                  </w: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、臭气浓度、NH</w:t>
                  </w:r>
                  <w:r>
                    <w:rPr>
                      <w:rFonts w:hint="eastAsia" w:ascii="Times New Roman" w:hAnsi="Times New Roman" w:cs="Times New Roman"/>
                      <w:color w:val="000000" w:themeColor="text1"/>
                      <w:kern w:val="0"/>
                      <w:sz w:val="21"/>
                      <w:szCs w:val="21"/>
                      <w:u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、H</w:t>
                  </w:r>
                  <w:r>
                    <w:rPr>
                      <w:rFonts w:hint="eastAsia" w:ascii="Times New Roman" w:hAnsi="Times New Roman" w:cs="Times New Roman"/>
                      <w:color w:val="000000" w:themeColor="text1"/>
                      <w:kern w:val="0"/>
                      <w:sz w:val="21"/>
                      <w:szCs w:val="21"/>
                      <w:u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S</w:t>
                  </w:r>
                </w:p>
              </w:tc>
              <w:tc>
                <w:tcPr>
                  <w:tcW w:w="408" w:type="pct"/>
                  <w:tcBorders>
                    <w:top w:val="single" w:color="auto" w:sz="6" w:space="0"/>
                    <w:left w:val="single" w:color="auto" w:sz="6" w:space="0"/>
                    <w:bottom w:val="single" w:color="auto" w:sz="6" w:space="0"/>
                    <w:right w:val="single" w:color="auto" w:sz="4" w:space="0"/>
                  </w:tcBorders>
                  <w:noWrap w:val="0"/>
                  <w:vAlign w:val="center"/>
                </w:tcPr>
                <w:p>
                  <w:pPr>
                    <w:widowControl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每年一次</w:t>
                  </w:r>
                </w:p>
              </w:tc>
              <w:tc>
                <w:tcPr>
                  <w:tcW w:w="2463" w:type="pct"/>
                  <w:vMerge w:val="continue"/>
                  <w:tcBorders>
                    <w:left w:val="single" w:color="auto" w:sz="6" w:space="0"/>
                    <w:bottom w:val="single" w:color="auto" w:sz="6"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284" w:hRule="atLeast"/>
                <w:jc w:val="center"/>
              </w:trPr>
              <w:tc>
                <w:tcPr>
                  <w:tcW w:w="288" w:type="pct"/>
                  <w:tcBorders>
                    <w:top w:val="single" w:color="auto" w:sz="6" w:space="0"/>
                    <w:left w:val="single" w:color="auto" w:sz="4" w:space="0"/>
                    <w:bottom w:val="single" w:color="auto" w:sz="4" w:space="0"/>
                    <w:right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噪声</w:t>
                  </w:r>
                </w:p>
              </w:tc>
              <w:tc>
                <w:tcPr>
                  <w:tcW w:w="659" w:type="pct"/>
                  <w:tcBorders>
                    <w:top w:val="single" w:color="auto" w:sz="6" w:space="0"/>
                    <w:left w:val="single" w:color="auto" w:sz="6" w:space="0"/>
                    <w:bottom w:val="single" w:color="auto" w:sz="4" w:space="0"/>
                    <w:right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场界四周外1m</w:t>
                  </w:r>
                </w:p>
              </w:tc>
              <w:tc>
                <w:tcPr>
                  <w:tcW w:w="426" w:type="pct"/>
                  <w:tcBorders>
                    <w:top w:val="single" w:color="auto" w:sz="6" w:space="0"/>
                    <w:left w:val="single" w:color="auto" w:sz="6" w:space="0"/>
                    <w:bottom w:val="single" w:color="auto" w:sz="4" w:space="0"/>
                    <w:right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4个</w:t>
                  </w:r>
                </w:p>
              </w:tc>
              <w:tc>
                <w:tcPr>
                  <w:tcW w:w="753" w:type="pct"/>
                  <w:tcBorders>
                    <w:top w:val="single" w:color="auto" w:sz="6" w:space="0"/>
                    <w:left w:val="single" w:color="auto" w:sz="6" w:space="0"/>
                    <w:bottom w:val="single" w:color="auto" w:sz="4" w:space="0"/>
                    <w:right w:val="single" w:color="auto" w:sz="6" w:space="0"/>
                  </w:tcBorders>
                  <w:noWrap w:val="0"/>
                  <w:vAlign w:val="center"/>
                </w:tcPr>
                <w:p>
                  <w:pPr>
                    <w:snapToGrid w:val="0"/>
                    <w:spacing w:line="240" w:lineRule="auto"/>
                    <w:ind w:left="0" w:leftChars="0" w:firstLine="0" w:firstLineChars="0"/>
                    <w:jc w:val="cente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lang w:val="en-US" w:eastAsia="zh-CN"/>
                      <w14:textFill>
                        <w14:solidFill>
                          <w14:schemeClr w14:val="tx1"/>
                        </w14:solidFill>
                      </w14:textFill>
                    </w:rPr>
                    <w:t>昼间、夜间连续等效A声级</w:t>
                  </w:r>
                </w:p>
              </w:tc>
              <w:tc>
                <w:tcPr>
                  <w:tcW w:w="408" w:type="pct"/>
                  <w:tcBorders>
                    <w:top w:val="single" w:color="auto" w:sz="6" w:space="0"/>
                    <w:left w:val="single" w:color="auto" w:sz="6"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每季度一次</w:t>
                  </w:r>
                </w:p>
              </w:tc>
              <w:tc>
                <w:tcPr>
                  <w:tcW w:w="2463" w:type="pct"/>
                  <w:tcBorders>
                    <w:top w:val="single" w:color="auto" w:sz="6" w:space="0"/>
                    <w:left w:val="single" w:color="auto" w:sz="6"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u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14:textFill>
                        <w14:solidFill>
                          <w14:schemeClr w14:val="tx1"/>
                        </w14:solidFill>
                      </w14:textFill>
                    </w:rPr>
                    <w:t>工业企业厂界环境噪声排放标准》(GB12348-2008)2类标准</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color w:val="000000" w:themeColor="text1"/>
                <w:sz w:val="21"/>
                <w:szCs w:val="21"/>
                <w:u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color w:val="000000" w:themeColor="text1"/>
                <w:sz w:val="21"/>
                <w:szCs w:val="21"/>
                <w:u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color w:val="000000" w:themeColor="text1"/>
                <w:sz w:val="21"/>
                <w:szCs w:val="21"/>
                <w:u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color w:val="000000" w:themeColor="text1"/>
                <w:sz w:val="21"/>
                <w:szCs w:val="21"/>
                <w:u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color w:val="000000" w:themeColor="text1"/>
                <w:sz w:val="21"/>
                <w:szCs w:val="21"/>
                <w:u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000000" w:themeColor="text1"/>
                <w:sz w:val="21"/>
                <w:szCs w:val="21"/>
                <w:u w:val="none"/>
                <w14:textFill>
                  <w14:solidFill>
                    <w14:schemeClr w14:val="tx1"/>
                  </w14:solidFill>
                </w14:textFill>
              </w:rPr>
            </w:pPr>
            <w:r>
              <w:rPr>
                <w:rFonts w:hint="default" w:ascii="Times New Roman" w:hAnsi="Times New Roman" w:eastAsia="宋体" w:cs="Times New Roman"/>
                <w:b/>
                <w:color w:val="000000" w:themeColor="text1"/>
                <w:sz w:val="21"/>
                <w:szCs w:val="21"/>
                <w:u w:val="none"/>
                <w14:textFill>
                  <w14:solidFill>
                    <w14:schemeClr w14:val="tx1"/>
                  </w14:solidFill>
                </w14:textFill>
              </w:rPr>
              <w:t>表</w:t>
            </w:r>
            <w:r>
              <w:rPr>
                <w:rFonts w:hint="eastAsia" w:ascii="Times New Roman" w:hAnsi="Times New Roman" w:eastAsia="宋体" w:cs="Times New Roman"/>
                <w:b/>
                <w:color w:val="000000" w:themeColor="text1"/>
                <w:sz w:val="21"/>
                <w:szCs w:val="21"/>
                <w:u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1"/>
                <w:szCs w:val="21"/>
                <w:u w:val="none"/>
                <w:lang w:val="en-US" w:eastAsia="zh-CN"/>
                <w14:textFill>
                  <w14:solidFill>
                    <w14:schemeClr w14:val="tx1"/>
                  </w14:solidFill>
                </w14:textFill>
              </w:rPr>
              <w:t>-</w:t>
            </w:r>
            <w:r>
              <w:rPr>
                <w:rFonts w:hint="eastAsia" w:ascii="Times New Roman" w:hAnsi="Times New Roman" w:cs="Times New Roman"/>
                <w:b/>
                <w:color w:val="000000" w:themeColor="text1"/>
                <w:sz w:val="21"/>
                <w:szCs w:val="21"/>
                <w:u w:val="none"/>
                <w:lang w:val="en-US" w:eastAsia="zh-CN"/>
                <w14:textFill>
                  <w14:solidFill>
                    <w14:schemeClr w14:val="tx1"/>
                  </w14:solidFill>
                </w14:textFill>
              </w:rPr>
              <w:t>25</w:t>
            </w:r>
            <w:r>
              <w:rPr>
                <w:rFonts w:hint="default" w:ascii="Times New Roman" w:hAnsi="Times New Roman" w:eastAsia="宋体" w:cs="Times New Roman"/>
                <w:b/>
                <w:color w:val="000000" w:themeColor="text1"/>
                <w:sz w:val="21"/>
                <w:szCs w:val="21"/>
                <w:u w:val="none"/>
                <w14:textFill>
                  <w14:solidFill>
                    <w14:schemeClr w14:val="tx1"/>
                  </w14:solidFill>
                </w14:textFill>
              </w:rPr>
              <w:t xml:space="preserve">  环境质量监测计划表</w:t>
            </w:r>
          </w:p>
          <w:tbl>
            <w:tblPr>
              <w:tblStyle w:val="2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1342"/>
              <w:gridCol w:w="1476"/>
              <w:gridCol w:w="1344"/>
              <w:gridCol w:w="31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pStyle w:val="36"/>
                    <w:spacing w:line="240" w:lineRule="auto"/>
                    <w:rPr>
                      <w:rFonts w:hint="default" w:ascii="Times New Roman" w:hAnsi="Times New Roman" w:eastAsia="宋体" w:cs="Times New Roman"/>
                      <w:color w:val="000000" w:themeColor="text1"/>
                      <w:kern w:val="2"/>
                      <w:u w:val="none"/>
                      <w14:textFill>
                        <w14:solidFill>
                          <w14:schemeClr w14:val="tx1"/>
                        </w14:solidFill>
                      </w14:textFill>
                    </w:rPr>
                  </w:pPr>
                  <w:r>
                    <w:rPr>
                      <w:rFonts w:hint="default" w:ascii="Times New Roman" w:hAnsi="Times New Roman" w:eastAsia="宋体" w:cs="Times New Roman"/>
                      <w:color w:val="000000" w:themeColor="text1"/>
                      <w:kern w:val="2"/>
                      <w:u w:val="none"/>
                      <w14:textFill>
                        <w14:solidFill>
                          <w14:schemeClr w14:val="tx1"/>
                        </w14:solidFill>
                      </w14:textFill>
                    </w:rPr>
                    <w:t>环境因素</w:t>
                  </w:r>
                </w:p>
              </w:tc>
              <w:tc>
                <w:tcPr>
                  <w:tcW w:w="812" w:type="pct"/>
                  <w:tcBorders>
                    <w:top w:val="single" w:color="000000" w:sz="4" w:space="0"/>
                    <w:left w:val="single" w:color="000000" w:sz="4" w:space="0"/>
                    <w:bottom w:val="single" w:color="000000" w:sz="4" w:space="0"/>
                    <w:right w:val="single" w:color="000000" w:sz="4" w:space="0"/>
                  </w:tcBorders>
                  <w:noWrap w:val="0"/>
                  <w:vAlign w:val="center"/>
                </w:tcPr>
                <w:p>
                  <w:pPr>
                    <w:pStyle w:val="36"/>
                    <w:spacing w:line="240" w:lineRule="auto"/>
                    <w:rPr>
                      <w:rFonts w:hint="default" w:ascii="Times New Roman" w:hAnsi="Times New Roman" w:eastAsia="宋体" w:cs="Times New Roman"/>
                      <w:color w:val="000000" w:themeColor="text1"/>
                      <w:kern w:val="2"/>
                      <w:u w:val="none"/>
                      <w14:textFill>
                        <w14:solidFill>
                          <w14:schemeClr w14:val="tx1"/>
                        </w14:solidFill>
                      </w14:textFill>
                    </w:rPr>
                  </w:pPr>
                  <w:r>
                    <w:rPr>
                      <w:rFonts w:hint="default" w:ascii="Times New Roman" w:hAnsi="Times New Roman" w:eastAsia="宋体" w:cs="Times New Roman"/>
                      <w:color w:val="000000" w:themeColor="text1"/>
                      <w:kern w:val="2"/>
                      <w:u w:val="none"/>
                      <w14:textFill>
                        <w14:solidFill>
                          <w14:schemeClr w14:val="tx1"/>
                        </w14:solidFill>
                      </w14:textFill>
                    </w:rPr>
                    <w:t>监测点位</w:t>
                  </w:r>
                </w:p>
              </w:tc>
              <w:tc>
                <w:tcPr>
                  <w:tcW w:w="893" w:type="pct"/>
                  <w:tcBorders>
                    <w:top w:val="single" w:color="000000" w:sz="4" w:space="0"/>
                    <w:left w:val="single" w:color="000000" w:sz="4" w:space="0"/>
                    <w:bottom w:val="single" w:color="000000" w:sz="4" w:space="0"/>
                    <w:right w:val="single" w:color="000000" w:sz="4" w:space="0"/>
                  </w:tcBorders>
                  <w:noWrap w:val="0"/>
                  <w:vAlign w:val="center"/>
                </w:tcPr>
                <w:p>
                  <w:pPr>
                    <w:pStyle w:val="36"/>
                    <w:spacing w:line="240" w:lineRule="auto"/>
                    <w:rPr>
                      <w:rFonts w:hint="default" w:ascii="Times New Roman" w:hAnsi="Times New Roman" w:eastAsia="宋体" w:cs="Times New Roman"/>
                      <w:color w:val="000000" w:themeColor="text1"/>
                      <w:kern w:val="2"/>
                      <w:u w:val="none"/>
                      <w14:textFill>
                        <w14:solidFill>
                          <w14:schemeClr w14:val="tx1"/>
                        </w14:solidFill>
                      </w14:textFill>
                    </w:rPr>
                  </w:pPr>
                  <w:r>
                    <w:rPr>
                      <w:rFonts w:hint="default" w:ascii="Times New Roman" w:hAnsi="Times New Roman" w:eastAsia="宋体" w:cs="Times New Roman"/>
                      <w:color w:val="000000" w:themeColor="text1"/>
                      <w:kern w:val="2"/>
                      <w:u w:val="none"/>
                      <w14:textFill>
                        <w14:solidFill>
                          <w14:schemeClr w14:val="tx1"/>
                        </w14:solidFill>
                      </w14:textFill>
                    </w:rPr>
                    <w:t>监测指标</w:t>
                  </w:r>
                </w:p>
              </w:tc>
              <w:tc>
                <w:tcPr>
                  <w:tcW w:w="813" w:type="pct"/>
                  <w:tcBorders>
                    <w:top w:val="single" w:color="000000" w:sz="4" w:space="0"/>
                    <w:left w:val="single" w:color="000000" w:sz="4" w:space="0"/>
                    <w:bottom w:val="single" w:color="000000" w:sz="4" w:space="0"/>
                    <w:right w:val="single" w:color="000000" w:sz="4" w:space="0"/>
                  </w:tcBorders>
                  <w:noWrap w:val="0"/>
                  <w:vAlign w:val="center"/>
                </w:tcPr>
                <w:p>
                  <w:pPr>
                    <w:pStyle w:val="36"/>
                    <w:spacing w:line="240" w:lineRule="auto"/>
                    <w:rPr>
                      <w:rFonts w:hint="default" w:ascii="Times New Roman" w:hAnsi="Times New Roman" w:eastAsia="宋体" w:cs="Times New Roman"/>
                      <w:color w:val="000000" w:themeColor="text1"/>
                      <w:kern w:val="2"/>
                      <w:u w:val="none"/>
                      <w14:textFill>
                        <w14:solidFill>
                          <w14:schemeClr w14:val="tx1"/>
                        </w14:solidFill>
                      </w14:textFill>
                    </w:rPr>
                  </w:pPr>
                  <w:r>
                    <w:rPr>
                      <w:rFonts w:hint="default" w:ascii="Times New Roman" w:hAnsi="Times New Roman" w:eastAsia="宋体" w:cs="Times New Roman"/>
                      <w:color w:val="000000" w:themeColor="text1"/>
                      <w:kern w:val="2"/>
                      <w:u w:val="none"/>
                      <w14:textFill>
                        <w14:solidFill>
                          <w14:schemeClr w14:val="tx1"/>
                        </w14:solidFill>
                      </w14:textFill>
                    </w:rPr>
                    <w:t>监测频次</w:t>
                  </w:r>
                </w:p>
              </w:tc>
              <w:tc>
                <w:tcPr>
                  <w:tcW w:w="1913" w:type="pct"/>
                  <w:tcBorders>
                    <w:top w:val="single" w:color="000000" w:sz="4" w:space="0"/>
                    <w:left w:val="single" w:color="000000" w:sz="4" w:space="0"/>
                    <w:bottom w:val="single" w:color="000000" w:sz="4" w:space="0"/>
                    <w:right w:val="single" w:color="000000" w:sz="4" w:space="0"/>
                  </w:tcBorders>
                  <w:noWrap w:val="0"/>
                  <w:vAlign w:val="center"/>
                </w:tcPr>
                <w:p>
                  <w:pPr>
                    <w:pStyle w:val="36"/>
                    <w:spacing w:line="240" w:lineRule="auto"/>
                    <w:rPr>
                      <w:rFonts w:hint="default" w:ascii="Times New Roman" w:hAnsi="Times New Roman" w:eastAsia="宋体" w:cs="Times New Roman"/>
                      <w:color w:val="000000" w:themeColor="text1"/>
                      <w:kern w:val="2"/>
                      <w:u w:val="none"/>
                      <w14:textFill>
                        <w14:solidFill>
                          <w14:schemeClr w14:val="tx1"/>
                        </w14:solidFill>
                      </w14:textFill>
                    </w:rPr>
                  </w:pPr>
                  <w:r>
                    <w:rPr>
                      <w:rFonts w:hint="default" w:ascii="Times New Roman" w:hAnsi="Times New Roman" w:eastAsia="宋体" w:cs="Times New Roman"/>
                      <w:color w:val="000000" w:themeColor="text1"/>
                      <w:kern w:val="2"/>
                      <w:u w:val="none"/>
                      <w14:textFill>
                        <w14:solidFill>
                          <w14:schemeClr w14:val="tx1"/>
                        </w14:solidFill>
                      </w14:textFill>
                    </w:rPr>
                    <w:t>执行环境质量标准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pStyle w:val="36"/>
                    <w:spacing w:line="240" w:lineRule="auto"/>
                    <w:rPr>
                      <w:rFonts w:hint="default" w:ascii="Times New Roman" w:hAnsi="Times New Roman" w:eastAsia="宋体" w:cs="Times New Roman"/>
                      <w:color w:val="000000" w:themeColor="text1"/>
                      <w:kern w:val="2"/>
                      <w:u w:val="none"/>
                      <w14:textFill>
                        <w14:solidFill>
                          <w14:schemeClr w14:val="tx1"/>
                        </w14:solidFill>
                      </w14:textFill>
                    </w:rPr>
                  </w:pPr>
                  <w:r>
                    <w:rPr>
                      <w:rFonts w:hint="default" w:ascii="Times New Roman" w:hAnsi="Times New Roman" w:eastAsia="宋体" w:cs="Times New Roman"/>
                      <w:color w:val="000000" w:themeColor="text1"/>
                      <w:kern w:val="2"/>
                      <w:u w:val="none"/>
                      <w14:textFill>
                        <w14:solidFill>
                          <w14:schemeClr w14:val="tx1"/>
                        </w14:solidFill>
                      </w14:textFill>
                    </w:rPr>
                    <w:t>环境空气</w:t>
                  </w:r>
                </w:p>
              </w:tc>
              <w:tc>
                <w:tcPr>
                  <w:tcW w:w="812" w:type="pct"/>
                  <w:tcBorders>
                    <w:top w:val="single" w:color="000000" w:sz="4" w:space="0"/>
                    <w:left w:val="single" w:color="000000" w:sz="4" w:space="0"/>
                    <w:bottom w:val="single" w:color="000000" w:sz="4" w:space="0"/>
                    <w:right w:val="single" w:color="000000" w:sz="4" w:space="0"/>
                  </w:tcBorders>
                  <w:noWrap w:val="0"/>
                  <w:vAlign w:val="center"/>
                </w:tcPr>
                <w:p>
                  <w:pPr>
                    <w:pStyle w:val="36"/>
                    <w:spacing w:line="240" w:lineRule="auto"/>
                    <w:rPr>
                      <w:rFonts w:hint="default" w:ascii="Times New Roman" w:hAnsi="Times New Roman" w:eastAsia="宋体" w:cs="Times New Roman"/>
                      <w:color w:val="000000" w:themeColor="text1"/>
                      <w:kern w:val="2"/>
                      <w:u w:val="none"/>
                      <w14:textFill>
                        <w14:solidFill>
                          <w14:schemeClr w14:val="tx1"/>
                        </w14:solidFill>
                      </w14:textFill>
                    </w:rPr>
                  </w:pPr>
                  <w:r>
                    <w:rPr>
                      <w:rFonts w:hint="default" w:ascii="Times New Roman" w:hAnsi="Times New Roman" w:eastAsia="宋体" w:cs="Times New Roman"/>
                      <w:color w:val="000000" w:themeColor="text1"/>
                      <w:kern w:val="2"/>
                      <w:u w:val="none"/>
                      <w14:textFill>
                        <w14:solidFill>
                          <w14:schemeClr w14:val="tx1"/>
                        </w14:solidFill>
                      </w14:textFill>
                    </w:rPr>
                    <w:t>下风向厂界</w:t>
                  </w:r>
                </w:p>
              </w:tc>
              <w:tc>
                <w:tcPr>
                  <w:tcW w:w="893" w:type="pct"/>
                  <w:tcBorders>
                    <w:top w:val="single" w:color="000000" w:sz="4" w:space="0"/>
                    <w:left w:val="single" w:color="000000" w:sz="4" w:space="0"/>
                    <w:bottom w:val="single" w:color="000000" w:sz="4" w:space="0"/>
                    <w:right w:val="single" w:color="000000" w:sz="4" w:space="0"/>
                  </w:tcBorders>
                  <w:noWrap w:val="0"/>
                  <w:vAlign w:val="center"/>
                </w:tcPr>
                <w:p>
                  <w:pPr>
                    <w:pStyle w:val="36"/>
                    <w:spacing w:line="240" w:lineRule="auto"/>
                    <w:rPr>
                      <w:rFonts w:hint="default" w:ascii="Times New Roman" w:hAnsi="Times New Roman" w:eastAsia="宋体" w:cs="Times New Roman"/>
                      <w:color w:val="000000" w:themeColor="text1"/>
                      <w:kern w:val="2"/>
                      <w:u w:val="none"/>
                      <w14:textFill>
                        <w14:solidFill>
                          <w14:schemeClr w14:val="tx1"/>
                        </w14:solidFill>
                      </w14:textFill>
                    </w:rPr>
                  </w:pP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SO</w:t>
                  </w:r>
                  <w:r>
                    <w:rPr>
                      <w:rFonts w:hint="eastAsia" w:ascii="Times New Roman" w:hAnsi="Times New Roman" w:cs="Times New Roman"/>
                      <w:color w:val="000000" w:themeColor="text1"/>
                      <w:kern w:val="0"/>
                      <w:sz w:val="21"/>
                      <w:szCs w:val="21"/>
                      <w:u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kern w:val="0"/>
                      <w:sz w:val="21"/>
                      <w:szCs w:val="21"/>
                      <w:u w:val="none"/>
                      <w:vertAlign w:val="baseline"/>
                      <w:lang w:val="en-US" w:eastAsia="zh-CN"/>
                      <w14:textFill>
                        <w14:solidFill>
                          <w14:schemeClr w14:val="tx1"/>
                        </w14:solidFill>
                      </w14:textFill>
                    </w:rPr>
                    <w:t>、NO</w:t>
                  </w:r>
                  <w:r>
                    <w:rPr>
                      <w:rFonts w:hint="eastAsia" w:ascii="Times New Roman" w:hAnsi="Times New Roman" w:cs="Times New Roman"/>
                      <w:color w:val="000000" w:themeColor="text1"/>
                      <w:kern w:val="0"/>
                      <w:sz w:val="21"/>
                      <w:szCs w:val="21"/>
                      <w:u w:val="none"/>
                      <w:vertAlign w:val="subscript"/>
                      <w:lang w:val="en-US" w:eastAsia="zh-CN"/>
                      <w14:textFill>
                        <w14:solidFill>
                          <w14:schemeClr w14:val="tx1"/>
                        </w14:solidFill>
                      </w14:textFill>
                    </w:rPr>
                    <w:t>X</w:t>
                  </w:r>
                  <w:r>
                    <w:rPr>
                      <w:rFonts w:hint="eastAsia" w:ascii="Times New Roman" w:hAnsi="Times New Roman" w:cs="Times New Roman"/>
                      <w:color w:val="000000" w:themeColor="text1"/>
                      <w:kern w:val="0"/>
                      <w:sz w:val="21"/>
                      <w:szCs w:val="21"/>
                      <w:u w:val="none"/>
                      <w:vertAlign w:val="baseline"/>
                      <w:lang w:val="en-US" w:eastAsia="zh-CN"/>
                      <w14:textFill>
                        <w14:solidFill>
                          <w14:schemeClr w14:val="tx1"/>
                        </w14:solidFill>
                      </w14:textFill>
                    </w:rPr>
                    <w:t>、</w:t>
                  </w: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TSP、臭气浓度、NH</w:t>
                  </w:r>
                  <w:r>
                    <w:rPr>
                      <w:rFonts w:hint="eastAsia" w:ascii="Times New Roman" w:hAnsi="Times New Roman" w:cs="Times New Roman"/>
                      <w:color w:val="000000" w:themeColor="text1"/>
                      <w:kern w:val="0"/>
                      <w:sz w:val="21"/>
                      <w:szCs w:val="21"/>
                      <w:u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、H</w:t>
                  </w:r>
                  <w:r>
                    <w:rPr>
                      <w:rFonts w:hint="eastAsia" w:ascii="Times New Roman" w:hAnsi="Times New Roman" w:cs="Times New Roman"/>
                      <w:color w:val="000000" w:themeColor="text1"/>
                      <w:kern w:val="0"/>
                      <w:sz w:val="21"/>
                      <w:szCs w:val="21"/>
                      <w:u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S</w:t>
                  </w:r>
                </w:p>
              </w:tc>
              <w:tc>
                <w:tcPr>
                  <w:tcW w:w="813" w:type="pct"/>
                  <w:tcBorders>
                    <w:top w:val="single" w:color="000000" w:sz="4" w:space="0"/>
                    <w:left w:val="single" w:color="000000" w:sz="4" w:space="0"/>
                    <w:bottom w:val="single" w:color="000000" w:sz="4" w:space="0"/>
                    <w:right w:val="single" w:color="000000" w:sz="4" w:space="0"/>
                  </w:tcBorders>
                  <w:noWrap w:val="0"/>
                  <w:vAlign w:val="center"/>
                </w:tcPr>
                <w:p>
                  <w:pPr>
                    <w:pStyle w:val="36"/>
                    <w:spacing w:line="240" w:lineRule="auto"/>
                    <w:rPr>
                      <w:rFonts w:hint="default" w:ascii="Times New Roman" w:hAnsi="Times New Roman" w:eastAsia="宋体" w:cs="Times New Roman"/>
                      <w:color w:val="000000" w:themeColor="text1"/>
                      <w:kern w:val="2"/>
                      <w:u w:val="none"/>
                      <w14:textFill>
                        <w14:solidFill>
                          <w14:schemeClr w14:val="tx1"/>
                        </w14:solidFill>
                      </w14:textFill>
                    </w:rPr>
                  </w:pPr>
                  <w:r>
                    <w:rPr>
                      <w:rFonts w:hint="default" w:ascii="Times New Roman" w:hAnsi="Times New Roman" w:eastAsia="宋体" w:cs="Times New Roman"/>
                      <w:color w:val="000000" w:themeColor="text1"/>
                      <w:kern w:val="2"/>
                      <w:u w:val="none"/>
                      <w14:textFill>
                        <w14:solidFill>
                          <w14:schemeClr w14:val="tx1"/>
                        </w14:solidFill>
                      </w14:textFill>
                    </w:rPr>
                    <w:t>每年一次</w:t>
                  </w:r>
                </w:p>
              </w:tc>
              <w:tc>
                <w:tcPr>
                  <w:tcW w:w="1913" w:type="pct"/>
                  <w:tcBorders>
                    <w:top w:val="single" w:color="000000" w:sz="4" w:space="0"/>
                    <w:left w:val="single" w:color="000000" w:sz="4" w:space="0"/>
                    <w:bottom w:val="single" w:color="000000" w:sz="4" w:space="0"/>
                    <w:right w:val="single" w:color="000000" w:sz="4" w:space="0"/>
                  </w:tcBorders>
                  <w:noWrap w:val="0"/>
                  <w:vAlign w:val="center"/>
                </w:tcPr>
                <w:p>
                  <w:pPr>
                    <w:pStyle w:val="36"/>
                    <w:spacing w:line="240" w:lineRule="auto"/>
                    <w:rPr>
                      <w:rFonts w:hint="default" w:ascii="Times New Roman" w:hAnsi="Times New Roman" w:eastAsia="宋体" w:cs="Times New Roman"/>
                      <w:color w:val="000000" w:themeColor="text1"/>
                      <w:kern w:val="2"/>
                      <w:u w:val="none"/>
                      <w14:textFill>
                        <w14:solidFill>
                          <w14:schemeClr w14:val="tx1"/>
                        </w14:solidFill>
                      </w14:textFill>
                    </w:rPr>
                  </w:pPr>
                  <w:r>
                    <w:rPr>
                      <w:rFonts w:hint="default" w:ascii="Times New Roman" w:hAnsi="Times New Roman" w:eastAsia="宋体" w:cs="Times New Roman"/>
                      <w:color w:val="000000" w:themeColor="text1"/>
                      <w:u w:val="none"/>
                      <w:lang w:eastAsia="zh-CN"/>
                      <w14:textFill>
                        <w14:solidFill>
                          <w14:schemeClr w14:val="tx1"/>
                        </w14:solidFill>
                      </w14:textFill>
                    </w:rPr>
                    <w:t>《</w:t>
                  </w:r>
                  <w:r>
                    <w:rPr>
                      <w:rFonts w:hint="default" w:ascii="Times New Roman" w:hAnsi="Times New Roman" w:eastAsia="宋体" w:cs="Times New Roman"/>
                      <w:color w:val="000000" w:themeColor="text1"/>
                      <w:u w:val="none"/>
                      <w14:textFill>
                        <w14:solidFill>
                          <w14:schemeClr w14:val="tx1"/>
                        </w14:solidFill>
                      </w14:textFill>
                    </w:rPr>
                    <w:t>环境影响评价技术导则</w:t>
                  </w:r>
                  <w:r>
                    <w:rPr>
                      <w:rFonts w:hint="default" w:ascii="Times New Roman" w:hAnsi="Times New Roman" w:eastAsia="宋体" w:cs="Times New Roman"/>
                      <w:color w:val="000000" w:themeColor="text1"/>
                      <w:u w:val="none"/>
                      <w:lang w:val="en-US" w:eastAsia="zh-CN"/>
                      <w14:textFill>
                        <w14:solidFill>
                          <w14:schemeClr w14:val="tx1"/>
                        </w14:solidFill>
                      </w14:textFill>
                    </w:rPr>
                    <w:t>-</w:t>
                  </w:r>
                  <w:r>
                    <w:rPr>
                      <w:rFonts w:hint="default" w:ascii="Times New Roman" w:hAnsi="Times New Roman" w:eastAsia="宋体" w:cs="Times New Roman"/>
                      <w:color w:val="000000" w:themeColor="text1"/>
                      <w:u w:val="none"/>
                      <w14:textFill>
                        <w14:solidFill>
                          <w14:schemeClr w14:val="tx1"/>
                        </w14:solidFill>
                      </w14:textFill>
                    </w:rPr>
                    <w:t>大气环境》（HJ2.2-2018）附录D中表D.1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pStyle w:val="36"/>
                    <w:spacing w:line="240" w:lineRule="auto"/>
                    <w:rPr>
                      <w:rFonts w:hint="default" w:ascii="Times New Roman" w:hAnsi="Times New Roman" w:eastAsia="宋体" w:cs="Times New Roman"/>
                      <w:color w:val="000000" w:themeColor="text1"/>
                      <w:kern w:val="2"/>
                      <w:u w:val="none"/>
                      <w14:textFill>
                        <w14:solidFill>
                          <w14:schemeClr w14:val="tx1"/>
                        </w14:solidFill>
                      </w14:textFill>
                    </w:rPr>
                  </w:pPr>
                  <w:r>
                    <w:rPr>
                      <w:rFonts w:hint="default" w:ascii="Times New Roman" w:hAnsi="Times New Roman" w:eastAsia="宋体" w:cs="Times New Roman"/>
                      <w:color w:val="000000" w:themeColor="text1"/>
                      <w:kern w:val="2"/>
                      <w:u w:val="none"/>
                      <w14:textFill>
                        <w14:solidFill>
                          <w14:schemeClr w14:val="tx1"/>
                        </w14:solidFill>
                      </w14:textFill>
                    </w:rPr>
                    <w:t>声环境</w:t>
                  </w:r>
                </w:p>
              </w:tc>
              <w:tc>
                <w:tcPr>
                  <w:tcW w:w="812" w:type="pct"/>
                  <w:tcBorders>
                    <w:top w:val="single" w:color="000000" w:sz="4" w:space="0"/>
                    <w:left w:val="single" w:color="000000" w:sz="4" w:space="0"/>
                    <w:bottom w:val="single" w:color="000000" w:sz="4" w:space="0"/>
                    <w:right w:val="single" w:color="000000" w:sz="4" w:space="0"/>
                  </w:tcBorders>
                  <w:noWrap w:val="0"/>
                  <w:vAlign w:val="center"/>
                </w:tcPr>
                <w:p>
                  <w:pPr>
                    <w:pStyle w:val="36"/>
                    <w:spacing w:line="240" w:lineRule="auto"/>
                    <w:rPr>
                      <w:rFonts w:hint="default" w:ascii="Times New Roman" w:hAnsi="Times New Roman" w:eastAsia="宋体" w:cs="Times New Roman"/>
                      <w:color w:val="000000" w:themeColor="text1"/>
                      <w:kern w:val="2"/>
                      <w:u w:val="none"/>
                      <w14:textFill>
                        <w14:solidFill>
                          <w14:schemeClr w14:val="tx1"/>
                        </w14:solidFill>
                      </w14:textFill>
                    </w:rPr>
                  </w:pPr>
                  <w:r>
                    <w:rPr>
                      <w:rFonts w:hint="default" w:ascii="Times New Roman" w:hAnsi="Times New Roman" w:eastAsia="宋体" w:cs="Times New Roman"/>
                      <w:color w:val="000000" w:themeColor="text1"/>
                      <w:kern w:val="2"/>
                      <w:u w:val="none"/>
                      <w14:textFill>
                        <w14:solidFill>
                          <w14:schemeClr w14:val="tx1"/>
                        </w14:solidFill>
                      </w14:textFill>
                    </w:rPr>
                    <w:t>各个四周厂界</w:t>
                  </w:r>
                </w:p>
              </w:tc>
              <w:tc>
                <w:tcPr>
                  <w:tcW w:w="893" w:type="pct"/>
                  <w:tcBorders>
                    <w:top w:val="single" w:color="000000" w:sz="4" w:space="0"/>
                    <w:left w:val="single" w:color="000000" w:sz="4" w:space="0"/>
                    <w:bottom w:val="single" w:color="000000" w:sz="4" w:space="0"/>
                    <w:right w:val="single" w:color="000000" w:sz="4" w:space="0"/>
                  </w:tcBorders>
                  <w:noWrap w:val="0"/>
                  <w:vAlign w:val="center"/>
                </w:tcPr>
                <w:p>
                  <w:pPr>
                    <w:pStyle w:val="36"/>
                    <w:spacing w:line="240" w:lineRule="auto"/>
                    <w:rPr>
                      <w:rFonts w:hint="default" w:ascii="Times New Roman" w:hAnsi="Times New Roman" w:eastAsia="宋体" w:cs="Times New Roman"/>
                      <w:color w:val="000000" w:themeColor="text1"/>
                      <w:kern w:val="2"/>
                      <w:u w:val="none"/>
                      <w14:textFill>
                        <w14:solidFill>
                          <w14:schemeClr w14:val="tx1"/>
                        </w14:solidFill>
                      </w14:textFill>
                    </w:rPr>
                  </w:pPr>
                  <w:r>
                    <w:rPr>
                      <w:rFonts w:hint="default" w:ascii="Times New Roman" w:hAnsi="Times New Roman" w:eastAsia="宋体" w:cs="Times New Roman"/>
                      <w:color w:val="000000" w:themeColor="text1"/>
                      <w:kern w:val="2"/>
                      <w:u w:val="none"/>
                      <w14:textFill>
                        <w14:solidFill>
                          <w14:schemeClr w14:val="tx1"/>
                        </w14:solidFill>
                      </w14:textFill>
                    </w:rPr>
                    <w:t>昼间、夜间连续等效A声级</w:t>
                  </w:r>
                </w:p>
              </w:tc>
              <w:tc>
                <w:tcPr>
                  <w:tcW w:w="813" w:type="pct"/>
                  <w:tcBorders>
                    <w:top w:val="single" w:color="000000" w:sz="4" w:space="0"/>
                    <w:left w:val="single" w:color="000000" w:sz="4" w:space="0"/>
                    <w:bottom w:val="single" w:color="000000" w:sz="4" w:space="0"/>
                    <w:right w:val="single" w:color="000000" w:sz="4" w:space="0"/>
                  </w:tcBorders>
                  <w:noWrap w:val="0"/>
                  <w:vAlign w:val="center"/>
                </w:tcPr>
                <w:p>
                  <w:pPr>
                    <w:pStyle w:val="36"/>
                    <w:spacing w:line="240" w:lineRule="auto"/>
                    <w:rPr>
                      <w:rFonts w:hint="default" w:ascii="Times New Roman" w:hAnsi="Times New Roman" w:eastAsia="宋体" w:cs="Times New Roman"/>
                      <w:color w:val="000000" w:themeColor="text1"/>
                      <w:kern w:val="2"/>
                      <w:u w:val="none"/>
                      <w14:textFill>
                        <w14:solidFill>
                          <w14:schemeClr w14:val="tx1"/>
                        </w14:solidFill>
                      </w14:textFill>
                    </w:rPr>
                  </w:pPr>
                  <w:r>
                    <w:rPr>
                      <w:rFonts w:hint="default" w:ascii="Times New Roman" w:hAnsi="Times New Roman" w:eastAsia="宋体" w:cs="Times New Roman"/>
                      <w:color w:val="000000" w:themeColor="text1"/>
                      <w:kern w:val="2"/>
                      <w:u w:val="none"/>
                      <w14:textFill>
                        <w14:solidFill>
                          <w14:schemeClr w14:val="tx1"/>
                        </w14:solidFill>
                      </w14:textFill>
                    </w:rPr>
                    <w:t>每年一次，昼间、夜间各一次</w:t>
                  </w:r>
                </w:p>
              </w:tc>
              <w:tc>
                <w:tcPr>
                  <w:tcW w:w="1913" w:type="pct"/>
                  <w:tcBorders>
                    <w:top w:val="single" w:color="000000" w:sz="4" w:space="0"/>
                    <w:left w:val="single" w:color="000000" w:sz="4" w:space="0"/>
                    <w:bottom w:val="single" w:color="000000" w:sz="4" w:space="0"/>
                    <w:right w:val="single" w:color="000000" w:sz="4" w:space="0"/>
                  </w:tcBorders>
                  <w:noWrap w:val="0"/>
                  <w:vAlign w:val="center"/>
                </w:tcPr>
                <w:p>
                  <w:pPr>
                    <w:pStyle w:val="36"/>
                    <w:spacing w:line="240" w:lineRule="auto"/>
                    <w:rPr>
                      <w:rFonts w:hint="default" w:ascii="Times New Roman" w:hAnsi="Times New Roman" w:eastAsia="宋体" w:cs="Times New Roman"/>
                      <w:color w:val="000000" w:themeColor="text1"/>
                      <w:kern w:val="2"/>
                      <w:u w:val="none"/>
                      <w14:textFill>
                        <w14:solidFill>
                          <w14:schemeClr w14:val="tx1"/>
                        </w14:solidFill>
                      </w14:textFill>
                    </w:rPr>
                  </w:pPr>
                  <w:r>
                    <w:rPr>
                      <w:rFonts w:hint="default" w:ascii="Times New Roman" w:hAnsi="Times New Roman" w:eastAsia="宋体" w:cs="Times New Roman"/>
                      <w:color w:val="000000" w:themeColor="text1"/>
                      <w:kern w:val="2"/>
                      <w:u w:val="none"/>
                      <w14:textFill>
                        <w14:solidFill>
                          <w14:schemeClr w14:val="tx1"/>
                        </w14:solidFill>
                      </w14:textFill>
                    </w:rPr>
                    <w:t>《声环境质量标准》（GB3096-2008）中2类标准</w:t>
                  </w:r>
                </w:p>
              </w:tc>
            </w:tr>
          </w:tbl>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0"/>
                <w:u w:val="none"/>
                <w14:textFill>
                  <w14:solidFill>
                    <w14:schemeClr w14:val="tx1"/>
                  </w14:solidFill>
                </w14:textFill>
              </w:rPr>
            </w:pPr>
            <w:r>
              <w:rPr>
                <w:rFonts w:hint="default" w:ascii="Times New Roman" w:hAnsi="Times New Roman" w:eastAsia="宋体" w:cs="Times New Roman"/>
                <w:color w:val="000000" w:themeColor="text1"/>
                <w:sz w:val="24"/>
                <w:szCs w:val="20"/>
                <w:u w:val="none"/>
                <w14:textFill>
                  <w14:solidFill>
                    <w14:schemeClr w14:val="tx1"/>
                  </w14:solidFill>
                </w14:textFill>
              </w:rPr>
              <w:t>由环境监测组负责对每次监测结果按环保部门统一的表格填写，一式三份，一份留存，一份交公司环保主管领导，一份送档案室存档。按环保行政主管部门的要求，定期编制监测报告，由公司环保主管领导审核后报当地环保行政主管部门。</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575" w:leftChars="0" w:right="0" w:rightChars="0" w:hanging="575" w:firstLineChars="0"/>
              <w:jc w:val="both"/>
              <w:textAlignment w:val="auto"/>
              <w:outlineLvl w:val="1"/>
              <w:rPr>
                <w:rFonts w:hint="default" w:ascii="Times New Roman" w:hAnsi="Times New Roman" w:eastAsia="宋体" w:cs="Times New Roman"/>
                <w:b/>
                <w:bCs/>
                <w:color w:val="000000"/>
                <w:kern w:val="2"/>
                <w:sz w:val="28"/>
                <w:szCs w:val="32"/>
                <w:u w:val="none"/>
                <w:lang w:val="en-US" w:eastAsia="zh-CN" w:bidi="ar-SA"/>
              </w:rPr>
            </w:pPr>
            <w:r>
              <w:rPr>
                <w:rFonts w:hint="eastAsia" w:ascii="Times New Roman" w:hAnsi="Times New Roman" w:eastAsia="宋体" w:cs="Times New Roman"/>
                <w:b/>
                <w:bCs/>
                <w:color w:val="000000"/>
                <w:kern w:val="2"/>
                <w:sz w:val="28"/>
                <w:szCs w:val="32"/>
                <w:u w:val="none"/>
                <w:lang w:val="en-US" w:eastAsia="zh-CN" w:bidi="ar-SA"/>
              </w:rPr>
              <w:t>4、</w:t>
            </w:r>
            <w:r>
              <w:rPr>
                <w:rFonts w:hint="default" w:ascii="Times New Roman" w:hAnsi="Times New Roman" w:eastAsia="宋体" w:cs="Times New Roman"/>
                <w:b/>
                <w:bCs/>
                <w:color w:val="000000"/>
                <w:kern w:val="2"/>
                <w:sz w:val="28"/>
                <w:szCs w:val="32"/>
                <w:u w:val="none"/>
                <w:lang w:val="en-US" w:eastAsia="zh-CN" w:bidi="ar-SA"/>
              </w:rPr>
              <w:t>对排污口规范化的要求</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r>
              <w:rPr>
                <w:rFonts w:hint="default" w:ascii="Times New Roman" w:hAnsi="Times New Roman" w:eastAsia="宋体" w:cs="Times New Roman"/>
                <w:color w:val="000000"/>
                <w:sz w:val="24"/>
                <w:szCs w:val="22"/>
                <w:u w:val="none"/>
              </w:rPr>
              <w:t>该项目的排污口设置必须符合国家的排污口规范化的要求。</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r>
              <w:rPr>
                <w:rFonts w:hint="default" w:ascii="Times New Roman" w:hAnsi="Times New Roman" w:eastAsia="宋体" w:cs="Times New Roman"/>
                <w:color w:val="000000"/>
                <w:sz w:val="24"/>
                <w:szCs w:val="22"/>
                <w:u w:val="none"/>
              </w:rPr>
              <w:t>（1）废气排污口：设置</w:t>
            </w:r>
            <w:r>
              <w:rPr>
                <w:rFonts w:hint="eastAsia" w:ascii="Times New Roman" w:hAnsi="Times New Roman" w:cs="Times New Roman"/>
                <w:color w:val="000000"/>
                <w:sz w:val="24"/>
                <w:szCs w:val="22"/>
                <w:u w:val="none"/>
                <w:lang w:val="en-US" w:eastAsia="zh-CN"/>
              </w:rPr>
              <w:t>锅炉废气烟囱和滚筒式炒锅废气排气筒，</w:t>
            </w:r>
            <w:r>
              <w:rPr>
                <w:rFonts w:hint="default" w:ascii="Times New Roman" w:hAnsi="Times New Roman" w:eastAsia="宋体" w:cs="Times New Roman"/>
                <w:color w:val="000000"/>
                <w:sz w:val="24"/>
                <w:szCs w:val="22"/>
                <w:u w:val="none"/>
              </w:rPr>
              <w:t>在排气筒附近地面醒目处设置环保图形标志牌，标明排气筒高度、出口内径、排放污染物种类等。废气排放口必须符合《污染源监测技术规范》的要求，便于采样、监测的要求，各废气管道应设置永久采样孔，其采样口由环境监察支队和环境监测站共同确认。</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0"/>
                <w:u w:val="none"/>
              </w:rPr>
            </w:pPr>
            <w:r>
              <w:rPr>
                <w:rFonts w:hint="default" w:ascii="Times New Roman" w:hAnsi="Times New Roman" w:eastAsia="宋体" w:cs="Times New Roman"/>
                <w:color w:val="000000"/>
                <w:sz w:val="24"/>
                <w:szCs w:val="20"/>
                <w:u w:val="none"/>
              </w:rPr>
              <w:t>（2）生产废水、生活污水不外排，设置雨水排口。</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0"/>
                <w:u w:val="none"/>
              </w:rPr>
            </w:pPr>
            <w:r>
              <w:rPr>
                <w:rFonts w:hint="default" w:ascii="Times New Roman" w:hAnsi="Times New Roman" w:eastAsia="宋体" w:cs="Times New Roman"/>
                <w:color w:val="000000"/>
                <w:sz w:val="24"/>
                <w:szCs w:val="20"/>
                <w:u w:val="none"/>
              </w:rPr>
              <w:t>（3）厂界噪声：按规定对固定噪声进行治理，并在边界噪声敏感点、且对外界影响最大处设置标志牌。</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0"/>
                <w:u w:val="none"/>
              </w:rPr>
            </w:pPr>
            <w:r>
              <w:rPr>
                <w:rFonts w:hint="default" w:ascii="Times New Roman" w:hAnsi="Times New Roman" w:eastAsia="宋体" w:cs="Times New Roman"/>
                <w:color w:val="000000"/>
                <w:sz w:val="24"/>
                <w:szCs w:val="20"/>
                <w:u w:val="none"/>
              </w:rPr>
              <w:t>（4）固体废物贮存</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0"/>
                <w:u w:val="none"/>
              </w:rPr>
            </w:pPr>
            <w:r>
              <w:rPr>
                <w:rFonts w:hint="default" w:ascii="Times New Roman" w:hAnsi="Times New Roman" w:eastAsia="宋体" w:cs="Times New Roman"/>
                <w:color w:val="000000"/>
                <w:sz w:val="24"/>
                <w:szCs w:val="20"/>
                <w:u w:val="none"/>
              </w:rPr>
              <w:t>建设项目设置一般工业固体废物暂存间、危险废物暂存间，应对各种固体废物分别收集、贮存和运输，暂存间有防扬散、防流失、防渗渗漏等措施，并应设置标志牌。</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0"/>
                <w:u w:val="none"/>
              </w:rPr>
            </w:pPr>
            <w:r>
              <w:rPr>
                <w:rFonts w:hint="default" w:ascii="Times New Roman" w:hAnsi="Times New Roman" w:eastAsia="宋体" w:cs="Times New Roman"/>
                <w:color w:val="000000"/>
                <w:sz w:val="24"/>
                <w:szCs w:val="20"/>
                <w:u w:val="none"/>
              </w:rPr>
              <w:t>（5）设置标志牌要求</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0"/>
                <w:u w:val="none"/>
              </w:rPr>
            </w:pPr>
            <w:r>
              <w:rPr>
                <w:rFonts w:hint="default" w:ascii="Times New Roman" w:hAnsi="Times New Roman" w:eastAsia="宋体" w:cs="Times New Roman"/>
                <w:color w:val="000000"/>
                <w:sz w:val="24"/>
                <w:szCs w:val="20"/>
                <w:u w:val="none"/>
              </w:rPr>
              <w:t>环境保护图形标志由环保部统一规定制作，并由市环境监理部门根据企业排污情况统一订购。企业排污口分布图由环境监察支队统一订制，排放一般污染物口(源）设置提示式标志牌，排放有毒有害等污染物的排污口设置警示标志牌。</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0"/>
                <w:u w:val="none"/>
              </w:rPr>
            </w:pPr>
            <w:r>
              <w:rPr>
                <w:rFonts w:hint="default" w:ascii="Times New Roman" w:hAnsi="Times New Roman" w:eastAsia="宋体" w:cs="Times New Roman"/>
                <w:color w:val="000000"/>
                <w:sz w:val="24"/>
                <w:szCs w:val="20"/>
                <w:u w:val="none"/>
              </w:rPr>
              <w:t>标志牌设置位置在排污口（采样口）附近且醒目处，高度为标志牌上距离地面2米。排污口附近1米范围内有建筑物的，设平面式标志牌，无建筑物设立式标志牌。</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0"/>
              </w:rPr>
            </w:pPr>
            <w:r>
              <w:rPr>
                <w:rFonts w:hint="default" w:ascii="Times New Roman" w:hAnsi="Times New Roman" w:eastAsia="宋体" w:cs="Times New Roman"/>
                <w:color w:val="000000"/>
                <w:sz w:val="24"/>
                <w:szCs w:val="22"/>
                <w:u w:val="none"/>
              </w:rPr>
              <w:t>标志的设置应执行《环境保护图形标志排放口》（GB15562.1-1995)及《环境保护图形标志固体废物贮存（处置场》（GB155622-1995)中有关规定。</w:t>
            </w:r>
            <w:r>
              <w:rPr>
                <w:rFonts w:hint="default" w:ascii="Times New Roman" w:hAnsi="Times New Roman" w:eastAsia="宋体" w:cs="Times New Roman"/>
                <w:color w:val="000000"/>
                <w:sz w:val="24"/>
                <w:szCs w:val="20"/>
                <w:u w:val="none"/>
              </w:rPr>
              <w:t>规范化排污口的有关设置（图形标志牌、计量装置、监控装置等）属于环保设施，排污单位必须负责日常的维护保养，任何单位和个人不得擅</w:t>
            </w:r>
            <w:r>
              <w:rPr>
                <w:rFonts w:hint="default" w:ascii="Times New Roman" w:hAnsi="Times New Roman" w:eastAsia="宋体" w:cs="Times New Roman"/>
                <w:color w:val="000000"/>
                <w:sz w:val="24"/>
                <w:szCs w:val="20"/>
              </w:rPr>
              <w:t>自拆除。</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rPr>
              <w:t>排放口图形标志见</w:t>
            </w:r>
            <w:r>
              <w:rPr>
                <w:rFonts w:hint="default" w:ascii="Times New Roman" w:hAnsi="Times New Roman" w:eastAsia="宋体" w:cs="Times New Roman"/>
                <w:color w:val="000000"/>
                <w:sz w:val="24"/>
                <w:szCs w:val="22"/>
                <w:lang w:val="en-US" w:eastAsia="zh-CN"/>
              </w:rPr>
              <w:t>图</w:t>
            </w:r>
            <w:r>
              <w:rPr>
                <w:rFonts w:hint="eastAsia" w:ascii="Times New Roman" w:hAnsi="Times New Roman" w:eastAsia="宋体" w:cs="Times New Roman"/>
                <w:color w:val="000000"/>
                <w:sz w:val="24"/>
                <w:szCs w:val="22"/>
                <w:lang w:val="en-US" w:eastAsia="zh-CN"/>
              </w:rPr>
              <w:t>4</w:t>
            </w:r>
            <w:r>
              <w:rPr>
                <w:rFonts w:hint="default" w:ascii="Times New Roman" w:hAnsi="Times New Roman" w:eastAsia="宋体" w:cs="Times New Roman"/>
                <w:color w:val="000000"/>
                <w:sz w:val="24"/>
                <w:szCs w:val="22"/>
                <w:lang w:val="en-US" w:eastAsia="zh-CN"/>
              </w:rPr>
              <w:t>-</w:t>
            </w:r>
            <w:r>
              <w:rPr>
                <w:rFonts w:hint="eastAsia" w:ascii="Times New Roman" w:hAnsi="Times New Roman" w:cs="Times New Roman"/>
                <w:color w:val="000000"/>
                <w:sz w:val="24"/>
                <w:szCs w:val="22"/>
                <w:lang w:val="en-US" w:eastAsia="zh-CN"/>
              </w:rPr>
              <w:t>2</w:t>
            </w:r>
            <w:r>
              <w:rPr>
                <w:rFonts w:hint="eastAsia" w:ascii="Times New Roman" w:hAnsi="Times New Roman" w:eastAsia="宋体" w:cs="Times New Roman"/>
                <w:color w:val="000000"/>
                <w:sz w:val="24"/>
                <w:szCs w:val="22"/>
                <w:lang w:val="en-US" w:eastAsia="zh-CN"/>
              </w:rPr>
              <w:t>。</w:t>
            </w:r>
          </w:p>
          <w:p>
            <w:pPr>
              <w:spacing w:line="360" w:lineRule="auto"/>
              <w:ind w:firstLine="482" w:firstLineChars="200"/>
              <w:jc w:val="center"/>
              <w:rPr>
                <w:rFonts w:hint="default" w:ascii="Times New Roman" w:hAnsi="Times New Roman" w:eastAsia="宋体" w:cs="Times New Roman"/>
                <w:b/>
                <w:bCs/>
                <w:color w:val="000000"/>
                <w:kern w:val="2"/>
                <w:sz w:val="28"/>
                <w:szCs w:val="32"/>
                <w:u w:val="none"/>
                <w:lang w:val="en-US" w:eastAsia="zh-CN" w:bidi="ar-SA"/>
              </w:rPr>
            </w:pPr>
            <w:r>
              <w:rPr>
                <w:rFonts w:hint="default" w:ascii="Times New Roman" w:hAnsi="Times New Roman" w:eastAsia="宋体" w:cs="Times New Roman"/>
                <w:b/>
                <w:color w:val="000000"/>
                <w:kern w:val="2"/>
                <w:sz w:val="24"/>
                <w:szCs w:val="24"/>
                <w:lang w:val="en-US" w:eastAsia="zh-CN" w:bidi="ar-SA"/>
              </w:rPr>
              <w:drawing>
                <wp:anchor distT="0" distB="0" distL="114300" distR="114300" simplePos="0" relativeHeight="251661312" behindDoc="1" locked="0" layoutInCell="1" allowOverlap="1">
                  <wp:simplePos x="0" y="0"/>
                  <wp:positionH relativeFrom="column">
                    <wp:posOffset>83820</wp:posOffset>
                  </wp:positionH>
                  <wp:positionV relativeFrom="paragraph">
                    <wp:posOffset>107950</wp:posOffset>
                  </wp:positionV>
                  <wp:extent cx="5106035" cy="2433955"/>
                  <wp:effectExtent l="0" t="0" r="18415" b="0"/>
                  <wp:wrapTight wrapText="bothSides">
                    <wp:wrapPolygon>
                      <wp:start x="0" y="0"/>
                      <wp:lineTo x="0" y="21470"/>
                      <wp:lineTo x="21517" y="21470"/>
                      <wp:lineTo x="21517" y="0"/>
                      <wp:lineTo x="0" y="0"/>
                    </wp:wrapPolygon>
                  </wp:wrapTight>
                  <wp:docPr id="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pic:cNvPicPr>
                            <a:picLocks noChangeAspect="1"/>
                          </pic:cNvPicPr>
                        </pic:nvPicPr>
                        <pic:blipFill>
                          <a:blip r:embed="rId26"/>
                          <a:srcRect l="1459" t="2702" r="-554" b="2071"/>
                          <a:stretch>
                            <a:fillRect/>
                          </a:stretch>
                        </pic:blipFill>
                        <pic:spPr>
                          <a:xfrm>
                            <a:off x="0" y="0"/>
                            <a:ext cx="5106035" cy="2433955"/>
                          </a:xfrm>
                          <a:prstGeom prst="rect">
                            <a:avLst/>
                          </a:prstGeom>
                          <a:noFill/>
                          <a:ln>
                            <a:noFill/>
                          </a:ln>
                        </pic:spPr>
                      </pic:pic>
                    </a:graphicData>
                  </a:graphic>
                </wp:anchor>
              </w:drawing>
            </w:r>
            <w:r>
              <w:rPr>
                <w:rFonts w:hint="eastAsia" w:ascii="Times New Roman" w:hAnsi="Times New Roman" w:cs="Times New Roman"/>
                <w:b/>
                <w:color w:val="000000"/>
                <w:kern w:val="2"/>
                <w:sz w:val="24"/>
                <w:szCs w:val="24"/>
                <w:lang w:val="en-US" w:eastAsia="zh-CN" w:bidi="ar-SA"/>
              </w:rPr>
              <w:t>图</w:t>
            </w:r>
            <w:r>
              <w:rPr>
                <w:rFonts w:hint="eastAsia" w:ascii="Times New Roman" w:hAnsi="Times New Roman" w:eastAsia="宋体" w:cs="Times New Roman"/>
                <w:b/>
                <w:bCs/>
                <w:color w:val="000000"/>
                <w:kern w:val="2"/>
                <w:sz w:val="21"/>
                <w:szCs w:val="21"/>
                <w:lang w:val="en-US" w:eastAsia="zh-CN" w:bidi="ar-SA"/>
              </w:rPr>
              <w:t>4</w:t>
            </w:r>
            <w:r>
              <w:rPr>
                <w:rFonts w:hint="default" w:ascii="Times New Roman" w:hAnsi="Times New Roman" w:eastAsia="宋体" w:cs="Times New Roman"/>
                <w:b/>
                <w:bCs/>
                <w:color w:val="000000"/>
                <w:kern w:val="2"/>
                <w:sz w:val="21"/>
                <w:szCs w:val="21"/>
                <w:lang w:val="en-US" w:eastAsia="zh-CN" w:bidi="ar-SA"/>
              </w:rPr>
              <w:t>-</w:t>
            </w:r>
            <w:r>
              <w:rPr>
                <w:rFonts w:hint="eastAsia" w:ascii="Times New Roman" w:hAnsi="Times New Roman" w:cs="Times New Roman"/>
                <w:b/>
                <w:bCs/>
                <w:color w:val="000000"/>
                <w:kern w:val="2"/>
                <w:sz w:val="21"/>
                <w:szCs w:val="21"/>
                <w:lang w:val="en-US" w:eastAsia="zh-CN" w:bidi="ar-SA"/>
              </w:rPr>
              <w:t>2</w:t>
            </w:r>
            <w:r>
              <w:rPr>
                <w:rFonts w:hint="default" w:ascii="Times New Roman" w:hAnsi="Times New Roman" w:eastAsia="宋体" w:cs="Times New Roman"/>
                <w:b/>
                <w:bCs/>
                <w:color w:val="000000"/>
                <w:kern w:val="2"/>
                <w:sz w:val="21"/>
                <w:szCs w:val="21"/>
                <w:lang w:val="en-US" w:eastAsia="zh-CN" w:bidi="ar-SA"/>
              </w:rPr>
              <w:t xml:space="preserve">  排放口图形标志</w:t>
            </w:r>
            <w:r>
              <w:rPr>
                <w:rFonts w:hint="eastAsia" w:ascii="Times New Roman" w:hAnsi="Times New Roman" w:cs="Times New Roman"/>
                <w:b/>
                <w:bCs/>
                <w:color w:val="000000"/>
                <w:kern w:val="2"/>
                <w:sz w:val="21"/>
                <w:szCs w:val="21"/>
                <w:lang w:val="en-US" w:eastAsia="zh-CN" w:bidi="ar-SA"/>
              </w:rPr>
              <w:t>图</w:t>
            </w:r>
          </w:p>
          <w:p>
            <w:pPr>
              <w:keepNext/>
              <w:keepLines/>
              <w:pageBreakBefore w:val="0"/>
              <w:widowControl w:val="0"/>
              <w:numPr>
                <w:ilvl w:val="1"/>
                <w:numId w:val="0"/>
              </w:numPr>
              <w:kinsoku/>
              <w:wordWrap/>
              <w:overflowPunct/>
              <w:topLinePunct w:val="0"/>
              <w:autoSpaceDE/>
              <w:autoSpaceDN/>
              <w:bidi w:val="0"/>
              <w:adjustRightInd w:val="0"/>
              <w:snapToGrid w:val="0"/>
              <w:spacing w:line="360" w:lineRule="auto"/>
              <w:ind w:right="0" w:rightChars="0"/>
              <w:jc w:val="both"/>
              <w:textAlignment w:val="auto"/>
              <w:outlineLvl w:val="1"/>
              <w:rPr>
                <w:rFonts w:hint="default" w:ascii="Times New Roman" w:hAnsi="Times New Roman" w:eastAsia="宋体" w:cs="Times New Roman"/>
                <w:b/>
                <w:bCs/>
                <w:color w:val="000000"/>
                <w:kern w:val="2"/>
                <w:sz w:val="28"/>
                <w:szCs w:val="32"/>
                <w:u w:val="none"/>
                <w:lang w:val="en-US" w:eastAsia="zh-CN" w:bidi="ar-SA"/>
              </w:rPr>
            </w:pPr>
            <w:r>
              <w:rPr>
                <w:rFonts w:hint="eastAsia" w:ascii="Times New Roman" w:hAnsi="Times New Roman" w:eastAsia="宋体" w:cs="Times New Roman"/>
                <w:b/>
                <w:bCs/>
                <w:color w:val="000000"/>
                <w:kern w:val="2"/>
                <w:sz w:val="28"/>
                <w:szCs w:val="32"/>
                <w:u w:val="none"/>
                <w:lang w:val="en-US" w:eastAsia="zh-CN" w:bidi="ar-SA"/>
              </w:rPr>
              <w:t>5、</w:t>
            </w:r>
            <w:r>
              <w:rPr>
                <w:rFonts w:hint="default" w:ascii="Times New Roman" w:hAnsi="Times New Roman" w:eastAsia="宋体" w:cs="Times New Roman"/>
                <w:b/>
                <w:bCs/>
                <w:color w:val="000000"/>
                <w:kern w:val="2"/>
                <w:sz w:val="28"/>
                <w:szCs w:val="32"/>
                <w:u w:val="none"/>
                <w:lang w:val="en-US" w:eastAsia="zh-CN" w:bidi="ar-SA"/>
              </w:rPr>
              <w:t>环保投资</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000000"/>
                <w:sz w:val="21"/>
                <w:szCs w:val="21"/>
                <w:u w:val="none"/>
              </w:rPr>
            </w:pPr>
            <w:r>
              <w:rPr>
                <w:rFonts w:hint="default" w:ascii="Times New Roman" w:hAnsi="Times New Roman" w:eastAsia="宋体" w:cs="Times New Roman"/>
                <w:color w:val="000000"/>
                <w:sz w:val="24"/>
                <w:szCs w:val="22"/>
                <w:u w:val="none"/>
              </w:rPr>
              <w:t>项目总投资具体详见下表。</w:t>
            </w:r>
          </w:p>
          <w:p>
            <w:pPr>
              <w:spacing w:line="240" w:lineRule="auto"/>
              <w:ind w:left="0" w:leftChars="0" w:firstLine="0" w:firstLineChars="0"/>
              <w:jc w:val="center"/>
              <w:rPr>
                <w:rFonts w:hint="default" w:ascii="Times New Roman" w:hAnsi="Times New Roman" w:eastAsia="宋体" w:cs="Times New Roman"/>
                <w:b/>
                <w:color w:val="000000"/>
                <w:sz w:val="21"/>
                <w:szCs w:val="21"/>
                <w:u w:val="none"/>
              </w:rPr>
            </w:pPr>
          </w:p>
          <w:p>
            <w:pPr>
              <w:spacing w:line="240" w:lineRule="auto"/>
              <w:ind w:left="0" w:leftChars="0" w:firstLine="0" w:firstLineChars="0"/>
              <w:jc w:val="center"/>
              <w:rPr>
                <w:rFonts w:hint="default" w:ascii="Times New Roman" w:hAnsi="Times New Roman" w:eastAsia="宋体" w:cs="Times New Roman"/>
                <w:b/>
                <w:color w:val="000000"/>
                <w:sz w:val="21"/>
                <w:szCs w:val="21"/>
                <w:u w:val="none"/>
              </w:rPr>
            </w:pPr>
          </w:p>
          <w:p>
            <w:pPr>
              <w:spacing w:line="240" w:lineRule="auto"/>
              <w:ind w:left="0" w:leftChars="0" w:firstLine="0" w:firstLineChars="0"/>
              <w:jc w:val="center"/>
              <w:rPr>
                <w:rFonts w:hint="default" w:ascii="Times New Roman" w:hAnsi="Times New Roman" w:eastAsia="宋体" w:cs="Times New Roman"/>
                <w:b/>
                <w:color w:val="000000"/>
                <w:sz w:val="21"/>
                <w:szCs w:val="21"/>
                <w:u w:val="none"/>
              </w:rPr>
            </w:pPr>
          </w:p>
          <w:p>
            <w:pPr>
              <w:spacing w:line="240" w:lineRule="auto"/>
              <w:ind w:left="0" w:leftChars="0" w:firstLine="0" w:firstLineChars="0"/>
              <w:jc w:val="center"/>
              <w:rPr>
                <w:rFonts w:hint="default" w:ascii="Times New Roman" w:hAnsi="Times New Roman" w:eastAsia="宋体" w:cs="Times New Roman"/>
                <w:b/>
                <w:color w:val="000000"/>
                <w:sz w:val="21"/>
                <w:szCs w:val="21"/>
                <w:u w:val="none"/>
              </w:rPr>
            </w:pPr>
          </w:p>
          <w:p>
            <w:pPr>
              <w:spacing w:line="240" w:lineRule="auto"/>
              <w:ind w:left="0" w:leftChars="0" w:firstLine="0" w:firstLineChars="0"/>
              <w:jc w:val="center"/>
              <w:rPr>
                <w:rFonts w:hint="default" w:ascii="Times New Roman" w:hAnsi="Times New Roman" w:eastAsia="宋体" w:cs="Times New Roman"/>
                <w:b/>
                <w:color w:val="000000"/>
                <w:sz w:val="21"/>
                <w:szCs w:val="21"/>
                <w:u w:val="none"/>
              </w:rPr>
            </w:pPr>
          </w:p>
          <w:p>
            <w:pPr>
              <w:spacing w:line="240" w:lineRule="auto"/>
              <w:ind w:left="0" w:leftChars="0" w:firstLine="0" w:firstLineChars="0"/>
              <w:jc w:val="center"/>
              <w:rPr>
                <w:rFonts w:hint="default" w:ascii="Times New Roman" w:hAnsi="Times New Roman" w:eastAsia="宋体" w:cs="Times New Roman"/>
                <w:b/>
                <w:color w:val="000000"/>
                <w:sz w:val="21"/>
                <w:szCs w:val="21"/>
                <w:u w:val="none"/>
              </w:rPr>
            </w:pPr>
          </w:p>
          <w:p>
            <w:pPr>
              <w:spacing w:line="240" w:lineRule="auto"/>
              <w:ind w:left="0" w:leftChars="0" w:firstLine="0" w:firstLineChars="0"/>
              <w:jc w:val="center"/>
              <w:rPr>
                <w:rFonts w:hint="default" w:ascii="Times New Roman" w:hAnsi="Times New Roman" w:eastAsia="宋体" w:cs="Times New Roman"/>
                <w:b/>
                <w:color w:val="000000"/>
                <w:sz w:val="21"/>
                <w:szCs w:val="21"/>
                <w:u w:val="none"/>
              </w:rPr>
            </w:pPr>
          </w:p>
          <w:p>
            <w:pPr>
              <w:spacing w:line="240" w:lineRule="auto"/>
              <w:ind w:left="0" w:leftChars="0" w:firstLine="0" w:firstLineChars="0"/>
              <w:jc w:val="center"/>
              <w:rPr>
                <w:rFonts w:hint="default" w:ascii="Times New Roman" w:hAnsi="Times New Roman" w:eastAsia="宋体" w:cs="Times New Roman"/>
                <w:b/>
                <w:color w:val="000000"/>
                <w:sz w:val="21"/>
                <w:szCs w:val="21"/>
                <w:u w:val="none"/>
              </w:rPr>
            </w:pPr>
          </w:p>
          <w:p>
            <w:pPr>
              <w:spacing w:line="240" w:lineRule="auto"/>
              <w:ind w:left="0" w:leftChars="0" w:firstLine="0" w:firstLineChars="0"/>
              <w:jc w:val="center"/>
              <w:rPr>
                <w:rFonts w:hint="default" w:ascii="Times New Roman" w:hAnsi="Times New Roman" w:eastAsia="宋体" w:cs="Times New Roman"/>
                <w:b/>
                <w:color w:val="000000"/>
                <w:sz w:val="21"/>
                <w:szCs w:val="21"/>
                <w:u w:val="none"/>
              </w:rPr>
            </w:pPr>
          </w:p>
          <w:p>
            <w:pPr>
              <w:spacing w:line="240" w:lineRule="auto"/>
              <w:ind w:left="0" w:leftChars="0" w:firstLine="0" w:firstLineChars="0"/>
              <w:jc w:val="center"/>
              <w:rPr>
                <w:rFonts w:hint="default" w:ascii="Times New Roman" w:hAnsi="Times New Roman" w:eastAsia="宋体" w:cs="Times New Roman"/>
                <w:b/>
                <w:color w:val="000000"/>
                <w:sz w:val="21"/>
                <w:szCs w:val="21"/>
                <w:u w:val="none"/>
              </w:rPr>
            </w:pPr>
          </w:p>
          <w:p>
            <w:pPr>
              <w:spacing w:line="240" w:lineRule="auto"/>
              <w:ind w:left="0" w:leftChars="0" w:firstLine="0" w:firstLineChars="0"/>
              <w:jc w:val="center"/>
              <w:rPr>
                <w:rFonts w:hint="default" w:ascii="Times New Roman" w:hAnsi="Times New Roman" w:eastAsia="宋体" w:cs="Times New Roman"/>
                <w:b/>
                <w:color w:val="000000"/>
                <w:sz w:val="21"/>
                <w:szCs w:val="21"/>
                <w:u w:val="none"/>
              </w:rPr>
            </w:pPr>
            <w:r>
              <w:rPr>
                <w:rFonts w:hint="default" w:ascii="Times New Roman" w:hAnsi="Times New Roman" w:eastAsia="宋体" w:cs="Times New Roman"/>
                <w:b/>
                <w:color w:val="000000"/>
                <w:sz w:val="21"/>
                <w:szCs w:val="21"/>
                <w:u w:val="none"/>
              </w:rPr>
              <w:t>表</w:t>
            </w:r>
            <w:r>
              <w:rPr>
                <w:rFonts w:hint="eastAsia" w:ascii="Times New Roman" w:hAnsi="Times New Roman" w:eastAsia="宋体" w:cs="Times New Roman"/>
                <w:b/>
                <w:color w:val="000000"/>
                <w:sz w:val="21"/>
                <w:szCs w:val="21"/>
                <w:u w:val="none"/>
                <w:lang w:val="en-US" w:eastAsia="zh-CN"/>
              </w:rPr>
              <w:t>4</w:t>
            </w:r>
            <w:r>
              <w:rPr>
                <w:rFonts w:hint="default" w:ascii="Times New Roman" w:hAnsi="Times New Roman" w:eastAsia="宋体" w:cs="Times New Roman"/>
                <w:b/>
                <w:color w:val="000000"/>
                <w:sz w:val="21"/>
                <w:szCs w:val="21"/>
                <w:u w:val="none"/>
                <w:lang w:val="en-US" w:eastAsia="zh-CN"/>
              </w:rPr>
              <w:t>-</w:t>
            </w:r>
            <w:r>
              <w:rPr>
                <w:rFonts w:hint="eastAsia" w:ascii="Times New Roman" w:hAnsi="Times New Roman" w:cs="Times New Roman"/>
                <w:b/>
                <w:color w:val="000000"/>
                <w:sz w:val="21"/>
                <w:szCs w:val="21"/>
                <w:u w:val="none"/>
                <w:lang w:val="en-US" w:eastAsia="zh-CN"/>
              </w:rPr>
              <w:t>26</w:t>
            </w:r>
            <w:r>
              <w:rPr>
                <w:rFonts w:hint="default" w:ascii="Times New Roman" w:hAnsi="Times New Roman" w:eastAsia="宋体" w:cs="Times New Roman"/>
                <w:b/>
                <w:color w:val="000000"/>
                <w:sz w:val="21"/>
                <w:szCs w:val="21"/>
                <w:u w:val="none"/>
              </w:rPr>
              <w:t xml:space="preserve">  环保投资一览表</w:t>
            </w:r>
          </w:p>
          <w:tbl>
            <w:tblPr>
              <w:tblStyle w:val="20"/>
              <w:tblW w:w="498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1"/>
              <w:gridCol w:w="1903"/>
              <w:gridCol w:w="3553"/>
              <w:gridCol w:w="1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35" w:type="pct"/>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r>
                    <w:rPr>
                      <w:rFonts w:hint="default" w:ascii="Times New Roman" w:hAnsi="Times New Roman" w:eastAsia="宋体" w:cs="Times New Roman"/>
                      <w:color w:val="000000"/>
                      <w:kern w:val="0"/>
                      <w:sz w:val="21"/>
                      <w:szCs w:val="21"/>
                      <w:u w:val="none" w:color="auto"/>
                    </w:rPr>
                    <w:t>项目</w:t>
                  </w:r>
                </w:p>
              </w:tc>
              <w:tc>
                <w:tcPr>
                  <w:tcW w:w="3311" w:type="pct"/>
                  <w:gridSpan w:val="2"/>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r>
                    <w:rPr>
                      <w:rFonts w:hint="default" w:ascii="Times New Roman" w:hAnsi="Times New Roman" w:eastAsia="宋体" w:cs="Times New Roman"/>
                      <w:color w:val="000000"/>
                      <w:kern w:val="0"/>
                      <w:sz w:val="21"/>
                      <w:szCs w:val="21"/>
                      <w:u w:val="none" w:color="auto"/>
                    </w:rPr>
                    <w:t>环保内容</w:t>
                  </w:r>
                </w:p>
              </w:tc>
              <w:tc>
                <w:tcPr>
                  <w:tcW w:w="1153" w:type="pct"/>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r>
                    <w:rPr>
                      <w:rFonts w:hint="default" w:ascii="Times New Roman" w:hAnsi="Times New Roman" w:eastAsia="宋体" w:cs="Times New Roman"/>
                      <w:color w:val="000000"/>
                      <w:kern w:val="0"/>
                      <w:sz w:val="21"/>
                      <w:szCs w:val="21"/>
                      <w:u w:val="none" w:color="auto"/>
                    </w:rPr>
                    <w:t>投入费用（万元）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35" w:type="pct"/>
                  <w:vMerge w:val="restart"/>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lang w:val="en-US" w:eastAsia="zh-CN"/>
                    </w:rPr>
                  </w:pPr>
                  <w:r>
                    <w:rPr>
                      <w:rFonts w:hint="eastAsia" w:ascii="Times New Roman" w:hAnsi="Times New Roman" w:cs="Times New Roman"/>
                      <w:color w:val="000000"/>
                      <w:kern w:val="0"/>
                      <w:sz w:val="21"/>
                      <w:szCs w:val="21"/>
                      <w:u w:val="none" w:color="auto"/>
                      <w:lang w:val="en-US" w:eastAsia="zh-CN"/>
                    </w:rPr>
                    <w:t>废气治理</w:t>
                  </w:r>
                </w:p>
              </w:tc>
              <w:tc>
                <w:tcPr>
                  <w:tcW w:w="1155" w:type="pct"/>
                  <w:tcBorders>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lang w:val="en-US" w:eastAsia="zh-CN"/>
                    </w:rPr>
                  </w:pPr>
                  <w:r>
                    <w:rPr>
                      <w:rFonts w:hint="eastAsia" w:ascii="Times New Roman" w:hAnsi="Times New Roman" w:cs="Times New Roman"/>
                      <w:color w:val="000000"/>
                      <w:kern w:val="0"/>
                      <w:sz w:val="21"/>
                      <w:szCs w:val="21"/>
                      <w:u w:val="none" w:color="auto"/>
                      <w:lang w:val="en-US" w:eastAsia="zh-CN"/>
                    </w:rPr>
                    <w:t>滚筒式炒锅废气</w:t>
                  </w:r>
                </w:p>
              </w:tc>
              <w:tc>
                <w:tcPr>
                  <w:tcW w:w="2156" w:type="pct"/>
                  <w:tcBorders>
                    <w:top w:val="single" w:color="auto" w:sz="4" w:space="0"/>
                    <w:lef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lang w:val="en-US" w:eastAsia="zh-CN"/>
                    </w:rPr>
                  </w:pPr>
                  <w:r>
                    <w:rPr>
                      <w:rFonts w:hint="eastAsia" w:ascii="Times New Roman" w:hAnsi="Times New Roman" w:cs="Times New Roman"/>
                      <w:color w:val="000000"/>
                      <w:kern w:val="0"/>
                      <w:sz w:val="21"/>
                      <w:szCs w:val="21"/>
                      <w:u w:val="none" w:color="auto"/>
                      <w:lang w:val="en-US" w:eastAsia="zh-CN"/>
                    </w:rPr>
                    <w:t>旋风除尘+布袋除尘+15m排气筒</w:t>
                  </w:r>
                </w:p>
              </w:tc>
              <w:tc>
                <w:tcPr>
                  <w:tcW w:w="1153" w:type="pct"/>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u w:val="none" w:color="auto"/>
                      <w:lang w:val="en-US" w:eastAsia="zh-CN"/>
                    </w:rPr>
                  </w:pPr>
                  <w:r>
                    <w:rPr>
                      <w:rFonts w:hint="eastAsia" w:ascii="Times New Roman" w:hAnsi="Times New Roman" w:cs="Times New Roman"/>
                      <w:color w:val="000000"/>
                      <w:kern w:val="0"/>
                      <w:sz w:val="21"/>
                      <w:szCs w:val="21"/>
                      <w:u w:val="none" w:color="auto"/>
                      <w:lang w:val="en-US" w:eastAsia="zh-CN"/>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35" w:type="pct"/>
                  <w:vMerge w:val="continue"/>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p>
              </w:tc>
              <w:tc>
                <w:tcPr>
                  <w:tcW w:w="1155" w:type="pct"/>
                  <w:tcBorders>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lang w:val="en-US" w:eastAsia="zh-CN"/>
                    </w:rPr>
                  </w:pPr>
                  <w:r>
                    <w:rPr>
                      <w:rFonts w:hint="eastAsia" w:ascii="Times New Roman" w:hAnsi="Times New Roman" w:cs="Times New Roman"/>
                      <w:color w:val="000000"/>
                      <w:kern w:val="0"/>
                      <w:sz w:val="21"/>
                      <w:szCs w:val="21"/>
                      <w:u w:val="none" w:color="auto"/>
                      <w:lang w:val="en-US" w:eastAsia="zh-CN"/>
                    </w:rPr>
                    <w:t>锅炉废气</w:t>
                  </w:r>
                </w:p>
              </w:tc>
              <w:tc>
                <w:tcPr>
                  <w:tcW w:w="2156" w:type="pct"/>
                  <w:tcBorders>
                    <w:top w:val="single" w:color="auto" w:sz="4" w:space="0"/>
                    <w:lef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lang w:val="en-US" w:eastAsia="zh-CN"/>
                    </w:rPr>
                  </w:pPr>
                  <w:r>
                    <w:rPr>
                      <w:rFonts w:hint="eastAsia" w:ascii="Times New Roman" w:hAnsi="Times New Roman" w:cs="Times New Roman"/>
                      <w:color w:val="000000"/>
                      <w:kern w:val="0"/>
                      <w:sz w:val="21"/>
                      <w:szCs w:val="21"/>
                      <w:u w:val="none" w:color="auto"/>
                      <w:lang w:val="en-US" w:eastAsia="zh-CN"/>
                    </w:rPr>
                    <w:t>碱液喷淋+40m烟囱</w:t>
                  </w:r>
                </w:p>
              </w:tc>
              <w:tc>
                <w:tcPr>
                  <w:tcW w:w="1153" w:type="pct"/>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lang w:val="en-US" w:eastAsia="zh-CN"/>
                    </w:rPr>
                  </w:pPr>
                  <w:r>
                    <w:rPr>
                      <w:rFonts w:hint="eastAsia" w:ascii="Times New Roman" w:hAnsi="Times New Roman" w:cs="Times New Roman"/>
                      <w:color w:val="000000"/>
                      <w:kern w:val="0"/>
                      <w:sz w:val="21"/>
                      <w:szCs w:val="21"/>
                      <w:u w:val="none" w:color="auto"/>
                      <w:lang w:val="en-US" w:eastAsia="zh-CN"/>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35" w:type="pct"/>
                  <w:vMerge w:val="continue"/>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p>
              </w:tc>
              <w:tc>
                <w:tcPr>
                  <w:tcW w:w="1155" w:type="pct"/>
                  <w:tcBorders>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r>
                    <w:rPr>
                      <w:rFonts w:hint="eastAsia"/>
                      <w:color w:val="000000"/>
                      <w:sz w:val="21"/>
                      <w:szCs w:val="21"/>
                      <w:u w:val="none" w:color="auto"/>
                    </w:rPr>
                    <w:t>生产车间恶臭</w:t>
                  </w:r>
                </w:p>
              </w:tc>
              <w:tc>
                <w:tcPr>
                  <w:tcW w:w="2156" w:type="pct"/>
                  <w:tcBorders>
                    <w:top w:val="single" w:color="auto" w:sz="4" w:space="0"/>
                    <w:lef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lang w:val="en-US" w:eastAsia="zh-CN"/>
                    </w:rPr>
                  </w:pPr>
                  <w:r>
                    <w:rPr>
                      <w:rFonts w:hint="eastAsia" w:ascii="Times New Roman" w:hAnsi="Times New Roman" w:cs="Times New Roman"/>
                      <w:color w:val="000000"/>
                      <w:kern w:val="0"/>
                      <w:sz w:val="21"/>
                      <w:szCs w:val="21"/>
                      <w:u w:val="none" w:color="auto"/>
                      <w:lang w:val="en-US" w:eastAsia="zh-CN"/>
                    </w:rPr>
                    <w:t>排气扇，加强通风</w:t>
                  </w:r>
                </w:p>
              </w:tc>
              <w:tc>
                <w:tcPr>
                  <w:tcW w:w="1153" w:type="pct"/>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u w:val="none" w:color="auto"/>
                      <w:lang w:val="en-US" w:eastAsia="zh-CN"/>
                    </w:rPr>
                  </w:pPr>
                  <w:r>
                    <w:rPr>
                      <w:rFonts w:hint="eastAsia" w:ascii="Times New Roman" w:hAnsi="Times New Roman" w:cs="Times New Roman"/>
                      <w:color w:val="000000"/>
                      <w:kern w:val="0"/>
                      <w:sz w:val="21"/>
                      <w:szCs w:val="21"/>
                      <w:u w:val="none" w:color="auto"/>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35" w:type="pct"/>
                  <w:vMerge w:val="continue"/>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p>
              </w:tc>
              <w:tc>
                <w:tcPr>
                  <w:tcW w:w="1155" w:type="pct"/>
                  <w:tcBorders>
                    <w:bottom w:val="single" w:color="000000" w:sz="6"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r>
                    <w:rPr>
                      <w:rFonts w:hint="default" w:ascii="Times New Roman" w:hAnsi="Times New Roman" w:eastAsia="宋体" w:cs="Times New Roman"/>
                      <w:color w:val="000000"/>
                      <w:kern w:val="0"/>
                      <w:sz w:val="21"/>
                      <w:szCs w:val="21"/>
                      <w:u w:val="none" w:color="auto"/>
                    </w:rPr>
                    <w:t>油烟废气</w:t>
                  </w:r>
                </w:p>
              </w:tc>
              <w:tc>
                <w:tcPr>
                  <w:tcW w:w="2156" w:type="pct"/>
                  <w:tcBorders>
                    <w:left w:val="single" w:color="auto" w:sz="4" w:space="0"/>
                    <w:bottom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r>
                    <w:rPr>
                      <w:rFonts w:hint="default" w:ascii="Times New Roman" w:hAnsi="Times New Roman" w:eastAsia="宋体" w:cs="Times New Roman"/>
                      <w:color w:val="000000"/>
                      <w:kern w:val="0"/>
                      <w:sz w:val="21"/>
                      <w:szCs w:val="21"/>
                      <w:u w:val="none" w:color="auto"/>
                    </w:rPr>
                    <w:t>1台油烟净化器</w:t>
                  </w:r>
                </w:p>
              </w:tc>
              <w:tc>
                <w:tcPr>
                  <w:tcW w:w="1153" w:type="pct"/>
                  <w:tcBorders>
                    <w:bottom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r>
                    <w:rPr>
                      <w:rFonts w:hint="default" w:ascii="Times New Roman" w:hAnsi="Times New Roman" w:eastAsia="宋体" w:cs="Times New Roman"/>
                      <w:color w:val="000000"/>
                      <w:kern w:val="0"/>
                      <w:sz w:val="21"/>
                      <w:szCs w:val="21"/>
                      <w:u w:val="none" w:color="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35" w:type="pct"/>
                  <w:vMerge w:val="continue"/>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p>
              </w:tc>
              <w:tc>
                <w:tcPr>
                  <w:tcW w:w="1155" w:type="pct"/>
                  <w:tcBorders>
                    <w:top w:val="single" w:color="000000" w:sz="6"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eastAsiaTheme="minorEastAsia"/>
                      <w:bCs/>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u w:val="none" w:color="auto"/>
                      <w:lang w:val="en-US" w:eastAsia="zh-CN"/>
                      <w14:textFill>
                        <w14:solidFill>
                          <w14:schemeClr w14:val="tx1"/>
                        </w14:solidFill>
                      </w14:textFill>
                    </w:rPr>
                    <w:t>污水处理站恶臭</w:t>
                  </w:r>
                </w:p>
              </w:tc>
              <w:tc>
                <w:tcPr>
                  <w:tcW w:w="2156" w:type="pct"/>
                  <w:tcBorders>
                    <w:top w:val="single" w:color="000000" w:sz="6" w:space="0"/>
                    <w:left w:val="single" w:color="auto" w:sz="4" w:space="0"/>
                  </w:tcBorders>
                  <w:noWrap w:val="0"/>
                  <w:vAlign w:val="center"/>
                </w:tcPr>
                <w:p>
                  <w:pPr>
                    <w:spacing w:line="240" w:lineRule="auto"/>
                    <w:ind w:firstLine="0" w:firstLineChars="0"/>
                    <w:jc w:val="center"/>
                    <w:rPr>
                      <w:rFonts w:hint="default" w:ascii="Times New Roman" w:hAnsi="Times New Roman" w:cs="Times New Roman" w:eastAsiaTheme="minorEastAsia"/>
                      <w:bCs/>
                      <w:color w:val="000000" w:themeColor="text1"/>
                      <w:sz w:val="21"/>
                      <w:szCs w:val="21"/>
                      <w:u w:val="none" w:color="auto"/>
                      <w14:textFill>
                        <w14:solidFill>
                          <w14:schemeClr w14:val="tx1"/>
                        </w14:solidFill>
                      </w14:textFill>
                    </w:rPr>
                  </w:pPr>
                  <w:r>
                    <w:rPr>
                      <w:rFonts w:hint="eastAsia" w:ascii="Times New Roman" w:hAnsi="Times New Roman" w:cs="Times New Roman" w:eastAsiaTheme="minorEastAsia"/>
                      <w:bCs/>
                      <w:color w:val="000000" w:themeColor="text1"/>
                      <w:sz w:val="21"/>
                      <w:szCs w:val="21"/>
                      <w:u w:val="none" w:color="auto"/>
                      <w14:textFill>
                        <w14:solidFill>
                          <w14:schemeClr w14:val="tx1"/>
                        </w14:solidFill>
                      </w14:textFill>
                    </w:rPr>
                    <w:t>各水处理池加盖板封闭，加强绿化</w:t>
                  </w:r>
                </w:p>
              </w:tc>
              <w:tc>
                <w:tcPr>
                  <w:tcW w:w="1153" w:type="pct"/>
                  <w:tcBorders>
                    <w:top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lang w:eastAsia="zh-CN"/>
                    </w:rPr>
                  </w:pPr>
                  <w:r>
                    <w:rPr>
                      <w:rFonts w:hint="eastAsia" w:ascii="Times New Roman" w:hAnsi="Times New Roman" w:cs="Times New Roman"/>
                      <w:color w:val="000000"/>
                      <w:kern w:val="0"/>
                      <w:sz w:val="21"/>
                      <w:szCs w:val="21"/>
                      <w:u w:val="none" w:color="auto"/>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35" w:type="pct"/>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r>
                    <w:rPr>
                      <w:rFonts w:hint="default" w:ascii="Times New Roman" w:hAnsi="Times New Roman" w:eastAsia="宋体" w:cs="Times New Roman"/>
                      <w:color w:val="000000"/>
                      <w:kern w:val="0"/>
                      <w:sz w:val="21"/>
                      <w:szCs w:val="21"/>
                      <w:u w:val="none" w:color="auto"/>
                    </w:rPr>
                    <w:t>噪声治理</w:t>
                  </w:r>
                </w:p>
              </w:tc>
              <w:tc>
                <w:tcPr>
                  <w:tcW w:w="3311" w:type="pct"/>
                  <w:gridSpan w:val="2"/>
                  <w:tcBorders>
                    <w:top w:val="single" w:color="000000" w:sz="6" w:space="0"/>
                  </w:tcBorders>
                  <w:noWrap w:val="0"/>
                  <w:vAlign w:val="center"/>
                </w:tcPr>
                <w:p>
                  <w:pPr>
                    <w:spacing w:line="240" w:lineRule="auto"/>
                    <w:ind w:firstLine="0" w:firstLineChars="0"/>
                    <w:jc w:val="center"/>
                    <w:rPr>
                      <w:rFonts w:hint="default" w:ascii="Times New Roman" w:hAnsi="Times New Roman" w:cs="Times New Roman" w:eastAsiaTheme="minorEastAsia"/>
                      <w:bCs/>
                      <w:color w:val="000000" w:themeColor="text1"/>
                      <w:sz w:val="21"/>
                      <w:szCs w:val="21"/>
                      <w:u w:val="none" w:color="auto"/>
                      <w14:textFill>
                        <w14:solidFill>
                          <w14:schemeClr w14:val="tx1"/>
                        </w14:solidFill>
                      </w14:textFill>
                    </w:rPr>
                  </w:pPr>
                  <w:r>
                    <w:rPr>
                      <w:rFonts w:hint="eastAsia" w:ascii="Times New Roman" w:hAnsi="Times New Roman" w:cs="Times New Roman" w:eastAsiaTheme="minorEastAsia"/>
                      <w:bCs/>
                      <w:color w:val="000000" w:themeColor="text1"/>
                      <w:sz w:val="21"/>
                      <w:szCs w:val="21"/>
                      <w:u w:val="none" w:color="auto"/>
                      <w14:textFill>
                        <w14:solidFill>
                          <w14:schemeClr w14:val="tx1"/>
                        </w14:solidFill>
                      </w14:textFill>
                    </w:rPr>
                    <w:t>基础减振、</w:t>
                  </w:r>
                  <w:r>
                    <w:rPr>
                      <w:rFonts w:hint="eastAsia" w:ascii="Times New Roman" w:hAnsi="Times New Roman" w:cs="Times New Roman" w:eastAsiaTheme="minorEastAsia"/>
                      <w:bCs/>
                      <w:color w:val="000000" w:themeColor="text1"/>
                      <w:sz w:val="21"/>
                      <w:szCs w:val="21"/>
                      <w:u w:val="none" w:color="auto"/>
                      <w:lang w:val="en-US" w:eastAsia="zh-CN"/>
                      <w14:textFill>
                        <w14:solidFill>
                          <w14:schemeClr w14:val="tx1"/>
                        </w14:solidFill>
                      </w14:textFill>
                    </w:rPr>
                    <w:t>合理布局、</w:t>
                  </w:r>
                  <w:r>
                    <w:rPr>
                      <w:rFonts w:hint="eastAsia" w:ascii="Times New Roman" w:hAnsi="Times New Roman" w:cs="Times New Roman" w:eastAsiaTheme="minorEastAsia"/>
                      <w:bCs/>
                      <w:color w:val="000000" w:themeColor="text1"/>
                      <w:sz w:val="21"/>
                      <w:szCs w:val="21"/>
                      <w:u w:val="none" w:color="auto"/>
                      <w14:textFill>
                        <w14:solidFill>
                          <w14:schemeClr w14:val="tx1"/>
                        </w14:solidFill>
                      </w14:textFill>
                    </w:rPr>
                    <w:t>厂房隔声、</w:t>
                  </w:r>
                  <w:r>
                    <w:rPr>
                      <w:rFonts w:hint="default" w:ascii="Times New Roman" w:hAnsi="Times New Roman" w:cs="Times New Roman" w:eastAsiaTheme="minorEastAsia"/>
                      <w:bCs/>
                      <w:color w:val="000000" w:themeColor="text1"/>
                      <w:sz w:val="21"/>
                      <w:szCs w:val="21"/>
                      <w:u w:val="none" w:color="auto"/>
                      <w14:textFill>
                        <w14:solidFill>
                          <w14:schemeClr w14:val="tx1"/>
                        </w14:solidFill>
                      </w14:textFill>
                    </w:rPr>
                    <w:t>低噪声设备</w:t>
                  </w:r>
                  <w:r>
                    <w:rPr>
                      <w:rFonts w:hint="eastAsia" w:ascii="Times New Roman" w:hAnsi="Times New Roman" w:cs="Times New Roman" w:eastAsiaTheme="minorEastAsia"/>
                      <w:bCs/>
                      <w:color w:val="000000" w:themeColor="text1"/>
                      <w:sz w:val="21"/>
                      <w:szCs w:val="21"/>
                      <w:u w:val="none" w:color="auto"/>
                      <w:lang w:eastAsia="zh-CN"/>
                      <w14:textFill>
                        <w14:solidFill>
                          <w14:schemeClr w14:val="tx1"/>
                        </w14:solidFill>
                      </w14:textFill>
                    </w:rPr>
                    <w:t>、</w:t>
                  </w:r>
                  <w:r>
                    <w:rPr>
                      <w:rFonts w:hint="eastAsia" w:ascii="Times New Roman" w:hAnsi="Times New Roman" w:cs="Times New Roman" w:eastAsiaTheme="minorEastAsia"/>
                      <w:bCs/>
                      <w:color w:val="000000" w:themeColor="text1"/>
                      <w:sz w:val="21"/>
                      <w:szCs w:val="21"/>
                      <w:u w:val="none" w:color="auto"/>
                      <w14:textFill>
                        <w14:solidFill>
                          <w14:schemeClr w14:val="tx1"/>
                        </w14:solidFill>
                      </w14:textFill>
                    </w:rPr>
                    <w:t>定期保养</w:t>
                  </w:r>
                </w:p>
              </w:tc>
              <w:tc>
                <w:tcPr>
                  <w:tcW w:w="1153" w:type="pct"/>
                  <w:tcBorders>
                    <w:top w:val="single" w:color="000000" w:sz="6" w:space="0"/>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lang w:val="en-US" w:eastAsia="zh-CN"/>
                    </w:rPr>
                  </w:pPr>
                  <w:r>
                    <w:rPr>
                      <w:rFonts w:hint="eastAsia" w:ascii="Times New Roman" w:hAnsi="Times New Roman" w:cs="Times New Roman"/>
                      <w:color w:val="000000"/>
                      <w:kern w:val="0"/>
                      <w:sz w:val="21"/>
                      <w:szCs w:val="21"/>
                      <w:u w:val="none" w:color="auto"/>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35" w:type="pct"/>
                  <w:vMerge w:val="restart"/>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u w:val="none" w:color="auto"/>
                      <w:lang w:val="en-US" w:eastAsia="zh-CN"/>
                    </w:rPr>
                  </w:pPr>
                  <w:r>
                    <w:rPr>
                      <w:rFonts w:hint="eastAsia" w:ascii="Times New Roman" w:hAnsi="Times New Roman" w:cs="Times New Roman"/>
                      <w:color w:val="000000"/>
                      <w:kern w:val="0"/>
                      <w:sz w:val="21"/>
                      <w:szCs w:val="21"/>
                      <w:u w:val="none" w:color="auto"/>
                      <w:lang w:val="en-US" w:eastAsia="zh-CN"/>
                    </w:rPr>
                    <w:t>固废治理</w:t>
                  </w:r>
                </w:p>
              </w:tc>
              <w:tc>
                <w:tcPr>
                  <w:tcW w:w="3311" w:type="pct"/>
                  <w:gridSpan w:val="2"/>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r>
                    <w:rPr>
                      <w:rFonts w:hint="default" w:ascii="Times New Roman" w:hAnsi="Times New Roman" w:eastAsia="宋体" w:cs="Times New Roman"/>
                      <w:color w:val="000000"/>
                      <w:kern w:val="0"/>
                      <w:sz w:val="21"/>
                      <w:szCs w:val="21"/>
                      <w:u w:val="none" w:color="auto"/>
                    </w:rPr>
                    <w:t>生活垃圾垃圾桶</w:t>
                  </w:r>
                </w:p>
              </w:tc>
              <w:tc>
                <w:tcPr>
                  <w:tcW w:w="1153" w:type="pct"/>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lang w:val="en-US" w:eastAsia="zh-CN"/>
                    </w:rPr>
                  </w:pPr>
                  <w:r>
                    <w:rPr>
                      <w:rFonts w:hint="eastAsia" w:ascii="Times New Roman" w:hAnsi="Times New Roman" w:cs="Times New Roman"/>
                      <w:color w:val="000000"/>
                      <w:kern w:val="0"/>
                      <w:sz w:val="21"/>
                      <w:szCs w:val="21"/>
                      <w:u w:val="none" w:color="auto"/>
                      <w:lang w:val="en-US" w:eastAsia="zh-CN"/>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35" w:type="pct"/>
                  <w:vMerge w:val="continue"/>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p>
              </w:tc>
              <w:tc>
                <w:tcPr>
                  <w:tcW w:w="3311" w:type="pct"/>
                  <w:gridSpan w:val="2"/>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r>
                    <w:rPr>
                      <w:rFonts w:hint="default" w:ascii="Times New Roman" w:hAnsi="Times New Roman" w:eastAsia="宋体" w:cs="Times New Roman"/>
                      <w:color w:val="000000"/>
                      <w:kern w:val="0"/>
                      <w:sz w:val="21"/>
                      <w:szCs w:val="21"/>
                      <w:u w:val="none" w:color="auto"/>
                    </w:rPr>
                    <w:t>一般固废暂存间</w:t>
                  </w:r>
                </w:p>
              </w:tc>
              <w:tc>
                <w:tcPr>
                  <w:tcW w:w="1153" w:type="pct"/>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lang w:val="en-US" w:eastAsia="zh-CN"/>
                    </w:rPr>
                  </w:pPr>
                  <w:r>
                    <w:rPr>
                      <w:rFonts w:hint="eastAsia" w:ascii="Times New Roman" w:hAnsi="Times New Roman" w:cs="Times New Roman"/>
                      <w:color w:val="000000"/>
                      <w:kern w:val="0"/>
                      <w:sz w:val="21"/>
                      <w:szCs w:val="21"/>
                      <w:u w:val="none" w:color="auto"/>
                      <w:lang w:val="en-US" w:eastAsia="zh-CN"/>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4" w:hRule="atLeast"/>
                <w:jc w:val="center"/>
              </w:trPr>
              <w:tc>
                <w:tcPr>
                  <w:tcW w:w="535" w:type="pct"/>
                  <w:vMerge w:val="restart"/>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r>
                    <w:rPr>
                      <w:rFonts w:hint="default" w:ascii="Times New Roman" w:hAnsi="Times New Roman" w:eastAsia="宋体" w:cs="Times New Roman"/>
                      <w:color w:val="000000"/>
                      <w:kern w:val="0"/>
                      <w:sz w:val="21"/>
                      <w:szCs w:val="21"/>
                      <w:u w:val="none" w:color="auto"/>
                    </w:rPr>
                    <w:t>废水治理</w:t>
                  </w:r>
                </w:p>
              </w:tc>
              <w:tc>
                <w:tcPr>
                  <w:tcW w:w="3311" w:type="pct"/>
                  <w:gridSpan w:val="2"/>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lang w:val="en-US" w:eastAsia="zh-CN"/>
                    </w:rPr>
                  </w:pPr>
                  <w:r>
                    <w:rPr>
                      <w:rFonts w:hint="eastAsia" w:ascii="Times New Roman" w:hAnsi="Times New Roman" w:cs="Times New Roman"/>
                      <w:color w:val="000000"/>
                      <w:kern w:val="0"/>
                      <w:sz w:val="21"/>
                      <w:szCs w:val="21"/>
                      <w:u w:val="none" w:color="auto"/>
                      <w:lang w:val="en-US" w:eastAsia="zh-CN"/>
                    </w:rPr>
                    <w:t>污水处理站</w:t>
                  </w:r>
                </w:p>
              </w:tc>
              <w:tc>
                <w:tcPr>
                  <w:tcW w:w="1153" w:type="pct"/>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lang w:val="en-US" w:eastAsia="zh-CN"/>
                    </w:rPr>
                  </w:pPr>
                  <w:r>
                    <w:rPr>
                      <w:rFonts w:hint="eastAsia" w:ascii="Times New Roman" w:hAnsi="Times New Roman" w:cs="Times New Roman"/>
                      <w:color w:val="000000"/>
                      <w:kern w:val="0"/>
                      <w:sz w:val="21"/>
                      <w:szCs w:val="21"/>
                      <w:u w:val="none" w:color="auto"/>
                      <w:lang w:val="en-US" w:eastAsia="zh-CN"/>
                    </w:rPr>
                    <w:t>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84" w:hRule="atLeast"/>
                <w:jc w:val="center"/>
              </w:trPr>
              <w:tc>
                <w:tcPr>
                  <w:tcW w:w="535" w:type="pct"/>
                  <w:vMerge w:val="continue"/>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p>
              </w:tc>
              <w:tc>
                <w:tcPr>
                  <w:tcW w:w="3311" w:type="pct"/>
                  <w:gridSpan w:val="2"/>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lang w:val="en-US" w:eastAsia="zh-CN"/>
                    </w:rPr>
                  </w:pPr>
                  <w:r>
                    <w:rPr>
                      <w:rFonts w:hint="default" w:ascii="Times New Roman" w:hAnsi="Times New Roman" w:eastAsia="宋体" w:cs="Times New Roman"/>
                      <w:color w:val="000000"/>
                      <w:kern w:val="0"/>
                      <w:sz w:val="21"/>
                      <w:szCs w:val="21"/>
                      <w:u w:val="none" w:color="auto"/>
                    </w:rPr>
                    <w:t>化粪池</w:t>
                  </w:r>
                  <w:r>
                    <w:rPr>
                      <w:rFonts w:hint="default" w:ascii="Times New Roman" w:hAnsi="Times New Roman" w:eastAsia="宋体" w:cs="Times New Roman"/>
                      <w:color w:val="000000"/>
                      <w:kern w:val="0"/>
                      <w:sz w:val="21"/>
                      <w:szCs w:val="21"/>
                      <w:u w:val="none" w:color="auto"/>
                      <w:lang w:eastAsia="zh-CN"/>
                    </w:rPr>
                    <w:t>、</w:t>
                  </w:r>
                  <w:r>
                    <w:rPr>
                      <w:rFonts w:hint="default" w:ascii="Times New Roman" w:hAnsi="Times New Roman" w:eastAsia="宋体" w:cs="Times New Roman"/>
                      <w:color w:val="000000"/>
                      <w:kern w:val="0"/>
                      <w:sz w:val="21"/>
                      <w:szCs w:val="21"/>
                      <w:u w:val="none" w:color="auto"/>
                      <w:lang w:val="en-US" w:eastAsia="zh-CN"/>
                    </w:rPr>
                    <w:t>隔油池</w:t>
                  </w:r>
                </w:p>
              </w:tc>
              <w:tc>
                <w:tcPr>
                  <w:tcW w:w="1153" w:type="pct"/>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u w:val="none" w:color="auto"/>
                      <w:lang w:eastAsia="zh-CN"/>
                    </w:rPr>
                  </w:pPr>
                  <w:r>
                    <w:rPr>
                      <w:rFonts w:hint="eastAsia" w:ascii="Times New Roman" w:hAnsi="Times New Roman" w:cs="Times New Roman"/>
                      <w:color w:val="000000"/>
                      <w:kern w:val="0"/>
                      <w:sz w:val="21"/>
                      <w:szCs w:val="21"/>
                      <w:u w:val="none" w:color="auto"/>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846" w:type="pct"/>
                  <w:gridSpan w:val="3"/>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rPr>
                  </w:pPr>
                  <w:r>
                    <w:rPr>
                      <w:rFonts w:hint="default" w:ascii="Times New Roman" w:hAnsi="Times New Roman" w:eastAsia="宋体" w:cs="Times New Roman"/>
                      <w:color w:val="000000"/>
                      <w:kern w:val="0"/>
                      <w:sz w:val="21"/>
                      <w:szCs w:val="21"/>
                      <w:u w:val="none" w:color="auto"/>
                    </w:rPr>
                    <w:t>合计</w:t>
                  </w:r>
                </w:p>
              </w:tc>
              <w:tc>
                <w:tcPr>
                  <w:tcW w:w="1153" w:type="pct"/>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u w:val="none" w:color="auto"/>
                      <w:lang w:val="en-US" w:eastAsia="zh-CN"/>
                    </w:rPr>
                  </w:pPr>
                  <w:r>
                    <w:rPr>
                      <w:rFonts w:hint="eastAsia" w:ascii="Times New Roman" w:hAnsi="Times New Roman" w:cs="Times New Roman"/>
                      <w:color w:val="000000"/>
                      <w:kern w:val="0"/>
                      <w:sz w:val="21"/>
                      <w:szCs w:val="21"/>
                      <w:u w:val="none" w:color="auto"/>
                      <w:lang w:val="en-US" w:eastAsia="zh-CN"/>
                    </w:rPr>
                    <w:t>35</w:t>
                  </w:r>
                </w:p>
              </w:tc>
            </w:tr>
          </w:tbl>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u w:val="none"/>
              </w:rPr>
            </w:pPr>
            <w:r>
              <w:rPr>
                <w:rFonts w:hint="default" w:ascii="Times New Roman" w:hAnsi="Times New Roman" w:eastAsia="宋体" w:cs="Times New Roman"/>
                <w:color w:val="000000"/>
                <w:sz w:val="24"/>
                <w:szCs w:val="22"/>
                <w:u w:val="none"/>
              </w:rPr>
              <w:t>由上表可知，</w:t>
            </w:r>
            <w:r>
              <w:rPr>
                <w:rFonts w:hint="default" w:ascii="Times New Roman" w:hAnsi="Times New Roman" w:eastAsia="宋体" w:cs="Times New Roman"/>
                <w:color w:val="000000"/>
                <w:sz w:val="24"/>
                <w:szCs w:val="22"/>
                <w:u w:val="none"/>
                <w:lang w:val="en-US" w:eastAsia="zh-CN"/>
              </w:rPr>
              <w:t>三期</w:t>
            </w:r>
            <w:r>
              <w:rPr>
                <w:rFonts w:hint="default" w:ascii="Times New Roman" w:hAnsi="Times New Roman" w:eastAsia="宋体" w:cs="Times New Roman"/>
                <w:color w:val="000000"/>
                <w:sz w:val="24"/>
                <w:szCs w:val="22"/>
                <w:u w:val="none"/>
              </w:rPr>
              <w:t>项目各项环保治理措施投资总计约为</w:t>
            </w:r>
            <w:r>
              <w:rPr>
                <w:rFonts w:hint="eastAsia" w:ascii="Times New Roman" w:hAnsi="Times New Roman" w:cs="Times New Roman"/>
                <w:color w:val="000000"/>
                <w:sz w:val="24"/>
                <w:szCs w:val="22"/>
                <w:u w:val="none"/>
                <w:lang w:val="en-US" w:eastAsia="zh-CN"/>
              </w:rPr>
              <w:t>35</w:t>
            </w:r>
            <w:r>
              <w:rPr>
                <w:rFonts w:hint="default" w:ascii="Times New Roman" w:hAnsi="Times New Roman" w:eastAsia="宋体" w:cs="Times New Roman"/>
                <w:color w:val="000000"/>
                <w:sz w:val="24"/>
                <w:szCs w:val="22"/>
                <w:u w:val="none"/>
              </w:rPr>
              <w:t>万元，占总投资的</w:t>
            </w:r>
            <w:r>
              <w:rPr>
                <w:rFonts w:hint="eastAsia" w:ascii="Times New Roman" w:hAnsi="Times New Roman" w:cs="Times New Roman"/>
                <w:color w:val="000000"/>
                <w:sz w:val="24"/>
                <w:szCs w:val="22"/>
                <w:u w:val="none"/>
                <w:lang w:val="en-US" w:eastAsia="zh-CN"/>
              </w:rPr>
              <w:t>5.83</w:t>
            </w:r>
            <w:r>
              <w:rPr>
                <w:rFonts w:hint="default" w:ascii="Times New Roman" w:hAnsi="Times New Roman" w:eastAsia="宋体" w:cs="Times New Roman"/>
                <w:color w:val="000000"/>
                <w:sz w:val="24"/>
                <w:szCs w:val="22"/>
                <w:u w:val="none"/>
              </w:rPr>
              <w:t>%，上述环保投资及治理项目可使本项目各项污染物达标排放。</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575" w:leftChars="0" w:right="0" w:rightChars="0" w:hanging="575" w:firstLineChars="0"/>
              <w:jc w:val="both"/>
              <w:textAlignment w:val="auto"/>
              <w:outlineLvl w:val="1"/>
              <w:rPr>
                <w:rFonts w:hint="default" w:ascii="Times New Roman" w:hAnsi="Times New Roman" w:eastAsia="宋体" w:cs="Times New Roman"/>
                <w:b/>
                <w:bCs/>
                <w:color w:val="000000"/>
                <w:kern w:val="2"/>
                <w:sz w:val="28"/>
                <w:szCs w:val="32"/>
                <w:u w:val="none"/>
                <w:lang w:val="en-US" w:eastAsia="zh-CN" w:bidi="ar-SA"/>
              </w:rPr>
            </w:pPr>
            <w:r>
              <w:rPr>
                <w:rFonts w:hint="eastAsia" w:ascii="Times New Roman" w:hAnsi="Times New Roman" w:eastAsia="宋体" w:cs="Times New Roman"/>
                <w:b/>
                <w:bCs/>
                <w:color w:val="000000"/>
                <w:kern w:val="2"/>
                <w:sz w:val="28"/>
                <w:szCs w:val="32"/>
                <w:lang w:val="en-US" w:eastAsia="zh-CN" w:bidi="ar-SA"/>
              </w:rPr>
              <w:t>6</w:t>
            </w:r>
            <w:r>
              <w:rPr>
                <w:rFonts w:hint="default" w:ascii="Times New Roman" w:hAnsi="Times New Roman" w:eastAsia="宋体" w:cs="Times New Roman"/>
                <w:b/>
                <w:bCs/>
                <w:color w:val="000000"/>
                <w:kern w:val="2"/>
                <w:sz w:val="28"/>
                <w:szCs w:val="32"/>
                <w:lang w:val="en-US" w:eastAsia="zh-CN" w:bidi="ar-SA"/>
              </w:rPr>
              <w:t>、“三同时”验收</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根据《建设项目环境保护管理条例》（2017年7月修订）、《建设项目竣工环境保护验收暂行办法》（国环规环评【2017】4号），建设项目竣工后建设单位需自主开展环境保护验收</w:t>
            </w:r>
            <w:r>
              <w:rPr>
                <w:rFonts w:hint="eastAsia"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项目竣工环保设施的验收要求如下：</w:t>
            </w:r>
          </w:p>
          <w:p>
            <w:pPr>
              <w:pageBreakBefore w:val="0"/>
              <w:widowControl w:val="0"/>
              <w:numPr>
                <w:ilvl w:val="0"/>
                <w:numId w:val="3"/>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建设项目需要配套建设的环境保护设施，必须与主体工程同时设计、同时施工、同时投产使用。</w:t>
            </w:r>
          </w:p>
          <w:p>
            <w:pPr>
              <w:pageBreakBefore w:val="0"/>
              <w:widowControl w:val="0"/>
              <w:numPr>
                <w:ilvl w:val="0"/>
                <w:numId w:val="3"/>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项目竣工后，建设单位应当按照国务院环境保护行政主管部门规定的标准和程序，对配套建设的环境保护设施进行验收，编制验收报告。</w:t>
            </w:r>
          </w:p>
          <w:p>
            <w:pPr>
              <w:pageBreakBefore w:val="0"/>
              <w:widowControl w:val="0"/>
              <w:numPr>
                <w:ilvl w:val="0"/>
                <w:numId w:val="3"/>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建设单位在环境保护设施验收过程中，应当如实查验、监测、记载建设项目环境保护设施的建设和调试情况，不得弄虚作假。建设单位不具备编制验收监测（调查）报告能力的，可以委托有能力的技术机构编制。建设单位对受委托的技术机构编制的验收监测（调查）报告结论负责。建设单位与受委托的技术机构之间的权利义务关系，以及受委托的技术机构应当承担的责任，可以通过合同形式约定。</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000000"/>
                <w:sz w:val="21"/>
                <w:szCs w:val="21"/>
                <w:u w:val="none"/>
              </w:rPr>
            </w:pPr>
            <w:r>
              <w:rPr>
                <w:rFonts w:hint="default" w:ascii="Times New Roman" w:hAnsi="Times New Roman" w:eastAsia="宋体" w:cs="Times New Roman"/>
                <w:color w:val="000000"/>
                <w:sz w:val="24"/>
                <w:szCs w:val="24"/>
                <w:u w:val="none"/>
              </w:rPr>
              <w:t>d、建设项目配套建设的环境保护设施经验收合格后，其主体工程方可投入生 产或者使用；未经验收或者验收不合格的，不得投入生产或者使用。项目环境保护 竣工验收项目见下表。</w:t>
            </w:r>
          </w:p>
          <w:p>
            <w:pPr>
              <w:adjustRightInd w:val="0"/>
              <w:snapToGrid w:val="0"/>
              <w:spacing w:line="300" w:lineRule="exact"/>
              <w:ind w:firstLine="0" w:firstLineChars="0"/>
              <w:jc w:val="center"/>
              <w:rPr>
                <w:rFonts w:hint="default" w:ascii="Times New Roman" w:hAnsi="Times New Roman" w:eastAsia="宋体" w:cs="Times New Roman"/>
                <w:b/>
                <w:color w:val="000000"/>
                <w:sz w:val="21"/>
                <w:szCs w:val="21"/>
                <w:u w:val="none"/>
              </w:rPr>
            </w:pPr>
            <w:r>
              <w:rPr>
                <w:rFonts w:hint="default" w:ascii="Times New Roman" w:hAnsi="Times New Roman" w:eastAsia="宋体" w:cs="Times New Roman"/>
                <w:b/>
                <w:color w:val="000000"/>
                <w:sz w:val="21"/>
                <w:szCs w:val="21"/>
                <w:u w:val="none"/>
              </w:rPr>
              <w:t>表</w:t>
            </w:r>
            <w:r>
              <w:rPr>
                <w:rFonts w:hint="eastAsia" w:ascii="Times New Roman" w:hAnsi="Times New Roman" w:eastAsia="宋体" w:cs="Times New Roman"/>
                <w:b/>
                <w:color w:val="000000"/>
                <w:sz w:val="21"/>
                <w:szCs w:val="21"/>
                <w:u w:val="none"/>
                <w:lang w:val="en-US" w:eastAsia="zh-CN"/>
              </w:rPr>
              <w:t>4</w:t>
            </w:r>
            <w:r>
              <w:rPr>
                <w:rFonts w:hint="default" w:ascii="Times New Roman" w:hAnsi="Times New Roman" w:eastAsia="宋体" w:cs="Times New Roman"/>
                <w:b/>
                <w:color w:val="000000"/>
                <w:sz w:val="21"/>
                <w:szCs w:val="21"/>
                <w:u w:val="none"/>
              </w:rPr>
              <w:t>-</w:t>
            </w:r>
            <w:r>
              <w:rPr>
                <w:rFonts w:hint="eastAsia" w:ascii="Times New Roman" w:hAnsi="Times New Roman" w:cs="Times New Roman"/>
                <w:b/>
                <w:color w:val="000000"/>
                <w:sz w:val="21"/>
                <w:szCs w:val="21"/>
                <w:u w:val="none"/>
                <w:lang w:val="en-US" w:eastAsia="zh-CN"/>
              </w:rPr>
              <w:t>27</w:t>
            </w:r>
            <w:r>
              <w:rPr>
                <w:rFonts w:hint="default" w:ascii="Times New Roman" w:hAnsi="Times New Roman" w:eastAsia="宋体" w:cs="Times New Roman"/>
                <w:b/>
                <w:color w:val="000000"/>
                <w:sz w:val="21"/>
                <w:szCs w:val="21"/>
                <w:u w:val="none"/>
              </w:rPr>
              <w:t xml:space="preserve"> 项目环保竣工验收一览表</w:t>
            </w:r>
          </w:p>
          <w:tbl>
            <w:tblPr>
              <w:tblStyle w:val="20"/>
              <w:tblW w:w="4992"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547"/>
              <w:gridCol w:w="1133"/>
              <w:gridCol w:w="656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03" w:hRule="atLeast"/>
              </w:trPr>
              <w:tc>
                <w:tcPr>
                  <w:tcW w:w="332"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序号</w:t>
                  </w:r>
                </w:p>
              </w:tc>
              <w:tc>
                <w:tcPr>
                  <w:tcW w:w="687"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验收项目</w:t>
                  </w:r>
                </w:p>
              </w:tc>
              <w:tc>
                <w:tcPr>
                  <w:tcW w:w="3979"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验收内容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03" w:hRule="atLeast"/>
              </w:trPr>
              <w:tc>
                <w:tcPr>
                  <w:tcW w:w="332"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w:t>
                  </w:r>
                </w:p>
              </w:tc>
              <w:tc>
                <w:tcPr>
                  <w:tcW w:w="687"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相关资料、手续</w:t>
                  </w:r>
                </w:p>
              </w:tc>
              <w:tc>
                <w:tcPr>
                  <w:tcW w:w="3979"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项目相关批复文件（主要为环境影响评价审批文件）是否齐备，项目是否具备开工条件，环境保护档案是否齐全。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03" w:hRule="atLeast"/>
              </w:trPr>
              <w:tc>
                <w:tcPr>
                  <w:tcW w:w="332"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w:t>
                  </w:r>
                </w:p>
              </w:tc>
              <w:tc>
                <w:tcPr>
                  <w:tcW w:w="687"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实际工程内容及方案设计情况</w:t>
                  </w:r>
                </w:p>
              </w:tc>
              <w:tc>
                <w:tcPr>
                  <w:tcW w:w="3979"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核实实际工程内容及方案设计变更情况，以及由此造成的环境影响变化情况。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03" w:hRule="atLeast"/>
              </w:trPr>
              <w:tc>
                <w:tcPr>
                  <w:tcW w:w="332"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3</w:t>
                  </w:r>
                </w:p>
              </w:tc>
              <w:tc>
                <w:tcPr>
                  <w:tcW w:w="687"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环境保护目标基本情况</w:t>
                  </w:r>
                </w:p>
              </w:tc>
              <w:tc>
                <w:tcPr>
                  <w:tcW w:w="3979"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核实环境保护目标基本情况及变更情况。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03" w:hRule="atLeast"/>
              </w:trPr>
              <w:tc>
                <w:tcPr>
                  <w:tcW w:w="332"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4</w:t>
                  </w:r>
                </w:p>
              </w:tc>
              <w:tc>
                <w:tcPr>
                  <w:tcW w:w="687"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环保相关评价制度及规章制度</w:t>
                  </w:r>
                </w:p>
              </w:tc>
              <w:tc>
                <w:tcPr>
                  <w:tcW w:w="3979"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核实环境影响评价制度及其他环境保护规章制度执行情况。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390" w:hRule="atLeast"/>
              </w:trPr>
              <w:tc>
                <w:tcPr>
                  <w:tcW w:w="332"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5</w:t>
                  </w:r>
                </w:p>
              </w:tc>
              <w:tc>
                <w:tcPr>
                  <w:tcW w:w="687"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各项环境保护设施落实情况</w:t>
                  </w:r>
                </w:p>
              </w:tc>
              <w:tc>
                <w:tcPr>
                  <w:tcW w:w="3979"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核实工程设计、环境影响评价文件及环境影响评价审批文件中提出的大气环境、水环境、声环境、固体废物及生态保护等各项措施落实情况及实施效果。</w:t>
                  </w:r>
                </w:p>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rPr>
                    <w:t>大气环境：项目</w:t>
                  </w:r>
                  <w:r>
                    <w:rPr>
                      <w:rFonts w:hint="eastAsia" w:ascii="Times New Roman" w:hAnsi="Times New Roman" w:cs="Times New Roman"/>
                      <w:color w:val="000000"/>
                      <w:sz w:val="21"/>
                      <w:szCs w:val="21"/>
                      <w:u w:val="none"/>
                      <w:lang w:val="en-US" w:eastAsia="zh-CN"/>
                    </w:rPr>
                    <w:t>锅炉废气</w:t>
                  </w:r>
                  <w:r>
                    <w:rPr>
                      <w:rFonts w:hint="default" w:ascii="Times New Roman" w:hAnsi="Times New Roman" w:eastAsia="宋体" w:cs="Times New Roman"/>
                      <w:color w:val="000000"/>
                      <w:sz w:val="21"/>
                      <w:szCs w:val="21"/>
                      <w:u w:val="none"/>
                    </w:rPr>
                    <w:t>是否设置</w:t>
                  </w:r>
                  <w:r>
                    <w:rPr>
                      <w:rFonts w:hint="eastAsia" w:ascii="Times New Roman" w:hAnsi="Times New Roman" w:cs="Times New Roman"/>
                      <w:color w:val="000000"/>
                      <w:kern w:val="0"/>
                      <w:sz w:val="21"/>
                      <w:szCs w:val="21"/>
                      <w:u w:val="none"/>
                      <w:lang w:val="en-US" w:eastAsia="zh-CN"/>
                    </w:rPr>
                    <w:t>碱液喷淋装置</w:t>
                  </w:r>
                  <w:r>
                    <w:rPr>
                      <w:rFonts w:hint="default" w:ascii="Times New Roman" w:hAnsi="Times New Roman" w:eastAsia="宋体" w:cs="Times New Roman"/>
                      <w:color w:val="000000"/>
                      <w:sz w:val="21"/>
                      <w:szCs w:val="21"/>
                      <w:u w:val="none"/>
                    </w:rPr>
                    <w:t>+</w:t>
                  </w:r>
                  <w:r>
                    <w:rPr>
                      <w:rFonts w:hint="eastAsia" w:ascii="Times New Roman" w:hAnsi="Times New Roman" w:cs="Times New Roman"/>
                      <w:color w:val="000000"/>
                      <w:sz w:val="21"/>
                      <w:szCs w:val="21"/>
                      <w:u w:val="none"/>
                      <w:lang w:val="en-US" w:eastAsia="zh-CN"/>
                    </w:rPr>
                    <w:t>40m烟囱</w:t>
                  </w:r>
                  <w:r>
                    <w:rPr>
                      <w:rFonts w:hint="default" w:ascii="Times New Roman" w:hAnsi="Times New Roman" w:eastAsia="宋体" w:cs="Times New Roman"/>
                      <w:color w:val="000000"/>
                      <w:sz w:val="21"/>
                      <w:szCs w:val="21"/>
                      <w:u w:val="none"/>
                    </w:rPr>
                    <w:t>处理排放</w:t>
                  </w:r>
                  <w:r>
                    <w:rPr>
                      <w:rFonts w:hint="default" w:ascii="Times New Roman" w:hAnsi="Times New Roman" w:eastAsia="宋体" w:cs="Times New Roman"/>
                      <w:color w:val="000000"/>
                      <w:sz w:val="21"/>
                      <w:szCs w:val="21"/>
                      <w:u w:val="none"/>
                      <w:lang w:eastAsia="zh-CN"/>
                    </w:rPr>
                    <w:t>；</w:t>
                  </w:r>
                  <w:r>
                    <w:rPr>
                      <w:rFonts w:hint="eastAsia" w:ascii="Times New Roman" w:hAnsi="Times New Roman" w:cs="Times New Roman"/>
                      <w:color w:val="000000"/>
                      <w:kern w:val="0"/>
                      <w:sz w:val="21"/>
                      <w:szCs w:val="21"/>
                      <w:u w:val="none" w:color="auto"/>
                      <w:lang w:val="en-US" w:eastAsia="zh-CN"/>
                    </w:rPr>
                    <w:t>滚筒式炒锅</w:t>
                  </w:r>
                  <w:r>
                    <w:rPr>
                      <w:rFonts w:hint="eastAsia" w:ascii="Times New Roman" w:hAnsi="Times New Roman" w:cs="Times New Roman"/>
                      <w:color w:val="000000"/>
                      <w:sz w:val="21"/>
                      <w:szCs w:val="21"/>
                      <w:u w:val="none"/>
                      <w:lang w:val="en-US" w:eastAsia="zh-CN"/>
                    </w:rPr>
                    <w:t>废气是否设置旋风除尘+布袋除尘+15m排气筒处理排放</w:t>
                  </w:r>
                  <w:r>
                    <w:rPr>
                      <w:rFonts w:hint="eastAsia" w:ascii="Times New Roman" w:hAnsi="Times New Roman" w:cs="Times New Roman"/>
                      <w:color w:val="000000"/>
                      <w:sz w:val="21"/>
                      <w:szCs w:val="21"/>
                      <w:u w:val="none"/>
                      <w:lang w:eastAsia="zh-CN"/>
                    </w:rPr>
                    <w:t>；</w:t>
                  </w:r>
                  <w:r>
                    <w:rPr>
                      <w:rFonts w:hint="eastAsia" w:ascii="Times New Roman" w:hAnsi="Times New Roman" w:cs="Times New Roman"/>
                      <w:color w:val="000000"/>
                      <w:sz w:val="21"/>
                      <w:szCs w:val="21"/>
                      <w:u w:val="none"/>
                      <w:lang w:val="en-US" w:eastAsia="zh-CN"/>
                    </w:rPr>
                    <w:t>生产车间恶臭是否设置排风扇加强车间通风；</w:t>
                  </w:r>
                  <w:r>
                    <w:rPr>
                      <w:rFonts w:hint="eastAsia" w:ascii="Times New Roman" w:hAnsi="Times New Roman" w:cs="Times New Roman" w:eastAsiaTheme="minorEastAsia"/>
                      <w:bCs/>
                      <w:color w:val="000000" w:themeColor="text1"/>
                      <w:sz w:val="21"/>
                      <w:szCs w:val="21"/>
                      <w:u w:val="none" w:color="auto"/>
                      <w:lang w:val="en-US" w:eastAsia="zh-CN"/>
                      <w14:textFill>
                        <w14:solidFill>
                          <w14:schemeClr w14:val="tx1"/>
                        </w14:solidFill>
                      </w14:textFill>
                    </w:rPr>
                    <w:t>污水处理站恶臭是否采取</w:t>
                  </w:r>
                  <w:r>
                    <w:rPr>
                      <w:rFonts w:hint="eastAsia" w:ascii="Times New Roman" w:hAnsi="Times New Roman" w:cs="Times New Roman" w:eastAsiaTheme="minorEastAsia"/>
                      <w:bCs/>
                      <w:color w:val="000000" w:themeColor="text1"/>
                      <w:sz w:val="21"/>
                      <w:szCs w:val="21"/>
                      <w:u w:val="none" w:color="auto"/>
                      <w14:textFill>
                        <w14:solidFill>
                          <w14:schemeClr w14:val="tx1"/>
                        </w14:solidFill>
                      </w14:textFill>
                    </w:rPr>
                    <w:t>各水处理池加盖板封闭，加强绿化</w:t>
                  </w:r>
                  <w:r>
                    <w:rPr>
                      <w:rFonts w:hint="eastAsia" w:ascii="Times New Roman" w:hAnsi="Times New Roman" w:cs="Times New Roman" w:eastAsiaTheme="minorEastAsia"/>
                      <w:bCs/>
                      <w:color w:val="000000" w:themeColor="text1"/>
                      <w:sz w:val="21"/>
                      <w:szCs w:val="21"/>
                      <w:u w:val="none" w:color="auto"/>
                      <w:lang w:val="en-US" w:eastAsia="zh-CN"/>
                      <w14:textFill>
                        <w14:solidFill>
                          <w14:schemeClr w14:val="tx1"/>
                        </w14:solidFill>
                      </w14:textFill>
                    </w:rPr>
                    <w:t>措施；</w:t>
                  </w:r>
                  <w:r>
                    <w:rPr>
                      <w:rFonts w:hint="default" w:ascii="Times New Roman" w:hAnsi="Times New Roman" w:eastAsia="宋体" w:cs="Times New Roman"/>
                      <w:color w:val="000000"/>
                      <w:sz w:val="21"/>
                      <w:szCs w:val="21"/>
                      <w:u w:val="none"/>
                      <w:lang w:val="en-US" w:eastAsia="zh-CN"/>
                    </w:rPr>
                    <w:t>油烟废气是否通过</w:t>
                  </w:r>
                  <w:r>
                    <w:rPr>
                      <w:rFonts w:hint="default" w:ascii="Times New Roman" w:hAnsi="Times New Roman" w:eastAsia="宋体" w:cs="Times New Roman"/>
                      <w:color w:val="000000"/>
                      <w:kern w:val="0"/>
                      <w:sz w:val="21"/>
                      <w:szCs w:val="21"/>
                      <w:u w:val="none"/>
                    </w:rPr>
                    <w:t>1台油烟净化器</w:t>
                  </w:r>
                  <w:r>
                    <w:rPr>
                      <w:rFonts w:hint="default" w:ascii="Times New Roman" w:hAnsi="Times New Roman" w:eastAsia="宋体" w:cs="Times New Roman"/>
                      <w:color w:val="000000"/>
                      <w:sz w:val="21"/>
                      <w:szCs w:val="21"/>
                      <w:u w:val="none"/>
                    </w:rPr>
                    <w:t>处理排放</w:t>
                  </w:r>
                  <w:r>
                    <w:rPr>
                      <w:rFonts w:hint="default" w:ascii="Times New Roman" w:hAnsi="Times New Roman" w:eastAsia="宋体" w:cs="Times New Roman"/>
                      <w:color w:val="000000"/>
                      <w:sz w:val="21"/>
                      <w:szCs w:val="21"/>
                      <w:u w:val="none"/>
                      <w:lang w:eastAsia="zh-CN"/>
                    </w:rPr>
                    <w:t>；</w:t>
                  </w:r>
                </w:p>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rPr>
                    <w:t>水环境：</w:t>
                  </w:r>
                  <w:r>
                    <w:rPr>
                      <w:rFonts w:hint="default" w:ascii="Times New Roman" w:hAnsi="Times New Roman" w:eastAsia="宋体" w:cs="Times New Roman"/>
                      <w:color w:val="000000"/>
                      <w:sz w:val="21"/>
                      <w:szCs w:val="21"/>
                      <w:u w:val="none"/>
                      <w:lang w:val="en-US" w:eastAsia="zh-CN"/>
                    </w:rPr>
                    <w:t>生活废水</w:t>
                  </w:r>
                  <w:r>
                    <w:rPr>
                      <w:rFonts w:hint="default" w:ascii="Times New Roman" w:hAnsi="Times New Roman" w:eastAsia="宋体" w:cs="Times New Roman"/>
                      <w:color w:val="000000"/>
                      <w:sz w:val="21"/>
                      <w:szCs w:val="21"/>
                      <w:u w:val="none"/>
                    </w:rPr>
                    <w:t>是否通过</w:t>
                  </w:r>
                  <w:r>
                    <w:rPr>
                      <w:rFonts w:hint="default" w:ascii="Times New Roman" w:hAnsi="Times New Roman" w:eastAsia="宋体" w:cs="Times New Roman"/>
                      <w:color w:val="000000"/>
                      <w:sz w:val="21"/>
                      <w:szCs w:val="21"/>
                      <w:u w:val="none"/>
                      <w:lang w:val="en-US" w:eastAsia="zh-CN"/>
                    </w:rPr>
                    <w:t>化粪池</w:t>
                  </w:r>
                  <w:r>
                    <w:rPr>
                      <w:rFonts w:hint="default" w:ascii="Times New Roman" w:hAnsi="Times New Roman" w:eastAsia="宋体" w:cs="Times New Roman"/>
                      <w:color w:val="000000"/>
                      <w:sz w:val="21"/>
                      <w:szCs w:val="21"/>
                      <w:u w:val="none"/>
                    </w:rPr>
                    <w:t>处理</w:t>
                  </w:r>
                  <w:r>
                    <w:rPr>
                      <w:rFonts w:hint="default" w:ascii="Times New Roman" w:hAnsi="Times New Roman" w:eastAsia="宋体" w:cs="Times New Roman"/>
                      <w:color w:val="000000"/>
                      <w:sz w:val="21"/>
                      <w:szCs w:val="21"/>
                      <w:u w:val="none"/>
                      <w:lang w:eastAsia="zh-CN"/>
                    </w:rPr>
                    <w:t>；</w:t>
                  </w:r>
                  <w:r>
                    <w:rPr>
                      <w:rFonts w:hint="default" w:ascii="Times New Roman" w:hAnsi="Times New Roman" w:eastAsia="宋体" w:cs="Times New Roman"/>
                      <w:color w:val="000000"/>
                      <w:sz w:val="21"/>
                      <w:szCs w:val="21"/>
                      <w:u w:val="none"/>
                      <w:lang w:val="en-US" w:eastAsia="zh-CN"/>
                    </w:rPr>
                    <w:t>食堂污水</w:t>
                  </w:r>
                  <w:r>
                    <w:rPr>
                      <w:rFonts w:hint="default" w:ascii="Times New Roman" w:hAnsi="Times New Roman" w:eastAsia="宋体" w:cs="Times New Roman"/>
                      <w:color w:val="000000"/>
                      <w:sz w:val="21"/>
                      <w:szCs w:val="21"/>
                      <w:u w:val="none"/>
                    </w:rPr>
                    <w:t>是否通过</w:t>
                  </w:r>
                  <w:r>
                    <w:rPr>
                      <w:rFonts w:hint="default" w:ascii="Times New Roman" w:hAnsi="Times New Roman" w:eastAsia="宋体" w:cs="Times New Roman"/>
                      <w:color w:val="000000"/>
                      <w:sz w:val="21"/>
                      <w:szCs w:val="21"/>
                      <w:u w:val="none"/>
                      <w:lang w:val="en-US" w:eastAsia="zh-CN"/>
                    </w:rPr>
                    <w:t>经隔油池处理后进入化粪池一起用于周边农田施肥；</w:t>
                  </w:r>
                  <w:r>
                    <w:rPr>
                      <w:rFonts w:hint="eastAsia" w:ascii="Times New Roman" w:hAnsi="Times New Roman" w:cs="Times New Roman"/>
                      <w:color w:val="000000"/>
                      <w:sz w:val="21"/>
                      <w:szCs w:val="21"/>
                      <w:u w:val="none"/>
                      <w:lang w:val="en-US" w:eastAsia="zh-CN"/>
                    </w:rPr>
                    <w:t>黄豆清洗废水、设备清洗废水和场地清洁废水是否通过厂区污水处理站处理后</w:t>
                  </w:r>
                  <w:r>
                    <w:rPr>
                      <w:rFonts w:hint="default" w:ascii="Times New Roman" w:hAnsi="Times New Roman" w:eastAsia="宋体" w:cs="Times New Roman"/>
                      <w:color w:val="000000"/>
                      <w:sz w:val="21"/>
                      <w:szCs w:val="21"/>
                      <w:u w:val="none"/>
                      <w:lang w:val="en-US" w:eastAsia="zh-CN"/>
                    </w:rPr>
                    <w:t>用于周边农田施肥；</w:t>
                  </w:r>
                  <w:r>
                    <w:rPr>
                      <w:rFonts w:hint="eastAsia" w:ascii="Times New Roman" w:hAnsi="Times New Roman" w:cs="Times New Roman"/>
                      <w:color w:val="000000"/>
                      <w:sz w:val="21"/>
                      <w:szCs w:val="21"/>
                      <w:u w:val="none"/>
                      <w:lang w:val="en-US" w:eastAsia="zh-CN"/>
                    </w:rPr>
                    <w:t>锅炉排污水和软水制备设备产生的排污水为清净下水，是否用于周边绿化；</w:t>
                  </w:r>
                </w:p>
                <w:p>
                  <w:pPr>
                    <w:adjustRightInd w:val="0"/>
                    <w:snapToGrid w:val="0"/>
                    <w:spacing w:line="310" w:lineRule="exact"/>
                    <w:ind w:firstLine="0" w:firstLineChars="0"/>
                    <w:jc w:val="center"/>
                    <w:rPr>
                      <w:rFonts w:hint="default" w:ascii="Times New Roman" w:hAnsi="Times New Roman" w:eastAsia="宋体" w:cs="Times New Roman"/>
                      <w:color w:val="000000"/>
                      <w:sz w:val="24"/>
                      <w:szCs w:val="24"/>
                      <w:u w:val="none"/>
                      <w:lang w:eastAsia="zh-CN"/>
                    </w:rPr>
                  </w:pPr>
                  <w:r>
                    <w:rPr>
                      <w:rFonts w:hint="default" w:ascii="Times New Roman" w:hAnsi="Times New Roman" w:eastAsia="宋体" w:cs="Times New Roman"/>
                      <w:color w:val="000000"/>
                      <w:sz w:val="21"/>
                      <w:szCs w:val="21"/>
                      <w:u w:val="none"/>
                    </w:rPr>
                    <w:t>声环境：噪声是否采取</w:t>
                  </w:r>
                  <w:r>
                    <w:rPr>
                      <w:rFonts w:hint="default" w:ascii="Times New Roman" w:hAnsi="Times New Roman" w:eastAsia="宋体" w:cs="Times New Roman"/>
                      <w:color w:val="000000"/>
                      <w:sz w:val="21"/>
                      <w:szCs w:val="21"/>
                    </w:rPr>
                    <w:t>低噪声设备、固定底座、橡胶减震</w:t>
                  </w:r>
                  <w:r>
                    <w:rPr>
                      <w:rFonts w:hint="default" w:ascii="Times New Roman" w:hAnsi="Times New Roman" w:eastAsia="宋体" w:cs="Times New Roman"/>
                      <w:bCs/>
                      <w:color w:val="000000"/>
                      <w:sz w:val="21"/>
                      <w:szCs w:val="21"/>
                      <w:u w:val="none"/>
                    </w:rPr>
                    <w:t>等措施进行处理</w:t>
                  </w:r>
                  <w:r>
                    <w:rPr>
                      <w:rFonts w:hint="default" w:ascii="Times New Roman" w:hAnsi="Times New Roman" w:eastAsia="宋体" w:cs="Times New Roman"/>
                      <w:bCs/>
                      <w:color w:val="000000"/>
                      <w:sz w:val="21"/>
                      <w:szCs w:val="21"/>
                      <w:u w:val="none"/>
                      <w:lang w:eastAsia="zh-CN"/>
                    </w:rPr>
                    <w:t>；</w:t>
                  </w:r>
                </w:p>
                <w:p>
                  <w:pPr>
                    <w:adjustRightInd w:val="0"/>
                    <w:snapToGrid w:val="0"/>
                    <w:spacing w:line="310" w:lineRule="exact"/>
                    <w:ind w:firstLine="0" w:firstLineChars="0"/>
                    <w:jc w:val="center"/>
                    <w:rPr>
                      <w:rFonts w:hint="eastAsia" w:ascii="Times New Roman" w:hAnsi="Times New Roman" w:eastAsia="宋体" w:cs="Times New Roman"/>
                      <w:color w:val="000000"/>
                      <w:sz w:val="21"/>
                      <w:szCs w:val="21"/>
                      <w:u w:val="none"/>
                      <w:lang w:eastAsia="zh-CN"/>
                    </w:rPr>
                  </w:pPr>
                  <w:r>
                    <w:rPr>
                      <w:rFonts w:hint="default" w:ascii="Times New Roman" w:hAnsi="Times New Roman" w:eastAsia="宋体" w:cs="Times New Roman"/>
                      <w:color w:val="000000"/>
                      <w:sz w:val="21"/>
                      <w:szCs w:val="21"/>
                      <w:u w:val="none"/>
                    </w:rPr>
                    <w:t>一般固废是否设置一般固废暂存间收集</w:t>
                  </w:r>
                  <w:r>
                    <w:rPr>
                      <w:rFonts w:hint="eastAsia" w:ascii="Times New Roman" w:hAnsi="Times New Roman" w:cs="Times New Roman"/>
                      <w:color w:val="000000"/>
                      <w:sz w:val="21"/>
                      <w:szCs w:val="21"/>
                      <w:u w:val="none"/>
                      <w:lang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585" w:hRule="atLeast"/>
              </w:trPr>
              <w:tc>
                <w:tcPr>
                  <w:tcW w:w="332"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6</w:t>
                  </w:r>
                </w:p>
              </w:tc>
              <w:tc>
                <w:tcPr>
                  <w:tcW w:w="687"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环境保护设施正产运转条件</w:t>
                  </w:r>
                </w:p>
              </w:tc>
              <w:tc>
                <w:tcPr>
                  <w:tcW w:w="3979"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eastAsia" w:ascii="Times New Roman" w:hAnsi="Times New Roman" w:cs="Times New Roman"/>
                      <w:color w:val="000000"/>
                      <w:sz w:val="21"/>
                      <w:szCs w:val="21"/>
                      <w:u w:val="none"/>
                      <w:lang w:val="en-US" w:eastAsia="zh-CN"/>
                    </w:rPr>
                    <w:t>碱液喷淋装置</w:t>
                  </w:r>
                  <w:r>
                    <w:rPr>
                      <w:rFonts w:hint="default" w:ascii="Times New Roman" w:hAnsi="Times New Roman" w:eastAsia="宋体" w:cs="Times New Roman"/>
                      <w:color w:val="000000"/>
                      <w:sz w:val="21"/>
                      <w:szCs w:val="21"/>
                      <w:u w:val="none"/>
                    </w:rPr>
                    <w:t>是否正常稳定运行；</w:t>
                  </w:r>
                  <w:r>
                    <w:rPr>
                      <w:rFonts w:hint="eastAsia" w:ascii="Times New Roman" w:hAnsi="Times New Roman" w:cs="Times New Roman"/>
                      <w:color w:val="000000"/>
                      <w:sz w:val="21"/>
                      <w:szCs w:val="21"/>
                      <w:u w:val="none"/>
                      <w:lang w:val="en-US" w:eastAsia="zh-CN"/>
                    </w:rPr>
                    <w:t>旋风除尘和布袋除尘是否正常稳定运行；</w:t>
                  </w:r>
                  <w:r>
                    <w:rPr>
                      <w:rFonts w:hint="default" w:ascii="Times New Roman" w:hAnsi="Times New Roman" w:eastAsia="宋体" w:cs="Times New Roman"/>
                      <w:color w:val="000000"/>
                      <w:sz w:val="21"/>
                      <w:szCs w:val="21"/>
                      <w:u w:val="none"/>
                    </w:rPr>
                    <w:t>站内生活污水</w:t>
                  </w:r>
                  <w:r>
                    <w:rPr>
                      <w:rFonts w:hint="eastAsia" w:ascii="Times New Roman" w:hAnsi="Times New Roman" w:cs="Times New Roman"/>
                      <w:color w:val="000000"/>
                      <w:sz w:val="21"/>
                      <w:szCs w:val="21"/>
                      <w:u w:val="none"/>
                      <w:lang w:val="en-US" w:eastAsia="zh-CN"/>
                    </w:rPr>
                    <w:t>和生产废水</w:t>
                  </w:r>
                  <w:r>
                    <w:rPr>
                      <w:rFonts w:hint="default" w:ascii="Times New Roman" w:hAnsi="Times New Roman" w:eastAsia="宋体" w:cs="Times New Roman"/>
                      <w:color w:val="000000"/>
                      <w:sz w:val="21"/>
                      <w:szCs w:val="21"/>
                      <w:u w:val="none"/>
                    </w:rPr>
                    <w:t>是否按要求处置。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795" w:hRule="atLeast"/>
              </w:trPr>
              <w:tc>
                <w:tcPr>
                  <w:tcW w:w="332"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7</w:t>
                  </w:r>
                </w:p>
              </w:tc>
              <w:tc>
                <w:tcPr>
                  <w:tcW w:w="687"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污染物排放达标情况</w:t>
                  </w:r>
                </w:p>
              </w:tc>
              <w:tc>
                <w:tcPr>
                  <w:tcW w:w="3979" w:type="pct"/>
                  <w:noWrap w:val="0"/>
                  <w:vAlign w:val="center"/>
                </w:tcPr>
                <w:p>
                  <w:pPr>
                    <w:adjustRightInd w:val="0"/>
                    <w:snapToGrid w:val="0"/>
                    <w:spacing w:line="310" w:lineRule="exact"/>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lang w:val="en-US" w:eastAsia="zh-CN"/>
                    </w:rPr>
                    <w:t>生活废水</w:t>
                  </w:r>
                  <w:r>
                    <w:rPr>
                      <w:rFonts w:hint="default" w:ascii="Times New Roman" w:hAnsi="Times New Roman" w:eastAsia="宋体" w:cs="Times New Roman"/>
                      <w:color w:val="000000"/>
                      <w:sz w:val="21"/>
                      <w:szCs w:val="21"/>
                      <w:u w:val="none"/>
                    </w:rPr>
                    <w:t>是否通过</w:t>
                  </w:r>
                  <w:r>
                    <w:rPr>
                      <w:rFonts w:hint="default" w:ascii="Times New Roman" w:hAnsi="Times New Roman" w:eastAsia="宋体" w:cs="Times New Roman"/>
                      <w:color w:val="000000"/>
                      <w:sz w:val="21"/>
                      <w:szCs w:val="21"/>
                      <w:u w:val="none"/>
                      <w:lang w:val="en-US" w:eastAsia="zh-CN"/>
                    </w:rPr>
                    <w:t>化粪池</w:t>
                  </w:r>
                  <w:r>
                    <w:rPr>
                      <w:rFonts w:hint="default" w:ascii="Times New Roman" w:hAnsi="Times New Roman" w:eastAsia="宋体" w:cs="Times New Roman"/>
                      <w:color w:val="000000"/>
                      <w:sz w:val="21"/>
                      <w:szCs w:val="21"/>
                      <w:u w:val="none"/>
                    </w:rPr>
                    <w:t>处理</w:t>
                  </w:r>
                  <w:r>
                    <w:rPr>
                      <w:rFonts w:hint="default" w:ascii="Times New Roman" w:hAnsi="Times New Roman" w:eastAsia="宋体" w:cs="Times New Roman"/>
                      <w:color w:val="000000"/>
                      <w:sz w:val="21"/>
                      <w:szCs w:val="21"/>
                      <w:u w:val="none"/>
                      <w:lang w:eastAsia="zh-CN"/>
                    </w:rPr>
                    <w:t>；</w:t>
                  </w:r>
                  <w:r>
                    <w:rPr>
                      <w:rFonts w:hint="default" w:ascii="Times New Roman" w:hAnsi="Times New Roman" w:eastAsia="宋体" w:cs="Times New Roman"/>
                      <w:color w:val="000000"/>
                      <w:sz w:val="21"/>
                      <w:szCs w:val="21"/>
                      <w:u w:val="none"/>
                      <w:lang w:val="en-US" w:eastAsia="zh-CN"/>
                    </w:rPr>
                    <w:t>食堂污水</w:t>
                  </w:r>
                  <w:r>
                    <w:rPr>
                      <w:rFonts w:hint="default" w:ascii="Times New Roman" w:hAnsi="Times New Roman" w:eastAsia="宋体" w:cs="Times New Roman"/>
                      <w:color w:val="000000"/>
                      <w:sz w:val="21"/>
                      <w:szCs w:val="21"/>
                      <w:u w:val="none"/>
                    </w:rPr>
                    <w:t>是否通过</w:t>
                  </w:r>
                  <w:r>
                    <w:rPr>
                      <w:rFonts w:hint="default" w:ascii="Times New Roman" w:hAnsi="Times New Roman" w:eastAsia="宋体" w:cs="Times New Roman"/>
                      <w:color w:val="000000"/>
                      <w:sz w:val="21"/>
                      <w:szCs w:val="21"/>
                      <w:u w:val="none"/>
                      <w:lang w:val="en-US" w:eastAsia="zh-CN"/>
                    </w:rPr>
                    <w:t>经隔油池处理后进入化粪池一起用于周边农田施肥</w:t>
                  </w:r>
                  <w:r>
                    <w:rPr>
                      <w:rFonts w:hint="eastAsia" w:ascii="Times New Roman" w:hAnsi="Times New Roman" w:cs="Times New Roman"/>
                      <w:color w:val="000000"/>
                      <w:sz w:val="21"/>
                      <w:szCs w:val="21"/>
                      <w:u w:val="none"/>
                      <w:lang w:val="en-US" w:eastAsia="zh-CN"/>
                    </w:rPr>
                    <w:t>；锅炉废气</w:t>
                  </w:r>
                  <w:r>
                    <w:rPr>
                      <w:rFonts w:hint="default" w:ascii="Times New Roman" w:hAnsi="Times New Roman" w:eastAsia="宋体" w:cs="Times New Roman"/>
                      <w:color w:val="000000"/>
                      <w:sz w:val="21"/>
                      <w:szCs w:val="21"/>
                      <w:u w:val="none"/>
                    </w:rPr>
                    <w:t>是否</w:t>
                  </w:r>
                  <w:r>
                    <w:rPr>
                      <w:rFonts w:hint="default" w:ascii="Times New Roman" w:hAnsi="Times New Roman" w:eastAsia="宋体" w:cs="Times New Roman"/>
                      <w:color w:val="000000"/>
                      <w:sz w:val="21"/>
                      <w:szCs w:val="21"/>
                      <w:u w:val="none"/>
                      <w:lang w:val="en-US" w:eastAsia="zh-CN"/>
                    </w:rPr>
                    <w:t>满足</w:t>
                  </w:r>
                  <w:r>
                    <w:rPr>
                      <w:rFonts w:hint="default" w:ascii="Times New Roman" w:hAnsi="Times New Roman" w:cs="Times New Roman" w:eastAsiaTheme="minorEastAsia"/>
                      <w:sz w:val="21"/>
                      <w:szCs w:val="21"/>
                      <w:lang w:val="en-US" w:eastAsia="zh-CN"/>
                    </w:rPr>
                    <w:t>《锅炉大气污染物排放标准》（GB13271-2014）中表2燃煤锅炉排放控制要求</w:t>
                  </w:r>
                  <w:r>
                    <w:rPr>
                      <w:rFonts w:hint="eastAsia" w:ascii="Times New Roman" w:hAnsi="Times New Roman" w:cs="Times New Roman"/>
                      <w:color w:val="000000"/>
                      <w:sz w:val="21"/>
                      <w:szCs w:val="21"/>
                      <w:u w:val="none"/>
                      <w:lang w:eastAsia="zh-CN"/>
                    </w:rPr>
                    <w:t>；</w:t>
                  </w:r>
                  <w:r>
                    <w:rPr>
                      <w:rFonts w:hint="eastAsia" w:ascii="Times New Roman" w:hAnsi="Times New Roman" w:cs="Times New Roman"/>
                      <w:color w:val="000000"/>
                      <w:sz w:val="21"/>
                      <w:szCs w:val="21"/>
                      <w:u w:val="none"/>
                      <w:lang w:val="en-US" w:eastAsia="zh-CN"/>
                    </w:rPr>
                    <w:t>滚筒式炒锅废气</w:t>
                  </w:r>
                  <w:r>
                    <w:rPr>
                      <w:rFonts w:hint="default" w:ascii="Times New Roman" w:hAnsi="Times New Roman" w:eastAsia="宋体" w:cs="Times New Roman"/>
                      <w:color w:val="000000"/>
                      <w:sz w:val="21"/>
                      <w:szCs w:val="21"/>
                      <w:u w:val="none"/>
                    </w:rPr>
                    <w:t>是否</w:t>
                  </w:r>
                  <w:r>
                    <w:rPr>
                      <w:rFonts w:hint="default" w:ascii="Times New Roman" w:hAnsi="Times New Roman" w:eastAsia="宋体" w:cs="Times New Roman"/>
                      <w:color w:val="000000"/>
                      <w:sz w:val="21"/>
                      <w:szCs w:val="21"/>
                      <w:u w:val="none"/>
                      <w:lang w:val="en-US" w:eastAsia="zh-CN"/>
                    </w:rPr>
                    <w:t>满足</w:t>
                  </w:r>
                  <w:r>
                    <w:rPr>
                      <w:rFonts w:hint="default" w:ascii="Times New Roman" w:hAnsi="Times New Roman" w:cs="Times New Roman" w:eastAsiaTheme="minorEastAsia"/>
                      <w:sz w:val="21"/>
                      <w:szCs w:val="21"/>
                      <w:lang w:val="en-US" w:eastAsia="zh-CN"/>
                    </w:rPr>
                    <w:t>《大气污染物综合排放标准》（GB16297-1996）</w:t>
                  </w:r>
                  <w:r>
                    <w:rPr>
                      <w:rFonts w:hint="eastAsia" w:ascii="Times New Roman" w:hAnsi="Times New Roman" w:cs="Times New Roman" w:eastAsiaTheme="minorEastAsia"/>
                      <w:sz w:val="21"/>
                      <w:szCs w:val="21"/>
                      <w:lang w:val="en-US" w:eastAsia="zh-CN"/>
                    </w:rPr>
                    <w:t>表2中二级标准</w:t>
                  </w:r>
                  <w:r>
                    <w:rPr>
                      <w:rFonts w:hint="default" w:ascii="Times New Roman" w:hAnsi="Times New Roman" w:cs="Times New Roman" w:eastAsiaTheme="minorEastAsia"/>
                      <w:sz w:val="21"/>
                      <w:szCs w:val="21"/>
                      <w:u w:val="none"/>
                      <w:lang w:val="en-US" w:eastAsia="zh-CN"/>
                    </w:rPr>
                    <w:t>限值要求</w:t>
                  </w:r>
                  <w:r>
                    <w:rPr>
                      <w:rFonts w:hint="eastAsia"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u w:val="none"/>
                      <w:lang w:val="en-US" w:eastAsia="zh-CN"/>
                    </w:rPr>
                    <w:t>脱壳</w:t>
                  </w:r>
                  <w:r>
                    <w:rPr>
                      <w:rFonts w:hint="eastAsia" w:ascii="Times New Roman" w:hAnsi="Times New Roman" w:cs="Times New Roman" w:eastAsiaTheme="minorEastAsia"/>
                      <w:sz w:val="21"/>
                      <w:szCs w:val="21"/>
                      <w:u w:val="none"/>
                      <w:lang w:val="en-US" w:eastAsia="zh-CN"/>
                    </w:rPr>
                    <w:t>粉尘和混合搅拌粉尘是否满足</w:t>
                  </w:r>
                  <w:r>
                    <w:rPr>
                      <w:rFonts w:hint="default" w:ascii="Times New Roman" w:hAnsi="Times New Roman" w:cs="Times New Roman" w:eastAsiaTheme="minorEastAsia"/>
                      <w:sz w:val="21"/>
                      <w:szCs w:val="21"/>
                      <w:u w:val="none"/>
                    </w:rPr>
                    <w:t>《大气污染物综合排放标准》（GB16297-1996）</w:t>
                  </w:r>
                  <w:r>
                    <w:rPr>
                      <w:rFonts w:hint="default" w:ascii="Times New Roman" w:hAnsi="Times New Roman" w:cs="Times New Roman" w:eastAsiaTheme="minorEastAsia"/>
                      <w:sz w:val="21"/>
                      <w:szCs w:val="21"/>
                      <w:u w:val="none"/>
                      <w:lang w:val="en-US" w:eastAsia="zh-CN"/>
                    </w:rPr>
                    <w:t>无组织排放监控浓度限值要求</w:t>
                  </w:r>
                  <w:r>
                    <w:rPr>
                      <w:rFonts w:hint="eastAsia" w:ascii="Times New Roman" w:hAnsi="Times New Roman" w:cs="Times New Roman" w:eastAsiaTheme="minorEastAsia"/>
                      <w:sz w:val="21"/>
                      <w:szCs w:val="21"/>
                      <w:u w:val="none"/>
                      <w:lang w:val="en-US" w:eastAsia="zh-CN"/>
                    </w:rPr>
                    <w:t>；</w:t>
                  </w:r>
                  <w:r>
                    <w:rPr>
                      <w:rFonts w:hint="default" w:ascii="Times New Roman" w:hAnsi="Times New Roman" w:eastAsia="宋体" w:cs="Times New Roman"/>
                      <w:color w:val="000000"/>
                      <w:sz w:val="21"/>
                      <w:szCs w:val="21"/>
                      <w:u w:val="none"/>
                      <w:lang w:val="en-US" w:eastAsia="zh-CN"/>
                    </w:rPr>
                    <w:t>油烟废气是否满足</w:t>
                  </w:r>
                  <w:r>
                    <w:rPr>
                      <w:rFonts w:hint="default" w:ascii="Times New Roman" w:hAnsi="Times New Roman" w:eastAsia="宋体" w:cs="Times New Roman"/>
                      <w:kern w:val="2"/>
                      <w:sz w:val="21"/>
                      <w:szCs w:val="21"/>
                      <w:highlight w:val="none"/>
                      <w:u w:val="none"/>
                      <w:lang w:val="zh-CN" w:eastAsia="zh-CN" w:bidi="ar-SA"/>
                    </w:rPr>
                    <w:t>餐饮厨房油烟执行《饮食业油烟排放标准（试行）》（GB18483-2001）中最高允许排放浓度</w:t>
                  </w:r>
                  <w:r>
                    <w:rPr>
                      <w:rFonts w:hint="default" w:ascii="Times New Roman" w:hAnsi="Times New Roman" w:eastAsia="宋体" w:cs="Times New Roman"/>
                      <w:color w:val="000000"/>
                      <w:sz w:val="21"/>
                      <w:szCs w:val="21"/>
                      <w:u w:val="none"/>
                    </w:rPr>
                    <w:t>；项目厂界和敏感点是否满足《工业企业厂界环境噪声排放标准》（GB12348-2008）2类标准；一般固体废物是否按要求收集至一般固废暂存间后</w:t>
                  </w:r>
                  <w:r>
                    <w:rPr>
                      <w:rFonts w:hint="default" w:ascii="Times New Roman" w:hAnsi="Times New Roman" w:eastAsia="宋体" w:cs="Times New Roman"/>
                      <w:color w:val="000000"/>
                      <w:sz w:val="21"/>
                      <w:szCs w:val="21"/>
                      <w:u w:val="none"/>
                      <w:lang w:val="en-US" w:eastAsia="zh-CN"/>
                    </w:rPr>
                    <w:t>回用于生产</w:t>
                  </w:r>
                  <w:r>
                    <w:rPr>
                      <w:rFonts w:hint="default" w:ascii="Times New Roman" w:hAnsi="Times New Roman" w:eastAsia="宋体" w:cs="Times New Roman"/>
                      <w:color w:val="000000"/>
                      <w:sz w:val="21"/>
                      <w:szCs w:val="21"/>
                      <w:u w:val="none"/>
                    </w:rPr>
                    <w:t>。</w:t>
                  </w:r>
                </w:p>
              </w:tc>
            </w:tr>
          </w:tbl>
          <w:p>
            <w:pPr>
              <w:pStyle w:val="16"/>
              <w:ind w:left="0" w:leftChars="0" w:firstLine="0" w:firstLineChars="0"/>
              <w:jc w:val="both"/>
              <w:rPr>
                <w:rFonts w:hint="eastAsia"/>
                <w:sz w:val="24"/>
                <w:szCs w:val="24"/>
                <w:lang w:val="en-US" w:eastAsia="zh-CN"/>
              </w:rPr>
            </w:pPr>
          </w:p>
        </w:tc>
      </w:tr>
    </w:tbl>
    <w:p>
      <w:pPr>
        <w:pStyle w:val="16"/>
        <w:rPr>
          <w:rFonts w:hint="eastAsia"/>
          <w:lang w:val="en-US" w:eastAsia="zh-CN"/>
        </w:rPr>
        <w:sectPr>
          <w:pgSz w:w="11906" w:h="16838"/>
          <w:pgMar w:top="1803" w:right="1440" w:bottom="1803" w:left="1440" w:header="851" w:footer="992" w:gutter="0"/>
          <w:pgNumType w:fmt="decimal"/>
          <w:cols w:space="425" w:num="1"/>
          <w:docGrid w:type="lines" w:linePitch="31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eastAsia"/>
          <w:lang w:val="en-US" w:eastAsia="zh-CN"/>
        </w:rPr>
      </w:pPr>
      <w:bookmarkStart w:id="14" w:name="_Toc16156"/>
      <w:r>
        <w:rPr>
          <w:rFonts w:hint="eastAsia"/>
          <w:b/>
          <w:sz w:val="36"/>
          <w:szCs w:val="36"/>
          <w:lang w:val="en-US" w:eastAsia="zh-CN"/>
        </w:rPr>
        <w:t>五、环境保护措施监督检查清单</w:t>
      </w:r>
      <w:bookmarkEnd w:id="14"/>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185"/>
        <w:gridCol w:w="871"/>
        <w:gridCol w:w="840"/>
        <w:gridCol w:w="2280"/>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1441"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bidi w:val="0"/>
              <w:jc w:val="center"/>
              <w:rPr>
                <w:rFonts w:hint="default" w:ascii="Times New Roman" w:hAnsi="Times New Roman" w:cs="Times New Roman" w:eastAsiaTheme="minorEastAsia"/>
                <w:sz w:val="21"/>
                <w:szCs w:val="21"/>
                <w:lang w:val="en-US" w:eastAsia="zh-CN"/>
              </w:rPr>
            </w:pPr>
          </w:p>
          <w:p>
            <w:pPr>
              <w:bidi w:val="0"/>
              <w:jc w:val="center"/>
              <w:rPr>
                <w:rFonts w:hint="default" w:ascii="Times New Roman" w:hAnsi="Times New Roman" w:cs="Times New Roman" w:eastAsiaTheme="minorEastAsia"/>
                <w:sz w:val="21"/>
                <w:szCs w:val="21"/>
                <w:lang w:val="en-US" w:eastAsia="zh-CN"/>
              </w:rPr>
            </w:pPr>
          </w:p>
          <w:p>
            <w:pPr>
              <w:bidi w:val="0"/>
              <w:jc w:val="center"/>
              <mc:AlternateContent>
                <mc:Choice Requires="wpsCustomData">
                  <wpsCustomData:diagonalParaType/>
                </mc:Choice>
              </mc:AlternateContent>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要素</w:t>
            </w:r>
          </w:p>
          <w:p>
            <w:pPr>
              <w:bidi w:val="0"/>
              <w:jc w:val="center"/>
              <w:rPr>
                <w:rFonts w:hint="default" w:ascii="Times New Roman" w:hAnsi="Times New Roman" w:cs="Times New Roman" w:eastAsiaTheme="minorEastAsia"/>
                <w:sz w:val="21"/>
                <w:szCs w:val="21"/>
                <w:lang w:val="en-US" w:eastAsia="zh-CN"/>
              </w:rPr>
            </w:pPr>
          </w:p>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排放口（编号、名称）/污染源</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污染物项目</w:t>
            </w:r>
          </w:p>
        </w:tc>
        <w:tc>
          <w:tcPr>
            <w:tcW w:w="2280"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环境保护措施</w:t>
            </w:r>
          </w:p>
        </w:tc>
        <w:tc>
          <w:tcPr>
            <w:tcW w:w="262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大气环境</w:t>
            </w:r>
          </w:p>
        </w:tc>
        <w:tc>
          <w:tcPr>
            <w:tcW w:w="1185"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锅炉</w:t>
            </w:r>
          </w:p>
        </w:tc>
        <w:tc>
          <w:tcPr>
            <w:tcW w:w="871"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SO</w:t>
            </w:r>
            <w:r>
              <w:rPr>
                <w:rFonts w:hint="default" w:ascii="Times New Roman" w:hAnsi="Times New Roman" w:cs="Times New Roman" w:eastAsiaTheme="minorEastAsia"/>
                <w:sz w:val="21"/>
                <w:szCs w:val="21"/>
                <w:vertAlign w:val="subscript"/>
                <w:lang w:val="en-US" w:eastAsia="zh-CN"/>
              </w:rPr>
              <w:t>2</w:t>
            </w:r>
          </w:p>
        </w:tc>
        <w:tc>
          <w:tcPr>
            <w:tcW w:w="84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有组织</w:t>
            </w:r>
          </w:p>
        </w:tc>
        <w:tc>
          <w:tcPr>
            <w:tcW w:w="228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碱液喷淋+40m高烟囱</w:t>
            </w:r>
          </w:p>
        </w:tc>
        <w:tc>
          <w:tcPr>
            <w:tcW w:w="2625"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《锅炉大气污染物排放标准》（GB13271-2014）中表2燃煤锅炉排放控制要求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Merge w:val="continue"/>
            <w:vAlign w:val="center"/>
          </w:tcPr>
          <w:p>
            <w:pPr>
              <w:bidi w:val="0"/>
              <w:jc w:val="center"/>
              <w:rPr>
                <w:rFonts w:hint="default" w:ascii="Times New Roman" w:hAnsi="Times New Roman" w:cs="Times New Roman" w:eastAsiaTheme="minorEastAsia"/>
                <w:sz w:val="21"/>
                <w:szCs w:val="21"/>
              </w:rPr>
            </w:pPr>
          </w:p>
        </w:tc>
        <w:tc>
          <w:tcPr>
            <w:tcW w:w="871"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NOx</w:t>
            </w:r>
          </w:p>
        </w:tc>
        <w:tc>
          <w:tcPr>
            <w:tcW w:w="8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28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62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Merge w:val="continue"/>
            <w:vAlign w:val="center"/>
          </w:tcPr>
          <w:p>
            <w:pPr>
              <w:bidi w:val="0"/>
              <w:jc w:val="center"/>
              <w:rPr>
                <w:rFonts w:hint="default" w:ascii="Times New Roman" w:hAnsi="Times New Roman" w:cs="Times New Roman" w:eastAsiaTheme="minorEastAsia"/>
                <w:sz w:val="21"/>
                <w:szCs w:val="21"/>
              </w:rPr>
            </w:pPr>
          </w:p>
        </w:tc>
        <w:tc>
          <w:tcPr>
            <w:tcW w:w="871"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颗粒物</w:t>
            </w:r>
          </w:p>
        </w:tc>
        <w:tc>
          <w:tcPr>
            <w:tcW w:w="8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28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62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color w:val="000000"/>
                <w:kern w:val="0"/>
                <w:sz w:val="21"/>
                <w:szCs w:val="21"/>
                <w:u w:val="none" w:color="auto"/>
                <w:lang w:val="en-US" w:eastAsia="zh-CN"/>
              </w:rPr>
              <w:t>滚筒式炒锅</w:t>
            </w:r>
          </w:p>
        </w:tc>
        <w:tc>
          <w:tcPr>
            <w:tcW w:w="871"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SO</w:t>
            </w:r>
            <w:r>
              <w:rPr>
                <w:rFonts w:hint="default" w:ascii="Times New Roman" w:hAnsi="Times New Roman" w:cs="Times New Roman" w:eastAsiaTheme="minorEastAsia"/>
                <w:sz w:val="21"/>
                <w:szCs w:val="21"/>
                <w:vertAlign w:val="subscript"/>
                <w:lang w:val="en-US" w:eastAsia="zh-CN"/>
              </w:rPr>
              <w:t>2</w:t>
            </w:r>
          </w:p>
        </w:tc>
        <w:tc>
          <w:tcPr>
            <w:tcW w:w="84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有组织</w:t>
            </w:r>
          </w:p>
        </w:tc>
        <w:tc>
          <w:tcPr>
            <w:tcW w:w="228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旋风除尘+布袋除尘+15m排气筒</w:t>
            </w:r>
          </w:p>
        </w:tc>
        <w:tc>
          <w:tcPr>
            <w:tcW w:w="2625"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《大气污染物综合排放标准》（GB16297-1996）的</w:t>
            </w:r>
            <w:r>
              <w:rPr>
                <w:rFonts w:hint="eastAsia" w:ascii="Times New Roman" w:hAnsi="Times New Roman" w:cs="Times New Roman" w:eastAsiaTheme="minorEastAsia"/>
                <w:sz w:val="21"/>
                <w:szCs w:val="21"/>
                <w:lang w:val="en-US" w:eastAsia="zh-CN"/>
              </w:rPr>
              <w:t>表2的</w:t>
            </w:r>
            <w:r>
              <w:rPr>
                <w:rFonts w:hint="default" w:ascii="Times New Roman" w:hAnsi="Times New Roman" w:cs="Times New Roman" w:eastAsiaTheme="minorEastAsia"/>
                <w:sz w:val="21"/>
                <w:szCs w:val="21"/>
                <w:lang w:val="en-US" w:eastAsia="zh-CN"/>
              </w:rPr>
              <w:t>二级标准要求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871"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NOx</w:t>
            </w:r>
          </w:p>
        </w:tc>
        <w:tc>
          <w:tcPr>
            <w:tcW w:w="8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28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62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871"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颗粒物</w:t>
            </w:r>
          </w:p>
        </w:tc>
        <w:tc>
          <w:tcPr>
            <w:tcW w:w="8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28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62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脱壳</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颗粒物</w:t>
            </w:r>
          </w:p>
        </w:tc>
        <w:tc>
          <w:tcPr>
            <w:tcW w:w="2280"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关闭车间门窗，降低无组织排放，同时定期打扫车间地面沉降的粉尘</w:t>
            </w:r>
          </w:p>
        </w:tc>
        <w:tc>
          <w:tcPr>
            <w:tcW w:w="2625"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《大气污染物综合排放标准》（GB16297-1996）</w:t>
            </w:r>
            <w:r>
              <w:rPr>
                <w:rFonts w:hint="default" w:ascii="Times New Roman" w:hAnsi="Times New Roman" w:cs="Times New Roman" w:eastAsiaTheme="minorEastAsia"/>
                <w:sz w:val="21"/>
                <w:szCs w:val="21"/>
                <w:lang w:val="en-US" w:eastAsia="zh-CN"/>
              </w:rPr>
              <w:t>无组织排放监控浓度限值要求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混合搅拌投料</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颗粒物</w:t>
            </w:r>
          </w:p>
        </w:tc>
        <w:tc>
          <w:tcPr>
            <w:tcW w:w="2280"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人工投料时注意倾倒落差可降低粉尘产生</w:t>
            </w:r>
          </w:p>
        </w:tc>
        <w:tc>
          <w:tcPr>
            <w:tcW w:w="2625" w:type="dxa"/>
            <w:vMerge w:val="continue"/>
            <w:vAlign w:val="center"/>
          </w:tcPr>
          <w:p>
            <w:pPr>
              <w:bidi w:val="0"/>
              <w:jc w:val="center"/>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生产车间</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腐竹和豆皮气味</w:t>
            </w:r>
          </w:p>
        </w:tc>
        <w:tc>
          <w:tcPr>
            <w:tcW w:w="2280"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产生量较少，加强车间通风后气味扩散较快</w:t>
            </w:r>
          </w:p>
        </w:tc>
        <w:tc>
          <w:tcPr>
            <w:tcW w:w="2625"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《恶臭污染物排放标准》（GB14554-93）中新扩改建项目的二级标准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污水处理站</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恶臭</w:t>
            </w:r>
          </w:p>
        </w:tc>
        <w:tc>
          <w:tcPr>
            <w:tcW w:w="2280"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各水处理池加盖板封闭，只在盖板上预留进、出气口，同时企业在厂区边界加强绿化</w:t>
            </w:r>
          </w:p>
        </w:tc>
        <w:tc>
          <w:tcPr>
            <w:tcW w:w="262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食堂</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油烟废气</w:t>
            </w:r>
          </w:p>
        </w:tc>
        <w:tc>
          <w:tcPr>
            <w:tcW w:w="2280"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油烟净化器</w:t>
            </w:r>
          </w:p>
        </w:tc>
        <w:tc>
          <w:tcPr>
            <w:tcW w:w="262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zh-CN"/>
              </w:rPr>
              <w:t>《饮食业油烟排放标准（试行）》（GB18483-2001）中最高允许排放浓度（</w:t>
            </w:r>
            <w:r>
              <w:rPr>
                <w:rFonts w:hint="default" w:ascii="Times New Roman" w:hAnsi="Times New Roman" w:cs="Times New Roman" w:eastAsiaTheme="minorEastAsia"/>
                <w:sz w:val="21"/>
                <w:szCs w:val="21"/>
                <w:lang w:val="en-US" w:eastAsia="zh-CN"/>
              </w:rPr>
              <w:t>2.0mg/m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地表水环境</w:t>
            </w: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碱液喷淋水</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2280"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262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循环利用，不外排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大豆清洗废水</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SS、COD、BOD</w:t>
            </w:r>
            <w:r>
              <w:rPr>
                <w:rFonts w:hint="default"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lang w:val="en-US" w:eastAsia="zh-CN"/>
              </w:rPr>
              <w:t>、NH</w:t>
            </w:r>
            <w:r>
              <w:rPr>
                <w:rFonts w:hint="default" w:ascii="Times New Roman" w:hAnsi="Times New Roman" w:cs="Times New Roman" w:eastAsiaTheme="minorEastAsia"/>
                <w:sz w:val="21"/>
                <w:szCs w:val="21"/>
                <w:vertAlign w:val="subscript"/>
                <w:lang w:val="en-US" w:eastAsia="zh-CN"/>
              </w:rPr>
              <w:t>3</w:t>
            </w:r>
            <w:r>
              <w:rPr>
                <w:rFonts w:hint="default" w:ascii="Times New Roman" w:hAnsi="Times New Roman" w:cs="Times New Roman" w:eastAsiaTheme="minorEastAsia"/>
                <w:sz w:val="21"/>
                <w:szCs w:val="21"/>
                <w:lang w:val="en-US" w:eastAsia="zh-CN"/>
              </w:rPr>
              <w:t>-N</w:t>
            </w:r>
          </w:p>
        </w:tc>
        <w:tc>
          <w:tcPr>
            <w:tcW w:w="228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厂区污水处理站</w:t>
            </w:r>
          </w:p>
        </w:tc>
        <w:tc>
          <w:tcPr>
            <w:tcW w:w="2625"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用于农肥，不外排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设备清洗废水</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SS、COD、BOD</w:t>
            </w:r>
            <w:r>
              <w:rPr>
                <w:rFonts w:hint="default"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lang w:val="en-US" w:eastAsia="zh-CN"/>
              </w:rPr>
              <w:t>、NH</w:t>
            </w:r>
            <w:r>
              <w:rPr>
                <w:rFonts w:hint="default" w:ascii="Times New Roman" w:hAnsi="Times New Roman" w:cs="Times New Roman" w:eastAsiaTheme="minorEastAsia"/>
                <w:sz w:val="21"/>
                <w:szCs w:val="21"/>
                <w:vertAlign w:val="subscript"/>
                <w:lang w:val="en-US" w:eastAsia="zh-CN"/>
              </w:rPr>
              <w:t>3</w:t>
            </w:r>
            <w:r>
              <w:rPr>
                <w:rFonts w:hint="default" w:ascii="Times New Roman" w:hAnsi="Times New Roman" w:cs="Times New Roman" w:eastAsiaTheme="minorEastAsia"/>
                <w:sz w:val="21"/>
                <w:szCs w:val="21"/>
                <w:lang w:val="en-US" w:eastAsia="zh-CN"/>
              </w:rPr>
              <w:t>-N</w:t>
            </w:r>
          </w:p>
        </w:tc>
        <w:tc>
          <w:tcPr>
            <w:tcW w:w="228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62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场地清洁废水</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SS、COD、BOD</w:t>
            </w:r>
            <w:r>
              <w:rPr>
                <w:rFonts w:hint="default"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lang w:val="en-US" w:eastAsia="zh-CN"/>
              </w:rPr>
              <w:t>、NH</w:t>
            </w:r>
            <w:r>
              <w:rPr>
                <w:rFonts w:hint="default" w:ascii="Times New Roman" w:hAnsi="Times New Roman" w:cs="Times New Roman" w:eastAsiaTheme="minorEastAsia"/>
                <w:sz w:val="21"/>
                <w:szCs w:val="21"/>
                <w:vertAlign w:val="subscript"/>
                <w:lang w:val="en-US" w:eastAsia="zh-CN"/>
              </w:rPr>
              <w:t>3</w:t>
            </w:r>
            <w:r>
              <w:rPr>
                <w:rFonts w:hint="default" w:ascii="Times New Roman" w:hAnsi="Times New Roman" w:cs="Times New Roman" w:eastAsiaTheme="minorEastAsia"/>
                <w:sz w:val="21"/>
                <w:szCs w:val="21"/>
                <w:lang w:val="en-US" w:eastAsia="zh-CN"/>
              </w:rPr>
              <w:t>-N</w:t>
            </w:r>
          </w:p>
        </w:tc>
        <w:tc>
          <w:tcPr>
            <w:tcW w:w="228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62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SS、COD、BOD</w:t>
            </w:r>
            <w:r>
              <w:rPr>
                <w:rFonts w:hint="default"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lang w:val="en-US" w:eastAsia="zh-CN"/>
              </w:rPr>
              <w:t>、NH</w:t>
            </w:r>
            <w:r>
              <w:rPr>
                <w:rFonts w:hint="default" w:ascii="Times New Roman" w:hAnsi="Times New Roman" w:cs="Times New Roman" w:eastAsiaTheme="minorEastAsia"/>
                <w:sz w:val="21"/>
                <w:szCs w:val="21"/>
                <w:vertAlign w:val="subscript"/>
                <w:lang w:val="en-US" w:eastAsia="zh-CN"/>
              </w:rPr>
              <w:t>3</w:t>
            </w:r>
            <w:r>
              <w:rPr>
                <w:rFonts w:hint="default" w:ascii="Times New Roman" w:hAnsi="Times New Roman" w:cs="Times New Roman" w:eastAsiaTheme="minorEastAsia"/>
                <w:sz w:val="21"/>
                <w:szCs w:val="21"/>
                <w:lang w:val="en-US" w:eastAsia="zh-CN"/>
              </w:rPr>
              <w:t>-N、动植物油</w:t>
            </w:r>
          </w:p>
        </w:tc>
        <w:tc>
          <w:tcPr>
            <w:tcW w:w="2280"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化粪池、隔油池</w:t>
            </w:r>
          </w:p>
        </w:tc>
        <w:tc>
          <w:tcPr>
            <w:tcW w:w="262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用于农肥，不外排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声环境</w:t>
            </w: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生产设备</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各类生产设备运行产生的噪声</w:t>
            </w:r>
          </w:p>
        </w:tc>
        <w:tc>
          <w:tcPr>
            <w:tcW w:w="2280"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基础减振、</w:t>
            </w:r>
            <w:r>
              <w:rPr>
                <w:rFonts w:hint="default" w:ascii="Times New Roman" w:hAnsi="Times New Roman" w:cs="Times New Roman" w:eastAsiaTheme="minorEastAsia"/>
                <w:sz w:val="21"/>
                <w:szCs w:val="21"/>
                <w:lang w:val="en-US" w:eastAsia="zh-CN"/>
              </w:rPr>
              <w:t>合理布局、</w:t>
            </w:r>
            <w:r>
              <w:rPr>
                <w:rFonts w:hint="default" w:ascii="Times New Roman" w:hAnsi="Times New Roman" w:cs="Times New Roman" w:eastAsiaTheme="minorEastAsia"/>
                <w:sz w:val="21"/>
                <w:szCs w:val="21"/>
              </w:rPr>
              <w:t>厂房隔声、低噪声设备</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定期保养</w:t>
            </w:r>
          </w:p>
        </w:tc>
        <w:tc>
          <w:tcPr>
            <w:tcW w:w="262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电离辐射</w:t>
            </w: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2280"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262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固体废物</w:t>
            </w: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员工</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生活垃圾</w:t>
            </w:r>
          </w:p>
        </w:tc>
        <w:tc>
          <w:tcPr>
            <w:tcW w:w="228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交由环卫部门处理</w:t>
            </w:r>
          </w:p>
        </w:tc>
        <w:tc>
          <w:tcPr>
            <w:tcW w:w="2625"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大豆除杂废物</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小石子、虫蛀大豆</w:t>
            </w:r>
          </w:p>
        </w:tc>
        <w:tc>
          <w:tcPr>
            <w:tcW w:w="228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62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包装</w:t>
            </w:r>
          </w:p>
        </w:tc>
        <w:tc>
          <w:tcPr>
            <w:tcW w:w="1711" w:type="dxa"/>
            <w:gridSpan w:val="2"/>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废包装材料</w:t>
            </w:r>
          </w:p>
        </w:tc>
        <w:tc>
          <w:tcPr>
            <w:tcW w:w="228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62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污水处理站</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污泥</w:t>
            </w:r>
          </w:p>
        </w:tc>
        <w:tc>
          <w:tcPr>
            <w:tcW w:w="228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62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脱壳工序</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脱壳豆皮</w:t>
            </w:r>
            <w:r>
              <w:rPr>
                <w:rFonts w:hint="eastAsia" w:ascii="Times New Roman" w:hAnsi="Times New Roman" w:cs="Times New Roman" w:eastAsiaTheme="minorEastAsia"/>
                <w:sz w:val="21"/>
                <w:szCs w:val="21"/>
                <w:lang w:val="en-US" w:eastAsia="zh-CN"/>
              </w:rPr>
              <w:t>、碎豆子和豆粉</w:t>
            </w:r>
          </w:p>
        </w:tc>
        <w:tc>
          <w:tcPr>
            <w:tcW w:w="228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定期外运给养殖户饲养牲畜</w:t>
            </w:r>
          </w:p>
        </w:tc>
        <w:tc>
          <w:tcPr>
            <w:tcW w:w="262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磨</w:t>
            </w:r>
            <w:r>
              <w:rPr>
                <w:rFonts w:hint="default" w:ascii="Times New Roman" w:hAnsi="Times New Roman" w:cs="Times New Roman" w:eastAsiaTheme="minorEastAsia"/>
                <w:sz w:val="21"/>
                <w:szCs w:val="21"/>
              </w:rPr>
              <w:t>浆</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豆渣</w:t>
            </w:r>
          </w:p>
        </w:tc>
        <w:tc>
          <w:tcPr>
            <w:tcW w:w="228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62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提皮</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剩余浆液</w:t>
            </w:r>
          </w:p>
        </w:tc>
        <w:tc>
          <w:tcPr>
            <w:tcW w:w="228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262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软水制备系统</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废树脂</w:t>
            </w:r>
          </w:p>
        </w:tc>
        <w:tc>
          <w:tcPr>
            <w:tcW w:w="2280"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交供应厂家回收处置</w:t>
            </w:r>
          </w:p>
        </w:tc>
        <w:tc>
          <w:tcPr>
            <w:tcW w:w="262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碱液喷淋</w:t>
            </w:r>
          </w:p>
        </w:tc>
        <w:tc>
          <w:tcPr>
            <w:tcW w:w="1711" w:type="dxa"/>
            <w:gridSpan w:val="2"/>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脱硫石膏</w:t>
            </w:r>
          </w:p>
        </w:tc>
        <w:tc>
          <w:tcPr>
            <w:tcW w:w="2280"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外运制砖</w:t>
            </w:r>
          </w:p>
        </w:tc>
        <w:tc>
          <w:tcPr>
            <w:tcW w:w="2625"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土壤及地下水污染防治措施</w:t>
            </w:r>
          </w:p>
        </w:tc>
        <w:tc>
          <w:tcPr>
            <w:tcW w:w="7801" w:type="dxa"/>
            <w:gridSpan w:val="5"/>
            <w:vAlign w:val="center"/>
          </w:tcPr>
          <w:p>
            <w:pPr>
              <w:bidi w:val="0"/>
              <w:jc w:val="left"/>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全厂进行</w:t>
            </w:r>
            <w:r>
              <w:rPr>
                <w:rFonts w:hint="default" w:ascii="Times New Roman" w:hAnsi="Times New Roman" w:cs="Times New Roman" w:eastAsiaTheme="minorEastAsia"/>
                <w:sz w:val="21"/>
                <w:szCs w:val="21"/>
              </w:rPr>
              <w:t>地面硬化，防腐防渗，防止土壤环境污染。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生态保护措施</w:t>
            </w:r>
          </w:p>
        </w:tc>
        <w:tc>
          <w:tcPr>
            <w:tcW w:w="7801" w:type="dxa"/>
            <w:gridSpan w:val="5"/>
            <w:vAlign w:val="center"/>
          </w:tcPr>
          <w:p>
            <w:pPr>
              <w:bidi w:val="0"/>
              <w:jc w:val="left"/>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项目占地面积较小，通过对渣土、建筑垃圾等及时清运，及时绿化恢复生态，达到减低生态影响、防治水土流失的目的。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1441"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环境风险防范措施</w:t>
            </w:r>
          </w:p>
        </w:tc>
        <w:tc>
          <w:tcPr>
            <w:tcW w:w="7801" w:type="dxa"/>
            <w:gridSpan w:val="5"/>
            <w:vAlign w:val="center"/>
          </w:tcPr>
          <w:p>
            <w:pPr>
              <w:spacing w:line="240" w:lineRule="auto"/>
              <w:jc w:val="lef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（1）整体防范措施：企业应设立环境风险机构，负责建立和健全企业环境风险防范的制度，根据本企业的生产特点，制定环境污染事故防范措施，并落实在企业各生产环节。</w:t>
            </w:r>
          </w:p>
          <w:p>
            <w:pPr>
              <w:bidi w:val="0"/>
              <w:jc w:val="left"/>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sz w:val="21"/>
                <w:szCs w:val="21"/>
              </w:rPr>
              <w:t>（2）火灾防范措施：生产厂房可燃物品贮存区须确保通风良好、配备相应品种和数量的消防器材、设置必要的防火防爆与降温技术措施、按安全部门要求预留必要的安全间距，远离火种和热源。生产车间和原辅料及产品仓库禁止明火进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41"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其他环境管理要求</w:t>
            </w:r>
          </w:p>
        </w:tc>
        <w:tc>
          <w:tcPr>
            <w:tcW w:w="7801" w:type="dxa"/>
            <w:gridSpan w:val="5"/>
            <w:vAlign w:val="center"/>
          </w:tcPr>
          <w:p>
            <w:pPr>
              <w:bidi w:val="0"/>
              <w:jc w:val="left"/>
              <w:rPr>
                <w:rFonts w:hint="default" w:ascii="Times New Roman" w:hAnsi="Times New Roman" w:cs="Times New Roman" w:eastAsiaTheme="minorEastAsia"/>
                <w:sz w:val="21"/>
                <w:szCs w:val="21"/>
                <w:lang w:val="en-US" w:eastAsia="zh-CN"/>
              </w:rPr>
            </w:pPr>
          </w:p>
          <w:p>
            <w:pPr>
              <w:bidi w:val="0"/>
              <w:jc w:val="left"/>
              <w:rPr>
                <w:rFonts w:hint="default" w:ascii="Times New Roman" w:hAnsi="Times New Roman" w:cs="Times New Roman" w:eastAsiaTheme="minorEastAsia"/>
                <w:sz w:val="21"/>
                <w:szCs w:val="21"/>
                <w:lang w:val="en-US" w:eastAsia="zh-CN"/>
              </w:rPr>
            </w:pPr>
          </w:p>
          <w:p>
            <w:pPr>
              <w:bidi w:val="0"/>
              <w:jc w:val="left"/>
              <w:rPr>
                <w:rFonts w:hint="default" w:ascii="Times New Roman" w:hAnsi="Times New Roman" w:cs="Times New Roman" w:eastAsiaTheme="minorEastAsia"/>
                <w:sz w:val="21"/>
                <w:szCs w:val="21"/>
                <w:lang w:val="en-US" w:eastAsia="zh-CN"/>
              </w:rPr>
            </w:pPr>
          </w:p>
          <w:p>
            <w:pPr>
              <w:bidi w:val="0"/>
              <w:jc w:val="left"/>
              <w:rPr>
                <w:rFonts w:hint="default" w:ascii="Times New Roman" w:hAnsi="Times New Roman" w:cs="Times New Roman" w:eastAsiaTheme="minorEastAsia"/>
                <w:sz w:val="21"/>
                <w:szCs w:val="21"/>
                <w:lang w:val="en-US" w:eastAsia="zh-CN"/>
              </w:rPr>
            </w:pPr>
          </w:p>
          <w:p>
            <w:pPr>
              <w:bidi w:val="0"/>
              <w:jc w:val="left"/>
              <w:rPr>
                <w:rFonts w:hint="default" w:ascii="Times New Roman" w:hAnsi="Times New Roman" w:cs="Times New Roman" w:eastAsiaTheme="minorEastAsia"/>
                <w:sz w:val="21"/>
                <w:szCs w:val="21"/>
                <w:lang w:val="en-US" w:eastAsia="zh-CN"/>
              </w:rPr>
            </w:pPr>
          </w:p>
          <w:p>
            <w:pPr>
              <w:bidi w:val="0"/>
              <w:jc w:val="left"/>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p>
            <w:pPr>
              <w:bidi w:val="0"/>
              <w:jc w:val="left"/>
              <w:rPr>
                <w:rFonts w:hint="default" w:ascii="Times New Roman" w:hAnsi="Times New Roman" w:cs="Times New Roman" w:eastAsiaTheme="minorEastAsia"/>
                <w:sz w:val="21"/>
                <w:szCs w:val="21"/>
                <w:lang w:val="en-US" w:eastAsia="zh-CN"/>
              </w:rPr>
            </w:pPr>
          </w:p>
          <w:p>
            <w:pPr>
              <w:bidi w:val="0"/>
              <w:jc w:val="left"/>
              <w:rPr>
                <w:rFonts w:hint="default" w:ascii="Times New Roman" w:hAnsi="Times New Roman" w:cs="Times New Roman" w:eastAsiaTheme="minorEastAsia"/>
                <w:sz w:val="21"/>
                <w:szCs w:val="21"/>
                <w:lang w:val="en-US" w:eastAsia="zh-CN"/>
              </w:rPr>
            </w:pPr>
          </w:p>
          <w:p>
            <w:pPr>
              <w:bidi w:val="0"/>
              <w:jc w:val="left"/>
              <w:rPr>
                <w:rFonts w:hint="default" w:ascii="Times New Roman" w:hAnsi="Times New Roman" w:cs="Times New Roman" w:eastAsiaTheme="minorEastAsia"/>
                <w:sz w:val="21"/>
                <w:szCs w:val="21"/>
                <w:lang w:val="en-US" w:eastAsia="zh-CN"/>
              </w:rPr>
            </w:pPr>
          </w:p>
          <w:p>
            <w:pPr>
              <w:bidi w:val="0"/>
              <w:jc w:val="left"/>
              <w:rPr>
                <w:rFonts w:hint="default" w:ascii="Times New Roman" w:hAnsi="Times New Roman" w:cs="Times New Roman" w:eastAsiaTheme="minorEastAsia"/>
                <w:sz w:val="21"/>
                <w:szCs w:val="21"/>
                <w:lang w:val="en-US" w:eastAsia="zh-CN"/>
              </w:rPr>
            </w:pPr>
          </w:p>
          <w:p>
            <w:pPr>
              <w:bidi w:val="0"/>
              <w:jc w:val="left"/>
              <w:rPr>
                <w:rFonts w:hint="default" w:ascii="Times New Roman" w:hAnsi="Times New Roman" w:cs="Times New Roman" w:eastAsiaTheme="minorEastAsia"/>
                <w:sz w:val="21"/>
                <w:szCs w:val="21"/>
                <w:lang w:val="en-US" w:eastAsia="zh-CN"/>
              </w:rPr>
            </w:pPr>
          </w:p>
        </w:tc>
      </w:tr>
    </w:tbl>
    <w:p>
      <w:pPr>
        <w:bidi w:val="0"/>
        <w:rPr>
          <w:rFonts w:hint="eastAsia"/>
          <w:lang w:val="en-US" w:eastAsia="zh-CN"/>
        </w:rPr>
        <w:sectPr>
          <w:pgSz w:w="11906" w:h="16838"/>
          <w:pgMar w:top="1803" w:right="1440" w:bottom="1803" w:left="1440" w:header="851" w:footer="992" w:gutter="0"/>
          <w:pgNumType w:fmt="decimal"/>
          <w:cols w:space="425" w:num="1"/>
          <w:docGrid w:type="lines" w:linePitch="312" w:charSpace="0"/>
        </w:sectPr>
      </w:pPr>
    </w:p>
    <w:p>
      <w:pPr>
        <w:pStyle w:val="4"/>
        <w:keepNext/>
        <w:keepLines/>
        <w:pageBreakBefore w:val="0"/>
        <w:widowControl w:val="0"/>
        <w:numPr>
          <w:ilvl w:val="0"/>
          <w:numId w:val="4"/>
        </w:numPr>
        <w:kinsoku/>
        <w:wordWrap/>
        <w:overflowPunct/>
        <w:topLinePunct w:val="0"/>
        <w:autoSpaceDE/>
        <w:autoSpaceDN/>
        <w:bidi w:val="0"/>
        <w:adjustRightInd w:val="0"/>
        <w:snapToGrid w:val="0"/>
        <w:spacing w:before="0" w:beforeLines="0" w:after="0" w:afterLines="0" w:line="240" w:lineRule="auto"/>
        <w:jc w:val="center"/>
        <w:textAlignment w:val="auto"/>
        <w:rPr>
          <w:rFonts w:hint="eastAsia"/>
          <w:b/>
          <w:sz w:val="36"/>
          <w:szCs w:val="36"/>
          <w:lang w:val="en-US" w:eastAsia="zh-CN"/>
        </w:rPr>
      </w:pPr>
      <w:bookmarkStart w:id="15" w:name="_Toc1975"/>
      <w:r>
        <w:rPr>
          <w:rFonts w:hint="eastAsia"/>
          <w:b/>
          <w:sz w:val="36"/>
          <w:szCs w:val="36"/>
          <w:lang w:val="en-US" w:eastAsia="zh-CN"/>
        </w:rPr>
        <w:t>结论</w:t>
      </w:r>
      <w:bookmarkEnd w:id="15"/>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Pr>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1</w:t>
            </w:r>
            <w:r>
              <w:rPr>
                <w:rFonts w:hint="default" w:ascii="Times New Roman" w:hAnsi="Times New Roman" w:eastAsia="宋体" w:cs="Times New Roman"/>
                <w:b/>
                <w:bCs/>
                <w:sz w:val="28"/>
                <w:szCs w:val="28"/>
                <w:lang w:val="en-US" w:eastAsia="zh-CN"/>
              </w:rPr>
              <w:t>、环境质量现状结论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（1）环境空气质量状</w:t>
            </w:r>
            <w:r>
              <w:rPr>
                <w:rFonts w:hint="default" w:ascii="Times New Roman" w:hAnsi="Times New Roman" w:eastAsia="宋体" w:cs="Times New Roman"/>
                <w:b w:val="0"/>
                <w:bCs w:val="0"/>
                <w:sz w:val="24"/>
                <w:szCs w:val="22"/>
              </w:rPr>
              <w:t>况：由</w:t>
            </w:r>
            <w:r>
              <w:rPr>
                <w:rFonts w:hint="default" w:ascii="Times New Roman" w:hAnsi="Times New Roman" w:eastAsia="宋体" w:cs="Times New Roman"/>
                <w:b w:val="0"/>
                <w:bCs w:val="0"/>
                <w:sz w:val="24"/>
                <w:szCs w:val="24"/>
              </w:rPr>
              <w:t>表</w:t>
            </w:r>
            <w:r>
              <w:rPr>
                <w:rFonts w:hint="default" w:ascii="Times New Roman" w:hAnsi="Times New Roman" w:eastAsia="宋体" w:cs="Times New Roman"/>
                <w:b w:val="0"/>
                <w:bCs w:val="0"/>
                <w:color w:val="auto"/>
                <w:sz w:val="24"/>
                <w:szCs w:val="24"/>
              </w:rPr>
              <w:t>3-1</w:t>
            </w:r>
            <w:r>
              <w:rPr>
                <w:rFonts w:hint="default" w:ascii="Times New Roman" w:hAnsi="Times New Roman" w:eastAsia="宋体" w:cs="Times New Roman"/>
                <w:b w:val="0"/>
                <w:bCs w:val="0"/>
                <w:sz w:val="24"/>
                <w:szCs w:val="24"/>
              </w:rPr>
              <w:t>可见，</w:t>
            </w:r>
            <w:r>
              <w:rPr>
                <w:rFonts w:hint="default" w:ascii="Times New Roman" w:hAnsi="Times New Roman" w:eastAsia="宋体" w:cs="Times New Roman"/>
                <w:color w:val="auto"/>
                <w:sz w:val="24"/>
                <w:szCs w:val="24"/>
                <w:lang w:val="en-US"/>
              </w:rPr>
              <w:t>20</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lang w:val="en-US"/>
              </w:rPr>
              <w:t>年20</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val="en-US"/>
              </w:rPr>
              <w:t>年</w:t>
            </w:r>
            <w:r>
              <w:rPr>
                <w:rFonts w:hint="eastAsia" w:ascii="Times New Roman" w:hAnsi="Times New Roman" w:eastAsia="宋体" w:cs="Times New Roman"/>
                <w:color w:val="auto"/>
                <w:sz w:val="24"/>
                <w:szCs w:val="24"/>
                <w:lang w:val="en-US" w:eastAsia="zh-CN"/>
              </w:rPr>
              <w:t>新田</w:t>
            </w:r>
            <w:r>
              <w:rPr>
                <w:rFonts w:hint="default" w:ascii="Times New Roman" w:hAnsi="Times New Roman" w:eastAsia="宋体" w:cs="Times New Roman"/>
                <w:color w:val="auto"/>
                <w:sz w:val="24"/>
                <w:szCs w:val="24"/>
                <w:lang w:val="en-US" w:eastAsia="zh-CN"/>
              </w:rPr>
              <w:t>县</w:t>
            </w:r>
            <w:r>
              <w:rPr>
                <w:rFonts w:hint="default" w:ascii="Times New Roman" w:hAnsi="Times New Roman" w:eastAsia="宋体" w:cs="Times New Roman"/>
                <w:color w:val="auto"/>
                <w:sz w:val="24"/>
                <w:szCs w:val="24"/>
                <w:lang w:val="en-US"/>
              </w:rPr>
              <w:t>SO</w:t>
            </w:r>
            <w:r>
              <w:rPr>
                <w:rFonts w:hint="default" w:ascii="Times New Roman" w:hAnsi="Times New Roman" w:eastAsia="宋体" w:cs="Times New Roman"/>
                <w:color w:val="auto"/>
                <w:sz w:val="24"/>
                <w:szCs w:val="24"/>
                <w:vertAlign w:val="subscript"/>
                <w:lang w:val="en-US"/>
              </w:rPr>
              <w:t>2</w:t>
            </w:r>
            <w:r>
              <w:rPr>
                <w:rFonts w:hint="default" w:ascii="Times New Roman" w:hAnsi="Times New Roman" w:eastAsia="宋体" w:cs="Times New Roman"/>
                <w:color w:val="auto"/>
                <w:sz w:val="24"/>
                <w:szCs w:val="24"/>
                <w:lang w:val="en-US"/>
              </w:rPr>
              <w:t>、NO</w:t>
            </w:r>
            <w:r>
              <w:rPr>
                <w:rFonts w:hint="default" w:ascii="Times New Roman" w:hAnsi="Times New Roman" w:eastAsia="宋体" w:cs="Times New Roman"/>
                <w:color w:val="auto"/>
                <w:sz w:val="24"/>
                <w:szCs w:val="24"/>
                <w:vertAlign w:val="subscript"/>
                <w:lang w:val="en-US"/>
              </w:rPr>
              <w:t>2</w:t>
            </w:r>
            <w:r>
              <w:rPr>
                <w:rFonts w:hint="default" w:ascii="Times New Roman" w:hAnsi="Times New Roman" w:eastAsia="宋体" w:cs="Times New Roman"/>
                <w:color w:val="auto"/>
                <w:sz w:val="24"/>
                <w:szCs w:val="24"/>
                <w:lang w:val="en-US"/>
              </w:rPr>
              <w:t>、CO、O</w:t>
            </w:r>
            <w:r>
              <w:rPr>
                <w:rFonts w:hint="default" w:ascii="Times New Roman" w:hAnsi="Times New Roman" w:eastAsia="宋体" w:cs="Times New Roman"/>
                <w:color w:val="auto"/>
                <w:sz w:val="24"/>
                <w:szCs w:val="24"/>
                <w:vertAlign w:val="subscript"/>
                <w:lang w:val="en-US"/>
              </w:rPr>
              <w:t>3</w:t>
            </w:r>
            <w:r>
              <w:rPr>
                <w:rFonts w:hint="default" w:ascii="Times New Roman" w:hAnsi="Times New Roman" w:eastAsia="宋体" w:cs="Times New Roman"/>
                <w:color w:val="auto"/>
                <w:sz w:val="24"/>
                <w:szCs w:val="24"/>
                <w:lang w:val="en-US"/>
              </w:rPr>
              <w:t>、PM</w:t>
            </w:r>
            <w:r>
              <w:rPr>
                <w:rFonts w:hint="default" w:ascii="Times New Roman" w:hAnsi="Times New Roman" w:eastAsia="宋体" w:cs="Times New Roman"/>
                <w:color w:val="auto"/>
                <w:sz w:val="24"/>
                <w:szCs w:val="24"/>
                <w:vertAlign w:val="subscript"/>
                <w:lang w:val="en-US"/>
              </w:rPr>
              <w:t>2.5</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rPr>
              <w:t>PM</w:t>
            </w:r>
            <w:r>
              <w:rPr>
                <w:rFonts w:hint="default" w:ascii="Times New Roman" w:hAnsi="Times New Roman" w:eastAsia="宋体" w:cs="Times New Roman"/>
                <w:color w:val="auto"/>
                <w:sz w:val="24"/>
                <w:szCs w:val="24"/>
                <w:vertAlign w:val="subscript"/>
                <w:lang w:val="en-US"/>
              </w:rPr>
              <w:t>10</w:t>
            </w:r>
            <w:r>
              <w:rPr>
                <w:rFonts w:hint="default" w:ascii="Times New Roman" w:hAnsi="Times New Roman" w:eastAsia="宋体" w:cs="Times New Roman"/>
                <w:color w:val="auto"/>
                <w:sz w:val="24"/>
                <w:szCs w:val="24"/>
                <w:lang w:val="en-US"/>
              </w:rPr>
              <w:t>质量浓度满足《环境空</w:t>
            </w:r>
            <w:r>
              <w:rPr>
                <w:rFonts w:hint="default" w:ascii="Times New Roman" w:hAnsi="Times New Roman" w:eastAsia="宋体" w:cs="Times New Roman"/>
                <w:color w:val="000000" w:themeColor="text1"/>
                <w:sz w:val="24"/>
                <w:szCs w:val="24"/>
                <w:lang w:val="en-US"/>
                <w14:textFill>
                  <w14:solidFill>
                    <w14:schemeClr w14:val="tx1"/>
                  </w14:solidFill>
                </w14:textFill>
              </w:rPr>
              <w:t>气质量标准》（GB3095-2012）及其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2018年</w:t>
            </w:r>
            <w:r>
              <w:rPr>
                <w:rFonts w:hint="default" w:ascii="Times New Roman" w:hAnsi="Times New Roman" w:eastAsia="宋体" w:cs="Times New Roman"/>
                <w:color w:val="000000" w:themeColor="text1"/>
                <w:sz w:val="24"/>
                <w:szCs w:val="24"/>
                <w:lang w:val="en-US"/>
                <w14:textFill>
                  <w14:solidFill>
                    <w14:schemeClr w14:val="tx1"/>
                  </w14:solidFill>
                </w14:textFill>
              </w:rPr>
              <w:t>修改单二级标准要求，故环境空气为达标区。</w:t>
            </w:r>
          </w:p>
          <w:p>
            <w:pPr>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FF0000"/>
                <w:sz w:val="24"/>
                <w:szCs w:val="24"/>
                <w:u w:val="none"/>
              </w:rPr>
            </w:pPr>
            <w:r>
              <w:rPr>
                <w:rFonts w:hint="default" w:ascii="Times New Roman" w:hAnsi="Times New Roman" w:eastAsia="宋体" w:cs="Times New Roman"/>
                <w:sz w:val="24"/>
                <w:szCs w:val="22"/>
              </w:rPr>
              <w:t>（2）</w:t>
            </w:r>
            <w:r>
              <w:rPr>
                <w:rFonts w:hint="eastAsia" w:ascii="Times New Roman" w:hAnsi="Times New Roman" w:cs="Times New Roman"/>
                <w:sz w:val="24"/>
                <w:szCs w:val="22"/>
                <w:lang w:val="en-US" w:eastAsia="zh-CN"/>
              </w:rPr>
              <w:t>地表水环境状况：</w:t>
            </w:r>
            <w:r>
              <w:rPr>
                <w:rFonts w:hint="default" w:ascii="Times New Roman" w:hAnsi="Times New Roman" w:eastAsia="新宋体" w:cs="Times New Roman"/>
                <w:color w:val="000000"/>
                <w:sz w:val="24"/>
                <w:szCs w:val="24"/>
                <w:u w:val="none"/>
              </w:rPr>
              <w:t>监测断面各监测因子</w:t>
            </w:r>
            <w:r>
              <w:rPr>
                <w:rFonts w:hint="default" w:ascii="Times New Roman" w:hAnsi="Times New Roman" w:eastAsia="宋体" w:cs="Times New Roman"/>
                <w:color w:val="000000"/>
                <w:sz w:val="24"/>
                <w:szCs w:val="24"/>
              </w:rPr>
              <w:t>均能满足《地表水环境质量标准》(GB3838-2002)Ⅲ类水质标准要求，SS满足《地表水资源质量标准》（SL63-94）中</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悬浮物</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rPr>
            </w:pPr>
            <w:r>
              <w:rPr>
                <w:rFonts w:hint="default" w:ascii="Times New Roman" w:hAnsi="Times New Roman" w:eastAsia="宋体" w:cs="Times New Roman"/>
                <w:sz w:val="24"/>
                <w:szCs w:val="22"/>
              </w:rPr>
              <w:t>（3）声环境质量状况：四个监测点声环境质量现状满足《声环境质量标准》（GB3096-2008）中的2类标准要求。</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default" w:ascii="Times New Roman" w:hAnsi="Times New Roman" w:eastAsia="宋体" w:cs="Times New Roman"/>
                <w:b/>
                <w:bCs/>
                <w:sz w:val="28"/>
                <w:szCs w:val="28"/>
                <w:lang w:val="en-US" w:eastAsia="zh-CN"/>
              </w:rPr>
            </w:pPr>
            <w:r>
              <w:rPr>
                <w:rFonts w:hint="eastAsia" w:ascii="Times New Roman" w:hAnsi="Times New Roman" w:cs="Times New Roman"/>
                <w:b/>
                <w:bCs/>
                <w:sz w:val="28"/>
                <w:szCs w:val="28"/>
                <w:lang w:val="en-US" w:eastAsia="zh-CN"/>
              </w:rPr>
              <w:t>2</w:t>
            </w:r>
            <w:r>
              <w:rPr>
                <w:rFonts w:hint="default" w:ascii="Times New Roman" w:hAnsi="Times New Roman" w:eastAsia="宋体" w:cs="Times New Roman"/>
                <w:b/>
                <w:bCs/>
                <w:sz w:val="28"/>
                <w:szCs w:val="28"/>
                <w:lang w:val="en-US" w:eastAsia="zh-CN"/>
              </w:rPr>
              <w:t>、营运期环境影响评价分析结论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（1）地表水环境影响分析结论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项目</w:t>
            </w:r>
            <w:r>
              <w:rPr>
                <w:rFonts w:hint="eastAsia" w:ascii="Times New Roman" w:hAnsi="Times New Roman" w:cs="Times New Roman"/>
                <w:sz w:val="24"/>
                <w:szCs w:val="22"/>
                <w:lang w:val="en-US" w:eastAsia="zh-CN"/>
              </w:rPr>
              <w:t>碱液喷淋废水</w:t>
            </w:r>
            <w:r>
              <w:rPr>
                <w:rFonts w:hint="default" w:ascii="Times New Roman" w:hAnsi="Times New Roman" w:eastAsia="宋体" w:cs="Times New Roman"/>
                <w:sz w:val="24"/>
                <w:szCs w:val="22"/>
              </w:rPr>
              <w:t>循环利用</w:t>
            </w:r>
            <w:r>
              <w:rPr>
                <w:rFonts w:hint="eastAsia" w:ascii="Times New Roman" w:hAnsi="Times New Roman" w:cs="Times New Roman"/>
                <w:sz w:val="24"/>
                <w:szCs w:val="22"/>
                <w:lang w:val="en-US" w:eastAsia="zh-CN"/>
              </w:rPr>
              <w:t>不外排</w:t>
            </w:r>
            <w:r>
              <w:rPr>
                <w:rFonts w:hint="default" w:ascii="Times New Roman" w:hAnsi="Times New Roman" w:eastAsia="宋体" w:cs="Times New Roman"/>
                <w:sz w:val="24"/>
                <w:szCs w:val="22"/>
                <w:lang w:eastAsia="zh-CN"/>
              </w:rPr>
              <w:t>；</w:t>
            </w:r>
            <w:r>
              <w:rPr>
                <w:rFonts w:hint="eastAsia" w:ascii="Times New Roman" w:hAnsi="Times New Roman" w:cs="Times New Roman"/>
                <w:sz w:val="24"/>
                <w:szCs w:val="22"/>
                <w:lang w:val="en-US" w:eastAsia="zh-CN"/>
              </w:rPr>
              <w:t>大豆清洗废水、地面清洗废水和设备清洗废水通过厂区污水处理站处理后用于周边农田施肥不外排；</w:t>
            </w:r>
            <w:r>
              <w:rPr>
                <w:rFonts w:hint="default" w:ascii="Times New Roman" w:hAnsi="Times New Roman" w:eastAsia="宋体" w:cs="Times New Roman"/>
                <w:sz w:val="24"/>
                <w:szCs w:val="22"/>
              </w:rPr>
              <w:t>生活污水经化粪池处理后用于</w:t>
            </w:r>
            <w:r>
              <w:rPr>
                <w:rFonts w:hint="eastAsia" w:ascii="Times New Roman" w:hAnsi="Times New Roman" w:cs="Times New Roman"/>
                <w:sz w:val="24"/>
                <w:szCs w:val="22"/>
                <w:lang w:val="en-US" w:eastAsia="zh-CN"/>
              </w:rPr>
              <w:t>周边农田施肥不外排</w:t>
            </w: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lang w:val="en-US" w:eastAsia="zh-CN"/>
              </w:rPr>
              <w:t>食堂污水</w:t>
            </w:r>
            <w:r>
              <w:rPr>
                <w:rFonts w:hint="eastAsia" w:ascii="Times New Roman" w:hAnsi="Times New Roman" w:cs="Times New Roman"/>
                <w:sz w:val="24"/>
                <w:szCs w:val="22"/>
                <w:lang w:val="en-US" w:eastAsia="zh-CN"/>
              </w:rPr>
              <w:t>经</w:t>
            </w:r>
            <w:r>
              <w:rPr>
                <w:rFonts w:hint="default" w:ascii="Times New Roman" w:hAnsi="Times New Roman" w:eastAsia="宋体" w:cs="Times New Roman"/>
                <w:sz w:val="24"/>
                <w:szCs w:val="22"/>
                <w:lang w:val="en-US" w:eastAsia="zh-CN"/>
              </w:rPr>
              <w:t>隔油池处理后进入化粪池一起用于农肥不外排</w:t>
            </w:r>
            <w:r>
              <w:rPr>
                <w:rFonts w:hint="eastAsia" w:ascii="Times New Roman" w:hAnsi="Times New Roman" w:cs="Times New Roman"/>
                <w:sz w:val="24"/>
                <w:szCs w:val="22"/>
                <w:lang w:eastAsia="zh-CN"/>
              </w:rPr>
              <w:t>；</w:t>
            </w:r>
            <w:r>
              <w:rPr>
                <w:rFonts w:hint="eastAsia" w:ascii="Times New Roman" w:hAnsi="Times New Roman" w:cs="Times New Roman"/>
                <w:sz w:val="24"/>
                <w:szCs w:val="22"/>
                <w:lang w:val="en-US" w:eastAsia="zh-CN"/>
              </w:rPr>
              <w:t>锅炉排污水和软水制备排污水为清净下水，用于周边绿化浇洒不外排。</w:t>
            </w:r>
            <w:r>
              <w:rPr>
                <w:rFonts w:hint="default" w:ascii="Times New Roman" w:hAnsi="Times New Roman" w:eastAsia="宋体" w:cs="Times New Roman"/>
                <w:bCs/>
                <w:color w:val="000000"/>
                <w:spacing w:val="0"/>
                <w:kern w:val="21"/>
                <w:position w:val="0"/>
                <w:sz w:val="24"/>
                <w:szCs w:val="22"/>
                <w:u w:val="none" w:color="auto"/>
                <w:lang w:val="en-US" w:eastAsia="zh-CN"/>
              </w:rPr>
              <w:t>废水可得到妥善处置，不外排，</w:t>
            </w:r>
            <w:r>
              <w:rPr>
                <w:rFonts w:hint="default" w:ascii="Times New Roman" w:hAnsi="Times New Roman" w:eastAsia="宋体" w:cs="Times New Roman"/>
                <w:sz w:val="24"/>
                <w:szCs w:val="22"/>
              </w:rPr>
              <w:t>对周围声环境影响较小。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（2）大气环境影响分析结论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项目工艺中主要大气污染物是</w:t>
            </w:r>
            <w:r>
              <w:rPr>
                <w:rFonts w:hint="eastAsia" w:ascii="Times New Roman" w:hAnsi="Times New Roman" w:cs="Times New Roman"/>
                <w:sz w:val="24"/>
                <w:szCs w:val="22"/>
                <w:lang w:val="en-US" w:eastAsia="zh-CN"/>
              </w:rPr>
              <w:t>脱壳粉尘、锅炉烟气、滚筒式炒锅烟气、生产车间腐竹和豆皮气味和</w:t>
            </w:r>
            <w:r>
              <w:rPr>
                <w:rFonts w:hint="eastAsia" w:ascii="Times New Roman" w:hAnsi="Times New Roman" w:eastAsia="宋体" w:cs="Times New Roman"/>
                <w:color w:val="000000"/>
                <w:kern w:val="0"/>
                <w:sz w:val="24"/>
                <w:szCs w:val="21"/>
              </w:rPr>
              <w:t>污水处理站恶臭</w:t>
            </w:r>
            <w:r>
              <w:rPr>
                <w:rFonts w:hint="eastAsia" w:ascii="Times New Roman" w:hAnsi="Times New Roman" w:cs="Times New Roman"/>
                <w:sz w:val="24"/>
                <w:szCs w:val="22"/>
                <w:lang w:eastAsia="zh-CN"/>
              </w:rPr>
              <w:t>。</w:t>
            </w:r>
            <w:r>
              <w:rPr>
                <w:rFonts w:hint="default" w:ascii="Times New Roman" w:hAnsi="Times New Roman" w:eastAsia="宋体" w:cs="Times New Roman"/>
                <w:sz w:val="24"/>
                <w:szCs w:val="22"/>
              </w:rPr>
              <w:t>经</w:t>
            </w:r>
            <w:r>
              <w:rPr>
                <w:rFonts w:hint="eastAsia" w:ascii="Times New Roman" w:hAnsi="Times New Roman" w:cs="Times New Roman"/>
                <w:sz w:val="24"/>
                <w:szCs w:val="22"/>
                <w:lang w:val="en-US" w:eastAsia="zh-CN"/>
              </w:rPr>
              <w:t>工程分析可知</w:t>
            </w:r>
            <w:r>
              <w:rPr>
                <w:rFonts w:hint="default" w:ascii="Times New Roman" w:hAnsi="Times New Roman" w:eastAsia="宋体" w:cs="Times New Roman"/>
                <w:sz w:val="24"/>
                <w:szCs w:val="22"/>
              </w:rPr>
              <w:t>，</w:t>
            </w:r>
            <w:r>
              <w:rPr>
                <w:rFonts w:hint="default" w:ascii="Times New Roman" w:hAnsi="Times New Roman" w:eastAsia="宋体" w:cs="Times New Roman"/>
                <w:color w:val="000000"/>
                <w:kern w:val="2"/>
                <w:sz w:val="24"/>
                <w:szCs w:val="24"/>
                <w:lang w:val="en-US" w:eastAsia="zh-CN" w:bidi="ar-SA"/>
              </w:rPr>
              <w:t>脱壳工序会产生粉尘</w:t>
            </w:r>
            <w:r>
              <w:rPr>
                <w:rFonts w:hint="eastAsia" w:ascii="Times New Roman" w:hAnsi="Times New Roman" w:cs="Times New Roman"/>
                <w:sz w:val="24"/>
                <w:szCs w:val="22"/>
                <w:lang w:eastAsia="zh-CN"/>
              </w:rPr>
              <w:t>，</w:t>
            </w:r>
            <w:r>
              <w:rPr>
                <w:rFonts w:hint="default" w:ascii="Times New Roman" w:hAnsi="Times New Roman" w:eastAsia="宋体" w:cs="Times New Roman"/>
                <w:color w:val="000000"/>
                <w:kern w:val="2"/>
                <w:sz w:val="24"/>
                <w:szCs w:val="24"/>
                <w:lang w:val="en-US" w:eastAsia="zh-CN" w:bidi="ar-SA"/>
              </w:rPr>
              <w:t>因产生量较小，且颗粒较大，多</w:t>
            </w:r>
            <w:r>
              <w:rPr>
                <w:rFonts w:hint="eastAsia" w:ascii="Times New Roman" w:hAnsi="Times New Roman" w:eastAsia="宋体" w:cs="Times New Roman"/>
                <w:color w:val="000000"/>
                <w:kern w:val="2"/>
                <w:sz w:val="24"/>
                <w:szCs w:val="24"/>
                <w:lang w:val="en-US" w:eastAsia="zh-CN" w:bidi="ar-SA"/>
              </w:rPr>
              <w:t>数</w:t>
            </w:r>
            <w:r>
              <w:rPr>
                <w:rFonts w:hint="default" w:ascii="Times New Roman" w:hAnsi="Times New Roman" w:eastAsia="宋体" w:cs="Times New Roman"/>
                <w:color w:val="000000"/>
                <w:kern w:val="2"/>
                <w:sz w:val="24"/>
                <w:szCs w:val="24"/>
                <w:lang w:val="en-US" w:eastAsia="zh-CN" w:bidi="ar-SA"/>
              </w:rPr>
              <w:t>自然沉降在车间内，</w:t>
            </w:r>
            <w:r>
              <w:rPr>
                <w:rFonts w:hint="eastAsia" w:ascii="Times New Roman" w:hAnsi="Times New Roman" w:eastAsia="宋体" w:cs="Times New Roman"/>
                <w:color w:val="000000"/>
                <w:kern w:val="2"/>
                <w:sz w:val="24"/>
                <w:szCs w:val="24"/>
                <w:lang w:val="en-US" w:eastAsia="zh-CN" w:bidi="ar-SA"/>
              </w:rPr>
              <w:t>通过</w:t>
            </w:r>
            <w:r>
              <w:rPr>
                <w:sz w:val="24"/>
              </w:rPr>
              <w:t>闭车间门窗降低无组织排放</w:t>
            </w:r>
            <w:r>
              <w:rPr>
                <w:rFonts w:hint="eastAsia"/>
                <w:sz w:val="24"/>
                <w:lang w:val="en-US" w:eastAsia="zh-CN"/>
              </w:rPr>
              <w:t>和</w:t>
            </w:r>
            <w:r>
              <w:rPr>
                <w:rFonts w:hint="eastAsia"/>
                <w:sz w:val="24"/>
              </w:rPr>
              <w:t>同时</w:t>
            </w:r>
            <w:r>
              <w:rPr>
                <w:sz w:val="24"/>
              </w:rPr>
              <w:t>定期打扫</w:t>
            </w:r>
            <w:r>
              <w:rPr>
                <w:rFonts w:hint="eastAsia"/>
                <w:sz w:val="24"/>
              </w:rPr>
              <w:t>车间</w:t>
            </w:r>
            <w:r>
              <w:rPr>
                <w:sz w:val="24"/>
              </w:rPr>
              <w:t>地面沉降粉尘</w:t>
            </w:r>
            <w:r>
              <w:rPr>
                <w:rFonts w:hint="eastAsia"/>
                <w:sz w:val="24"/>
                <w:lang w:val="en-US" w:eastAsia="zh-CN"/>
              </w:rPr>
              <w:t>的</w:t>
            </w:r>
            <w:r>
              <w:rPr>
                <w:rFonts w:hint="eastAsia" w:ascii="Times New Roman" w:eastAsia="宋体"/>
                <w:sz w:val="24"/>
                <w:lang w:val="en-US" w:eastAsia="zh-CN"/>
              </w:rPr>
              <w:t>措施</w:t>
            </w:r>
            <w:r>
              <w:rPr>
                <w:sz w:val="24"/>
              </w:rPr>
              <w:t>，粉尘</w:t>
            </w:r>
            <w:r>
              <w:rPr>
                <w:rFonts w:hint="eastAsia"/>
                <w:sz w:val="24"/>
                <w:lang w:val="en-US" w:eastAsia="zh-CN"/>
              </w:rPr>
              <w:t>基本对外界无影响</w:t>
            </w:r>
            <w:r>
              <w:rPr>
                <w:rFonts w:hint="eastAsia" w:ascii="Times New Roman" w:hAnsi="Times New Roman" w:eastAsia="宋体" w:cs="Times New Roman"/>
                <w:color w:val="000000"/>
                <w:kern w:val="2"/>
                <w:sz w:val="24"/>
                <w:szCs w:val="24"/>
                <w:lang w:val="en-US" w:eastAsia="zh-CN" w:bidi="ar-SA"/>
              </w:rPr>
              <w:t>；</w:t>
            </w:r>
            <w:r>
              <w:rPr>
                <w:rFonts w:hint="eastAsia" w:ascii="Times New Roman" w:hAnsi="Times New Roman" w:cs="Times New Roman"/>
                <w:sz w:val="24"/>
                <w:szCs w:val="22"/>
                <w:lang w:val="en-US" w:eastAsia="zh-CN"/>
              </w:rPr>
              <w:t>锅炉烟气</w:t>
            </w:r>
            <w:r>
              <w:rPr>
                <w:rFonts w:hint="eastAsia" w:ascii="Times New Roman" w:hAnsi="Times New Roman" w:eastAsia="宋体" w:cs="Times New Roman"/>
                <w:color w:val="000000"/>
                <w:kern w:val="2"/>
                <w:sz w:val="24"/>
                <w:szCs w:val="24"/>
                <w:u w:val="none"/>
                <w:lang w:val="en-US" w:eastAsia="zh-CN" w:bidi="ar-SA"/>
              </w:rPr>
              <w:t>通过碱液喷淋除尘脱硫处理后，再由40米高的烟囱外排，可满足</w:t>
            </w: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《锅炉大气污染物排放标准》（GB13271-2014）中表2燃煤锅炉排放控制要求</w:t>
            </w:r>
            <w:r>
              <w:rPr>
                <w:rFonts w:hint="eastAsia" w:ascii="Times New Roman" w:hAnsi="Times New Roman" w:eastAsia="宋体" w:cs="Times New Roman"/>
                <w:color w:val="000000"/>
                <w:kern w:val="2"/>
                <w:sz w:val="24"/>
                <w:szCs w:val="24"/>
                <w:u w:val="none"/>
                <w:lang w:val="en-US" w:eastAsia="zh-CN" w:bidi="ar-SA"/>
              </w:rPr>
              <w:t>；</w:t>
            </w:r>
            <w:r>
              <w:rPr>
                <w:rFonts w:hint="eastAsia" w:ascii="Times New Roman" w:hAnsi="Times New Roman" w:cs="Times New Roman"/>
                <w:sz w:val="24"/>
                <w:szCs w:val="22"/>
                <w:lang w:val="en-US" w:eastAsia="zh-CN"/>
              </w:rPr>
              <w:t>滚筒式炒锅烟气</w:t>
            </w:r>
            <w:r>
              <w:rPr>
                <w:rFonts w:hint="eastAsia" w:ascii="Times New Roman" w:hAnsi="Times New Roman" w:cs="Times New Roman"/>
                <w:color w:val="000000"/>
                <w:kern w:val="2"/>
                <w:sz w:val="24"/>
                <w:szCs w:val="24"/>
                <w:u w:val="none"/>
                <w:lang w:val="en-US" w:eastAsia="zh-CN" w:bidi="ar-SA"/>
              </w:rPr>
              <w:t>经旋风除尘+布袋除尘处理后通过15m排气筒排放</w:t>
            </w:r>
            <w:r>
              <w:rPr>
                <w:rFonts w:hint="eastAsia" w:ascii="Times New Roman" w:hAnsi="Times New Roman"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u w:val="none"/>
                <w:lang w:val="en-US" w:eastAsia="zh-CN" w:bidi="ar-SA"/>
              </w:rPr>
              <w:t>可满足</w:t>
            </w:r>
            <w:r>
              <w:rPr>
                <w:rFonts w:hint="default" w:ascii="Times New Roman" w:hAnsi="Times New Roman" w:eastAsia="新宋体" w:cs="Times New Roman"/>
                <w:color w:val="auto"/>
                <w:sz w:val="24"/>
                <w:szCs w:val="24"/>
                <w:lang w:val="en-US" w:eastAsia="zh-CN"/>
              </w:rPr>
              <w:t>《大气污染物综合排放标准》（GB16297-1996）</w:t>
            </w:r>
            <w:r>
              <w:rPr>
                <w:rFonts w:hint="eastAsia" w:ascii="Times New Roman" w:hAnsi="Times New Roman" w:eastAsia="新宋体" w:cs="Times New Roman"/>
                <w:color w:val="auto"/>
                <w:sz w:val="24"/>
                <w:szCs w:val="24"/>
                <w:lang w:val="en-US" w:eastAsia="zh-CN"/>
              </w:rPr>
              <w:t>表2中二级标准限值要求</w:t>
            </w:r>
            <w:r>
              <w:rPr>
                <w:rFonts w:hint="eastAsia" w:ascii="Times New Roman" w:hAnsi="Times New Roman" w:eastAsia="宋体" w:cs="Times New Roman"/>
                <w:color w:val="000000"/>
                <w:kern w:val="2"/>
                <w:sz w:val="24"/>
                <w:szCs w:val="24"/>
                <w:u w:val="none"/>
                <w:lang w:val="en-US" w:eastAsia="zh-CN" w:bidi="ar-SA"/>
              </w:rPr>
              <w:t>；</w:t>
            </w:r>
            <w:r>
              <w:rPr>
                <w:rFonts w:hint="eastAsia" w:ascii="Times New Roman" w:hAnsi="Times New Roman" w:cs="Times New Roman"/>
                <w:sz w:val="24"/>
                <w:szCs w:val="22"/>
                <w:lang w:val="en-US" w:eastAsia="zh-CN"/>
              </w:rPr>
              <w:t>生产车间腐竹和豆皮气味</w:t>
            </w:r>
            <w:r>
              <w:rPr>
                <w:rFonts w:hint="default" w:ascii="Times New Roman" w:hAnsi="Times New Roman" w:eastAsia="宋体" w:cs="Times New Roman"/>
                <w:color w:val="000000"/>
                <w:kern w:val="2"/>
                <w:sz w:val="24"/>
                <w:szCs w:val="24"/>
                <w:lang w:val="en-US" w:eastAsia="zh-CN" w:bidi="ar-SA"/>
              </w:rPr>
              <w:t>由于豆浆味道较轻，产生量也较少，加强车间通风后气味扩散较快，对周围环境影响不大</w:t>
            </w:r>
            <w:r>
              <w:rPr>
                <w:rFonts w:hint="eastAsia" w:ascii="Times New Roman" w:hAnsi="Times New Roman" w:eastAsia="宋体" w:cs="Times New Roman"/>
                <w:color w:val="000000"/>
                <w:kern w:val="2"/>
                <w:sz w:val="24"/>
                <w:szCs w:val="24"/>
                <w:lang w:val="en-US" w:eastAsia="zh-CN" w:bidi="ar-SA"/>
              </w:rPr>
              <w:t>；</w:t>
            </w:r>
            <w:r>
              <w:rPr>
                <w:rFonts w:hint="eastAsia" w:ascii="Times New Roman" w:hAnsi="Times New Roman" w:eastAsia="宋体" w:cs="Times New Roman"/>
                <w:color w:val="000000"/>
                <w:kern w:val="0"/>
                <w:sz w:val="24"/>
                <w:szCs w:val="21"/>
              </w:rPr>
              <w:t>污水处理站恶臭拟在各水处理池加盖板封闭，只在盖板上预留进、出气口，同时企业在厂区边界加强绿化</w:t>
            </w:r>
            <w:r>
              <w:rPr>
                <w:rFonts w:hint="default" w:ascii="Times New Roman" w:hAnsi="Times New Roman" w:eastAsia="宋体" w:cs="Times New Roman"/>
                <w:sz w:val="24"/>
                <w:szCs w:val="22"/>
              </w:rPr>
              <w:t>，对区域环境空气质量影响小。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（3）声环境影响分析结论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项目在对噪声设备采取减振、隔声等措施处理后，厂界噪声排放可满足《工业企业厂界环境噪声排放标准》（GB12348-2008）中2类标准的要求，对周围声环境影响较小。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（4）固废环境影响分析结论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rPr>
            </w:pPr>
            <w:r>
              <w:rPr>
                <w:rFonts w:hint="default" w:ascii="Times New Roman" w:hAnsi="Times New Roman" w:eastAsia="宋体" w:cs="Times New Roman"/>
                <w:sz w:val="24"/>
                <w:szCs w:val="22"/>
              </w:rPr>
              <w:t>项目生产固废边角料回收再利用，生活垃圾统一收集后交由环卫部门清运；危险废物设危废暂存间，定期交有资质单位处置，各固废得到妥善处置。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sz w:val="24"/>
                <w:szCs w:val="22"/>
                <w:lang w:val="en-US" w:eastAsia="zh-CN"/>
              </w:rPr>
            </w:pPr>
            <w:r>
              <w:rPr>
                <w:rFonts w:hint="eastAsia" w:ascii="Times New Roman" w:hAnsi="Times New Roman" w:eastAsia="宋体" w:cs="Times New Roman"/>
                <w:b/>
                <w:bCs/>
                <w:sz w:val="24"/>
                <w:szCs w:val="22"/>
                <w:lang w:val="en-US" w:eastAsia="zh-CN"/>
              </w:rPr>
              <w:t>3</w:t>
            </w:r>
            <w:r>
              <w:rPr>
                <w:rFonts w:hint="default" w:ascii="Times New Roman" w:hAnsi="Times New Roman" w:eastAsia="宋体" w:cs="Times New Roman"/>
                <w:b/>
                <w:bCs/>
                <w:sz w:val="24"/>
                <w:szCs w:val="22"/>
                <w:lang w:val="en-US" w:eastAsia="zh-CN"/>
              </w:rPr>
              <w:t>、国家产业政策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lang w:val="zh-CN"/>
              </w:rPr>
            </w:pPr>
            <w:r>
              <w:rPr>
                <w:rFonts w:hint="default" w:ascii="Times New Roman" w:hAnsi="Times New Roman" w:eastAsia="宋体" w:cs="Times New Roman"/>
                <w:sz w:val="24"/>
                <w:szCs w:val="22"/>
                <w:lang w:val="zh-CN"/>
              </w:rPr>
              <w:t>项目不属于《产业结构调整指导目录》（2019年本</w:t>
            </w:r>
            <w:r>
              <w:rPr>
                <w:rFonts w:hint="default" w:ascii="Times New Roman" w:hAnsi="Times New Roman" w:eastAsia="宋体" w:cs="Times New Roman"/>
                <w:sz w:val="24"/>
                <w:szCs w:val="22"/>
              </w:rPr>
              <w:t>）</w:t>
            </w:r>
            <w:r>
              <w:rPr>
                <w:rFonts w:hint="default" w:ascii="Times New Roman" w:hAnsi="Times New Roman" w:eastAsia="宋体" w:cs="Times New Roman"/>
                <w:sz w:val="24"/>
                <w:szCs w:val="22"/>
                <w:lang w:val="zh-CN"/>
              </w:rPr>
              <w:t>中的淘汰类和限制类，符合国家产业政策。</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b/>
                <w:bCs/>
                <w:sz w:val="24"/>
                <w:szCs w:val="22"/>
                <w:lang w:val="en-US" w:eastAsia="zh-CN"/>
              </w:rPr>
              <w:t>5、选址合理性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项目区域环境质量现状满足相应要求，有较大环境容量，区域交通运输较为方便，在采取各项污染防治和风险防范措施后，对环境影响不大，在可接受范围内；评价认为项目选址合理可行。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sz w:val="24"/>
                <w:szCs w:val="22"/>
                <w:lang w:val="en-US" w:eastAsia="zh-CN"/>
              </w:rPr>
            </w:pPr>
            <w:r>
              <w:rPr>
                <w:rFonts w:hint="default" w:ascii="Times New Roman" w:hAnsi="Times New Roman" w:eastAsia="宋体" w:cs="Times New Roman"/>
                <w:b/>
                <w:bCs/>
                <w:sz w:val="24"/>
                <w:szCs w:val="22"/>
                <w:lang w:val="en-US" w:eastAsia="zh-CN"/>
              </w:rPr>
              <w:t>6、综合结论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2"/>
                <w:lang w:val="en-US" w:eastAsia="zh-CN"/>
              </w:rPr>
            </w:pPr>
            <w:r>
              <w:rPr>
                <w:rFonts w:hint="default" w:ascii="Times New Roman" w:hAnsi="Times New Roman" w:eastAsia="宋体" w:cs="Times New Roman"/>
                <w:sz w:val="24"/>
                <w:szCs w:val="22"/>
              </w:rPr>
              <w:t>综上所述，项目符合国家有关产业政策，选址合理。项目在运营过程中产生一定量的废气、废水、噪声及固体废物，在严格执行拟定和环评要求的各项环境保护措施，实施环境管理后，各项污染物均能稳定达标排放，对周围环境的影响可以控制在国家有关标准和要求的允许范围内，并将产生较好的社会效益和经济效益。因此，从环境保护角度而言，该项目的建设可行。</w:t>
            </w:r>
          </w:p>
          <w:p>
            <w:pPr>
              <w:rPr>
                <w:rFonts w:hint="eastAsia"/>
                <w:lang w:val="en-US" w:eastAsia="zh-CN"/>
              </w:rPr>
            </w:pPr>
          </w:p>
          <w:p>
            <w:pPr>
              <w:pStyle w:val="16"/>
              <w:rPr>
                <w:rFonts w:hint="eastAsia"/>
                <w:lang w:val="en-US" w:eastAsia="zh-CN"/>
              </w:rPr>
            </w:pPr>
          </w:p>
          <w:p>
            <w:pPr>
              <w:rPr>
                <w:rFonts w:hint="eastAsia"/>
                <w:lang w:val="en-US" w:eastAsia="zh-CN"/>
              </w:rPr>
            </w:pPr>
          </w:p>
          <w:p>
            <w:pPr>
              <w:pStyle w:val="16"/>
              <w:rPr>
                <w:rFonts w:hint="eastAsia"/>
                <w:lang w:val="en-US" w:eastAsia="zh-CN"/>
              </w:rPr>
            </w:pPr>
          </w:p>
          <w:p>
            <w:pPr>
              <w:rPr>
                <w:rFonts w:hint="eastAsia"/>
                <w:lang w:val="en-US" w:eastAsia="zh-CN"/>
              </w:rPr>
            </w:pPr>
          </w:p>
          <w:p>
            <w:pPr>
              <w:pStyle w:val="16"/>
              <w:rPr>
                <w:rFonts w:hint="eastAsia"/>
                <w:lang w:val="en-US" w:eastAsia="zh-CN"/>
              </w:rPr>
            </w:pPr>
          </w:p>
          <w:p>
            <w:pPr>
              <w:rPr>
                <w:rFonts w:hint="eastAsia"/>
                <w:lang w:val="en-US" w:eastAsia="zh-CN"/>
              </w:rPr>
            </w:pPr>
          </w:p>
        </w:tc>
      </w:tr>
    </w:tbl>
    <w:p>
      <w:pPr>
        <w:pStyle w:val="16"/>
        <w:numPr>
          <w:ilvl w:val="0"/>
          <w:numId w:val="0"/>
        </w:numPr>
        <w:rPr>
          <w:rFonts w:hint="default"/>
          <w:lang w:val="en-US" w:eastAsia="zh-CN"/>
        </w:rPr>
        <w:sectPr>
          <w:pgSz w:w="11906" w:h="16838"/>
          <w:pgMar w:top="1803" w:right="1440" w:bottom="1803" w:left="1440" w:header="851" w:footer="992" w:gutter="0"/>
          <w:pgNumType w:fmt="decimal"/>
          <w:cols w:space="425" w:num="1"/>
          <w:docGrid w:type="lines" w:linePitch="312" w:charSpace="0"/>
        </w:sectPr>
      </w:pPr>
    </w:p>
    <w:p>
      <w:pPr>
        <w:pStyle w:val="17"/>
        <w:adjustRightInd w:val="0"/>
        <w:snapToGrid w:val="0"/>
        <w:spacing w:before="0" w:beforeAutospacing="0" w:after="0" w:afterAutospacing="0" w:line="648" w:lineRule="auto"/>
        <w:outlineLvl w:val="0"/>
        <w:rPr>
          <w:rFonts w:hint="eastAsia" w:ascii="宋体" w:hAnsi="宋体" w:eastAsia="宋体" w:cs="宋体"/>
          <w:b/>
          <w:bCs/>
          <w:snapToGrid w:val="0"/>
          <w:sz w:val="32"/>
          <w:szCs w:val="32"/>
        </w:rPr>
      </w:pPr>
      <w:bookmarkStart w:id="16" w:name="_Toc18029"/>
      <w:r>
        <w:rPr>
          <w:rFonts w:hint="eastAsia" w:ascii="宋体" w:hAnsi="宋体" w:eastAsia="宋体" w:cs="宋体"/>
          <w:b/>
          <w:bCs/>
          <w:snapToGrid w:val="0"/>
          <w:sz w:val="32"/>
          <w:szCs w:val="32"/>
        </w:rPr>
        <w:t>附表</w:t>
      </w:r>
      <w:bookmarkEnd w:id="16"/>
    </w:p>
    <w:p>
      <w:pPr>
        <w:bidi w:val="0"/>
        <w:jc w:val="center"/>
        <w:rPr>
          <w:rFonts w:hint="eastAsia"/>
          <w:b/>
          <w:bCs/>
          <w:sz w:val="32"/>
          <w:szCs w:val="32"/>
        </w:rPr>
      </w:pPr>
      <w:r>
        <w:rPr>
          <w:rFonts w:hint="eastAsia"/>
          <w:b/>
          <w:bCs/>
          <w:sz w:val="32"/>
          <w:szCs w:val="32"/>
        </w:rPr>
        <w:t>建设项目污染物排放量汇总表</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117"/>
        <w:gridCol w:w="1425"/>
        <w:gridCol w:w="1080"/>
        <w:gridCol w:w="1473"/>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37"/>
              <w:spacing w:beforeLines="0" w:afterLines="0" w:line="240" w:lineRule="auto"/>
              <w:jc w:val="right"/>
              <w:rPr>
                <w:rFonts w:hint="default" w:ascii="Times New Roman" w:hAnsi="Times New Roman" w:cs="Times New Roman" w:eastAsiaTheme="minorEastAsia"/>
                <w:snapToGrid w:val="0"/>
                <w:color w:val="000000"/>
                <w:spacing w:val="-6"/>
                <w:kern w:val="21"/>
                <w:szCs w:val="21"/>
              </w:rPr>
            </w:pPr>
            <w:r>
              <w:rPr>
                <w:rFonts w:hint="default" w:ascii="Times New Roman" w:hAnsi="Times New Roman" w:cs="Times New Roman" w:eastAsiaTheme="minorEastAsia"/>
                <w:snapToGrid w:val="0"/>
                <w:color w:val="000000"/>
                <w:spacing w:val="-6"/>
                <w:kern w:val="21"/>
                <w:szCs w:val="21"/>
              </w:rPr>
              <w:t>项目</w:t>
            </w:r>
          </w:p>
          <w:p>
            <w:pPr>
              <w:pStyle w:val="37"/>
              <w:spacing w:beforeLines="0" w:afterLines="0" w:line="240" w:lineRule="auto"/>
              <w:jc w:val="left"/>
              <w:rPr>
                <w:rFonts w:hint="default" w:ascii="Times New Roman" w:hAnsi="Times New Roman" w:cs="Times New Roman" w:eastAsiaTheme="minorEastAsia"/>
                <w:snapToGrid w:val="0"/>
                <w:color w:val="000000"/>
                <w:spacing w:val="-6"/>
                <w:kern w:val="21"/>
                <w:szCs w:val="21"/>
              </w:rPr>
            </w:pPr>
            <w:r>
              <w:rPr>
                <w:rFonts w:hint="default" w:ascii="Times New Roman" w:hAnsi="Times New Roman" w:cs="Times New Roman" w:eastAsiaTheme="minorEastAsia"/>
                <w:snapToGrid w:val="0"/>
                <w:color w:val="000000"/>
                <w:spacing w:val="-6"/>
                <w:kern w:val="21"/>
                <w:szCs w:val="21"/>
              </w:rPr>
              <w:t>分类</w:t>
            </w:r>
          </w:p>
        </w:tc>
        <w:tc>
          <w:tcPr>
            <w:tcW w:w="2117" w:type="dxa"/>
            <w:noWrap w:val="0"/>
            <w:tcMar>
              <w:left w:w="28" w:type="dxa"/>
              <w:right w:w="28" w:type="dxa"/>
            </w:tcMar>
            <w:vAlign w:val="center"/>
          </w:tcPr>
          <w:p>
            <w:pPr>
              <w:pStyle w:val="37"/>
              <w:spacing w:beforeLines="0" w:afterLines="0" w:line="240" w:lineRule="auto"/>
              <w:rPr>
                <w:rFonts w:hint="default" w:ascii="Times New Roman" w:hAnsi="Times New Roman" w:cs="Times New Roman" w:eastAsiaTheme="minorEastAsia"/>
                <w:snapToGrid w:val="0"/>
                <w:color w:val="000000"/>
                <w:spacing w:val="-6"/>
                <w:kern w:val="21"/>
                <w:szCs w:val="21"/>
              </w:rPr>
            </w:pPr>
            <w:r>
              <w:rPr>
                <w:rFonts w:hint="default" w:ascii="Times New Roman" w:hAnsi="Times New Roman" w:cs="Times New Roman" w:eastAsiaTheme="minorEastAsia"/>
                <w:snapToGrid w:val="0"/>
                <w:color w:val="000000"/>
                <w:spacing w:val="-6"/>
                <w:kern w:val="21"/>
                <w:szCs w:val="21"/>
              </w:rPr>
              <w:t>污染物名称</w:t>
            </w:r>
          </w:p>
        </w:tc>
        <w:tc>
          <w:tcPr>
            <w:tcW w:w="1425" w:type="dxa"/>
            <w:noWrap w:val="0"/>
            <w:tcMar>
              <w:left w:w="28" w:type="dxa"/>
              <w:right w:w="28" w:type="dxa"/>
            </w:tcMar>
            <w:vAlign w:val="center"/>
          </w:tcPr>
          <w:p>
            <w:pPr>
              <w:pStyle w:val="37"/>
              <w:spacing w:beforeLines="0" w:afterLines="0" w:line="240" w:lineRule="auto"/>
              <w:rPr>
                <w:rFonts w:hint="default" w:ascii="Times New Roman" w:hAnsi="Times New Roman" w:cs="Times New Roman" w:eastAsiaTheme="minorEastAsia"/>
                <w:snapToGrid w:val="0"/>
                <w:color w:val="000000"/>
                <w:spacing w:val="-6"/>
                <w:kern w:val="21"/>
                <w:szCs w:val="21"/>
              </w:rPr>
            </w:pPr>
            <w:r>
              <w:rPr>
                <w:rFonts w:hint="default" w:ascii="Times New Roman" w:hAnsi="Times New Roman" w:cs="Times New Roman" w:eastAsiaTheme="minorEastAsia"/>
                <w:snapToGrid w:val="0"/>
                <w:color w:val="000000"/>
                <w:spacing w:val="-6"/>
                <w:kern w:val="21"/>
                <w:szCs w:val="21"/>
              </w:rPr>
              <w:t>现有工程</w:t>
            </w:r>
          </w:p>
          <w:p>
            <w:pPr>
              <w:pStyle w:val="37"/>
              <w:spacing w:beforeLines="0" w:afterLines="0" w:line="240" w:lineRule="auto"/>
              <w:rPr>
                <w:rFonts w:hint="default" w:ascii="Times New Roman" w:hAnsi="Times New Roman" w:cs="Times New Roman" w:eastAsiaTheme="minorEastAsia"/>
                <w:snapToGrid w:val="0"/>
                <w:color w:val="000000"/>
                <w:spacing w:val="-6"/>
                <w:kern w:val="21"/>
                <w:szCs w:val="21"/>
              </w:rPr>
            </w:pPr>
            <w:r>
              <w:rPr>
                <w:rFonts w:hint="default" w:ascii="Times New Roman" w:hAnsi="Times New Roman" w:cs="Times New Roman" w:eastAsiaTheme="minorEastAsia"/>
                <w:snapToGrid w:val="0"/>
                <w:color w:val="000000"/>
                <w:spacing w:val="-6"/>
                <w:kern w:val="21"/>
                <w:szCs w:val="21"/>
              </w:rPr>
              <w:t>排放量（固体废物产生量）</w:t>
            </w:r>
            <w:r>
              <w:rPr>
                <w:rFonts w:hint="default" w:ascii="Times New Roman" w:hAnsi="Times New Roman" w:cs="Times New Roman" w:eastAsiaTheme="minorEastAsia"/>
                <w:snapToGrid w:val="0"/>
                <w:color w:val="000000"/>
                <w:spacing w:val="-6"/>
                <w:kern w:val="21"/>
                <w:szCs w:val="21"/>
              </w:rPr>
              <w:fldChar w:fldCharType="begin"/>
            </w:r>
            <w:r>
              <w:rPr>
                <w:rFonts w:hint="default" w:ascii="Times New Roman" w:hAnsi="Times New Roman" w:cs="Times New Roman" w:eastAsiaTheme="minorEastAsia"/>
                <w:snapToGrid w:val="0"/>
                <w:color w:val="000000"/>
                <w:spacing w:val="-6"/>
                <w:kern w:val="21"/>
                <w:szCs w:val="21"/>
              </w:rPr>
              <w:instrText xml:space="preserve"> = 1 \* GB3 \* MERGEFORMAT </w:instrText>
            </w:r>
            <w:r>
              <w:rPr>
                <w:rFonts w:hint="default" w:ascii="Times New Roman" w:hAnsi="Times New Roman" w:cs="Times New Roman" w:eastAsiaTheme="minorEastAsia"/>
                <w:snapToGrid w:val="0"/>
                <w:color w:val="000000"/>
                <w:spacing w:val="-6"/>
                <w:kern w:val="21"/>
                <w:szCs w:val="21"/>
              </w:rPr>
              <w:fldChar w:fldCharType="separate"/>
            </w:r>
            <w:r>
              <w:rPr>
                <w:rFonts w:hint="default" w:ascii="Times New Roman" w:hAnsi="Times New Roman" w:cs="Times New Roman" w:eastAsiaTheme="minorEastAsia"/>
                <w:kern w:val="2"/>
                <w:szCs w:val="21"/>
              </w:rPr>
              <w:t>①</w:t>
            </w:r>
            <w:r>
              <w:rPr>
                <w:rFonts w:hint="default" w:ascii="Times New Roman" w:hAnsi="Times New Roman" w:cs="Times New Roman" w:eastAsiaTheme="minorEastAsia"/>
                <w:snapToGrid w:val="0"/>
                <w:color w:val="000000"/>
                <w:spacing w:val="-6"/>
                <w:kern w:val="21"/>
                <w:szCs w:val="21"/>
              </w:rPr>
              <w:fldChar w:fldCharType="end"/>
            </w:r>
          </w:p>
        </w:tc>
        <w:tc>
          <w:tcPr>
            <w:tcW w:w="1080" w:type="dxa"/>
            <w:noWrap w:val="0"/>
            <w:tcMar>
              <w:left w:w="28" w:type="dxa"/>
              <w:right w:w="28" w:type="dxa"/>
            </w:tcMar>
            <w:vAlign w:val="center"/>
          </w:tcPr>
          <w:p>
            <w:pPr>
              <w:pStyle w:val="37"/>
              <w:spacing w:beforeLines="0" w:afterLines="0" w:line="240" w:lineRule="auto"/>
              <w:rPr>
                <w:rFonts w:hint="default" w:ascii="Times New Roman" w:hAnsi="Times New Roman" w:cs="Times New Roman" w:eastAsiaTheme="minorEastAsia"/>
                <w:snapToGrid w:val="0"/>
                <w:color w:val="000000"/>
                <w:spacing w:val="-6"/>
                <w:kern w:val="21"/>
                <w:szCs w:val="21"/>
              </w:rPr>
            </w:pPr>
            <w:r>
              <w:rPr>
                <w:rFonts w:hint="default" w:ascii="Times New Roman" w:hAnsi="Times New Roman" w:cs="Times New Roman" w:eastAsiaTheme="minorEastAsia"/>
                <w:snapToGrid w:val="0"/>
                <w:color w:val="000000"/>
                <w:spacing w:val="-6"/>
                <w:kern w:val="21"/>
                <w:szCs w:val="21"/>
              </w:rPr>
              <w:t>现有工程</w:t>
            </w:r>
          </w:p>
          <w:p>
            <w:pPr>
              <w:pStyle w:val="37"/>
              <w:spacing w:beforeLines="0" w:afterLines="0" w:line="240" w:lineRule="auto"/>
              <w:rPr>
                <w:rFonts w:hint="default" w:ascii="Times New Roman" w:hAnsi="Times New Roman" w:cs="Times New Roman" w:eastAsiaTheme="minorEastAsia"/>
                <w:snapToGrid w:val="0"/>
                <w:color w:val="000000"/>
                <w:spacing w:val="-6"/>
                <w:kern w:val="21"/>
                <w:szCs w:val="21"/>
              </w:rPr>
            </w:pPr>
            <w:r>
              <w:rPr>
                <w:rFonts w:hint="default" w:ascii="Times New Roman" w:hAnsi="Times New Roman" w:cs="Times New Roman" w:eastAsiaTheme="minorEastAsia"/>
                <w:snapToGrid w:val="0"/>
                <w:color w:val="000000"/>
                <w:spacing w:val="-6"/>
                <w:kern w:val="21"/>
                <w:szCs w:val="21"/>
              </w:rPr>
              <w:t>许可排放量</w:t>
            </w:r>
          </w:p>
          <w:p>
            <w:pPr>
              <w:pStyle w:val="37"/>
              <w:spacing w:beforeLines="0" w:afterLines="0"/>
              <w:rPr>
                <w:rFonts w:hint="default" w:ascii="Times New Roman" w:hAnsi="Times New Roman" w:cs="Times New Roman" w:eastAsiaTheme="minorEastAsia"/>
                <w:snapToGrid w:val="0"/>
                <w:color w:val="000000"/>
                <w:spacing w:val="-6"/>
                <w:kern w:val="21"/>
                <w:szCs w:val="21"/>
              </w:rPr>
            </w:pPr>
            <w:r>
              <w:rPr>
                <w:rFonts w:hint="default" w:ascii="Times New Roman" w:hAnsi="Times New Roman" w:cs="Times New Roman" w:eastAsiaTheme="minorEastAsia"/>
                <w:snapToGrid w:val="0"/>
                <w:color w:val="000000"/>
                <w:spacing w:val="-6"/>
                <w:kern w:val="21"/>
                <w:szCs w:val="21"/>
              </w:rPr>
              <w:fldChar w:fldCharType="begin"/>
            </w:r>
            <w:r>
              <w:rPr>
                <w:rFonts w:hint="default" w:ascii="Times New Roman" w:hAnsi="Times New Roman" w:cs="Times New Roman" w:eastAsiaTheme="minorEastAsia"/>
                <w:snapToGrid w:val="0"/>
                <w:color w:val="000000"/>
                <w:spacing w:val="-6"/>
                <w:kern w:val="21"/>
                <w:szCs w:val="21"/>
              </w:rPr>
              <w:instrText xml:space="preserve"> = 2 \* GB3 \* MERGEFORMAT </w:instrText>
            </w:r>
            <w:r>
              <w:rPr>
                <w:rFonts w:hint="default" w:ascii="Times New Roman" w:hAnsi="Times New Roman" w:cs="Times New Roman" w:eastAsiaTheme="minorEastAsia"/>
                <w:snapToGrid w:val="0"/>
                <w:color w:val="000000"/>
                <w:spacing w:val="-6"/>
                <w:kern w:val="21"/>
                <w:szCs w:val="21"/>
              </w:rPr>
              <w:fldChar w:fldCharType="separate"/>
            </w:r>
            <w:r>
              <w:rPr>
                <w:rFonts w:hint="default" w:ascii="Times New Roman" w:hAnsi="Times New Roman" w:cs="Times New Roman" w:eastAsiaTheme="minorEastAsia"/>
                <w:snapToGrid w:val="0"/>
                <w:color w:val="000000"/>
                <w:spacing w:val="-6"/>
                <w:kern w:val="21"/>
                <w:szCs w:val="21"/>
              </w:rPr>
              <w:t>②</w:t>
            </w:r>
            <w:r>
              <w:rPr>
                <w:rFonts w:hint="default" w:ascii="Times New Roman" w:hAnsi="Times New Roman" w:cs="Times New Roman" w:eastAsiaTheme="minorEastAsia"/>
                <w:snapToGrid w:val="0"/>
                <w:color w:val="000000"/>
                <w:spacing w:val="-6"/>
                <w:kern w:val="21"/>
                <w:szCs w:val="21"/>
              </w:rPr>
              <w:fldChar w:fldCharType="end"/>
            </w:r>
          </w:p>
        </w:tc>
        <w:tc>
          <w:tcPr>
            <w:tcW w:w="1473" w:type="dxa"/>
            <w:noWrap w:val="0"/>
            <w:tcMar>
              <w:left w:w="28" w:type="dxa"/>
              <w:right w:w="28" w:type="dxa"/>
            </w:tcMar>
            <w:vAlign w:val="center"/>
          </w:tcPr>
          <w:p>
            <w:pPr>
              <w:pStyle w:val="37"/>
              <w:spacing w:beforeLines="0" w:afterLines="0" w:line="240" w:lineRule="auto"/>
              <w:rPr>
                <w:rFonts w:hint="default" w:ascii="Times New Roman" w:hAnsi="Times New Roman" w:cs="Times New Roman" w:eastAsiaTheme="minorEastAsia"/>
                <w:snapToGrid w:val="0"/>
                <w:color w:val="000000"/>
                <w:spacing w:val="-6"/>
                <w:kern w:val="21"/>
                <w:szCs w:val="21"/>
              </w:rPr>
            </w:pPr>
            <w:r>
              <w:rPr>
                <w:rFonts w:hint="default" w:ascii="Times New Roman" w:hAnsi="Times New Roman" w:cs="Times New Roman" w:eastAsiaTheme="minorEastAsia"/>
                <w:snapToGrid w:val="0"/>
                <w:color w:val="000000"/>
                <w:spacing w:val="-6"/>
                <w:kern w:val="21"/>
                <w:szCs w:val="21"/>
              </w:rPr>
              <w:t>在建工程</w:t>
            </w:r>
          </w:p>
          <w:p>
            <w:pPr>
              <w:pStyle w:val="37"/>
              <w:spacing w:beforeLines="0" w:afterLines="0" w:line="240" w:lineRule="auto"/>
              <w:rPr>
                <w:rFonts w:hint="default" w:ascii="Times New Roman" w:hAnsi="Times New Roman" w:cs="Times New Roman" w:eastAsiaTheme="minorEastAsia"/>
                <w:snapToGrid w:val="0"/>
                <w:color w:val="000000"/>
                <w:spacing w:val="-6"/>
                <w:kern w:val="21"/>
                <w:szCs w:val="21"/>
              </w:rPr>
            </w:pPr>
            <w:r>
              <w:rPr>
                <w:rFonts w:hint="default" w:ascii="Times New Roman" w:hAnsi="Times New Roman" w:cs="Times New Roman" w:eastAsiaTheme="minorEastAsia"/>
                <w:snapToGrid w:val="0"/>
                <w:color w:val="000000"/>
                <w:spacing w:val="-6"/>
                <w:kern w:val="21"/>
                <w:szCs w:val="21"/>
              </w:rPr>
              <w:t>排放量（固体废物产生量）</w:t>
            </w:r>
            <w:r>
              <w:rPr>
                <w:rFonts w:hint="default" w:ascii="Times New Roman" w:hAnsi="Times New Roman" w:cs="Times New Roman" w:eastAsiaTheme="minorEastAsia"/>
                <w:snapToGrid w:val="0"/>
                <w:color w:val="000000"/>
                <w:spacing w:val="-6"/>
                <w:kern w:val="21"/>
                <w:szCs w:val="21"/>
              </w:rPr>
              <w:fldChar w:fldCharType="begin"/>
            </w:r>
            <w:r>
              <w:rPr>
                <w:rFonts w:hint="default" w:ascii="Times New Roman" w:hAnsi="Times New Roman" w:cs="Times New Roman" w:eastAsiaTheme="minorEastAsia"/>
                <w:snapToGrid w:val="0"/>
                <w:color w:val="000000"/>
                <w:spacing w:val="-6"/>
                <w:kern w:val="21"/>
                <w:szCs w:val="21"/>
              </w:rPr>
              <w:instrText xml:space="preserve"> = 3 \* GB3 \* MERGEFORMAT </w:instrText>
            </w:r>
            <w:r>
              <w:rPr>
                <w:rFonts w:hint="default" w:ascii="Times New Roman" w:hAnsi="Times New Roman" w:cs="Times New Roman" w:eastAsiaTheme="minorEastAsia"/>
                <w:snapToGrid w:val="0"/>
                <w:color w:val="000000"/>
                <w:spacing w:val="-6"/>
                <w:kern w:val="21"/>
                <w:szCs w:val="21"/>
              </w:rPr>
              <w:fldChar w:fldCharType="separate"/>
            </w:r>
            <w:r>
              <w:rPr>
                <w:rFonts w:hint="default" w:ascii="Times New Roman" w:hAnsi="Times New Roman" w:cs="Times New Roman" w:eastAsiaTheme="minorEastAsia"/>
                <w:kern w:val="2"/>
                <w:szCs w:val="21"/>
              </w:rPr>
              <w:t>③</w:t>
            </w:r>
            <w:r>
              <w:rPr>
                <w:rFonts w:hint="default" w:ascii="Times New Roman" w:hAnsi="Times New Roman" w:cs="Times New Roman" w:eastAsiaTheme="minorEastAsia"/>
                <w:snapToGrid w:val="0"/>
                <w:color w:val="000000"/>
                <w:spacing w:val="-6"/>
                <w:kern w:val="21"/>
                <w:szCs w:val="21"/>
              </w:rPr>
              <w:fldChar w:fldCharType="end"/>
            </w:r>
          </w:p>
        </w:tc>
        <w:tc>
          <w:tcPr>
            <w:tcW w:w="1559" w:type="dxa"/>
            <w:noWrap w:val="0"/>
            <w:tcMar>
              <w:left w:w="28" w:type="dxa"/>
              <w:right w:w="28" w:type="dxa"/>
            </w:tcMar>
            <w:vAlign w:val="center"/>
          </w:tcPr>
          <w:p>
            <w:pPr>
              <w:pStyle w:val="37"/>
              <w:spacing w:beforeLines="0" w:afterLines="0" w:line="240" w:lineRule="auto"/>
              <w:rPr>
                <w:rFonts w:hint="default" w:ascii="Times New Roman" w:hAnsi="Times New Roman" w:cs="Times New Roman" w:eastAsiaTheme="minorEastAsia"/>
                <w:snapToGrid w:val="0"/>
                <w:color w:val="000000"/>
                <w:spacing w:val="-6"/>
                <w:kern w:val="21"/>
                <w:szCs w:val="21"/>
              </w:rPr>
            </w:pPr>
            <w:r>
              <w:rPr>
                <w:rFonts w:hint="default" w:ascii="Times New Roman" w:hAnsi="Times New Roman" w:cs="Times New Roman" w:eastAsiaTheme="minorEastAsia"/>
                <w:snapToGrid w:val="0"/>
                <w:color w:val="000000"/>
                <w:spacing w:val="-6"/>
                <w:kern w:val="21"/>
                <w:szCs w:val="21"/>
              </w:rPr>
              <w:t>本项目</w:t>
            </w:r>
          </w:p>
          <w:p>
            <w:pPr>
              <w:pStyle w:val="37"/>
              <w:spacing w:beforeLines="0" w:afterLines="0" w:line="240" w:lineRule="auto"/>
              <w:rPr>
                <w:rFonts w:hint="default" w:ascii="Times New Roman" w:hAnsi="Times New Roman" w:cs="Times New Roman" w:eastAsiaTheme="minorEastAsia"/>
                <w:snapToGrid w:val="0"/>
                <w:color w:val="000000"/>
                <w:spacing w:val="-6"/>
                <w:kern w:val="21"/>
                <w:szCs w:val="21"/>
              </w:rPr>
            </w:pPr>
            <w:r>
              <w:rPr>
                <w:rFonts w:hint="default" w:ascii="Times New Roman" w:hAnsi="Times New Roman" w:cs="Times New Roman" w:eastAsiaTheme="minorEastAsia"/>
                <w:snapToGrid w:val="0"/>
                <w:color w:val="000000"/>
                <w:spacing w:val="-6"/>
                <w:kern w:val="21"/>
                <w:szCs w:val="21"/>
              </w:rPr>
              <w:t>排放量（固体废物产生量）</w:t>
            </w:r>
            <w:r>
              <w:rPr>
                <w:rFonts w:hint="default" w:ascii="Times New Roman" w:hAnsi="Times New Roman" w:cs="Times New Roman" w:eastAsiaTheme="minorEastAsia"/>
                <w:snapToGrid w:val="0"/>
                <w:color w:val="000000"/>
                <w:spacing w:val="-6"/>
                <w:kern w:val="21"/>
                <w:szCs w:val="21"/>
              </w:rPr>
              <w:fldChar w:fldCharType="begin"/>
            </w:r>
            <w:r>
              <w:rPr>
                <w:rFonts w:hint="default" w:ascii="Times New Roman" w:hAnsi="Times New Roman" w:cs="Times New Roman" w:eastAsiaTheme="minorEastAsia"/>
                <w:snapToGrid w:val="0"/>
                <w:color w:val="000000"/>
                <w:spacing w:val="-6"/>
                <w:kern w:val="21"/>
                <w:szCs w:val="21"/>
              </w:rPr>
              <w:instrText xml:space="preserve"> = 4 \* GB3 \* MERGEFORMAT </w:instrText>
            </w:r>
            <w:r>
              <w:rPr>
                <w:rFonts w:hint="default" w:ascii="Times New Roman" w:hAnsi="Times New Roman" w:cs="Times New Roman" w:eastAsiaTheme="minorEastAsia"/>
                <w:snapToGrid w:val="0"/>
                <w:color w:val="000000"/>
                <w:spacing w:val="-6"/>
                <w:kern w:val="21"/>
                <w:szCs w:val="21"/>
              </w:rPr>
              <w:fldChar w:fldCharType="separate"/>
            </w:r>
            <w:r>
              <w:rPr>
                <w:rFonts w:hint="default" w:ascii="Times New Roman" w:hAnsi="Times New Roman" w:cs="Times New Roman" w:eastAsiaTheme="minorEastAsia"/>
                <w:kern w:val="2"/>
                <w:szCs w:val="21"/>
              </w:rPr>
              <w:t>④</w:t>
            </w:r>
            <w:r>
              <w:rPr>
                <w:rFonts w:hint="default" w:ascii="Times New Roman" w:hAnsi="Times New Roman" w:cs="Times New Roman" w:eastAsiaTheme="minorEastAsia"/>
                <w:snapToGrid w:val="0"/>
                <w:color w:val="000000"/>
                <w:spacing w:val="-6"/>
                <w:kern w:val="21"/>
                <w:szCs w:val="21"/>
              </w:rPr>
              <w:fldChar w:fldCharType="end"/>
            </w:r>
          </w:p>
        </w:tc>
        <w:tc>
          <w:tcPr>
            <w:tcW w:w="1761" w:type="dxa"/>
            <w:noWrap w:val="0"/>
            <w:tcMar>
              <w:left w:w="28" w:type="dxa"/>
              <w:right w:w="28" w:type="dxa"/>
            </w:tcMar>
            <w:vAlign w:val="center"/>
          </w:tcPr>
          <w:p>
            <w:pPr>
              <w:pStyle w:val="37"/>
              <w:spacing w:beforeLines="0" w:afterLines="0" w:line="240" w:lineRule="auto"/>
              <w:rPr>
                <w:rFonts w:hint="default" w:ascii="Times New Roman" w:hAnsi="Times New Roman" w:cs="Times New Roman" w:eastAsiaTheme="minorEastAsia"/>
                <w:snapToGrid w:val="0"/>
                <w:color w:val="000000"/>
                <w:spacing w:val="-16"/>
                <w:kern w:val="21"/>
                <w:szCs w:val="21"/>
              </w:rPr>
            </w:pPr>
            <w:r>
              <w:rPr>
                <w:rFonts w:hint="default" w:ascii="Times New Roman" w:hAnsi="Times New Roman" w:cs="Times New Roman" w:eastAsiaTheme="minorEastAsia"/>
                <w:snapToGrid w:val="0"/>
                <w:color w:val="000000"/>
                <w:spacing w:val="-16"/>
                <w:kern w:val="21"/>
                <w:szCs w:val="21"/>
              </w:rPr>
              <w:t>以新带老削减量</w:t>
            </w:r>
          </w:p>
          <w:p>
            <w:pPr>
              <w:pStyle w:val="37"/>
              <w:spacing w:beforeLines="0" w:afterLines="0" w:line="240" w:lineRule="auto"/>
              <w:rPr>
                <w:rFonts w:hint="default" w:ascii="Times New Roman" w:hAnsi="Times New Roman" w:cs="Times New Roman" w:eastAsiaTheme="minorEastAsia"/>
                <w:snapToGrid w:val="0"/>
                <w:color w:val="000000"/>
                <w:spacing w:val="-16"/>
                <w:kern w:val="21"/>
                <w:szCs w:val="21"/>
              </w:rPr>
            </w:pPr>
            <w:r>
              <w:rPr>
                <w:rFonts w:hint="default" w:ascii="Times New Roman" w:hAnsi="Times New Roman" w:cs="Times New Roman" w:eastAsiaTheme="minorEastAsia"/>
                <w:snapToGrid w:val="0"/>
                <w:color w:val="000000"/>
                <w:spacing w:val="-16"/>
                <w:kern w:val="21"/>
                <w:szCs w:val="21"/>
              </w:rPr>
              <w:t>（新建项目不填）</w:t>
            </w:r>
            <w:r>
              <w:rPr>
                <w:rFonts w:hint="default" w:ascii="Times New Roman" w:hAnsi="Times New Roman" w:cs="Times New Roman" w:eastAsiaTheme="minorEastAsia"/>
                <w:snapToGrid w:val="0"/>
                <w:color w:val="000000"/>
                <w:spacing w:val="-16"/>
                <w:kern w:val="21"/>
                <w:szCs w:val="21"/>
              </w:rPr>
              <w:fldChar w:fldCharType="begin"/>
            </w:r>
            <w:r>
              <w:rPr>
                <w:rFonts w:hint="default" w:ascii="Times New Roman" w:hAnsi="Times New Roman" w:cs="Times New Roman" w:eastAsiaTheme="minorEastAsia"/>
                <w:snapToGrid w:val="0"/>
                <w:color w:val="000000"/>
                <w:spacing w:val="-16"/>
                <w:kern w:val="21"/>
                <w:szCs w:val="21"/>
              </w:rPr>
              <w:instrText xml:space="preserve"> = 5 \* GB3 \* MERGEFORMAT </w:instrText>
            </w:r>
            <w:r>
              <w:rPr>
                <w:rFonts w:hint="default" w:ascii="Times New Roman" w:hAnsi="Times New Roman" w:cs="Times New Roman" w:eastAsiaTheme="minorEastAsia"/>
                <w:snapToGrid w:val="0"/>
                <w:color w:val="000000"/>
                <w:spacing w:val="-16"/>
                <w:kern w:val="21"/>
                <w:szCs w:val="21"/>
              </w:rPr>
              <w:fldChar w:fldCharType="separate"/>
            </w:r>
            <w:r>
              <w:rPr>
                <w:rFonts w:hint="default" w:ascii="Times New Roman" w:hAnsi="Times New Roman" w:cs="Times New Roman" w:eastAsiaTheme="minorEastAsia"/>
                <w:kern w:val="2"/>
                <w:szCs w:val="21"/>
              </w:rPr>
              <w:t>⑤</w:t>
            </w:r>
            <w:r>
              <w:rPr>
                <w:rFonts w:hint="default" w:ascii="Times New Roman" w:hAnsi="Times New Roman" w:cs="Times New Roman" w:eastAsiaTheme="minorEastAsia"/>
                <w:snapToGrid w:val="0"/>
                <w:color w:val="000000"/>
                <w:spacing w:val="-16"/>
                <w:kern w:val="21"/>
                <w:szCs w:val="21"/>
              </w:rPr>
              <w:fldChar w:fldCharType="end"/>
            </w:r>
          </w:p>
        </w:tc>
        <w:tc>
          <w:tcPr>
            <w:tcW w:w="1959" w:type="dxa"/>
            <w:noWrap w:val="0"/>
            <w:tcMar>
              <w:left w:w="28" w:type="dxa"/>
              <w:right w:w="28" w:type="dxa"/>
            </w:tcMar>
            <w:vAlign w:val="center"/>
          </w:tcPr>
          <w:p>
            <w:pPr>
              <w:pStyle w:val="37"/>
              <w:spacing w:beforeLines="0" w:afterLines="0" w:line="240" w:lineRule="auto"/>
              <w:rPr>
                <w:rFonts w:hint="default" w:ascii="Times New Roman" w:hAnsi="Times New Roman" w:cs="Times New Roman" w:eastAsiaTheme="minorEastAsia"/>
                <w:snapToGrid w:val="0"/>
                <w:color w:val="000000"/>
                <w:spacing w:val="-16"/>
                <w:kern w:val="21"/>
                <w:szCs w:val="21"/>
              </w:rPr>
            </w:pPr>
            <w:r>
              <w:rPr>
                <w:rFonts w:hint="default" w:ascii="Times New Roman" w:hAnsi="Times New Roman" w:cs="Times New Roman" w:eastAsiaTheme="minorEastAsia"/>
                <w:snapToGrid w:val="0"/>
                <w:color w:val="000000"/>
                <w:spacing w:val="-16"/>
                <w:kern w:val="21"/>
                <w:szCs w:val="21"/>
              </w:rPr>
              <w:t>本项目建成后</w:t>
            </w:r>
          </w:p>
          <w:p>
            <w:pPr>
              <w:pStyle w:val="37"/>
              <w:spacing w:beforeLines="0" w:afterLines="0" w:line="240" w:lineRule="auto"/>
              <w:rPr>
                <w:rFonts w:hint="default" w:ascii="Times New Roman" w:hAnsi="Times New Roman" w:cs="Times New Roman" w:eastAsiaTheme="minorEastAsia"/>
                <w:snapToGrid w:val="0"/>
                <w:color w:val="000000"/>
                <w:spacing w:val="-16"/>
                <w:kern w:val="21"/>
                <w:szCs w:val="21"/>
              </w:rPr>
            </w:pPr>
            <w:r>
              <w:rPr>
                <w:rFonts w:hint="default" w:ascii="Times New Roman" w:hAnsi="Times New Roman" w:cs="Times New Roman" w:eastAsiaTheme="minorEastAsia"/>
                <w:snapToGrid w:val="0"/>
                <w:color w:val="000000"/>
                <w:spacing w:val="-16"/>
                <w:kern w:val="21"/>
                <w:szCs w:val="21"/>
              </w:rPr>
              <w:t>全厂排放量（固体废物产生量）</w:t>
            </w:r>
            <w:r>
              <w:rPr>
                <w:rFonts w:hint="default" w:ascii="Times New Roman" w:hAnsi="Times New Roman" w:cs="Times New Roman" w:eastAsiaTheme="minorEastAsia"/>
                <w:snapToGrid w:val="0"/>
                <w:color w:val="000000"/>
                <w:spacing w:val="-16"/>
                <w:kern w:val="21"/>
                <w:szCs w:val="21"/>
              </w:rPr>
              <w:fldChar w:fldCharType="begin"/>
            </w:r>
            <w:r>
              <w:rPr>
                <w:rFonts w:hint="default" w:ascii="Times New Roman" w:hAnsi="Times New Roman" w:cs="Times New Roman" w:eastAsiaTheme="minorEastAsia"/>
                <w:snapToGrid w:val="0"/>
                <w:color w:val="000000"/>
                <w:spacing w:val="-16"/>
                <w:kern w:val="21"/>
                <w:szCs w:val="21"/>
              </w:rPr>
              <w:instrText xml:space="preserve"> = 6 \* GB3 \* MERGEFORMAT </w:instrText>
            </w:r>
            <w:r>
              <w:rPr>
                <w:rFonts w:hint="default" w:ascii="Times New Roman" w:hAnsi="Times New Roman" w:cs="Times New Roman" w:eastAsiaTheme="minorEastAsia"/>
                <w:snapToGrid w:val="0"/>
                <w:color w:val="000000"/>
                <w:spacing w:val="-16"/>
                <w:kern w:val="21"/>
                <w:szCs w:val="21"/>
              </w:rPr>
              <w:fldChar w:fldCharType="separate"/>
            </w:r>
            <w:r>
              <w:rPr>
                <w:rFonts w:hint="default" w:ascii="Times New Roman" w:hAnsi="Times New Roman" w:cs="Times New Roman" w:eastAsiaTheme="minorEastAsia"/>
                <w:kern w:val="2"/>
                <w:szCs w:val="21"/>
              </w:rPr>
              <w:t>⑥</w:t>
            </w:r>
            <w:r>
              <w:rPr>
                <w:rFonts w:hint="default" w:ascii="Times New Roman" w:hAnsi="Times New Roman" w:cs="Times New Roman" w:eastAsiaTheme="minorEastAsia"/>
                <w:snapToGrid w:val="0"/>
                <w:color w:val="000000"/>
                <w:spacing w:val="-16"/>
                <w:kern w:val="21"/>
                <w:szCs w:val="21"/>
              </w:rPr>
              <w:fldChar w:fldCharType="end"/>
            </w:r>
          </w:p>
        </w:tc>
        <w:tc>
          <w:tcPr>
            <w:tcW w:w="826" w:type="dxa"/>
            <w:noWrap w:val="0"/>
            <w:tcMar>
              <w:left w:w="28" w:type="dxa"/>
              <w:right w:w="28" w:type="dxa"/>
            </w:tcMar>
            <w:vAlign w:val="center"/>
          </w:tcPr>
          <w:p>
            <w:pPr>
              <w:pStyle w:val="37"/>
              <w:spacing w:beforeLines="0" w:afterLines="0" w:line="240" w:lineRule="auto"/>
              <w:rPr>
                <w:rFonts w:hint="default" w:ascii="Times New Roman" w:hAnsi="Times New Roman" w:cs="Times New Roman" w:eastAsiaTheme="minorEastAsia"/>
                <w:snapToGrid w:val="0"/>
                <w:color w:val="000000"/>
                <w:spacing w:val="-6"/>
                <w:kern w:val="21"/>
                <w:szCs w:val="21"/>
              </w:rPr>
            </w:pPr>
            <w:r>
              <w:rPr>
                <w:rFonts w:hint="default" w:ascii="Times New Roman" w:hAnsi="Times New Roman" w:cs="Times New Roman" w:eastAsiaTheme="minorEastAsia"/>
                <w:snapToGrid w:val="0"/>
                <w:color w:val="000000"/>
                <w:spacing w:val="-6"/>
                <w:kern w:val="21"/>
                <w:szCs w:val="21"/>
              </w:rPr>
              <w:t>变化量</w:t>
            </w:r>
          </w:p>
          <w:p>
            <w:pPr>
              <w:pStyle w:val="37"/>
              <w:spacing w:beforeLines="0" w:afterLines="0" w:line="240" w:lineRule="auto"/>
              <w:rPr>
                <w:rFonts w:hint="default" w:ascii="Times New Roman" w:hAnsi="Times New Roman" w:cs="Times New Roman" w:eastAsiaTheme="minorEastAsia"/>
                <w:snapToGrid w:val="0"/>
                <w:color w:val="000000"/>
                <w:spacing w:val="-6"/>
                <w:kern w:val="21"/>
                <w:szCs w:val="21"/>
              </w:rPr>
            </w:pPr>
            <w:r>
              <w:rPr>
                <w:rFonts w:hint="default" w:ascii="Times New Roman" w:hAnsi="Times New Roman" w:cs="Times New Roman" w:eastAsiaTheme="minorEastAsia"/>
                <w:snapToGrid w:val="0"/>
                <w:color w:val="000000"/>
                <w:spacing w:val="-6"/>
                <w:kern w:val="21"/>
                <w:szCs w:val="21"/>
              </w:rPr>
              <w:fldChar w:fldCharType="begin"/>
            </w:r>
            <w:r>
              <w:rPr>
                <w:rFonts w:hint="default" w:ascii="Times New Roman" w:hAnsi="Times New Roman" w:cs="Times New Roman" w:eastAsiaTheme="minorEastAsia"/>
                <w:snapToGrid w:val="0"/>
                <w:color w:val="000000"/>
                <w:spacing w:val="-6"/>
                <w:kern w:val="21"/>
                <w:szCs w:val="21"/>
              </w:rPr>
              <w:instrText xml:space="preserve"> = 7 \* GB3 \* MERGEFORMAT </w:instrText>
            </w:r>
            <w:r>
              <w:rPr>
                <w:rFonts w:hint="default" w:ascii="Times New Roman" w:hAnsi="Times New Roman" w:cs="Times New Roman" w:eastAsiaTheme="minorEastAsia"/>
                <w:snapToGrid w:val="0"/>
                <w:color w:val="000000"/>
                <w:spacing w:val="-6"/>
                <w:kern w:val="21"/>
                <w:szCs w:val="21"/>
              </w:rPr>
              <w:fldChar w:fldCharType="separate"/>
            </w:r>
            <w:r>
              <w:rPr>
                <w:rFonts w:hint="default" w:ascii="Times New Roman" w:hAnsi="Times New Roman" w:cs="Times New Roman" w:eastAsiaTheme="minorEastAsia"/>
                <w:kern w:val="2"/>
                <w:szCs w:val="21"/>
              </w:rPr>
              <w:t>⑦</w:t>
            </w:r>
            <w:r>
              <w:rPr>
                <w:rFonts w:hint="default" w:ascii="Times New Roman" w:hAnsi="Times New Roman" w:cs="Times New Roman" w:eastAsiaTheme="minorEastAsia"/>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restart"/>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rPr>
              <w:t>废气</w:t>
            </w:r>
          </w:p>
        </w:tc>
        <w:tc>
          <w:tcPr>
            <w:tcW w:w="2117" w:type="dxa"/>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color w:val="000000"/>
                <w:kern w:val="2"/>
                <w:sz w:val="21"/>
                <w:szCs w:val="21"/>
                <w:u w:val="none"/>
                <w:lang w:val="en-US" w:eastAsia="zh-CN" w:bidi="ar-SA"/>
              </w:rPr>
              <w:t>SO</w:t>
            </w:r>
            <w:r>
              <w:rPr>
                <w:rFonts w:hint="default" w:ascii="Times New Roman" w:hAnsi="Times New Roman" w:cs="Times New Roman" w:eastAsiaTheme="minorEastAsia"/>
                <w:color w:val="000000"/>
                <w:kern w:val="2"/>
                <w:sz w:val="21"/>
                <w:szCs w:val="21"/>
                <w:u w:val="none"/>
                <w:vertAlign w:val="subscript"/>
                <w:lang w:val="en-US" w:eastAsia="zh-CN" w:bidi="ar-SA"/>
              </w:rPr>
              <w:t>2</w:t>
            </w:r>
          </w:p>
        </w:tc>
        <w:tc>
          <w:tcPr>
            <w:tcW w:w="1425" w:type="dxa"/>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widowControl/>
              <w:spacing w:line="240" w:lineRule="auto"/>
              <w:ind w:firstLine="0" w:firstLineChars="0"/>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0.695</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widowControl/>
              <w:spacing w:line="240" w:lineRule="auto"/>
              <w:ind w:firstLine="0" w:firstLineChars="0"/>
              <w:jc w:val="center"/>
              <w:rPr>
                <w:rFonts w:hint="default" w:ascii="Times New Roman" w:hAnsi="Times New Roman" w:cs="Times New Roman" w:eastAsiaTheme="minorEastAsia"/>
                <w:snapToGrid w:val="0"/>
                <w:color w:val="000000"/>
                <w:kern w:val="21"/>
                <w:szCs w:val="21"/>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0.695</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Merge w:val="continue"/>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p>
        </w:tc>
        <w:tc>
          <w:tcPr>
            <w:tcW w:w="2117"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color w:val="000000"/>
                <w:kern w:val="2"/>
                <w:sz w:val="21"/>
                <w:szCs w:val="21"/>
                <w:u w:val="none"/>
                <w:lang w:val="en-US" w:eastAsia="zh-CN" w:bidi="ar-SA"/>
              </w:rPr>
              <w:t>NOx</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widowControl/>
              <w:spacing w:line="240" w:lineRule="auto"/>
              <w:ind w:firstLine="0" w:firstLineChars="0"/>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6.212</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widowControl/>
              <w:spacing w:line="240" w:lineRule="auto"/>
              <w:ind w:firstLine="0" w:firstLineChars="0"/>
              <w:jc w:val="center"/>
              <w:rPr>
                <w:rFonts w:hint="default" w:ascii="Times New Roman" w:hAnsi="Times New Roman" w:cs="Times New Roman" w:eastAsiaTheme="minorEastAsia"/>
                <w:snapToGrid w:val="0"/>
                <w:color w:val="000000"/>
                <w:kern w:val="21"/>
                <w:szCs w:val="21"/>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6.212</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p>
        </w:tc>
        <w:tc>
          <w:tcPr>
            <w:tcW w:w="2117" w:type="dxa"/>
            <w:noWrap w:val="0"/>
            <w:vAlign w:val="center"/>
          </w:tcPr>
          <w:p>
            <w:pPr>
              <w:spacing w:beforeLines="0" w:afterLines="0"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eastAsia" w:ascii="Times New Roman" w:hAnsi="Times New Roman" w:cs="Times New Roman" w:eastAsiaTheme="minorEastAsia"/>
                <w:color w:val="000000"/>
                <w:kern w:val="2"/>
                <w:sz w:val="21"/>
                <w:szCs w:val="21"/>
                <w:u w:val="none"/>
                <w:lang w:val="en-US" w:eastAsia="zh-CN" w:bidi="ar-SA"/>
              </w:rPr>
              <w:t>颗粒物</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cs="Times New Roman" w:eastAsiaTheme="minorEastAsia"/>
                <w:snapToGrid w:val="0"/>
                <w:color w:val="000000"/>
                <w:kern w:val="21"/>
                <w:szCs w:val="21"/>
                <w:lang w:val="en-US" w:eastAsia="zh-CN"/>
              </w:rPr>
              <w:t>0.50009</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cs="Times New Roman" w:eastAsiaTheme="minorEastAsia"/>
                <w:snapToGrid w:val="0"/>
                <w:color w:val="000000"/>
                <w:kern w:val="21"/>
                <w:szCs w:val="21"/>
                <w:lang w:val="en-US" w:eastAsia="zh-CN"/>
              </w:rPr>
              <w:t>0.50009</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88" w:type="dxa"/>
            <w:vMerge w:val="continue"/>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p>
        </w:tc>
        <w:tc>
          <w:tcPr>
            <w:tcW w:w="2117" w:type="dxa"/>
            <w:noWrap w:val="0"/>
            <w:vAlign w:val="center"/>
          </w:tcPr>
          <w:p>
            <w:pPr>
              <w:spacing w:beforeLines="0" w:afterLines="0"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eastAsia" w:ascii="Times New Roman" w:hAnsi="Times New Roman" w:cs="Times New Roman" w:eastAsiaTheme="minorEastAsia"/>
                <w:color w:val="000000"/>
                <w:kern w:val="2"/>
                <w:sz w:val="21"/>
                <w:szCs w:val="21"/>
                <w:u w:val="none"/>
                <w:lang w:val="en-US" w:eastAsia="zh-CN" w:bidi="ar-SA"/>
              </w:rPr>
              <w:t>NH</w:t>
            </w:r>
            <w:r>
              <w:rPr>
                <w:rFonts w:hint="eastAsia" w:ascii="Times New Roman" w:hAnsi="Times New Roman" w:cs="Times New Roman" w:eastAsiaTheme="minorEastAsia"/>
                <w:color w:val="000000"/>
                <w:kern w:val="2"/>
                <w:sz w:val="21"/>
                <w:szCs w:val="21"/>
                <w:u w:val="none"/>
                <w:vertAlign w:val="subscript"/>
                <w:lang w:val="en-US" w:eastAsia="zh-CN" w:bidi="ar-SA"/>
              </w:rPr>
              <w:t>3</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cs="Times New Roman" w:eastAsiaTheme="minorEastAsia"/>
                <w:snapToGrid w:val="0"/>
                <w:color w:val="000000"/>
                <w:kern w:val="21"/>
                <w:szCs w:val="21"/>
                <w:lang w:val="en-US" w:eastAsia="zh-CN"/>
              </w:rPr>
              <w:t>0.0096</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cs="Times New Roman" w:eastAsiaTheme="minorEastAsia"/>
                <w:snapToGrid w:val="0"/>
                <w:color w:val="000000"/>
                <w:kern w:val="21"/>
                <w:szCs w:val="21"/>
                <w:lang w:val="en-US" w:eastAsia="zh-CN"/>
              </w:rPr>
              <w:t>0.0096</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588" w:type="dxa"/>
            <w:vMerge w:val="continue"/>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p>
        </w:tc>
        <w:tc>
          <w:tcPr>
            <w:tcW w:w="2117" w:type="dxa"/>
            <w:noWrap w:val="0"/>
            <w:vAlign w:val="center"/>
          </w:tcPr>
          <w:p>
            <w:pPr>
              <w:spacing w:beforeLines="0" w:afterLines="0" w:line="240" w:lineRule="auto"/>
              <w:jc w:val="center"/>
              <w:rPr>
                <w:rFonts w:hint="default" w:ascii="Times New Roman" w:hAnsi="Times New Roman" w:cs="Times New Roman" w:eastAsiaTheme="minorEastAsia"/>
                <w:color w:val="000000"/>
                <w:kern w:val="2"/>
                <w:sz w:val="21"/>
                <w:szCs w:val="21"/>
                <w:u w:val="none"/>
                <w:lang w:val="en-US" w:eastAsia="zh-CN" w:bidi="ar-SA"/>
              </w:rPr>
            </w:pPr>
            <w:r>
              <w:rPr>
                <w:rFonts w:hint="eastAsia" w:ascii="Times New Roman" w:hAnsi="Times New Roman" w:cs="Times New Roman" w:eastAsiaTheme="minorEastAsia"/>
                <w:color w:val="000000"/>
                <w:kern w:val="2"/>
                <w:sz w:val="21"/>
                <w:szCs w:val="21"/>
                <w:u w:val="none"/>
                <w:lang w:val="en-US" w:eastAsia="zh-CN" w:bidi="ar-SA"/>
              </w:rPr>
              <w:t>H</w:t>
            </w:r>
            <w:r>
              <w:rPr>
                <w:rFonts w:hint="eastAsia" w:ascii="Times New Roman" w:hAnsi="Times New Roman" w:cs="Times New Roman" w:eastAsiaTheme="minorEastAsia"/>
                <w:color w:val="000000"/>
                <w:kern w:val="2"/>
                <w:sz w:val="21"/>
                <w:szCs w:val="21"/>
                <w:u w:val="none"/>
                <w:vertAlign w:val="subscript"/>
                <w:lang w:val="en-US" w:eastAsia="zh-CN" w:bidi="ar-SA"/>
              </w:rPr>
              <w:t>2</w:t>
            </w:r>
            <w:r>
              <w:rPr>
                <w:rFonts w:hint="eastAsia" w:ascii="Times New Roman" w:hAnsi="Times New Roman" w:cs="Times New Roman" w:eastAsiaTheme="minorEastAsia"/>
                <w:color w:val="000000"/>
                <w:kern w:val="2"/>
                <w:sz w:val="21"/>
                <w:szCs w:val="21"/>
                <w:u w:val="none"/>
                <w:lang w:val="en-US" w:eastAsia="zh-CN" w:bidi="ar-SA"/>
              </w:rPr>
              <w:t>S</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cs="Times New Roman" w:eastAsiaTheme="minorEastAsia"/>
                <w:snapToGrid w:val="0"/>
                <w:color w:val="000000"/>
                <w:kern w:val="21"/>
                <w:szCs w:val="21"/>
                <w:lang w:val="en-US" w:eastAsia="zh-CN"/>
              </w:rPr>
              <w:t>0.00072</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cs="Times New Roman" w:eastAsiaTheme="minorEastAsia"/>
                <w:snapToGrid w:val="0"/>
                <w:color w:val="000000"/>
                <w:kern w:val="21"/>
                <w:szCs w:val="21"/>
                <w:lang w:val="en-US" w:eastAsia="zh-CN"/>
              </w:rPr>
              <w:t>0.00072</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88" w:type="dxa"/>
            <w:noWrap w:val="0"/>
            <w:vAlign w:val="center"/>
          </w:tcPr>
          <w:p>
            <w:pPr>
              <w:pStyle w:val="37"/>
              <w:spacing w:beforeLines="0" w:afterLines="0" w:line="240" w:lineRule="auto"/>
              <w:rPr>
                <w:rFonts w:hint="eastAsia" w:ascii="Times New Roman" w:hAnsi="Times New Roman" w:cs="Times New Roman" w:eastAsiaTheme="minorEastAsia"/>
                <w:snapToGrid w:val="0"/>
                <w:color w:val="000000"/>
                <w:kern w:val="21"/>
                <w:szCs w:val="21"/>
                <w:lang w:val="en-US" w:eastAsia="zh-CN"/>
              </w:rPr>
            </w:pPr>
            <w:r>
              <w:rPr>
                <w:rFonts w:hint="eastAsia" w:ascii="Times New Roman" w:cs="Times New Roman" w:eastAsiaTheme="minorEastAsia"/>
                <w:snapToGrid w:val="0"/>
                <w:color w:val="000000"/>
                <w:kern w:val="21"/>
                <w:szCs w:val="21"/>
                <w:lang w:val="en-US" w:eastAsia="zh-CN"/>
              </w:rPr>
              <w:t>废水</w:t>
            </w:r>
          </w:p>
        </w:tc>
        <w:tc>
          <w:tcPr>
            <w:tcW w:w="2117"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rPr>
            </w:pPr>
            <w:r>
              <w:rPr>
                <w:rFonts w:hint="default" w:ascii="Times New Roman" w:hAnsi="Times New Roman" w:cs="Times New Roman" w:eastAsiaTheme="minorEastAsia"/>
                <w:snapToGrid w:val="0"/>
                <w:color w:val="000000"/>
                <w:kern w:val="21"/>
                <w:szCs w:val="21"/>
                <w:lang w:val="en-US" w:eastAsia="zh-CN"/>
              </w:rPr>
              <w:t>/</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rPr>
            </w:pPr>
            <w:r>
              <w:rPr>
                <w:rFonts w:hint="default" w:ascii="Times New Roman" w:hAnsi="Times New Roman" w:cs="Times New Roman" w:eastAsiaTheme="minorEastAsia"/>
                <w:snapToGrid w:val="0"/>
                <w:color w:val="000000"/>
                <w:kern w:val="21"/>
                <w:szCs w:val="21"/>
                <w:lang w:val="en-US" w:eastAsia="zh-CN"/>
              </w:rPr>
              <w:t>/</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588" w:type="dxa"/>
            <w:vMerge w:val="restart"/>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rPr>
              <w:t>一般工业</w:t>
            </w:r>
          </w:p>
          <w:p>
            <w:pPr>
              <w:pStyle w:val="37"/>
              <w:spacing w:beforeLines="0" w:afterLines="0" w:line="240" w:lineRule="auto"/>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rPr>
              <w:t>固体废物</w:t>
            </w:r>
          </w:p>
        </w:tc>
        <w:tc>
          <w:tcPr>
            <w:tcW w:w="2117"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eastAsia="宋体" w:cs="宋体"/>
                <w:bCs/>
                <w:color w:val="000000"/>
                <w:sz w:val="21"/>
                <w:szCs w:val="21"/>
                <w:lang w:val="en-US" w:eastAsia="zh-CN"/>
              </w:rPr>
              <w:t>脱壳豆皮</w:t>
            </w:r>
            <w:r>
              <w:rPr>
                <w:rFonts w:hint="eastAsia" w:ascii="Times New Roman" w:hAnsi="Times New Roman" w:cs="宋体"/>
                <w:bCs/>
                <w:color w:val="000000"/>
                <w:sz w:val="21"/>
                <w:szCs w:val="21"/>
                <w:lang w:val="en-US" w:eastAsia="zh-CN"/>
              </w:rPr>
              <w:t>、碎豆子和豆粉</w:t>
            </w:r>
          </w:p>
        </w:tc>
        <w:tc>
          <w:tcPr>
            <w:tcW w:w="1425" w:type="dxa"/>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cs="宋体"/>
                <w:bCs/>
                <w:color w:val="000000"/>
                <w:sz w:val="21"/>
                <w:szCs w:val="21"/>
                <w:lang w:val="en-US" w:eastAsia="zh-CN"/>
              </w:rPr>
              <w:t>21.02</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eastAsia" w:ascii="Times New Roman" w:hAnsi="Times New Roman" w:cs="宋体"/>
                <w:bCs/>
                <w:color w:val="000000"/>
                <w:sz w:val="21"/>
                <w:szCs w:val="21"/>
                <w:lang w:val="en-US" w:eastAsia="zh-CN"/>
              </w:rPr>
              <w:t>21.02</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588" w:type="dxa"/>
            <w:vMerge w:val="continue"/>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p>
        </w:tc>
        <w:tc>
          <w:tcPr>
            <w:tcW w:w="2117"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rPr>
            </w:pPr>
            <w:r>
              <w:rPr>
                <w:rFonts w:hint="eastAsia" w:ascii="Times New Roman" w:hAnsi="Times New Roman" w:eastAsia="宋体" w:cs="宋体"/>
                <w:bCs/>
                <w:color w:val="000000"/>
                <w:sz w:val="21"/>
                <w:szCs w:val="21"/>
              </w:rPr>
              <w:t>豆渣</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rPr>
            </w:pPr>
            <w:r>
              <w:rPr>
                <w:rFonts w:hint="eastAsia" w:ascii="Times New Roman" w:hAnsi="Times New Roman" w:cs="宋体"/>
                <w:bCs/>
                <w:color w:val="000000"/>
                <w:sz w:val="21"/>
                <w:szCs w:val="21"/>
                <w:lang w:val="en-US" w:eastAsia="zh-CN"/>
              </w:rPr>
              <w:t>817.51</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eastAsia" w:ascii="Times New Roman" w:hAnsi="Times New Roman" w:cs="宋体"/>
                <w:bCs/>
                <w:color w:val="000000"/>
                <w:sz w:val="21"/>
                <w:szCs w:val="21"/>
                <w:lang w:val="en-US" w:eastAsia="zh-CN"/>
              </w:rPr>
              <w:t>817.51</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588" w:type="dxa"/>
            <w:vMerge w:val="continue"/>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p>
        </w:tc>
        <w:tc>
          <w:tcPr>
            <w:tcW w:w="2117"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eastAsia="宋体" w:cs="宋体"/>
                <w:bCs/>
                <w:color w:val="000000"/>
                <w:sz w:val="21"/>
                <w:szCs w:val="21"/>
                <w:lang w:val="en-US" w:eastAsia="zh-CN"/>
              </w:rPr>
              <w:t>提皮剩余浆液</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cs="宋体"/>
                <w:bCs/>
                <w:color w:val="000000"/>
                <w:sz w:val="21"/>
                <w:szCs w:val="21"/>
                <w:lang w:val="en-US" w:eastAsia="zh-CN"/>
              </w:rPr>
              <w:t>960</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eastAsia" w:ascii="Times New Roman" w:hAnsi="Times New Roman" w:cs="宋体"/>
                <w:bCs/>
                <w:color w:val="000000"/>
                <w:sz w:val="21"/>
                <w:szCs w:val="21"/>
                <w:lang w:val="en-US" w:eastAsia="zh-CN"/>
              </w:rPr>
              <w:t>960</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588" w:type="dxa"/>
            <w:vMerge w:val="continue"/>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p>
        </w:tc>
        <w:tc>
          <w:tcPr>
            <w:tcW w:w="2117"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eastAsia="宋体" w:cs="宋体"/>
                <w:bCs/>
                <w:color w:val="000000"/>
                <w:sz w:val="21"/>
                <w:szCs w:val="21"/>
                <w:lang w:val="en-US" w:eastAsia="zh-CN"/>
              </w:rPr>
              <w:t>废树脂</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cs="宋体"/>
                <w:bCs/>
                <w:color w:val="000000"/>
                <w:sz w:val="21"/>
                <w:szCs w:val="21"/>
                <w:lang w:val="en-US" w:eastAsia="zh-CN"/>
              </w:rPr>
              <w:t>1</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eastAsia" w:ascii="Times New Roman" w:hAnsi="Times New Roman" w:cs="宋体"/>
                <w:bCs/>
                <w:color w:val="000000"/>
                <w:sz w:val="21"/>
                <w:szCs w:val="21"/>
                <w:lang w:val="en-US" w:eastAsia="zh-CN"/>
              </w:rPr>
              <w:t>1</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588" w:type="dxa"/>
            <w:vMerge w:val="continue"/>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p>
        </w:tc>
        <w:tc>
          <w:tcPr>
            <w:tcW w:w="2117"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eastAsia="宋体" w:cs="宋体"/>
                <w:bCs/>
                <w:color w:val="000000"/>
                <w:sz w:val="21"/>
                <w:szCs w:val="21"/>
                <w:lang w:val="en-US" w:eastAsia="zh-CN"/>
              </w:rPr>
              <w:t>脱硫石膏</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eastAsia="宋体" w:cs="宋体"/>
                <w:bCs/>
                <w:color w:val="000000"/>
                <w:sz w:val="21"/>
                <w:szCs w:val="21"/>
              </w:rPr>
              <w:t>0.5</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eastAsia" w:ascii="Times New Roman" w:hAnsi="Times New Roman" w:eastAsia="宋体" w:cs="宋体"/>
                <w:bCs/>
                <w:color w:val="000000"/>
                <w:sz w:val="21"/>
                <w:szCs w:val="21"/>
              </w:rPr>
              <w:t>0.5</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588" w:type="dxa"/>
            <w:vMerge w:val="continue"/>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p>
        </w:tc>
        <w:tc>
          <w:tcPr>
            <w:tcW w:w="2117" w:type="dxa"/>
            <w:noWrap w:val="0"/>
            <w:vAlign w:val="center"/>
          </w:tcPr>
          <w:p>
            <w:pPr>
              <w:adjustRightInd w:val="0"/>
              <w:spacing w:line="240" w:lineRule="auto"/>
              <w:jc w:val="center"/>
              <w:rPr>
                <w:rFonts w:hint="eastAsia" w:ascii="Times New Roman" w:hAnsi="Times New Roman" w:cs="Times New Roman" w:eastAsiaTheme="minorEastAsia"/>
                <w:snapToGrid w:val="0"/>
                <w:color w:val="000000"/>
                <w:kern w:val="21"/>
                <w:szCs w:val="21"/>
                <w:lang w:val="en-US" w:eastAsia="zh-CN"/>
              </w:rPr>
            </w:pPr>
            <w:r>
              <w:rPr>
                <w:rFonts w:hint="eastAsia" w:ascii="Times New Roman" w:hAnsi="Times New Roman" w:eastAsia="宋体" w:cs="宋体"/>
                <w:bCs/>
                <w:color w:val="000000"/>
                <w:sz w:val="21"/>
                <w:szCs w:val="21"/>
                <w:lang w:val="en-US" w:eastAsia="zh-CN"/>
              </w:rPr>
              <w:t>生活垃圾</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eastAsia="宋体" w:cs="宋体"/>
                <w:bCs/>
                <w:color w:val="000000"/>
                <w:sz w:val="21"/>
                <w:szCs w:val="21"/>
                <w:lang w:val="en-US" w:eastAsia="zh-CN"/>
              </w:rPr>
              <w:t>4.5</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eastAsia" w:ascii="Times New Roman" w:hAnsi="Times New Roman" w:eastAsia="宋体" w:cs="宋体"/>
                <w:bCs/>
                <w:color w:val="000000"/>
                <w:sz w:val="21"/>
                <w:szCs w:val="21"/>
                <w:lang w:val="en-US" w:eastAsia="zh-CN"/>
              </w:rPr>
              <w:t>4.5</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588" w:type="dxa"/>
            <w:vMerge w:val="continue"/>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p>
        </w:tc>
        <w:tc>
          <w:tcPr>
            <w:tcW w:w="2117"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eastAsia="宋体" w:cs="宋体"/>
                <w:bCs/>
                <w:color w:val="000000"/>
                <w:sz w:val="21"/>
                <w:szCs w:val="21"/>
                <w:lang w:val="en-US" w:eastAsia="zh-CN"/>
              </w:rPr>
              <w:t>除杂杂物</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cs="宋体"/>
                <w:bCs/>
                <w:color w:val="000000"/>
                <w:sz w:val="21"/>
                <w:szCs w:val="21"/>
                <w:lang w:val="en-US" w:eastAsia="zh-CN"/>
              </w:rPr>
              <w:t>4</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eastAsia" w:ascii="Times New Roman" w:hAnsi="Times New Roman" w:cs="宋体"/>
                <w:bCs/>
                <w:color w:val="000000"/>
                <w:sz w:val="21"/>
                <w:szCs w:val="21"/>
                <w:lang w:val="en-US" w:eastAsia="zh-CN"/>
              </w:rPr>
              <w:t>4</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88" w:type="dxa"/>
            <w:vMerge w:val="continue"/>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p>
        </w:tc>
        <w:tc>
          <w:tcPr>
            <w:tcW w:w="2117"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eastAsia="宋体" w:cs="宋体"/>
                <w:bCs/>
                <w:color w:val="000000"/>
                <w:sz w:val="21"/>
                <w:szCs w:val="21"/>
                <w:lang w:val="en-US" w:eastAsia="zh-CN"/>
              </w:rPr>
              <w:t>废包装材料</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cs="宋体"/>
                <w:bCs/>
                <w:color w:val="000000"/>
                <w:sz w:val="21"/>
                <w:szCs w:val="21"/>
                <w:lang w:val="en-US" w:eastAsia="zh-CN"/>
              </w:rPr>
              <w:t>0.2</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eastAsia" w:ascii="Times New Roman" w:hAnsi="Times New Roman" w:cs="宋体"/>
                <w:bCs/>
                <w:color w:val="000000"/>
                <w:sz w:val="21"/>
                <w:szCs w:val="21"/>
                <w:lang w:val="en-US" w:eastAsia="zh-CN"/>
              </w:rPr>
              <w:t>0.2</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588" w:type="dxa"/>
            <w:vMerge w:val="continue"/>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p>
        </w:tc>
        <w:tc>
          <w:tcPr>
            <w:tcW w:w="2117"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eastAsia="宋体" w:cs="宋体"/>
                <w:bCs/>
                <w:color w:val="000000"/>
                <w:sz w:val="21"/>
                <w:szCs w:val="21"/>
                <w:lang w:val="en-US" w:eastAsia="zh-CN"/>
              </w:rPr>
              <w:t>污水处理站污泥</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cs="宋体"/>
                <w:bCs/>
                <w:color w:val="000000"/>
                <w:sz w:val="21"/>
                <w:szCs w:val="21"/>
                <w:lang w:val="en-US" w:eastAsia="zh-CN"/>
              </w:rPr>
              <w:t>7.86</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eastAsia" w:ascii="Times New Roman" w:hAnsi="Times New Roman" w:cs="宋体"/>
                <w:bCs/>
                <w:color w:val="000000"/>
                <w:sz w:val="21"/>
                <w:szCs w:val="21"/>
                <w:lang w:val="en-US" w:eastAsia="zh-CN"/>
              </w:rPr>
              <w:t>7.86</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588" w:type="dxa"/>
            <w:noWrap w:val="0"/>
            <w:vAlign w:val="center"/>
          </w:tcPr>
          <w:p>
            <w:pPr>
              <w:pStyle w:val="37"/>
              <w:spacing w:beforeLines="0" w:afterLines="0" w:line="240" w:lineRule="auto"/>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rPr>
              <w:t>危险废物</w:t>
            </w:r>
          </w:p>
        </w:tc>
        <w:tc>
          <w:tcPr>
            <w:tcW w:w="2117" w:type="dxa"/>
            <w:noWrap w:val="0"/>
            <w:vAlign w:val="center"/>
          </w:tcPr>
          <w:p>
            <w:pPr>
              <w:bidi w:val="0"/>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r>
    </w:tbl>
    <w:p>
      <w:pPr>
        <w:pStyle w:val="37"/>
        <w:spacing w:before="192" w:beforeLines="80" w:after="24"/>
        <w:jc w:val="left"/>
        <w:rPr>
          <w:rFonts w:hint="eastAsia" w:hAnsi="宋体" w:eastAsia="宋体" w:cs="Times New Roman"/>
          <w:snapToGrid w:val="0"/>
          <w:color w:val="000000"/>
          <w:spacing w:val="-6"/>
          <w:kern w:val="21"/>
          <w:szCs w:val="21"/>
        </w:rPr>
      </w:pPr>
      <w:r>
        <w:rPr>
          <w:rFonts w:hAnsi="宋体" w:eastAsia="宋体" w:cs="Times New Roman"/>
          <w:snapToGrid w:val="0"/>
          <w:color w:val="000000"/>
          <w:kern w:val="21"/>
          <w:szCs w:val="21"/>
        </w:rPr>
        <w:t>注：</w:t>
      </w:r>
      <w:r>
        <w:rPr>
          <w:rFonts w:hAnsi="宋体" w:eastAsia="宋体" w:cs="Times New Roman"/>
          <w:snapToGrid w:val="0"/>
          <w:color w:val="000000"/>
          <w:spacing w:val="-16"/>
          <w:kern w:val="21"/>
          <w:szCs w:val="21"/>
        </w:rPr>
        <w:fldChar w:fldCharType="begin"/>
      </w:r>
      <w:r>
        <w:rPr>
          <w:rFonts w:hAnsi="宋体" w:eastAsia="宋体" w:cs="Times New Roman"/>
          <w:snapToGrid w:val="0"/>
          <w:color w:val="000000"/>
          <w:spacing w:val="-16"/>
          <w:kern w:val="21"/>
          <w:szCs w:val="21"/>
        </w:rPr>
        <w:instrText xml:space="preserve"> = 6 \* GB3 \* MERGEFORMAT </w:instrText>
      </w:r>
      <w:r>
        <w:rPr>
          <w:rFonts w:hAnsi="宋体" w:eastAsia="宋体" w:cs="Times New Roman"/>
          <w:snapToGrid w:val="0"/>
          <w:color w:val="000000"/>
          <w:spacing w:val="-16"/>
          <w:kern w:val="21"/>
          <w:szCs w:val="21"/>
        </w:rPr>
        <w:fldChar w:fldCharType="separate"/>
      </w:r>
      <w:r>
        <w:rPr>
          <w:rFonts w:hint="eastAsia" w:hAnsi="宋体" w:eastAsia="宋体" w:cs="Times New Roman"/>
          <w:szCs w:val="21"/>
        </w:rPr>
        <w:t>⑥</w:t>
      </w:r>
      <w:r>
        <w:rPr>
          <w:rFonts w:hAnsi="宋体" w:eastAsia="宋体" w:cs="Times New Roman"/>
          <w:snapToGrid w:val="0"/>
          <w:color w:val="000000"/>
          <w:spacing w:val="-16"/>
          <w:kern w:val="21"/>
          <w:szCs w:val="21"/>
        </w:rPr>
        <w:fldChar w:fldCharType="end"/>
      </w:r>
      <w:r>
        <w:rPr>
          <w:rFonts w:hAnsi="宋体" w:eastAsia="宋体" w:cs="Times New Roman"/>
          <w:snapToGrid w:val="0"/>
          <w:color w:val="000000"/>
          <w:spacing w:val="-16"/>
          <w:kern w:val="21"/>
          <w:szCs w:val="21"/>
        </w:rPr>
        <w:t>=</w:t>
      </w:r>
      <w:r>
        <w:rPr>
          <w:rFonts w:hAnsi="宋体" w:eastAsia="宋体" w:cs="Times New Roman"/>
          <w:snapToGrid w:val="0"/>
          <w:color w:val="000000"/>
          <w:spacing w:val="-6"/>
          <w:kern w:val="21"/>
          <w:szCs w:val="21"/>
        </w:rPr>
        <w:fldChar w:fldCharType="begin"/>
      </w:r>
      <w:r>
        <w:rPr>
          <w:rFonts w:hAnsi="宋体" w:eastAsia="宋体" w:cs="Times New Roman"/>
          <w:snapToGrid w:val="0"/>
          <w:color w:val="000000"/>
          <w:spacing w:val="-6"/>
          <w:kern w:val="21"/>
          <w:szCs w:val="21"/>
        </w:rPr>
        <w:instrText xml:space="preserve"> = 1 \* GB3 \* MERGEFORMAT </w:instrText>
      </w:r>
      <w:r>
        <w:rPr>
          <w:rFonts w:hAnsi="宋体" w:eastAsia="宋体" w:cs="Times New Roman"/>
          <w:snapToGrid w:val="0"/>
          <w:color w:val="000000"/>
          <w:spacing w:val="-6"/>
          <w:kern w:val="21"/>
          <w:szCs w:val="21"/>
        </w:rPr>
        <w:fldChar w:fldCharType="separate"/>
      </w:r>
      <w:r>
        <w:rPr>
          <w:rFonts w:hint="eastAsia" w:hAnsi="宋体" w:eastAsia="宋体" w:cs="Times New Roman"/>
          <w:szCs w:val="21"/>
        </w:rPr>
        <w:t>①</w:t>
      </w:r>
      <w:r>
        <w:rPr>
          <w:rFonts w:hAnsi="宋体" w:eastAsia="宋体" w:cs="Times New Roman"/>
          <w:snapToGrid w:val="0"/>
          <w:color w:val="000000"/>
          <w:spacing w:val="-6"/>
          <w:kern w:val="21"/>
          <w:szCs w:val="21"/>
        </w:rPr>
        <w:fldChar w:fldCharType="end"/>
      </w:r>
      <w:r>
        <w:rPr>
          <w:rFonts w:hAnsi="宋体" w:eastAsia="宋体" w:cs="Times New Roman"/>
          <w:snapToGrid w:val="0"/>
          <w:color w:val="000000"/>
          <w:spacing w:val="-6"/>
          <w:kern w:val="21"/>
          <w:szCs w:val="21"/>
        </w:rPr>
        <w:t>+</w:t>
      </w:r>
      <w:r>
        <w:rPr>
          <w:rFonts w:hAnsi="宋体" w:eastAsia="宋体" w:cs="Times New Roman"/>
          <w:snapToGrid w:val="0"/>
          <w:color w:val="000000"/>
          <w:spacing w:val="-6"/>
          <w:kern w:val="21"/>
          <w:szCs w:val="21"/>
        </w:rPr>
        <w:fldChar w:fldCharType="begin"/>
      </w:r>
      <w:r>
        <w:rPr>
          <w:rFonts w:hAnsi="宋体" w:eastAsia="宋体" w:cs="Times New Roman"/>
          <w:snapToGrid w:val="0"/>
          <w:color w:val="000000"/>
          <w:spacing w:val="-6"/>
          <w:kern w:val="21"/>
          <w:szCs w:val="21"/>
        </w:rPr>
        <w:instrText xml:space="preserve"> = 3 \* GB3 \* MERGEFORMAT </w:instrText>
      </w:r>
      <w:r>
        <w:rPr>
          <w:rFonts w:hAnsi="宋体" w:eastAsia="宋体" w:cs="Times New Roman"/>
          <w:snapToGrid w:val="0"/>
          <w:color w:val="000000"/>
          <w:spacing w:val="-6"/>
          <w:kern w:val="21"/>
          <w:szCs w:val="21"/>
        </w:rPr>
        <w:fldChar w:fldCharType="separate"/>
      </w:r>
      <w:r>
        <w:rPr>
          <w:rFonts w:hint="eastAsia" w:hAnsi="宋体" w:eastAsia="宋体" w:cs="Times New Roman"/>
          <w:szCs w:val="21"/>
        </w:rPr>
        <w:t>③</w:t>
      </w:r>
      <w:r>
        <w:rPr>
          <w:rFonts w:hAnsi="宋体" w:eastAsia="宋体" w:cs="Times New Roman"/>
          <w:snapToGrid w:val="0"/>
          <w:color w:val="000000"/>
          <w:spacing w:val="-6"/>
          <w:kern w:val="21"/>
          <w:szCs w:val="21"/>
        </w:rPr>
        <w:fldChar w:fldCharType="end"/>
      </w:r>
      <w:r>
        <w:rPr>
          <w:rFonts w:hAnsi="宋体" w:eastAsia="宋体" w:cs="Times New Roman"/>
          <w:snapToGrid w:val="0"/>
          <w:color w:val="000000"/>
          <w:spacing w:val="-6"/>
          <w:kern w:val="21"/>
          <w:szCs w:val="21"/>
        </w:rPr>
        <w:t>+</w:t>
      </w:r>
      <w:r>
        <w:rPr>
          <w:rFonts w:hAnsi="宋体" w:eastAsia="宋体" w:cs="Times New Roman"/>
          <w:snapToGrid w:val="0"/>
          <w:color w:val="000000"/>
          <w:spacing w:val="-6"/>
          <w:kern w:val="21"/>
          <w:szCs w:val="21"/>
        </w:rPr>
        <w:fldChar w:fldCharType="begin"/>
      </w:r>
      <w:r>
        <w:rPr>
          <w:rFonts w:hAnsi="宋体" w:eastAsia="宋体" w:cs="Times New Roman"/>
          <w:snapToGrid w:val="0"/>
          <w:color w:val="000000"/>
          <w:spacing w:val="-6"/>
          <w:kern w:val="21"/>
          <w:szCs w:val="21"/>
        </w:rPr>
        <w:instrText xml:space="preserve"> = 4 \* GB3 \* MERGEFORMAT </w:instrText>
      </w:r>
      <w:r>
        <w:rPr>
          <w:rFonts w:hAnsi="宋体" w:eastAsia="宋体" w:cs="Times New Roman"/>
          <w:snapToGrid w:val="0"/>
          <w:color w:val="000000"/>
          <w:spacing w:val="-6"/>
          <w:kern w:val="21"/>
          <w:szCs w:val="21"/>
        </w:rPr>
        <w:fldChar w:fldCharType="separate"/>
      </w:r>
      <w:r>
        <w:rPr>
          <w:rFonts w:hint="eastAsia" w:hAnsi="宋体" w:eastAsia="宋体" w:cs="Times New Roman"/>
          <w:szCs w:val="21"/>
        </w:rPr>
        <w:t>④</w:t>
      </w:r>
      <w:r>
        <w:rPr>
          <w:rFonts w:hAnsi="宋体" w:eastAsia="宋体" w:cs="Times New Roman"/>
          <w:snapToGrid w:val="0"/>
          <w:color w:val="000000"/>
          <w:spacing w:val="-6"/>
          <w:kern w:val="21"/>
          <w:szCs w:val="21"/>
        </w:rPr>
        <w:fldChar w:fldCharType="end"/>
      </w:r>
      <w:r>
        <w:rPr>
          <w:rFonts w:hAnsi="宋体" w:eastAsia="宋体" w:cs="Times New Roman"/>
          <w:snapToGrid w:val="0"/>
          <w:color w:val="000000"/>
          <w:spacing w:val="-6"/>
          <w:kern w:val="21"/>
          <w:szCs w:val="21"/>
        </w:rPr>
        <w:t>-</w:t>
      </w:r>
      <w:r>
        <w:rPr>
          <w:rFonts w:hAnsi="宋体" w:eastAsia="宋体" w:cs="Times New Roman"/>
          <w:snapToGrid w:val="0"/>
          <w:color w:val="000000"/>
          <w:spacing w:val="-16"/>
          <w:kern w:val="21"/>
          <w:szCs w:val="21"/>
        </w:rPr>
        <w:fldChar w:fldCharType="begin"/>
      </w:r>
      <w:r>
        <w:rPr>
          <w:rFonts w:hAnsi="宋体" w:eastAsia="宋体" w:cs="Times New Roman"/>
          <w:snapToGrid w:val="0"/>
          <w:color w:val="000000"/>
          <w:spacing w:val="-16"/>
          <w:kern w:val="21"/>
          <w:szCs w:val="21"/>
        </w:rPr>
        <w:instrText xml:space="preserve"> = 5 \* GB3 \* MERGEFORMAT </w:instrText>
      </w:r>
      <w:r>
        <w:rPr>
          <w:rFonts w:hAnsi="宋体" w:eastAsia="宋体" w:cs="Times New Roman"/>
          <w:snapToGrid w:val="0"/>
          <w:color w:val="000000"/>
          <w:spacing w:val="-16"/>
          <w:kern w:val="21"/>
          <w:szCs w:val="21"/>
        </w:rPr>
        <w:fldChar w:fldCharType="separate"/>
      </w:r>
      <w:r>
        <w:rPr>
          <w:rFonts w:hint="eastAsia" w:hAnsi="宋体" w:eastAsia="宋体" w:cs="Times New Roman"/>
          <w:szCs w:val="21"/>
        </w:rPr>
        <w:t>⑤</w:t>
      </w:r>
      <w:r>
        <w:rPr>
          <w:rFonts w:hAnsi="宋体" w:eastAsia="宋体" w:cs="Times New Roman"/>
          <w:snapToGrid w:val="0"/>
          <w:color w:val="000000"/>
          <w:spacing w:val="-16"/>
          <w:kern w:val="21"/>
          <w:szCs w:val="21"/>
        </w:rPr>
        <w:fldChar w:fldCharType="end"/>
      </w:r>
      <w:r>
        <w:rPr>
          <w:rFonts w:hAnsi="宋体" w:eastAsia="宋体" w:cs="Times New Roman"/>
          <w:snapToGrid w:val="0"/>
          <w:color w:val="000000"/>
          <w:spacing w:val="-16"/>
          <w:kern w:val="21"/>
          <w:szCs w:val="21"/>
        </w:rPr>
        <w:t>；</w:t>
      </w:r>
      <w:r>
        <w:rPr>
          <w:rFonts w:hAnsi="宋体" w:eastAsia="宋体" w:cs="Times New Roman"/>
          <w:snapToGrid w:val="0"/>
          <w:color w:val="000000"/>
          <w:spacing w:val="-6"/>
          <w:kern w:val="21"/>
          <w:szCs w:val="21"/>
        </w:rPr>
        <w:fldChar w:fldCharType="begin"/>
      </w:r>
      <w:r>
        <w:rPr>
          <w:rFonts w:hAnsi="宋体" w:eastAsia="宋体" w:cs="Times New Roman"/>
          <w:snapToGrid w:val="0"/>
          <w:color w:val="000000"/>
          <w:spacing w:val="-6"/>
          <w:kern w:val="21"/>
          <w:szCs w:val="21"/>
        </w:rPr>
        <w:instrText xml:space="preserve"> = 7 \* GB3 \* MERGEFORMAT </w:instrText>
      </w:r>
      <w:r>
        <w:rPr>
          <w:rFonts w:hAnsi="宋体" w:eastAsia="宋体" w:cs="Times New Roman"/>
          <w:snapToGrid w:val="0"/>
          <w:color w:val="000000"/>
          <w:spacing w:val="-6"/>
          <w:kern w:val="21"/>
          <w:szCs w:val="21"/>
        </w:rPr>
        <w:fldChar w:fldCharType="separate"/>
      </w:r>
      <w:r>
        <w:rPr>
          <w:rFonts w:hint="eastAsia" w:hAnsi="宋体" w:eastAsia="宋体" w:cs="Times New Roman"/>
          <w:szCs w:val="21"/>
        </w:rPr>
        <w:t>⑦</w:t>
      </w:r>
      <w:r>
        <w:rPr>
          <w:rFonts w:hAnsi="宋体" w:eastAsia="宋体" w:cs="Times New Roman"/>
          <w:snapToGrid w:val="0"/>
          <w:color w:val="000000"/>
          <w:spacing w:val="-6"/>
          <w:kern w:val="21"/>
          <w:szCs w:val="21"/>
        </w:rPr>
        <w:fldChar w:fldCharType="end"/>
      </w:r>
      <w:r>
        <w:rPr>
          <w:rFonts w:hAnsi="宋体" w:eastAsia="宋体" w:cs="Times New Roman"/>
          <w:snapToGrid w:val="0"/>
          <w:color w:val="000000"/>
          <w:spacing w:val="-6"/>
          <w:kern w:val="21"/>
          <w:szCs w:val="21"/>
        </w:rPr>
        <w:t>=</w:t>
      </w:r>
      <w:r>
        <w:rPr>
          <w:rFonts w:hAnsi="宋体" w:eastAsia="宋体" w:cs="Times New Roman"/>
          <w:snapToGrid w:val="0"/>
          <w:color w:val="000000"/>
          <w:spacing w:val="-16"/>
          <w:kern w:val="21"/>
          <w:szCs w:val="21"/>
        </w:rPr>
        <w:fldChar w:fldCharType="begin"/>
      </w:r>
      <w:r>
        <w:rPr>
          <w:rFonts w:hAnsi="宋体" w:eastAsia="宋体" w:cs="Times New Roman"/>
          <w:snapToGrid w:val="0"/>
          <w:color w:val="000000"/>
          <w:spacing w:val="-16"/>
          <w:kern w:val="21"/>
          <w:szCs w:val="21"/>
        </w:rPr>
        <w:instrText xml:space="preserve"> = 6 \* GB3 \* MERGEFORMAT </w:instrText>
      </w:r>
      <w:r>
        <w:rPr>
          <w:rFonts w:hAnsi="宋体" w:eastAsia="宋体" w:cs="Times New Roman"/>
          <w:snapToGrid w:val="0"/>
          <w:color w:val="000000"/>
          <w:spacing w:val="-16"/>
          <w:kern w:val="21"/>
          <w:szCs w:val="21"/>
        </w:rPr>
        <w:fldChar w:fldCharType="separate"/>
      </w:r>
      <w:r>
        <w:rPr>
          <w:rFonts w:hint="eastAsia" w:hAnsi="宋体" w:eastAsia="宋体" w:cs="Times New Roman"/>
          <w:szCs w:val="21"/>
        </w:rPr>
        <w:t>⑥</w:t>
      </w:r>
      <w:r>
        <w:rPr>
          <w:rFonts w:hAnsi="宋体" w:eastAsia="宋体" w:cs="Times New Roman"/>
          <w:snapToGrid w:val="0"/>
          <w:color w:val="000000"/>
          <w:spacing w:val="-16"/>
          <w:kern w:val="21"/>
          <w:szCs w:val="21"/>
        </w:rPr>
        <w:fldChar w:fldCharType="end"/>
      </w:r>
      <w:r>
        <w:rPr>
          <w:rFonts w:hAnsi="宋体" w:eastAsia="宋体" w:cs="Times New Roman"/>
          <w:snapToGrid w:val="0"/>
          <w:color w:val="000000"/>
          <w:spacing w:val="-16"/>
          <w:kern w:val="21"/>
          <w:szCs w:val="21"/>
        </w:rPr>
        <w:t>-</w:t>
      </w:r>
      <w:r>
        <w:rPr>
          <w:rFonts w:hAnsi="宋体" w:eastAsia="宋体" w:cs="Times New Roman"/>
          <w:snapToGrid w:val="0"/>
          <w:color w:val="000000"/>
          <w:spacing w:val="-6"/>
          <w:kern w:val="21"/>
          <w:szCs w:val="21"/>
        </w:rPr>
        <w:fldChar w:fldCharType="begin"/>
      </w:r>
      <w:r>
        <w:rPr>
          <w:rFonts w:hAnsi="宋体" w:eastAsia="宋体" w:cs="Times New Roman"/>
          <w:snapToGrid w:val="0"/>
          <w:color w:val="000000"/>
          <w:spacing w:val="-6"/>
          <w:kern w:val="21"/>
          <w:szCs w:val="21"/>
        </w:rPr>
        <w:instrText xml:space="preserve"> = 1 \* GB3 \* MERGEFORMAT </w:instrText>
      </w:r>
      <w:r>
        <w:rPr>
          <w:rFonts w:hAnsi="宋体" w:eastAsia="宋体" w:cs="Times New Roman"/>
          <w:snapToGrid w:val="0"/>
          <w:color w:val="000000"/>
          <w:spacing w:val="-6"/>
          <w:kern w:val="21"/>
          <w:szCs w:val="21"/>
        </w:rPr>
        <w:fldChar w:fldCharType="separate"/>
      </w:r>
      <w:r>
        <w:rPr>
          <w:rFonts w:hint="eastAsia" w:hAnsi="宋体" w:eastAsia="宋体" w:cs="Times New Roman"/>
          <w:szCs w:val="21"/>
        </w:rPr>
        <w:t>①</w:t>
      </w:r>
      <w:r>
        <w:rPr>
          <w:rFonts w:hAnsi="宋体" w:eastAsia="宋体" w:cs="Times New Roman"/>
          <w:snapToGrid w:val="0"/>
          <w:color w:val="000000"/>
          <w:spacing w:val="-6"/>
          <w:kern w:val="21"/>
          <w:szCs w:val="21"/>
        </w:rPr>
        <w:fldChar w:fldCharType="end"/>
      </w:r>
    </w:p>
    <w:p>
      <w:pPr>
        <w:rPr>
          <w:rFonts w:hint="default"/>
          <w:lang w:val="en-US" w:eastAsia="zh-CN"/>
        </w:rPr>
        <w:sectPr>
          <w:pgSz w:w="16838" w:h="11906" w:orient="landscape"/>
          <w:pgMar w:top="1440" w:right="1803" w:bottom="1440" w:left="1803" w:header="851" w:footer="992" w:gutter="0"/>
          <w:pgNumType w:fmt="decimal"/>
          <w:cols w:space="425" w:num="1"/>
          <w:docGrid w:type="lines" w:linePitch="312" w:charSpace="0"/>
        </w:sectPr>
      </w:pPr>
    </w:p>
    <w:p>
      <w:pPr>
        <w:pStyle w:val="16"/>
        <w:rPr>
          <w:rFonts w:hint="default"/>
          <w:lang w:val="en-US" w:eastAsia="zh-CN"/>
        </w:rPr>
        <w:sectPr>
          <w:type w:val="continuous"/>
          <w:pgSz w:w="16838" w:h="11906" w:orient="landscape"/>
          <w:pgMar w:top="1440" w:right="1803" w:bottom="1440" w:left="1803" w:header="851" w:footer="992" w:gutter="0"/>
          <w:pgNumType w:fmt="decimal"/>
          <w:cols w:space="425" w:num="1"/>
          <w:docGrid w:type="lines" w:linePitch="312" w:charSpace="0"/>
        </w:sectPr>
      </w:pPr>
    </w:p>
    <w:p>
      <w:pPr>
        <w:bidi w:val="0"/>
        <w:jc w:val="center"/>
        <w:rPr>
          <w:rFonts w:hint="eastAsia" w:cs="Times New Roman"/>
          <w:b/>
          <w:bCs/>
          <w:sz w:val="32"/>
          <w:szCs w:val="32"/>
          <w:lang w:val="en-US" w:eastAsia="zh-CN"/>
        </w:rPr>
      </w:pPr>
      <w:bookmarkStart w:id="17" w:name="_Ref497909598"/>
      <w:bookmarkStart w:id="18" w:name="_Toc502011667"/>
      <w:bookmarkStart w:id="19" w:name="_Ref497909962"/>
      <w:bookmarkStart w:id="20" w:name="_Hlk497914772"/>
      <w:r>
        <w:rPr>
          <w:rFonts w:hint="eastAsia" w:cs="Times New Roman"/>
          <w:b/>
          <w:bCs/>
          <w:sz w:val="32"/>
          <w:szCs w:val="32"/>
          <w:lang w:val="en-US" w:eastAsia="zh-CN"/>
        </w:rPr>
        <w:t>建设项目大气环境影响评价自查表</w:t>
      </w:r>
      <w:bookmarkEnd w:id="17"/>
      <w:bookmarkEnd w:id="18"/>
      <w:bookmarkEnd w:id="19"/>
      <w:bookmarkEnd w:id="20"/>
    </w:p>
    <w:tbl>
      <w:tblPr>
        <w:tblStyle w:val="38"/>
        <w:tblW w:w="9499" w:type="dxa"/>
        <w:tblInd w:w="-14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29"/>
        <w:gridCol w:w="1772"/>
        <w:gridCol w:w="1024"/>
        <w:gridCol w:w="395"/>
        <w:gridCol w:w="120"/>
        <w:gridCol w:w="272"/>
        <w:gridCol w:w="133"/>
        <w:gridCol w:w="122"/>
        <w:gridCol w:w="590"/>
        <w:gridCol w:w="279"/>
        <w:gridCol w:w="122"/>
        <w:gridCol w:w="110"/>
        <w:gridCol w:w="541"/>
        <w:gridCol w:w="437"/>
        <w:gridCol w:w="188"/>
        <w:gridCol w:w="597"/>
        <w:gridCol w:w="72"/>
        <w:gridCol w:w="180"/>
        <w:gridCol w:w="247"/>
        <w:gridCol w:w="511"/>
        <w:gridCol w:w="7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2801" w:type="dxa"/>
            <w:gridSpan w:val="2"/>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工作内容</w:t>
            </w:r>
          </w:p>
        </w:tc>
        <w:tc>
          <w:tcPr>
            <w:tcW w:w="6698" w:type="dxa"/>
            <w:gridSpan w:val="19"/>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29" w:type="dxa"/>
            <w:vMerge w:val="restart"/>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评价等级与范围</w:t>
            </w: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评价等级</w:t>
            </w:r>
          </w:p>
        </w:tc>
        <w:tc>
          <w:tcPr>
            <w:tcW w:w="2656" w:type="dxa"/>
            <w:gridSpan w:val="7"/>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一级</w:t>
            </w:r>
            <w:r>
              <w:rPr>
                <w:rFonts w:hint="eastAsia" w:ascii="仿宋" w:hAnsi="仿宋" w:eastAsia="仿宋" w:cs="Times New Roman"/>
                <w:color w:val="000000"/>
                <w:kern w:val="2"/>
                <w:sz w:val="18"/>
                <w:szCs w:val="21"/>
                <w:lang w:val="en-US" w:eastAsia="zh-CN" w:bidi="ar-SA"/>
              </w:rPr>
              <w:t>□</w:t>
            </w:r>
          </w:p>
        </w:tc>
        <w:tc>
          <w:tcPr>
            <w:tcW w:w="2346" w:type="dxa"/>
            <w:gridSpan w:val="8"/>
            <w:vAlign w:val="center"/>
          </w:tcPr>
          <w:p>
            <w:pPr>
              <w:snapToGrid w:val="0"/>
              <w:spacing w:before="0" w:beforeLines="0" w:after="0" w:afterLines="0" w:line="260" w:lineRule="atLeast"/>
              <w:jc w:val="center"/>
              <w:rPr>
                <w:rFonts w:hint="eastAsia" w:ascii="Times New Roman" w:hAnsi="Times New Roman" w:eastAsia="仿宋"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二级</w:t>
            </w:r>
            <w:r>
              <w:rPr>
                <w:rFonts w:hint="eastAsia" w:ascii="仿宋" w:hAnsi="仿宋" w:eastAsia="仿宋" w:cs="Times New Roman"/>
                <w:color w:val="000000"/>
                <w:kern w:val="2"/>
                <w:sz w:val="18"/>
                <w:szCs w:val="21"/>
                <w:lang w:val="en-US" w:eastAsia="zh-CN" w:bidi="ar-SA"/>
              </w:rPr>
              <w:t>□</w:t>
            </w:r>
          </w:p>
        </w:tc>
        <w:tc>
          <w:tcPr>
            <w:tcW w:w="1696" w:type="dxa"/>
            <w:gridSpan w:val="4"/>
            <w:vAlign w:val="center"/>
          </w:tcPr>
          <w:p>
            <w:pPr>
              <w:snapToGrid w:val="0"/>
              <w:spacing w:before="0" w:beforeLines="0" w:after="0" w:afterLines="0" w:line="260" w:lineRule="atLeast"/>
              <w:jc w:val="center"/>
              <w:rPr>
                <w:rFonts w:hint="eastAsia" w:ascii="Times New Roman" w:hAnsi="Times New Roman" w:eastAsia="仿宋"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三级</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029" w:type="dxa"/>
            <w:vMerge w:val="continue"/>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评价范围</w:t>
            </w:r>
          </w:p>
        </w:tc>
        <w:tc>
          <w:tcPr>
            <w:tcW w:w="2656" w:type="dxa"/>
            <w:gridSpan w:val="7"/>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边长</w:t>
            </w:r>
            <w:r>
              <w:rPr>
                <w:rFonts w:ascii="Times New Roman" w:hAnsi="Times New Roman" w:eastAsia="宋体" w:cs="Times New Roman"/>
                <w:color w:val="000000"/>
                <w:kern w:val="2"/>
                <w:sz w:val="18"/>
                <w:szCs w:val="21"/>
                <w:lang w:val="en-US" w:eastAsia="zh-CN" w:bidi="ar-SA"/>
              </w:rPr>
              <w:t>=50km</w:t>
            </w:r>
            <w:r>
              <w:rPr>
                <w:rFonts w:hint="eastAsia" w:ascii="仿宋" w:hAnsi="仿宋" w:eastAsia="仿宋" w:cs="Times New Roman"/>
                <w:color w:val="000000"/>
                <w:kern w:val="2"/>
                <w:sz w:val="18"/>
                <w:szCs w:val="21"/>
                <w:lang w:val="en-US" w:eastAsia="zh-CN" w:bidi="ar-SA"/>
              </w:rPr>
              <w:t>□</w:t>
            </w:r>
          </w:p>
        </w:tc>
        <w:tc>
          <w:tcPr>
            <w:tcW w:w="2346" w:type="dxa"/>
            <w:gridSpan w:val="8"/>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边长</w:t>
            </w:r>
            <w:r>
              <w:rPr>
                <w:rFonts w:ascii="Times New Roman" w:hAnsi="Times New Roman" w:eastAsia="宋体" w:cs="Times New Roman"/>
                <w:color w:val="000000"/>
                <w:kern w:val="2"/>
                <w:sz w:val="18"/>
                <w:szCs w:val="21"/>
                <w:lang w:val="en-US" w:eastAsia="zh-CN" w:bidi="ar-SA"/>
              </w:rPr>
              <w:t>5</w:t>
            </w:r>
            <w:r>
              <w:rPr>
                <w:rFonts w:hint="eastAsia" w:ascii="Times New Roman" w:hAnsi="Times New Roman" w:eastAsia="宋体"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50km</w:t>
            </w:r>
            <w:r>
              <w:rPr>
                <w:rFonts w:hint="eastAsia" w:ascii="仿宋" w:hAnsi="仿宋" w:eastAsia="仿宋" w:cs="Times New Roman"/>
                <w:color w:val="000000"/>
                <w:kern w:val="2"/>
                <w:sz w:val="18"/>
                <w:szCs w:val="21"/>
                <w:lang w:val="en-US" w:eastAsia="zh-CN" w:bidi="ar-SA"/>
              </w:rPr>
              <w:t>□</w:t>
            </w:r>
          </w:p>
        </w:tc>
        <w:tc>
          <w:tcPr>
            <w:tcW w:w="1696" w:type="dxa"/>
            <w:gridSpan w:val="4"/>
            <w:vAlign w:val="center"/>
          </w:tcPr>
          <w:p>
            <w:pPr>
              <w:snapToGrid w:val="0"/>
              <w:spacing w:before="0" w:beforeLines="0" w:after="0" w:afterLines="0" w:line="260" w:lineRule="atLeast"/>
              <w:jc w:val="center"/>
              <w:rPr>
                <w:rFonts w:hint="eastAsia" w:ascii="Times New Roman" w:hAnsi="Times New Roman" w:eastAsia="仿宋"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边长</w:t>
            </w:r>
            <w:r>
              <w:rPr>
                <w:rFonts w:ascii="Times New Roman" w:hAnsi="Times New Roman" w:eastAsia="宋体" w:cs="Times New Roman"/>
                <w:color w:val="000000"/>
                <w:kern w:val="2"/>
                <w:sz w:val="18"/>
                <w:szCs w:val="21"/>
                <w:lang w:val="en-US" w:eastAsia="zh-CN" w:bidi="ar-SA"/>
              </w:rPr>
              <w:t>=5 km</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29" w:type="dxa"/>
            <w:vMerge w:val="restart"/>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评价因子</w:t>
            </w: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ascii="Times New Roman" w:hAnsi="Times New Roman" w:eastAsia="宋体" w:cs="Times New Roman"/>
                <w:color w:val="000000"/>
                <w:kern w:val="2"/>
                <w:sz w:val="18"/>
                <w:szCs w:val="21"/>
                <w:lang w:val="en-US" w:eastAsia="zh-CN" w:bidi="ar-SA"/>
              </w:rPr>
              <w:t>SO</w:t>
            </w:r>
            <w:r>
              <w:rPr>
                <w:rFonts w:ascii="Times New Roman" w:hAnsi="Times New Roman" w:eastAsia="宋体" w:cs="Times New Roman"/>
                <w:color w:val="000000"/>
                <w:kern w:val="2"/>
                <w:sz w:val="18"/>
                <w:szCs w:val="21"/>
                <w:vertAlign w:val="subscript"/>
                <w:lang w:val="en-US" w:eastAsia="zh-CN" w:bidi="ar-SA"/>
              </w:rPr>
              <w:t xml:space="preserve">2 </w:t>
            </w:r>
            <w:r>
              <w:rPr>
                <w:rFonts w:ascii="Times New Roman" w:hAnsi="Times New Roman" w:eastAsia="宋体" w:cs="Times New Roman"/>
                <w:color w:val="000000"/>
                <w:kern w:val="2"/>
                <w:sz w:val="18"/>
                <w:szCs w:val="21"/>
                <w:lang w:val="en-US" w:eastAsia="zh-CN" w:bidi="ar-SA"/>
              </w:rPr>
              <w:t>+NO</w:t>
            </w:r>
            <w:r>
              <w:rPr>
                <w:rFonts w:ascii="Times New Roman" w:hAnsi="Times New Roman" w:eastAsia="宋体" w:cs="Times New Roman"/>
                <w:i/>
                <w:color w:val="000000"/>
                <w:kern w:val="2"/>
                <w:sz w:val="18"/>
                <w:szCs w:val="21"/>
                <w:vertAlign w:val="subscript"/>
                <w:lang w:val="en-US" w:eastAsia="zh-CN" w:bidi="ar-SA"/>
              </w:rPr>
              <w:t>x</w:t>
            </w:r>
            <w:r>
              <w:rPr>
                <w:rFonts w:hint="eastAsia" w:ascii="Times New Roman" w:hAnsi="Times New Roman" w:eastAsia="宋体" w:cs="Times New Roman"/>
                <w:color w:val="000000"/>
                <w:kern w:val="2"/>
                <w:sz w:val="18"/>
                <w:szCs w:val="21"/>
                <w:lang w:val="en-US" w:eastAsia="zh-CN" w:bidi="ar-SA"/>
              </w:rPr>
              <w:t>排放量</w:t>
            </w:r>
          </w:p>
        </w:tc>
        <w:tc>
          <w:tcPr>
            <w:tcW w:w="1419" w:type="dxa"/>
            <w:gridSpan w:val="2"/>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仿宋" w:hAnsi="仿宋" w:eastAsia="仿宋"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 2000t/a</w:t>
            </w:r>
            <w:r>
              <w:rPr>
                <w:rFonts w:hint="eastAsia" w:ascii="仿宋" w:hAnsi="仿宋" w:eastAsia="仿宋" w:cs="Times New Roman"/>
                <w:color w:val="000000"/>
                <w:kern w:val="2"/>
                <w:sz w:val="18"/>
                <w:szCs w:val="21"/>
                <w:lang w:val="en-US" w:eastAsia="zh-CN" w:bidi="ar-SA"/>
              </w:rPr>
              <w:t>□</w:t>
            </w:r>
          </w:p>
        </w:tc>
        <w:tc>
          <w:tcPr>
            <w:tcW w:w="3583" w:type="dxa"/>
            <w:gridSpan w:val="13"/>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ascii="Times New Roman" w:hAnsi="Times New Roman" w:eastAsia="仿宋" w:cs="Times New Roman"/>
                <w:color w:val="000000"/>
                <w:kern w:val="2"/>
                <w:sz w:val="18"/>
                <w:szCs w:val="21"/>
                <w:lang w:val="en-US" w:eastAsia="zh-CN" w:bidi="ar-SA"/>
              </w:rPr>
              <w:t xml:space="preserve">500 ~ </w:t>
            </w:r>
            <w:r>
              <w:rPr>
                <w:rFonts w:ascii="Times New Roman" w:hAnsi="Times New Roman" w:eastAsia="宋体" w:cs="Times New Roman"/>
                <w:color w:val="000000"/>
                <w:kern w:val="2"/>
                <w:sz w:val="18"/>
                <w:szCs w:val="21"/>
                <w:lang w:val="en-US" w:eastAsia="zh-CN" w:bidi="ar-SA"/>
              </w:rPr>
              <w:t>2000t/a</w:t>
            </w:r>
            <w:r>
              <w:rPr>
                <w:rFonts w:hint="eastAsia" w:ascii="仿宋" w:hAnsi="仿宋" w:eastAsia="仿宋" w:cs="Times New Roman"/>
                <w:color w:val="000000"/>
                <w:kern w:val="2"/>
                <w:sz w:val="18"/>
                <w:szCs w:val="21"/>
                <w:lang w:val="en-US" w:eastAsia="zh-CN" w:bidi="ar-SA"/>
              </w:rPr>
              <w:t>□</w:t>
            </w:r>
          </w:p>
        </w:tc>
        <w:tc>
          <w:tcPr>
            <w:tcW w:w="1696" w:type="dxa"/>
            <w:gridSpan w:val="4"/>
            <w:vAlign w:val="center"/>
          </w:tcPr>
          <w:p>
            <w:pPr>
              <w:snapToGrid w:val="0"/>
              <w:spacing w:before="0" w:beforeLines="0" w:after="0" w:afterLines="0" w:line="260" w:lineRule="atLeast"/>
              <w:jc w:val="center"/>
              <w:rPr>
                <w:rFonts w:hint="eastAsia" w:ascii="Times New Roman" w:hAnsi="Times New Roman" w:eastAsia="仿宋" w:cs="Times New Roman"/>
                <w:color w:val="000000"/>
                <w:kern w:val="2"/>
                <w:sz w:val="18"/>
                <w:szCs w:val="21"/>
                <w:lang w:val="en-US" w:eastAsia="zh-CN" w:bidi="ar-SA"/>
              </w:rPr>
            </w:pPr>
            <w:r>
              <w:rPr>
                <w:rFonts w:hint="eastAsia" w:ascii="仿宋" w:hAnsi="仿宋" w:eastAsia="仿宋"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500 t/a</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6" w:hRule="atLeast"/>
        </w:trPr>
        <w:tc>
          <w:tcPr>
            <w:tcW w:w="1029" w:type="dxa"/>
            <w:vMerge w:val="continue"/>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评价因子</w:t>
            </w:r>
          </w:p>
        </w:tc>
        <w:tc>
          <w:tcPr>
            <w:tcW w:w="3708" w:type="dxa"/>
            <w:gridSpan w:val="11"/>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基本污染物 (</w:t>
            </w:r>
            <w:r>
              <w:rPr>
                <w:rFonts w:ascii="Times New Roman" w:hAnsi="Times New Roman" w:eastAsia="宋体" w:cs="Times New Roman"/>
                <w:color w:val="000000"/>
                <w:kern w:val="2"/>
                <w:sz w:val="18"/>
                <w:szCs w:val="21"/>
                <w:lang w:val="en-US" w:eastAsia="zh-CN" w:bidi="ar-SA"/>
              </w:rPr>
              <w:t xml:space="preserve">     )</w:t>
            </w:r>
          </w:p>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其他污染物 (</w:t>
            </w:r>
            <w:r>
              <w:rPr>
                <w:rFonts w:ascii="Times New Roman" w:hAnsi="Times New Roman" w:eastAsia="宋体" w:cs="Times New Roman"/>
                <w:color w:val="000000"/>
                <w:kern w:val="2"/>
                <w:sz w:val="18"/>
                <w:szCs w:val="21"/>
                <w:lang w:val="en-US" w:eastAsia="zh-CN" w:bidi="ar-SA"/>
              </w:rPr>
              <w:t xml:space="preserve"> </w:t>
            </w:r>
            <w:r>
              <w:rPr>
                <w:rFonts w:hint="eastAsia" w:ascii="Times New Roman" w:hAnsi="Times New Roman" w:cs="Times New Roman"/>
                <w:color w:val="000000"/>
                <w:kern w:val="2"/>
                <w:sz w:val="18"/>
                <w:szCs w:val="21"/>
                <w:lang w:val="en-US" w:eastAsia="zh-CN" w:bidi="ar-SA"/>
              </w:rPr>
              <w:t xml:space="preserve">    </w:t>
            </w:r>
            <w:r>
              <w:rPr>
                <w:rFonts w:ascii="Times New Roman" w:hAnsi="Times New Roman" w:eastAsia="宋体" w:cs="Times New Roman"/>
                <w:color w:val="000000"/>
                <w:kern w:val="2"/>
                <w:sz w:val="18"/>
                <w:szCs w:val="21"/>
                <w:lang w:val="en-US" w:eastAsia="zh-CN" w:bidi="ar-SA"/>
              </w:rPr>
              <w:t>)</w:t>
            </w:r>
          </w:p>
        </w:tc>
        <w:tc>
          <w:tcPr>
            <w:tcW w:w="2990" w:type="dxa"/>
            <w:gridSpan w:val="8"/>
            <w:vAlign w:val="center"/>
          </w:tcPr>
          <w:p>
            <w:pPr>
              <w:snapToGrid w:val="0"/>
              <w:spacing w:before="0" w:beforeLines="0" w:after="0" w:afterLines="0" w:line="260" w:lineRule="atLeast"/>
              <w:ind w:right="411" w:rightChars="196"/>
              <w:jc w:val="right"/>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包括二次</w:t>
            </w:r>
            <w:r>
              <w:rPr>
                <w:rFonts w:ascii="Times New Roman" w:hAnsi="Times New Roman" w:eastAsia="宋体" w:cs="Times New Roman"/>
                <w:color w:val="000000"/>
                <w:kern w:val="2"/>
                <w:sz w:val="18"/>
                <w:szCs w:val="21"/>
                <w:lang w:val="en-US" w:eastAsia="zh-CN" w:bidi="ar-SA"/>
              </w:rPr>
              <w:t>PM</w:t>
            </w:r>
            <w:r>
              <w:rPr>
                <w:rFonts w:ascii="Times New Roman" w:hAnsi="Times New Roman" w:eastAsia="宋体" w:cs="Times New Roman"/>
                <w:color w:val="000000"/>
                <w:kern w:val="2"/>
                <w:sz w:val="18"/>
                <w:szCs w:val="21"/>
                <w:vertAlign w:val="subscript"/>
                <w:lang w:val="en-US" w:eastAsia="zh-CN" w:bidi="ar-SA"/>
              </w:rPr>
              <w:t>2.5</w:t>
            </w:r>
            <w:r>
              <w:rPr>
                <w:rFonts w:hint="eastAsia" w:ascii="仿宋" w:hAnsi="仿宋" w:eastAsia="仿宋" w:cs="Times New Roman"/>
                <w:color w:val="000000"/>
                <w:kern w:val="2"/>
                <w:sz w:val="18"/>
                <w:szCs w:val="21"/>
                <w:lang w:val="en-US" w:eastAsia="zh-CN" w:bidi="ar-SA"/>
              </w:rPr>
              <w:t>□</w:t>
            </w:r>
          </w:p>
          <w:p>
            <w:pPr>
              <w:snapToGrid w:val="0"/>
              <w:spacing w:before="0" w:beforeLines="0" w:after="0" w:afterLines="0" w:line="260" w:lineRule="atLeast"/>
              <w:ind w:right="411" w:rightChars="196"/>
              <w:jc w:val="right"/>
              <w:rPr>
                <w:rFonts w:hint="eastAsia" w:ascii="Times New Roman" w:hAnsi="Times New Roman" w:eastAsia="仿宋"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不包括二次</w:t>
            </w:r>
            <w:r>
              <w:rPr>
                <w:rFonts w:ascii="Times New Roman" w:hAnsi="Times New Roman" w:eastAsia="宋体" w:cs="Times New Roman"/>
                <w:color w:val="000000"/>
                <w:kern w:val="2"/>
                <w:sz w:val="18"/>
                <w:szCs w:val="21"/>
                <w:lang w:val="en-US" w:eastAsia="zh-CN" w:bidi="ar-SA"/>
              </w:rPr>
              <w:t>PM</w:t>
            </w:r>
            <w:r>
              <w:rPr>
                <w:rFonts w:ascii="Times New Roman" w:hAnsi="Times New Roman" w:eastAsia="宋体" w:cs="Times New Roman"/>
                <w:color w:val="000000"/>
                <w:kern w:val="2"/>
                <w:sz w:val="18"/>
                <w:szCs w:val="21"/>
                <w:vertAlign w:val="subscript"/>
                <w:lang w:val="en-US" w:eastAsia="zh-CN" w:bidi="ar-SA"/>
              </w:rPr>
              <w:t>2.5</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29"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评价标准</w:t>
            </w: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评价标准</w:t>
            </w:r>
          </w:p>
        </w:tc>
        <w:tc>
          <w:tcPr>
            <w:tcW w:w="2066" w:type="dxa"/>
            <w:gridSpan w:val="6"/>
            <w:vAlign w:val="center"/>
          </w:tcPr>
          <w:p>
            <w:pPr>
              <w:snapToGrid w:val="0"/>
              <w:spacing w:before="0" w:beforeLines="0" w:after="0" w:afterLines="0" w:line="260" w:lineRule="atLeast"/>
              <w:jc w:val="center"/>
              <w:rPr>
                <w:rFonts w:hint="eastAsia" w:ascii="Times New Roman" w:hAnsi="Times New Roman" w:eastAsia="仿宋"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国家标准</w:t>
            </w:r>
            <w:r>
              <w:rPr>
                <w:rFonts w:hint="eastAsia" w:ascii="仿宋" w:hAnsi="仿宋" w:eastAsia="仿宋" w:cs="Times New Roman"/>
                <w:color w:val="000000"/>
                <w:kern w:val="2"/>
                <w:sz w:val="18"/>
                <w:szCs w:val="21"/>
                <w:lang w:val="en-US" w:eastAsia="zh-CN" w:bidi="ar-SA"/>
              </w:rPr>
              <w:t>☑</w:t>
            </w:r>
          </w:p>
        </w:tc>
        <w:tc>
          <w:tcPr>
            <w:tcW w:w="1642" w:type="dxa"/>
            <w:gridSpan w:val="5"/>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 xml:space="preserve">地方标准 </w:t>
            </w:r>
            <w:r>
              <w:rPr>
                <w:rFonts w:hint="eastAsia" w:ascii="仿宋" w:hAnsi="仿宋" w:eastAsia="仿宋" w:cs="Times New Roman"/>
                <w:color w:val="000000"/>
                <w:kern w:val="2"/>
                <w:sz w:val="18"/>
                <w:szCs w:val="21"/>
                <w:lang w:val="en-US" w:eastAsia="zh-CN" w:bidi="ar-SA"/>
              </w:rPr>
              <w:t>□</w:t>
            </w:r>
          </w:p>
        </w:tc>
        <w:tc>
          <w:tcPr>
            <w:tcW w:w="1721" w:type="dxa"/>
            <w:gridSpan w:val="6"/>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附录</w:t>
            </w:r>
            <w:r>
              <w:rPr>
                <w:rFonts w:ascii="Times New Roman" w:hAnsi="Times New Roman" w:eastAsia="宋体" w:cs="Times New Roman"/>
                <w:color w:val="000000"/>
                <w:kern w:val="2"/>
                <w:sz w:val="18"/>
                <w:szCs w:val="21"/>
                <w:lang w:val="en-US" w:eastAsia="zh-CN" w:bidi="ar-SA"/>
              </w:rPr>
              <w:t xml:space="preserve">D </w:t>
            </w:r>
            <w:r>
              <w:rPr>
                <w:rFonts w:hint="eastAsia" w:ascii="仿宋" w:hAnsi="仿宋" w:eastAsia="仿宋" w:cs="Times New Roman"/>
                <w:color w:val="000000"/>
                <w:kern w:val="2"/>
                <w:sz w:val="18"/>
                <w:szCs w:val="21"/>
                <w:lang w:val="en-US" w:eastAsia="zh-CN" w:bidi="ar-SA"/>
              </w:rPr>
              <w:t>□</w:t>
            </w:r>
          </w:p>
        </w:tc>
        <w:tc>
          <w:tcPr>
            <w:tcW w:w="1269" w:type="dxa"/>
            <w:gridSpan w:val="2"/>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 xml:space="preserve">其他标准 </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29" w:type="dxa"/>
            <w:vMerge w:val="restart"/>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现状评价</w:t>
            </w: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环境功能区</w:t>
            </w:r>
          </w:p>
        </w:tc>
        <w:tc>
          <w:tcPr>
            <w:tcW w:w="2656" w:type="dxa"/>
            <w:gridSpan w:val="7"/>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一类区</w:t>
            </w:r>
            <w:r>
              <w:rPr>
                <w:rFonts w:hint="eastAsia" w:ascii="仿宋" w:hAnsi="仿宋" w:eastAsia="仿宋" w:cs="Times New Roman"/>
                <w:color w:val="000000"/>
                <w:kern w:val="2"/>
                <w:sz w:val="18"/>
                <w:szCs w:val="21"/>
                <w:lang w:val="en-US" w:eastAsia="zh-CN" w:bidi="ar-SA"/>
              </w:rPr>
              <w:t>□</w:t>
            </w:r>
          </w:p>
        </w:tc>
        <w:tc>
          <w:tcPr>
            <w:tcW w:w="2274" w:type="dxa"/>
            <w:gridSpan w:val="7"/>
            <w:vAlign w:val="center"/>
          </w:tcPr>
          <w:p>
            <w:pPr>
              <w:snapToGrid w:val="0"/>
              <w:spacing w:before="0" w:beforeLines="0" w:after="0" w:afterLines="0" w:line="260" w:lineRule="atLeast"/>
              <w:jc w:val="center"/>
              <w:rPr>
                <w:rFonts w:hint="eastAsia" w:ascii="Times New Roman" w:hAnsi="Times New Roman" w:eastAsia="仿宋"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二类区</w:t>
            </w:r>
            <w:r>
              <w:rPr>
                <w:rFonts w:hint="eastAsia" w:ascii="仿宋" w:hAnsi="仿宋" w:eastAsia="仿宋" w:cs="Times New Roman"/>
                <w:color w:val="000000"/>
                <w:kern w:val="2"/>
                <w:sz w:val="18"/>
                <w:szCs w:val="21"/>
                <w:lang w:val="en-US" w:eastAsia="zh-CN" w:bidi="ar-SA"/>
              </w:rPr>
              <w:t>☑</w:t>
            </w:r>
          </w:p>
        </w:tc>
        <w:tc>
          <w:tcPr>
            <w:tcW w:w="1768" w:type="dxa"/>
            <w:gridSpan w:val="5"/>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一类区和二类区</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29" w:type="dxa"/>
            <w:vMerge w:val="continue"/>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评价基准年</w:t>
            </w:r>
          </w:p>
        </w:tc>
        <w:tc>
          <w:tcPr>
            <w:tcW w:w="6698" w:type="dxa"/>
            <w:gridSpan w:val="19"/>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   </w:t>
            </w:r>
            <w:r>
              <w:rPr>
                <w:rFonts w:hint="eastAsia" w:ascii="Times New Roman" w:hAnsi="Times New Roman" w:eastAsia="宋体" w:cs="Times New Roman"/>
                <w:color w:val="000000"/>
                <w:kern w:val="2"/>
                <w:sz w:val="18"/>
                <w:szCs w:val="21"/>
                <w:lang w:val="en-US" w:eastAsia="zh-CN" w:bidi="ar-SA"/>
              </w:rPr>
              <w:t>20</w:t>
            </w:r>
            <w:r>
              <w:rPr>
                <w:rFonts w:hint="eastAsia" w:ascii="Times New Roman" w:hAnsi="Times New Roman" w:cs="Times New Roman"/>
                <w:color w:val="000000"/>
                <w:kern w:val="2"/>
                <w:sz w:val="18"/>
                <w:szCs w:val="21"/>
                <w:lang w:val="en-US" w:eastAsia="zh-CN" w:bidi="ar-SA"/>
              </w:rPr>
              <w:t>20</w:t>
            </w:r>
            <w:r>
              <w:rPr>
                <w:rFonts w:ascii="Times New Roman" w:hAnsi="Times New Roman" w:eastAsia="宋体" w:cs="Times New Roman"/>
                <w:color w:val="000000"/>
                <w:kern w:val="2"/>
                <w:sz w:val="18"/>
                <w:szCs w:val="21"/>
                <w:lang w:val="en-US" w:eastAsia="zh-CN" w:bidi="ar-SA"/>
              </w:rPr>
              <w:t xml:space="preserve"> </w:t>
            </w:r>
            <w:r>
              <w:rPr>
                <w:rFonts w:hint="eastAsia" w:ascii="Times New Roman" w:hAnsi="Times New Roman" w:eastAsia="宋体" w:cs="Times New Roman"/>
                <w:color w:val="000000"/>
                <w:kern w:val="2"/>
                <w:sz w:val="18"/>
                <w:szCs w:val="21"/>
                <w:lang w:val="en-US" w:eastAsia="zh-CN" w:bidi="ar-SA"/>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29" w:type="dxa"/>
            <w:vMerge w:val="continue"/>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环境空气质量</w:t>
            </w:r>
            <w:r>
              <w:rPr>
                <w:rFonts w:ascii="Times New Roman" w:hAnsi="Times New Roman" w:eastAsia="宋体" w:cs="Times New Roman"/>
                <w:color w:val="000000"/>
                <w:kern w:val="2"/>
                <w:sz w:val="18"/>
                <w:szCs w:val="21"/>
                <w:lang w:val="en-US" w:eastAsia="zh-CN" w:bidi="ar-SA"/>
              </w:rPr>
              <w:br w:type="textWrapping"/>
            </w:r>
            <w:r>
              <w:rPr>
                <w:rFonts w:hint="eastAsia" w:ascii="Times New Roman" w:hAnsi="Times New Roman" w:eastAsia="宋体" w:cs="Times New Roman"/>
                <w:color w:val="000000"/>
                <w:kern w:val="2"/>
                <w:sz w:val="18"/>
                <w:szCs w:val="21"/>
                <w:lang w:val="en-US" w:eastAsia="zh-CN" w:bidi="ar-SA"/>
              </w:rPr>
              <w:t>现状调查数据来源</w:t>
            </w:r>
          </w:p>
        </w:tc>
        <w:tc>
          <w:tcPr>
            <w:tcW w:w="2656" w:type="dxa"/>
            <w:gridSpan w:val="7"/>
            <w:vAlign w:val="center"/>
          </w:tcPr>
          <w:p>
            <w:pPr>
              <w:snapToGrid w:val="0"/>
              <w:spacing w:before="0" w:beforeLines="0" w:after="0" w:afterLines="0" w:line="260" w:lineRule="atLeast"/>
              <w:jc w:val="center"/>
              <w:rPr>
                <w:rFonts w:hint="eastAsia" w:ascii="Times New Roman" w:hAnsi="Times New Roman" w:eastAsia="仿宋"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长期例行监测数据</w:t>
            </w:r>
            <w:r>
              <w:rPr>
                <w:rFonts w:hint="eastAsia" w:ascii="仿宋" w:hAnsi="仿宋" w:eastAsia="仿宋" w:cs="Times New Roman"/>
                <w:color w:val="000000"/>
                <w:kern w:val="2"/>
                <w:sz w:val="18"/>
                <w:szCs w:val="21"/>
                <w:lang w:val="en-US" w:eastAsia="zh-CN" w:bidi="ar-SA"/>
              </w:rPr>
              <w:t>☑</w:t>
            </w:r>
          </w:p>
        </w:tc>
        <w:tc>
          <w:tcPr>
            <w:tcW w:w="2346" w:type="dxa"/>
            <w:gridSpan w:val="8"/>
            <w:vAlign w:val="center"/>
          </w:tcPr>
          <w:p>
            <w:pPr>
              <w:snapToGrid w:val="0"/>
              <w:spacing w:before="0" w:beforeLines="0" w:after="0" w:afterLines="0" w:line="260" w:lineRule="atLeast"/>
              <w:jc w:val="center"/>
              <w:rPr>
                <w:rFonts w:hint="eastAsia" w:ascii="Times New Roman" w:hAnsi="Times New Roman" w:eastAsia="仿宋"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主管部门发布的数据</w:t>
            </w:r>
            <w:r>
              <w:rPr>
                <w:rFonts w:hint="eastAsia" w:ascii="仿宋" w:hAnsi="仿宋" w:eastAsia="仿宋" w:cs="Times New Roman"/>
                <w:color w:val="000000"/>
                <w:kern w:val="2"/>
                <w:sz w:val="18"/>
                <w:szCs w:val="21"/>
                <w:lang w:val="en-US" w:eastAsia="zh-CN" w:bidi="ar-SA"/>
              </w:rPr>
              <w:t>☑</w:t>
            </w:r>
          </w:p>
        </w:tc>
        <w:tc>
          <w:tcPr>
            <w:tcW w:w="1696" w:type="dxa"/>
            <w:gridSpan w:val="4"/>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现状补充监测</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29" w:type="dxa"/>
            <w:vMerge w:val="continue"/>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现状评价</w:t>
            </w:r>
          </w:p>
        </w:tc>
        <w:tc>
          <w:tcPr>
            <w:tcW w:w="3708" w:type="dxa"/>
            <w:gridSpan w:val="11"/>
            <w:vAlign w:val="center"/>
          </w:tcPr>
          <w:p>
            <w:pPr>
              <w:snapToGrid w:val="0"/>
              <w:spacing w:before="0" w:beforeLines="0" w:after="0" w:afterLines="0" w:line="260" w:lineRule="atLeast"/>
              <w:jc w:val="center"/>
              <w:rPr>
                <w:rFonts w:hint="eastAsia" w:ascii="Times New Roman" w:hAnsi="Times New Roman" w:eastAsia="仿宋"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达标区</w:t>
            </w:r>
            <w:r>
              <w:rPr>
                <w:rFonts w:hint="eastAsia" w:ascii="仿宋" w:hAnsi="仿宋" w:eastAsia="仿宋" w:cs="Times New Roman"/>
                <w:color w:val="000000"/>
                <w:kern w:val="2"/>
                <w:sz w:val="18"/>
                <w:szCs w:val="21"/>
                <w:lang w:val="en-US" w:eastAsia="zh-CN" w:bidi="ar-SA"/>
              </w:rPr>
              <w:t>□</w:t>
            </w:r>
          </w:p>
        </w:tc>
        <w:tc>
          <w:tcPr>
            <w:tcW w:w="2990" w:type="dxa"/>
            <w:gridSpan w:val="8"/>
            <w:vAlign w:val="center"/>
          </w:tcPr>
          <w:p>
            <w:pPr>
              <w:snapToGrid w:val="0"/>
              <w:spacing w:before="0" w:beforeLines="0" w:after="0" w:afterLines="0" w:line="260" w:lineRule="atLeast"/>
              <w:jc w:val="center"/>
              <w:rPr>
                <w:rFonts w:hint="eastAsia" w:ascii="Times New Roman" w:hAnsi="Times New Roman" w:eastAsia="仿宋"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不达标区</w:t>
            </w:r>
            <w:r>
              <w:rPr>
                <w:rFonts w:hint="eastAsia" w:ascii="仿宋" w:hAnsi="仿宋" w:eastAsia="仿宋" w:cs="Times New Roman"/>
                <w:color w:val="000000"/>
                <w:kern w:val="2"/>
                <w:sz w:val="18"/>
                <w:szCs w:val="21"/>
                <w:lang w:val="en-US" w:eastAsia="zh-CN" w:bidi="ar-SA"/>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29"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污染源</w:t>
            </w:r>
            <w:r>
              <w:rPr>
                <w:rFonts w:ascii="Times New Roman" w:hAnsi="Times New Roman" w:eastAsia="宋体" w:cs="Times New Roman"/>
                <w:color w:val="000000"/>
                <w:kern w:val="2"/>
                <w:sz w:val="18"/>
                <w:szCs w:val="21"/>
                <w:lang w:val="en-US" w:eastAsia="zh-CN" w:bidi="ar-SA"/>
              </w:rPr>
              <w:br w:type="textWrapping"/>
            </w:r>
            <w:r>
              <w:rPr>
                <w:rFonts w:hint="eastAsia" w:ascii="Times New Roman" w:hAnsi="Times New Roman" w:eastAsia="宋体" w:cs="Times New Roman"/>
                <w:color w:val="000000"/>
                <w:kern w:val="2"/>
                <w:sz w:val="18"/>
                <w:szCs w:val="21"/>
                <w:lang w:val="en-US" w:eastAsia="zh-CN" w:bidi="ar-SA"/>
              </w:rPr>
              <w:t>调查</w:t>
            </w: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调查内容</w:t>
            </w:r>
          </w:p>
        </w:tc>
        <w:tc>
          <w:tcPr>
            <w:tcW w:w="2066" w:type="dxa"/>
            <w:gridSpan w:val="6"/>
            <w:vAlign w:val="center"/>
          </w:tcPr>
          <w:p>
            <w:pPr>
              <w:snapToGrid w:val="0"/>
              <w:spacing w:before="0" w:beforeLines="0" w:after="0" w:afterLines="0" w:line="260" w:lineRule="atLeast"/>
              <w:jc w:val="right"/>
              <w:rPr>
                <w:rFonts w:hint="eastAsia" w:ascii="Times New Roman" w:hAnsi="Times New Roman" w:eastAsia="仿宋"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本项目正常排放源</w:t>
            </w:r>
            <w:r>
              <w:rPr>
                <w:rFonts w:ascii="Times New Roman" w:hAnsi="Times New Roman" w:eastAsia="宋体" w:cs="Times New Roman"/>
                <w:color w:val="000000"/>
                <w:kern w:val="2"/>
                <w:sz w:val="18"/>
                <w:szCs w:val="21"/>
                <w:lang w:val="en-US" w:eastAsia="zh-CN" w:bidi="ar-SA"/>
              </w:rPr>
              <w:t xml:space="preserve"> </w:t>
            </w:r>
            <w:r>
              <w:rPr>
                <w:rFonts w:hint="eastAsia" w:ascii="仿宋" w:hAnsi="仿宋" w:eastAsia="仿宋" w:cs="Times New Roman"/>
                <w:color w:val="000000"/>
                <w:kern w:val="2"/>
                <w:sz w:val="18"/>
                <w:szCs w:val="21"/>
                <w:lang w:val="en-US" w:eastAsia="zh-CN" w:bidi="ar-SA"/>
              </w:rPr>
              <w:t>☑</w:t>
            </w:r>
          </w:p>
          <w:p>
            <w:pPr>
              <w:snapToGrid w:val="0"/>
              <w:spacing w:before="0" w:beforeLines="0" w:after="0" w:afterLines="0" w:line="260" w:lineRule="atLeast"/>
              <w:jc w:val="right"/>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本项目非正常排放源</w:t>
            </w:r>
            <w:r>
              <w:rPr>
                <w:rFonts w:ascii="Times New Roman" w:hAnsi="Times New Roman" w:eastAsia="宋体" w:cs="Times New Roman"/>
                <w:color w:val="000000"/>
                <w:kern w:val="2"/>
                <w:sz w:val="18"/>
                <w:szCs w:val="21"/>
                <w:lang w:val="en-US" w:eastAsia="zh-CN" w:bidi="ar-SA"/>
              </w:rPr>
              <w:t xml:space="preserve"> </w:t>
            </w:r>
            <w:r>
              <w:rPr>
                <w:rFonts w:hint="eastAsia" w:ascii="仿宋" w:hAnsi="仿宋" w:eastAsia="仿宋" w:cs="Times New Roman"/>
                <w:color w:val="000000"/>
                <w:kern w:val="2"/>
                <w:sz w:val="18"/>
                <w:szCs w:val="21"/>
                <w:lang w:val="en-US" w:eastAsia="zh-CN" w:bidi="ar-SA"/>
              </w:rPr>
              <w:t>□</w:t>
            </w:r>
          </w:p>
          <w:p>
            <w:pPr>
              <w:snapToGrid w:val="0"/>
              <w:spacing w:before="0" w:beforeLines="0" w:after="0" w:afterLines="0" w:line="260" w:lineRule="atLeast"/>
              <w:jc w:val="right"/>
              <w:rPr>
                <w:rFonts w:hint="eastAsia" w:ascii="Times New Roman" w:hAnsi="Times New Roman" w:eastAsia="仿宋"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现有污染源</w:t>
            </w:r>
            <w:r>
              <w:rPr>
                <w:rFonts w:ascii="Times New Roman" w:hAnsi="Times New Roman" w:eastAsia="宋体" w:cs="Times New Roman"/>
                <w:color w:val="000000"/>
                <w:kern w:val="2"/>
                <w:sz w:val="18"/>
                <w:szCs w:val="21"/>
                <w:lang w:val="en-US" w:eastAsia="zh-CN" w:bidi="ar-SA"/>
              </w:rPr>
              <w:t xml:space="preserve"> </w:t>
            </w:r>
            <w:r>
              <w:rPr>
                <w:rFonts w:hint="eastAsia" w:ascii="仿宋" w:hAnsi="仿宋" w:eastAsia="仿宋" w:cs="Times New Roman"/>
                <w:color w:val="000000"/>
                <w:kern w:val="2"/>
                <w:sz w:val="18"/>
                <w:szCs w:val="21"/>
                <w:lang w:val="en-US" w:eastAsia="zh-CN" w:bidi="ar-SA"/>
              </w:rPr>
              <w:t>☑</w:t>
            </w:r>
          </w:p>
        </w:tc>
        <w:tc>
          <w:tcPr>
            <w:tcW w:w="1642" w:type="dxa"/>
            <w:gridSpan w:val="5"/>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拟替代的污染源</w:t>
            </w:r>
            <w:r>
              <w:rPr>
                <w:rFonts w:hint="eastAsia" w:ascii="仿宋" w:hAnsi="仿宋" w:eastAsia="仿宋" w:cs="Times New Roman"/>
                <w:color w:val="000000"/>
                <w:kern w:val="2"/>
                <w:sz w:val="18"/>
                <w:szCs w:val="21"/>
                <w:lang w:val="en-US" w:eastAsia="zh-CN" w:bidi="ar-SA"/>
              </w:rPr>
              <w:t>□</w:t>
            </w:r>
          </w:p>
        </w:tc>
        <w:tc>
          <w:tcPr>
            <w:tcW w:w="1721" w:type="dxa"/>
            <w:gridSpan w:val="6"/>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其他在建、拟建项目污染源</w:t>
            </w:r>
            <w:r>
              <w:rPr>
                <w:rFonts w:hint="eastAsia" w:ascii="仿宋" w:hAnsi="仿宋" w:eastAsia="仿宋" w:cs="Times New Roman"/>
                <w:color w:val="000000"/>
                <w:kern w:val="2"/>
                <w:sz w:val="18"/>
                <w:szCs w:val="21"/>
                <w:lang w:val="en-US" w:eastAsia="zh-CN" w:bidi="ar-SA"/>
              </w:rPr>
              <w:t>□</w:t>
            </w:r>
          </w:p>
        </w:tc>
        <w:tc>
          <w:tcPr>
            <w:tcW w:w="1269" w:type="dxa"/>
            <w:gridSpan w:val="2"/>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区域污染源</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29" w:type="dxa"/>
            <w:vMerge w:val="restart"/>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大气环境影响预测与</w:t>
            </w:r>
            <w:r>
              <w:rPr>
                <w:rFonts w:ascii="Times New Roman" w:hAnsi="Times New Roman" w:eastAsia="宋体" w:cs="Times New Roman"/>
                <w:color w:val="000000"/>
                <w:kern w:val="2"/>
                <w:sz w:val="18"/>
                <w:szCs w:val="21"/>
                <w:lang w:val="en-US" w:eastAsia="zh-CN" w:bidi="ar-SA"/>
              </w:rPr>
              <w:br w:type="textWrapping"/>
            </w:r>
            <w:r>
              <w:rPr>
                <w:rFonts w:hint="eastAsia" w:ascii="Times New Roman" w:hAnsi="Times New Roman" w:eastAsia="宋体" w:cs="Times New Roman"/>
                <w:color w:val="000000"/>
                <w:kern w:val="2"/>
                <w:sz w:val="18"/>
                <w:szCs w:val="21"/>
                <w:lang w:val="en-US" w:eastAsia="zh-CN" w:bidi="ar-SA"/>
              </w:rPr>
              <w:t>评价</w:t>
            </w: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预测模型</w:t>
            </w:r>
          </w:p>
        </w:tc>
        <w:tc>
          <w:tcPr>
            <w:tcW w:w="1024"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ascii="Times New Roman" w:hAnsi="Times New Roman" w:eastAsia="宋体" w:cs="Times New Roman"/>
                <w:color w:val="000000"/>
                <w:kern w:val="2"/>
                <w:sz w:val="18"/>
                <w:szCs w:val="18"/>
                <w:lang w:val="en-US" w:eastAsia="zh-CN" w:bidi="ar-SA"/>
              </w:rPr>
              <w:t>AERMOD</w:t>
            </w:r>
            <w:r>
              <w:rPr>
                <w:rFonts w:ascii="Times New Roman" w:hAnsi="Times New Roman" w:eastAsia="宋体" w:cs="Times New Roman"/>
                <w:color w:val="000000"/>
                <w:kern w:val="2"/>
                <w:sz w:val="18"/>
                <w:szCs w:val="18"/>
                <w:lang w:val="en-US" w:eastAsia="zh-CN" w:bidi="ar-SA"/>
              </w:rPr>
              <w:br w:type="textWrapping"/>
            </w:r>
            <w:r>
              <w:rPr>
                <w:rFonts w:hint="eastAsia" w:ascii="仿宋" w:hAnsi="仿宋" w:eastAsia="仿宋" w:cs="Times New Roman"/>
                <w:color w:val="000000"/>
                <w:kern w:val="2"/>
                <w:sz w:val="18"/>
                <w:szCs w:val="21"/>
                <w:lang w:val="en-US" w:eastAsia="zh-CN" w:bidi="ar-SA"/>
              </w:rPr>
              <w:t>□</w:t>
            </w:r>
          </w:p>
        </w:tc>
        <w:tc>
          <w:tcPr>
            <w:tcW w:w="920" w:type="dxa"/>
            <w:gridSpan w:val="4"/>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ascii="Times New Roman" w:hAnsi="Times New Roman" w:eastAsia="宋体" w:cs="Times New Roman"/>
                <w:color w:val="000000"/>
                <w:kern w:val="2"/>
                <w:sz w:val="18"/>
                <w:szCs w:val="18"/>
                <w:lang w:val="en-US" w:eastAsia="zh-CN" w:bidi="ar-SA"/>
              </w:rPr>
              <w:t>ADMS</w:t>
            </w:r>
            <w:r>
              <w:rPr>
                <w:rFonts w:ascii="Times New Roman" w:hAnsi="Times New Roman" w:eastAsia="宋体" w:cs="Times New Roman"/>
                <w:color w:val="000000"/>
                <w:kern w:val="2"/>
                <w:sz w:val="18"/>
                <w:szCs w:val="18"/>
                <w:lang w:val="en-US" w:eastAsia="zh-CN" w:bidi="ar-SA"/>
              </w:rPr>
              <w:br w:type="textWrapping"/>
            </w:r>
            <w:r>
              <w:rPr>
                <w:rFonts w:hint="eastAsia" w:ascii="仿宋" w:hAnsi="仿宋" w:eastAsia="仿宋" w:cs="Times New Roman"/>
                <w:color w:val="000000"/>
                <w:kern w:val="2"/>
                <w:sz w:val="18"/>
                <w:szCs w:val="21"/>
                <w:lang w:val="en-US" w:eastAsia="zh-CN" w:bidi="ar-SA"/>
              </w:rPr>
              <w:t>□</w:t>
            </w:r>
          </w:p>
        </w:tc>
        <w:tc>
          <w:tcPr>
            <w:tcW w:w="1113" w:type="dxa"/>
            <w:gridSpan w:val="4"/>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ascii="Times New Roman" w:hAnsi="Times New Roman" w:eastAsia="宋体" w:cs="Times New Roman"/>
                <w:color w:val="000000"/>
                <w:kern w:val="2"/>
                <w:sz w:val="18"/>
                <w:szCs w:val="18"/>
                <w:lang w:val="en-US" w:eastAsia="zh-CN" w:bidi="ar-SA"/>
              </w:rPr>
              <w:t>AUSTAL2000</w:t>
            </w:r>
            <w:r>
              <w:rPr>
                <w:rFonts w:ascii="Times New Roman" w:hAnsi="Times New Roman" w:eastAsia="宋体" w:cs="Times New Roman"/>
                <w:color w:val="000000"/>
                <w:kern w:val="2"/>
                <w:sz w:val="18"/>
                <w:szCs w:val="18"/>
                <w:lang w:val="en-US" w:eastAsia="zh-CN" w:bidi="ar-SA"/>
              </w:rPr>
              <w:br w:type="textWrapping"/>
            </w:r>
            <w:r>
              <w:rPr>
                <w:rFonts w:hint="eastAsia" w:ascii="仿宋" w:hAnsi="仿宋" w:eastAsia="仿宋" w:cs="Times New Roman"/>
                <w:color w:val="000000"/>
                <w:kern w:val="2"/>
                <w:sz w:val="18"/>
                <w:szCs w:val="21"/>
                <w:lang w:val="en-US" w:eastAsia="zh-CN" w:bidi="ar-SA"/>
              </w:rPr>
              <w:t>□</w:t>
            </w:r>
          </w:p>
        </w:tc>
        <w:tc>
          <w:tcPr>
            <w:tcW w:w="1088" w:type="dxa"/>
            <w:gridSpan w:val="3"/>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ascii="Times New Roman" w:hAnsi="Times New Roman" w:eastAsia="宋体" w:cs="Times New Roman"/>
                <w:color w:val="000000"/>
                <w:kern w:val="2"/>
                <w:sz w:val="18"/>
                <w:szCs w:val="18"/>
                <w:lang w:val="en-US" w:eastAsia="zh-CN" w:bidi="ar-SA"/>
              </w:rPr>
              <w:t>EDMS/AEDT</w:t>
            </w:r>
            <w:r>
              <w:rPr>
                <w:rFonts w:ascii="Times New Roman" w:hAnsi="Times New Roman" w:eastAsia="宋体" w:cs="Times New Roman"/>
                <w:color w:val="000000"/>
                <w:kern w:val="2"/>
                <w:sz w:val="18"/>
                <w:szCs w:val="18"/>
                <w:lang w:val="en-US" w:eastAsia="zh-CN" w:bidi="ar-SA"/>
              </w:rPr>
              <w:br w:type="textWrapping"/>
            </w:r>
            <w:r>
              <w:rPr>
                <w:rFonts w:hint="eastAsia" w:ascii="仿宋" w:hAnsi="仿宋" w:eastAsia="仿宋" w:cs="Times New Roman"/>
                <w:color w:val="000000"/>
                <w:kern w:val="2"/>
                <w:sz w:val="18"/>
                <w:szCs w:val="21"/>
                <w:lang w:val="en-US" w:eastAsia="zh-CN" w:bidi="ar-SA"/>
              </w:rPr>
              <w:t>□</w:t>
            </w:r>
          </w:p>
        </w:tc>
        <w:tc>
          <w:tcPr>
            <w:tcW w:w="857" w:type="dxa"/>
            <w:gridSpan w:val="3"/>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ascii="Times New Roman" w:hAnsi="Times New Roman" w:eastAsia="宋体" w:cs="Times New Roman"/>
                <w:color w:val="000000"/>
                <w:kern w:val="2"/>
                <w:sz w:val="18"/>
                <w:szCs w:val="18"/>
                <w:lang w:val="en-US" w:eastAsia="zh-CN" w:bidi="ar-SA"/>
              </w:rPr>
              <w:t>CALPUFF</w:t>
            </w:r>
            <w:r>
              <w:rPr>
                <w:rFonts w:ascii="Times New Roman" w:hAnsi="Times New Roman" w:eastAsia="宋体" w:cs="Times New Roman"/>
                <w:color w:val="000000"/>
                <w:kern w:val="2"/>
                <w:sz w:val="18"/>
                <w:szCs w:val="18"/>
                <w:lang w:val="en-US" w:eastAsia="zh-CN" w:bidi="ar-SA"/>
              </w:rPr>
              <w:br w:type="textWrapping"/>
            </w:r>
            <w:r>
              <w:rPr>
                <w:rFonts w:hint="eastAsia" w:ascii="仿宋" w:hAnsi="仿宋" w:eastAsia="仿宋" w:cs="Times New Roman"/>
                <w:color w:val="000000"/>
                <w:kern w:val="2"/>
                <w:sz w:val="18"/>
                <w:szCs w:val="21"/>
                <w:lang w:val="en-US" w:eastAsia="zh-CN" w:bidi="ar-SA"/>
              </w:rPr>
              <w:t>□</w:t>
            </w:r>
          </w:p>
        </w:tc>
        <w:tc>
          <w:tcPr>
            <w:tcW w:w="938" w:type="dxa"/>
            <w:gridSpan w:val="3"/>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18"/>
                <w:lang w:val="en-US" w:eastAsia="zh-CN" w:bidi="ar-SA"/>
              </w:rPr>
              <w:t>网格模型</w:t>
            </w:r>
            <w:r>
              <w:rPr>
                <w:rFonts w:ascii="Times New Roman" w:hAnsi="Times New Roman" w:eastAsia="宋体" w:cs="Times New Roman"/>
                <w:color w:val="000000"/>
                <w:kern w:val="2"/>
                <w:sz w:val="18"/>
                <w:szCs w:val="18"/>
                <w:lang w:val="en-US" w:eastAsia="zh-CN" w:bidi="ar-SA"/>
              </w:rPr>
              <w:br w:type="textWrapping"/>
            </w:r>
            <w:r>
              <w:rPr>
                <w:rFonts w:hint="eastAsia" w:ascii="仿宋" w:hAnsi="仿宋" w:eastAsia="仿宋" w:cs="Times New Roman"/>
                <w:color w:val="000000"/>
                <w:kern w:val="2"/>
                <w:sz w:val="18"/>
                <w:szCs w:val="21"/>
                <w:lang w:val="en-US" w:eastAsia="zh-CN" w:bidi="ar-SA"/>
              </w:rPr>
              <w:t>□</w:t>
            </w:r>
          </w:p>
        </w:tc>
        <w:tc>
          <w:tcPr>
            <w:tcW w:w="758"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其他</w:t>
            </w:r>
            <w:r>
              <w:rPr>
                <w:rFonts w:ascii="Times New Roman" w:hAnsi="Times New Roman" w:eastAsia="宋体" w:cs="Times New Roman"/>
                <w:color w:val="000000"/>
                <w:kern w:val="2"/>
                <w:sz w:val="18"/>
                <w:szCs w:val="21"/>
                <w:lang w:val="en-US" w:eastAsia="zh-CN" w:bidi="ar-SA"/>
              </w:rPr>
              <w:br w:type="textWrapping"/>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2" w:hRule="atLeast"/>
        </w:trPr>
        <w:tc>
          <w:tcPr>
            <w:tcW w:w="1029" w:type="dxa"/>
            <w:vMerge w:val="continue"/>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预测范围</w:t>
            </w:r>
          </w:p>
        </w:tc>
        <w:tc>
          <w:tcPr>
            <w:tcW w:w="1944" w:type="dxa"/>
            <w:gridSpan w:val="5"/>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21"/>
                <w:lang w:val="en-US" w:eastAsia="zh-CN" w:bidi="ar-SA"/>
              </w:rPr>
              <w:t>边长</w:t>
            </w:r>
            <w:r>
              <w:rPr>
                <w:rFonts w:hint="eastAsia" w:ascii="仿宋" w:hAnsi="仿宋" w:eastAsia="仿宋"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 50km</w:t>
            </w:r>
            <w:r>
              <w:rPr>
                <w:rFonts w:hint="eastAsia" w:ascii="仿宋" w:hAnsi="仿宋" w:eastAsia="仿宋" w:cs="Times New Roman"/>
                <w:color w:val="000000"/>
                <w:kern w:val="2"/>
                <w:sz w:val="18"/>
                <w:szCs w:val="21"/>
                <w:lang w:val="en-US" w:eastAsia="zh-CN" w:bidi="ar-SA"/>
              </w:rPr>
              <w:t>□</w:t>
            </w:r>
          </w:p>
        </w:tc>
        <w:tc>
          <w:tcPr>
            <w:tcW w:w="3058" w:type="dxa"/>
            <w:gridSpan w:val="10"/>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21"/>
                <w:lang w:val="en-US" w:eastAsia="zh-CN" w:bidi="ar-SA"/>
              </w:rPr>
              <w:t>边长</w:t>
            </w:r>
            <w:r>
              <w:rPr>
                <w:rFonts w:ascii="Times New Roman" w:hAnsi="Times New Roman" w:eastAsia="宋体" w:cs="Times New Roman"/>
                <w:color w:val="000000"/>
                <w:kern w:val="2"/>
                <w:sz w:val="18"/>
                <w:szCs w:val="21"/>
                <w:lang w:val="en-US" w:eastAsia="zh-CN" w:bidi="ar-SA"/>
              </w:rPr>
              <w:t>5</w:t>
            </w:r>
            <w:r>
              <w:rPr>
                <w:rFonts w:hint="eastAsia" w:ascii="Times New Roman" w:hAnsi="Times New Roman" w:eastAsia="宋体"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50km </w:t>
            </w:r>
            <w:r>
              <w:rPr>
                <w:rFonts w:hint="eastAsia" w:ascii="仿宋" w:hAnsi="仿宋" w:eastAsia="仿宋" w:cs="Times New Roman"/>
                <w:color w:val="000000"/>
                <w:kern w:val="2"/>
                <w:sz w:val="18"/>
                <w:szCs w:val="21"/>
                <w:lang w:val="en-US" w:eastAsia="zh-CN" w:bidi="ar-SA"/>
              </w:rPr>
              <w:t>□</w:t>
            </w:r>
          </w:p>
        </w:tc>
        <w:tc>
          <w:tcPr>
            <w:tcW w:w="1696" w:type="dxa"/>
            <w:gridSpan w:val="4"/>
            <w:vAlign w:val="center"/>
          </w:tcPr>
          <w:p>
            <w:pPr>
              <w:snapToGrid w:val="0"/>
              <w:spacing w:before="0" w:beforeLines="0" w:after="0" w:afterLines="0" w:line="260" w:lineRule="atLeast"/>
              <w:jc w:val="center"/>
              <w:rPr>
                <w:rFonts w:hint="eastAsia" w:ascii="Times New Roman" w:hAnsi="Times New Roman" w:eastAsia="仿宋"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边长</w:t>
            </w:r>
            <w:r>
              <w:rPr>
                <w:rFonts w:ascii="Times New Roman" w:hAnsi="Times New Roman" w:eastAsia="宋体" w:cs="Times New Roman"/>
                <w:color w:val="000000"/>
                <w:kern w:val="2"/>
                <w:sz w:val="18"/>
                <w:szCs w:val="21"/>
                <w:lang w:val="en-US" w:eastAsia="zh-CN" w:bidi="ar-SA"/>
              </w:rPr>
              <w:t xml:space="preserve"> = 5 km </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trPr>
        <w:tc>
          <w:tcPr>
            <w:tcW w:w="1029" w:type="dxa"/>
            <w:vMerge w:val="continue"/>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预测因子</w:t>
            </w:r>
          </w:p>
        </w:tc>
        <w:tc>
          <w:tcPr>
            <w:tcW w:w="3708" w:type="dxa"/>
            <w:gridSpan w:val="11"/>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预测因子(</w:t>
            </w:r>
            <w:r>
              <w:rPr>
                <w:rFonts w:ascii="Times New Roman" w:hAnsi="Times New Roman" w:eastAsia="宋体" w:cs="Times New Roman"/>
                <w:color w:val="000000"/>
                <w:kern w:val="2"/>
                <w:sz w:val="18"/>
                <w:szCs w:val="21"/>
                <w:lang w:val="en-US" w:eastAsia="zh-CN" w:bidi="ar-SA"/>
              </w:rPr>
              <w:t xml:space="preserve">                 )</w:t>
            </w:r>
          </w:p>
        </w:tc>
        <w:tc>
          <w:tcPr>
            <w:tcW w:w="2990" w:type="dxa"/>
            <w:gridSpan w:val="8"/>
            <w:vAlign w:val="center"/>
          </w:tcPr>
          <w:p>
            <w:pPr>
              <w:snapToGrid w:val="0"/>
              <w:spacing w:before="0" w:beforeLines="0" w:after="0" w:afterLines="0" w:line="260" w:lineRule="atLeast"/>
              <w:ind w:right="552" w:rightChars="263"/>
              <w:jc w:val="right"/>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包括二次</w:t>
            </w:r>
            <w:r>
              <w:rPr>
                <w:rFonts w:ascii="Times New Roman" w:hAnsi="Times New Roman" w:eastAsia="宋体" w:cs="Times New Roman"/>
                <w:color w:val="000000"/>
                <w:kern w:val="2"/>
                <w:sz w:val="18"/>
                <w:szCs w:val="21"/>
                <w:lang w:val="en-US" w:eastAsia="zh-CN" w:bidi="ar-SA"/>
              </w:rPr>
              <w:t>PM</w:t>
            </w:r>
            <w:r>
              <w:rPr>
                <w:rFonts w:ascii="Times New Roman" w:hAnsi="Times New Roman" w:eastAsia="宋体" w:cs="Times New Roman"/>
                <w:color w:val="000000"/>
                <w:kern w:val="2"/>
                <w:sz w:val="18"/>
                <w:szCs w:val="21"/>
                <w:vertAlign w:val="subscript"/>
                <w:lang w:val="en-US" w:eastAsia="zh-CN" w:bidi="ar-SA"/>
              </w:rPr>
              <w:t>2.5</w:t>
            </w:r>
            <w:r>
              <w:rPr>
                <w:rFonts w:ascii="Times New Roman" w:hAnsi="Times New Roman" w:eastAsia="宋体" w:cs="Times New Roman"/>
                <w:color w:val="000000"/>
                <w:kern w:val="2"/>
                <w:sz w:val="18"/>
                <w:szCs w:val="21"/>
                <w:lang w:val="en-US" w:eastAsia="zh-CN" w:bidi="ar-SA"/>
              </w:rPr>
              <w:t xml:space="preserve"> </w:t>
            </w:r>
            <w:r>
              <w:rPr>
                <w:rFonts w:hint="eastAsia" w:ascii="仿宋" w:hAnsi="仿宋" w:eastAsia="仿宋" w:cs="Times New Roman"/>
                <w:color w:val="000000"/>
                <w:kern w:val="2"/>
                <w:sz w:val="18"/>
                <w:szCs w:val="21"/>
                <w:lang w:val="en-US" w:eastAsia="zh-CN" w:bidi="ar-SA"/>
              </w:rPr>
              <w:t>□</w:t>
            </w:r>
          </w:p>
          <w:p>
            <w:pPr>
              <w:snapToGrid w:val="0"/>
              <w:spacing w:before="0" w:beforeLines="0" w:after="0" w:afterLines="0" w:line="260" w:lineRule="atLeast"/>
              <w:ind w:right="552" w:rightChars="263"/>
              <w:jc w:val="right"/>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不包括二次</w:t>
            </w:r>
            <w:r>
              <w:rPr>
                <w:rFonts w:ascii="Times New Roman" w:hAnsi="Times New Roman" w:eastAsia="宋体" w:cs="Times New Roman"/>
                <w:color w:val="000000"/>
                <w:kern w:val="2"/>
                <w:sz w:val="18"/>
                <w:szCs w:val="21"/>
                <w:lang w:val="en-US" w:eastAsia="zh-CN" w:bidi="ar-SA"/>
              </w:rPr>
              <w:t>PM</w:t>
            </w:r>
            <w:r>
              <w:rPr>
                <w:rFonts w:ascii="Times New Roman" w:hAnsi="Times New Roman" w:eastAsia="宋体" w:cs="Times New Roman"/>
                <w:color w:val="000000"/>
                <w:kern w:val="2"/>
                <w:sz w:val="18"/>
                <w:szCs w:val="21"/>
                <w:vertAlign w:val="subscript"/>
                <w:lang w:val="en-US" w:eastAsia="zh-CN" w:bidi="ar-SA"/>
              </w:rPr>
              <w:t>2.5</w:t>
            </w:r>
            <w:r>
              <w:rPr>
                <w:rFonts w:ascii="Times New Roman" w:hAnsi="Times New Roman" w:eastAsia="宋体" w:cs="Times New Roman"/>
                <w:color w:val="000000"/>
                <w:kern w:val="2"/>
                <w:sz w:val="18"/>
                <w:szCs w:val="21"/>
                <w:lang w:val="en-US" w:eastAsia="zh-CN" w:bidi="ar-SA"/>
              </w:rPr>
              <w:t xml:space="preserve"> </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29" w:type="dxa"/>
            <w:vMerge w:val="continue"/>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正常排放短期浓度</w:t>
            </w:r>
            <w:r>
              <w:rPr>
                <w:rFonts w:ascii="Times New Roman" w:hAnsi="Times New Roman" w:eastAsia="宋体" w:cs="Times New Roman"/>
                <w:color w:val="000000"/>
                <w:kern w:val="2"/>
                <w:sz w:val="18"/>
                <w:szCs w:val="21"/>
                <w:lang w:val="en-US" w:eastAsia="zh-CN" w:bidi="ar-SA"/>
              </w:rPr>
              <w:br w:type="textWrapping"/>
            </w:r>
            <w:r>
              <w:rPr>
                <w:rFonts w:hint="eastAsia" w:ascii="Times New Roman" w:hAnsi="Times New Roman" w:eastAsia="宋体" w:cs="Times New Roman"/>
                <w:color w:val="000000"/>
                <w:kern w:val="2"/>
                <w:sz w:val="18"/>
                <w:szCs w:val="21"/>
                <w:lang w:val="en-US" w:eastAsia="zh-CN" w:bidi="ar-SA"/>
              </w:rPr>
              <w:t>贡献值</w:t>
            </w:r>
          </w:p>
        </w:tc>
        <w:tc>
          <w:tcPr>
            <w:tcW w:w="3708" w:type="dxa"/>
            <w:gridSpan w:val="11"/>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m:oMath>
              <m:sSub>
                <m:sSubPr>
                  <m:ctrlPr>
                    <w:rPr>
                      <w:rFonts w:ascii="Cambria Math" w:hAnsi="Cambria Math"/>
                      <w:i/>
                      <w:color w:val="000000"/>
                    </w:rPr>
                  </m:ctrlPr>
                </m:sSubPr>
                <m:e>
                  <m:r>
                    <m:rPr/>
                    <w:rPr>
                      <w:rFonts w:ascii="Cambria Math" w:hAnsi="Cambria Math"/>
                      <w:color w:val="000000"/>
                    </w:rPr>
                    <m:t>C</m:t>
                  </m:r>
                  <m:ctrlPr>
                    <w:rPr>
                      <w:rFonts w:ascii="Cambria Math" w:hAnsi="Cambria Math"/>
                      <w:i/>
                      <w:color w:val="000000"/>
                    </w:rPr>
                  </m:ctrlPr>
                </m:e>
                <m:sub>
                  <m:r>
                    <m:rPr>
                      <m:sty m:val="p"/>
                    </m:rPr>
                    <w:rPr>
                      <w:rFonts w:hint="eastAsia" w:ascii="Cambria Math" w:hAnsi="Cambria Math"/>
                      <w:color w:val="000000"/>
                    </w:rPr>
                    <m:t>本项目</m:t>
                  </m:r>
                  <m:ctrlPr>
                    <w:rPr>
                      <w:rFonts w:ascii="Cambria Math" w:hAnsi="Cambria Math"/>
                      <w:i/>
                      <w:color w:val="000000"/>
                    </w:rPr>
                  </m:ctrlPr>
                </m:sub>
              </m:sSub>
            </m:oMath>
            <w:r>
              <w:rPr>
                <w:rFonts w:hint="eastAsia" w:ascii="Times New Roman" w:hAnsi="Times New Roman" w:eastAsia="宋体" w:cs="Times New Roman"/>
                <w:color w:val="000000"/>
                <w:kern w:val="2"/>
                <w:sz w:val="18"/>
                <w:szCs w:val="21"/>
                <w:lang w:val="en-US" w:eastAsia="zh-CN" w:bidi="ar-SA"/>
              </w:rPr>
              <w:t>最大占标率</w:t>
            </w:r>
            <w:r>
              <w:rPr>
                <w:rFonts w:hint="eastAsia" w:ascii="仿宋" w:hAnsi="仿宋" w:eastAsia="仿宋"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100%</w:t>
            </w:r>
            <w:r>
              <w:rPr>
                <w:rFonts w:hint="eastAsia" w:ascii="仿宋" w:hAnsi="仿宋" w:eastAsia="仿宋" w:cs="Times New Roman"/>
                <w:color w:val="000000"/>
                <w:kern w:val="2"/>
                <w:sz w:val="18"/>
                <w:szCs w:val="21"/>
                <w:lang w:val="en-US" w:eastAsia="zh-CN" w:bidi="ar-SA"/>
              </w:rPr>
              <w:t>□</w:t>
            </w:r>
          </w:p>
        </w:tc>
        <w:tc>
          <w:tcPr>
            <w:tcW w:w="2990" w:type="dxa"/>
            <w:gridSpan w:val="8"/>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m:oMath>
              <m:sSub>
                <m:sSubPr>
                  <m:ctrlPr>
                    <w:rPr>
                      <w:rFonts w:ascii="Cambria Math" w:hAnsi="Cambria Math"/>
                      <w:i/>
                      <w:color w:val="000000"/>
                    </w:rPr>
                  </m:ctrlPr>
                </m:sSubPr>
                <m:e>
                  <m:r>
                    <m:rPr/>
                    <w:rPr>
                      <w:rFonts w:ascii="Cambria Math" w:hAnsi="Cambria Math"/>
                      <w:color w:val="000000"/>
                    </w:rPr>
                    <m:t>C</m:t>
                  </m:r>
                  <m:ctrlPr>
                    <w:rPr>
                      <w:rFonts w:ascii="Cambria Math" w:hAnsi="Cambria Math"/>
                      <w:i/>
                      <w:color w:val="000000"/>
                    </w:rPr>
                  </m:ctrlPr>
                </m:e>
                <m:sub>
                  <m:r>
                    <m:rPr>
                      <m:sty m:val="p"/>
                    </m:rPr>
                    <w:rPr>
                      <w:rFonts w:hint="eastAsia" w:ascii="Cambria Math" w:hAnsi="Cambria Math"/>
                      <w:color w:val="000000"/>
                    </w:rPr>
                    <m:t>本项目</m:t>
                  </m:r>
                  <m:ctrlPr>
                    <w:rPr>
                      <w:rFonts w:ascii="Cambria Math" w:hAnsi="Cambria Math"/>
                      <w:i/>
                      <w:color w:val="000000"/>
                    </w:rPr>
                  </m:ctrlPr>
                </m:sub>
              </m:sSub>
            </m:oMath>
            <w:r>
              <w:rPr>
                <w:rFonts w:hint="eastAsia" w:ascii="Times New Roman" w:hAnsi="Times New Roman" w:eastAsia="宋体" w:cs="Times New Roman"/>
                <w:color w:val="000000"/>
                <w:kern w:val="2"/>
                <w:sz w:val="18"/>
                <w:szCs w:val="21"/>
                <w:lang w:val="en-US" w:eastAsia="zh-CN" w:bidi="ar-SA"/>
              </w:rPr>
              <w:t>最大占标率</w:t>
            </w:r>
            <w:r>
              <w:rPr>
                <w:rFonts w:hint="eastAsia" w:ascii="仿宋" w:hAnsi="仿宋" w:eastAsia="仿宋"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100% </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9" w:hRule="atLeast"/>
        </w:trPr>
        <w:tc>
          <w:tcPr>
            <w:tcW w:w="1029" w:type="dxa"/>
            <w:vMerge w:val="continue"/>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p>
        </w:tc>
        <w:tc>
          <w:tcPr>
            <w:tcW w:w="1772" w:type="dxa"/>
            <w:vMerge w:val="restart"/>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正常排放年均浓度</w:t>
            </w:r>
            <w:r>
              <w:rPr>
                <w:rFonts w:ascii="Times New Roman" w:hAnsi="Times New Roman" w:eastAsia="宋体" w:cs="Times New Roman"/>
                <w:color w:val="000000"/>
                <w:kern w:val="2"/>
                <w:sz w:val="18"/>
                <w:szCs w:val="21"/>
                <w:lang w:val="en-US" w:eastAsia="zh-CN" w:bidi="ar-SA"/>
              </w:rPr>
              <w:br w:type="textWrapping"/>
            </w:r>
            <w:r>
              <w:rPr>
                <w:rFonts w:hint="eastAsia" w:ascii="Times New Roman" w:hAnsi="Times New Roman" w:eastAsia="宋体" w:cs="Times New Roman"/>
                <w:color w:val="000000"/>
                <w:kern w:val="2"/>
                <w:sz w:val="18"/>
                <w:szCs w:val="21"/>
                <w:lang w:val="en-US" w:eastAsia="zh-CN" w:bidi="ar-SA"/>
              </w:rPr>
              <w:t>贡献值</w:t>
            </w:r>
          </w:p>
        </w:tc>
        <w:tc>
          <w:tcPr>
            <w:tcW w:w="1024" w:type="dxa"/>
            <w:tcBorders>
              <w:right w:val="single" w:color="auto" w:sz="4" w:space="0"/>
            </w:tcBorders>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一类区</w:t>
            </w:r>
          </w:p>
        </w:tc>
        <w:tc>
          <w:tcPr>
            <w:tcW w:w="2684" w:type="dxa"/>
            <w:gridSpan w:val="10"/>
            <w:tcBorders>
              <w:left w:val="single" w:color="auto" w:sz="4" w:space="0"/>
            </w:tcBorders>
            <w:vAlign w:val="center"/>
          </w:tcPr>
          <w:p>
            <w:pPr>
              <w:snapToGrid w:val="0"/>
              <w:spacing w:before="31" w:beforeLines="10" w:after="31" w:afterLines="10" w:line="260" w:lineRule="atLeast"/>
              <w:jc w:val="center"/>
              <w:rPr>
                <w:rFonts w:ascii="Calibri" w:hAnsi="Calibri" w:eastAsia="宋体" w:cs="Times New Roman"/>
                <w:color w:val="000000"/>
                <w:kern w:val="2"/>
                <w:sz w:val="18"/>
                <w:szCs w:val="21"/>
                <w:lang w:val="en-US" w:eastAsia="zh-CN" w:bidi="ar-SA"/>
              </w:rPr>
            </w:pPr>
            <m:oMath>
              <m:sSub>
                <m:sSubPr>
                  <m:ctrlPr>
                    <w:rPr>
                      <w:rFonts w:ascii="Cambria Math" w:hAnsi="Cambria Math"/>
                      <w:i/>
                      <w:color w:val="000000"/>
                    </w:rPr>
                  </m:ctrlPr>
                </m:sSubPr>
                <m:e>
                  <m:r>
                    <m:rPr/>
                    <w:rPr>
                      <w:rFonts w:ascii="Cambria Math" w:hAnsi="Cambria Math"/>
                      <w:color w:val="000000"/>
                    </w:rPr>
                    <m:t>C</m:t>
                  </m:r>
                  <m:ctrlPr>
                    <w:rPr>
                      <w:rFonts w:ascii="Cambria Math" w:hAnsi="Cambria Math"/>
                      <w:i/>
                      <w:color w:val="000000"/>
                    </w:rPr>
                  </m:ctrlPr>
                </m:e>
                <m:sub>
                  <m:r>
                    <m:rPr>
                      <m:sty m:val="p"/>
                    </m:rPr>
                    <w:rPr>
                      <w:rFonts w:hint="eastAsia" w:ascii="Cambria Math" w:hAnsi="Cambria Math"/>
                      <w:color w:val="000000"/>
                    </w:rPr>
                    <m:t>本项目</m:t>
                  </m:r>
                  <m:ctrlPr>
                    <w:rPr>
                      <w:rFonts w:ascii="Cambria Math" w:hAnsi="Cambria Math"/>
                      <w:i/>
                      <w:color w:val="000000"/>
                    </w:rPr>
                  </m:ctrlPr>
                </m:sub>
              </m:sSub>
            </m:oMath>
            <w:r>
              <w:rPr>
                <w:rFonts w:hint="eastAsia" w:ascii="Times New Roman" w:hAnsi="Times New Roman" w:eastAsia="宋体" w:cs="Times New Roman"/>
                <w:color w:val="000000"/>
                <w:kern w:val="2"/>
                <w:sz w:val="18"/>
                <w:szCs w:val="21"/>
                <w:lang w:val="en-US" w:eastAsia="zh-CN" w:bidi="ar-SA"/>
              </w:rPr>
              <w:t>最大占标率</w:t>
            </w:r>
            <w:bookmarkStart w:id="21" w:name="OLE_LINK5"/>
            <w:bookmarkStart w:id="22" w:name="OLE_LINK7"/>
            <w:r>
              <w:rPr>
                <w:rFonts w:hint="eastAsia" w:ascii="仿宋" w:hAnsi="仿宋" w:eastAsia="仿宋" w:cs="Times New Roman"/>
                <w:color w:val="000000"/>
                <w:kern w:val="2"/>
                <w:sz w:val="18"/>
                <w:szCs w:val="21"/>
                <w:lang w:val="en-US" w:eastAsia="zh-CN" w:bidi="ar-SA"/>
              </w:rPr>
              <w:t>≤</w:t>
            </w:r>
            <w:bookmarkEnd w:id="21"/>
            <w:bookmarkEnd w:id="22"/>
            <w:r>
              <w:rPr>
                <w:rFonts w:ascii="Times New Roman" w:hAnsi="Times New Roman" w:eastAsia="宋体" w:cs="Times New Roman"/>
                <w:color w:val="000000"/>
                <w:kern w:val="2"/>
                <w:sz w:val="18"/>
                <w:szCs w:val="21"/>
                <w:lang w:val="en-US" w:eastAsia="zh-CN" w:bidi="ar-SA"/>
              </w:rPr>
              <w:t>10%</w:t>
            </w:r>
            <w:r>
              <w:rPr>
                <w:rFonts w:hint="eastAsia" w:ascii="仿宋" w:hAnsi="仿宋" w:eastAsia="仿宋" w:cs="Times New Roman"/>
                <w:color w:val="000000"/>
                <w:kern w:val="2"/>
                <w:sz w:val="18"/>
                <w:szCs w:val="21"/>
                <w:lang w:val="en-US" w:eastAsia="zh-CN" w:bidi="ar-SA"/>
              </w:rPr>
              <w:t>□</w:t>
            </w:r>
          </w:p>
        </w:tc>
        <w:tc>
          <w:tcPr>
            <w:tcW w:w="2990" w:type="dxa"/>
            <w:gridSpan w:val="8"/>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m:oMath>
              <m:sSub>
                <m:sSubPr>
                  <m:ctrlPr>
                    <w:rPr>
                      <w:rFonts w:ascii="Cambria Math" w:hAnsi="Cambria Math"/>
                      <w:i/>
                      <w:color w:val="000000"/>
                    </w:rPr>
                  </m:ctrlPr>
                </m:sSubPr>
                <m:e>
                  <m:r>
                    <m:rPr/>
                    <w:rPr>
                      <w:rFonts w:ascii="Cambria Math" w:hAnsi="Cambria Math"/>
                      <w:color w:val="000000"/>
                    </w:rPr>
                    <m:t>C</m:t>
                  </m:r>
                  <m:ctrlPr>
                    <w:rPr>
                      <w:rFonts w:ascii="Cambria Math" w:hAnsi="Cambria Math"/>
                      <w:i/>
                      <w:color w:val="000000"/>
                    </w:rPr>
                  </m:ctrlPr>
                </m:e>
                <m:sub>
                  <m:r>
                    <m:rPr>
                      <m:sty m:val="p"/>
                    </m:rPr>
                    <w:rPr>
                      <w:rFonts w:hint="eastAsia" w:ascii="Cambria Math" w:hAnsi="Cambria Math"/>
                      <w:color w:val="000000"/>
                    </w:rPr>
                    <m:t>本项目</m:t>
                  </m:r>
                  <m:ctrlPr>
                    <w:rPr>
                      <w:rFonts w:ascii="Cambria Math" w:hAnsi="Cambria Math"/>
                      <w:i/>
                      <w:color w:val="000000"/>
                    </w:rPr>
                  </m:ctrlPr>
                </m:sub>
              </m:sSub>
            </m:oMath>
            <w:r>
              <w:rPr>
                <w:rFonts w:hint="eastAsia" w:ascii="Times New Roman" w:hAnsi="Times New Roman" w:eastAsia="宋体" w:cs="Times New Roman"/>
                <w:color w:val="000000"/>
                <w:kern w:val="2"/>
                <w:sz w:val="18"/>
                <w:szCs w:val="21"/>
                <w:lang w:val="en-US" w:eastAsia="zh-CN" w:bidi="ar-SA"/>
              </w:rPr>
              <w:t>最大标率</w:t>
            </w:r>
            <w:r>
              <w:rPr>
                <w:rFonts w:hint="eastAsia" w:ascii="仿宋" w:hAnsi="仿宋" w:eastAsia="仿宋"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10% </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1" w:hRule="atLeast"/>
        </w:trPr>
        <w:tc>
          <w:tcPr>
            <w:tcW w:w="1029" w:type="dxa"/>
            <w:vMerge w:val="continue"/>
            <w:vAlign w:val="center"/>
          </w:tcPr>
          <w:p>
            <w:pPr>
              <w:snapToGrid w:val="0"/>
              <w:spacing w:before="0" w:beforeLines="0" w:after="0" w:afterLines="0" w:line="260" w:lineRule="atLeast"/>
              <w:jc w:val="center"/>
              <w:rPr>
                <w:rFonts w:ascii="Calibri" w:hAnsi="Calibri" w:eastAsia="宋体" w:cs="Times New Roman"/>
                <w:color w:val="000000"/>
                <w:kern w:val="2"/>
                <w:sz w:val="18"/>
                <w:szCs w:val="21"/>
                <w:lang w:val="en-US" w:eastAsia="zh-CN" w:bidi="ar-SA"/>
              </w:rPr>
            </w:pPr>
          </w:p>
        </w:tc>
        <w:tc>
          <w:tcPr>
            <w:tcW w:w="1772" w:type="dxa"/>
            <w:vMerge w:val="continue"/>
            <w:vAlign w:val="center"/>
          </w:tcPr>
          <w:p>
            <w:pPr>
              <w:snapToGrid w:val="0"/>
              <w:spacing w:before="0" w:beforeLines="0" w:after="0" w:afterLines="0" w:line="260" w:lineRule="atLeast"/>
              <w:jc w:val="center"/>
              <w:rPr>
                <w:rFonts w:ascii="Calibri" w:hAnsi="Calibri" w:eastAsia="宋体" w:cs="Times New Roman"/>
                <w:color w:val="000000"/>
                <w:kern w:val="2"/>
                <w:sz w:val="18"/>
                <w:szCs w:val="21"/>
                <w:lang w:val="en-US" w:eastAsia="zh-CN" w:bidi="ar-SA"/>
              </w:rPr>
            </w:pPr>
          </w:p>
        </w:tc>
        <w:tc>
          <w:tcPr>
            <w:tcW w:w="1024" w:type="dxa"/>
            <w:tcBorders>
              <w:right w:val="single" w:color="auto" w:sz="4" w:space="0"/>
            </w:tcBorders>
            <w:vAlign w:val="center"/>
          </w:tcPr>
          <w:p>
            <w:pPr>
              <w:snapToGrid w:val="0"/>
              <w:spacing w:before="0" w:beforeLines="0" w:after="0" w:afterLines="0" w:line="260" w:lineRule="atLeast"/>
              <w:jc w:val="center"/>
              <w:rPr>
                <w:rFonts w:ascii="Calibri" w:hAnsi="Calibri" w:eastAsia="宋体" w:cs="Times New Roman"/>
                <w:color w:val="000000"/>
                <w:kern w:val="2"/>
                <w:sz w:val="18"/>
                <w:szCs w:val="21"/>
                <w:lang w:val="en-US" w:eastAsia="zh-CN" w:bidi="ar-SA"/>
              </w:rPr>
            </w:pPr>
            <w:r>
              <w:rPr>
                <w:rFonts w:hint="eastAsia" w:ascii="Calibri" w:hAnsi="Calibri" w:eastAsia="宋体" w:cs="Times New Roman"/>
                <w:color w:val="000000"/>
                <w:kern w:val="2"/>
                <w:sz w:val="18"/>
                <w:szCs w:val="21"/>
                <w:lang w:val="en-US" w:eastAsia="zh-CN" w:bidi="ar-SA"/>
              </w:rPr>
              <w:t>二类区</w:t>
            </w:r>
          </w:p>
        </w:tc>
        <w:tc>
          <w:tcPr>
            <w:tcW w:w="2684" w:type="dxa"/>
            <w:gridSpan w:val="10"/>
            <w:tcBorders>
              <w:left w:val="single" w:color="auto" w:sz="4" w:space="0"/>
            </w:tcBorders>
            <w:vAlign w:val="center"/>
          </w:tcPr>
          <w:p>
            <w:pPr>
              <w:snapToGrid w:val="0"/>
              <w:spacing w:before="0" w:beforeLines="0" w:after="0" w:afterLines="0" w:line="260" w:lineRule="atLeast"/>
              <w:jc w:val="center"/>
              <w:rPr>
                <w:rFonts w:ascii="Calibri" w:hAnsi="Calibri" w:eastAsia="宋体" w:cs="Times New Roman"/>
                <w:color w:val="000000"/>
                <w:kern w:val="2"/>
                <w:sz w:val="18"/>
                <w:szCs w:val="21"/>
                <w:lang w:val="en-US" w:eastAsia="zh-CN" w:bidi="ar-SA"/>
              </w:rPr>
            </w:pPr>
            <m:oMath>
              <m:sSub>
                <m:sSubPr>
                  <m:ctrlPr>
                    <w:rPr>
                      <w:rFonts w:ascii="Cambria Math" w:hAnsi="Cambria Math"/>
                      <w:i/>
                      <w:color w:val="000000"/>
                    </w:rPr>
                  </m:ctrlPr>
                </m:sSubPr>
                <m:e>
                  <m:r>
                    <m:rPr/>
                    <w:rPr>
                      <w:rFonts w:ascii="Cambria Math" w:hAnsi="Cambria Math"/>
                      <w:color w:val="000000"/>
                    </w:rPr>
                    <m:t>C</m:t>
                  </m:r>
                  <m:ctrlPr>
                    <w:rPr>
                      <w:rFonts w:ascii="Cambria Math" w:hAnsi="Cambria Math"/>
                      <w:i/>
                      <w:color w:val="000000"/>
                    </w:rPr>
                  </m:ctrlPr>
                </m:e>
                <m:sub>
                  <m:r>
                    <m:rPr>
                      <m:sty m:val="p"/>
                    </m:rPr>
                    <w:rPr>
                      <w:rFonts w:hint="eastAsia" w:ascii="Cambria Math" w:hAnsi="Cambria Math"/>
                      <w:color w:val="000000"/>
                    </w:rPr>
                    <m:t>本项目</m:t>
                  </m:r>
                  <m:ctrlPr>
                    <w:rPr>
                      <w:rFonts w:ascii="Cambria Math" w:hAnsi="Cambria Math"/>
                      <w:i/>
                      <w:color w:val="000000"/>
                    </w:rPr>
                  </m:ctrlPr>
                </m:sub>
              </m:sSub>
            </m:oMath>
            <w:r>
              <w:rPr>
                <w:rFonts w:hint="eastAsia" w:ascii="Times New Roman" w:hAnsi="Times New Roman" w:eastAsia="宋体" w:cs="Times New Roman"/>
                <w:color w:val="000000"/>
                <w:kern w:val="2"/>
                <w:sz w:val="18"/>
                <w:szCs w:val="21"/>
                <w:lang w:val="en-US" w:eastAsia="zh-CN" w:bidi="ar-SA"/>
              </w:rPr>
              <w:t>最大占标率</w:t>
            </w:r>
            <w:r>
              <w:rPr>
                <w:rFonts w:hint="eastAsia" w:ascii="仿宋" w:hAnsi="仿宋" w:eastAsia="仿宋"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30%</w:t>
            </w:r>
            <w:r>
              <w:rPr>
                <w:rFonts w:hint="eastAsia" w:ascii="仿宋" w:hAnsi="仿宋" w:eastAsia="仿宋" w:cs="Times New Roman"/>
                <w:color w:val="000000"/>
                <w:kern w:val="2"/>
                <w:sz w:val="18"/>
                <w:szCs w:val="21"/>
                <w:lang w:val="en-US" w:eastAsia="zh-CN" w:bidi="ar-SA"/>
              </w:rPr>
              <w:t>□</w:t>
            </w:r>
          </w:p>
        </w:tc>
        <w:tc>
          <w:tcPr>
            <w:tcW w:w="2990" w:type="dxa"/>
            <w:gridSpan w:val="8"/>
            <w:vAlign w:val="center"/>
          </w:tcPr>
          <w:p>
            <w:pPr>
              <w:snapToGrid w:val="0"/>
              <w:spacing w:before="0" w:beforeLines="0" w:after="0" w:afterLines="0" w:line="260" w:lineRule="atLeast"/>
              <w:jc w:val="center"/>
              <w:rPr>
                <w:rFonts w:ascii="Calibri" w:hAnsi="Calibri" w:eastAsia="宋体" w:cs="Times New Roman"/>
                <w:color w:val="000000"/>
                <w:kern w:val="2"/>
                <w:sz w:val="18"/>
                <w:szCs w:val="21"/>
                <w:lang w:val="en-US" w:eastAsia="zh-CN" w:bidi="ar-SA"/>
              </w:rPr>
            </w:pPr>
            <m:oMath>
              <m:sSub>
                <m:sSubPr>
                  <m:ctrlPr>
                    <w:rPr>
                      <w:rFonts w:ascii="Cambria Math" w:hAnsi="Cambria Math"/>
                      <w:i/>
                      <w:color w:val="000000"/>
                    </w:rPr>
                  </m:ctrlPr>
                </m:sSubPr>
                <m:e>
                  <m:r>
                    <m:rPr/>
                    <w:rPr>
                      <w:rFonts w:ascii="Cambria Math" w:hAnsi="Cambria Math"/>
                      <w:color w:val="000000"/>
                    </w:rPr>
                    <m:t>C</m:t>
                  </m:r>
                  <m:ctrlPr>
                    <w:rPr>
                      <w:rFonts w:ascii="Cambria Math" w:hAnsi="Cambria Math"/>
                      <w:i/>
                      <w:color w:val="000000"/>
                    </w:rPr>
                  </m:ctrlPr>
                </m:e>
                <m:sub>
                  <m:r>
                    <m:rPr>
                      <m:sty m:val="p"/>
                    </m:rPr>
                    <w:rPr>
                      <w:rFonts w:hint="eastAsia" w:ascii="Cambria Math" w:hAnsi="Cambria Math"/>
                      <w:color w:val="000000"/>
                    </w:rPr>
                    <m:t>本项目</m:t>
                  </m:r>
                  <m:ctrlPr>
                    <w:rPr>
                      <w:rFonts w:ascii="Cambria Math" w:hAnsi="Cambria Math"/>
                      <w:i/>
                      <w:color w:val="000000"/>
                    </w:rPr>
                  </m:ctrlPr>
                </m:sub>
              </m:sSub>
            </m:oMath>
            <w:r>
              <w:rPr>
                <w:rFonts w:hint="eastAsia" w:ascii="Times New Roman" w:hAnsi="Times New Roman" w:eastAsia="宋体" w:cs="Times New Roman"/>
                <w:color w:val="000000"/>
                <w:kern w:val="2"/>
                <w:sz w:val="18"/>
                <w:szCs w:val="21"/>
                <w:lang w:val="en-US" w:eastAsia="zh-CN" w:bidi="ar-SA"/>
              </w:rPr>
              <w:t>最大标率</w:t>
            </w:r>
            <w:r>
              <w:rPr>
                <w:rFonts w:hint="eastAsia" w:ascii="仿宋" w:hAnsi="仿宋" w:eastAsia="仿宋"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30% </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29" w:type="dxa"/>
            <w:vMerge w:val="continue"/>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非正常排放</w:t>
            </w:r>
            <w:r>
              <w:rPr>
                <w:rFonts w:ascii="Times New Roman" w:hAnsi="Times New Roman" w:eastAsia="宋体" w:cs="Times New Roman"/>
                <w:color w:val="000000"/>
                <w:kern w:val="2"/>
                <w:sz w:val="18"/>
                <w:szCs w:val="21"/>
                <w:lang w:val="en-US" w:eastAsia="zh-CN" w:bidi="ar-SA"/>
              </w:rPr>
              <w:t>1h</w:t>
            </w:r>
            <w:r>
              <w:rPr>
                <w:rFonts w:hint="eastAsia" w:ascii="Times New Roman" w:hAnsi="Times New Roman" w:eastAsia="宋体" w:cs="Times New Roman"/>
                <w:color w:val="000000"/>
                <w:kern w:val="2"/>
                <w:sz w:val="18"/>
                <w:szCs w:val="21"/>
                <w:lang w:val="en-US" w:eastAsia="zh-CN" w:bidi="ar-SA"/>
              </w:rPr>
              <w:t>浓度</w:t>
            </w:r>
            <w:r>
              <w:rPr>
                <w:rFonts w:ascii="Times New Roman" w:hAnsi="Times New Roman" w:eastAsia="宋体" w:cs="Times New Roman"/>
                <w:color w:val="000000"/>
                <w:kern w:val="2"/>
                <w:sz w:val="18"/>
                <w:szCs w:val="21"/>
                <w:lang w:val="en-US" w:eastAsia="zh-CN" w:bidi="ar-SA"/>
              </w:rPr>
              <w:br w:type="textWrapping"/>
            </w:r>
            <w:r>
              <w:rPr>
                <w:rFonts w:hint="eastAsia" w:ascii="Times New Roman" w:hAnsi="Times New Roman" w:eastAsia="宋体" w:cs="Times New Roman"/>
                <w:color w:val="000000"/>
                <w:kern w:val="2"/>
                <w:sz w:val="18"/>
                <w:szCs w:val="21"/>
                <w:lang w:val="en-US" w:eastAsia="zh-CN" w:bidi="ar-SA"/>
              </w:rPr>
              <w:t>贡献值</w:t>
            </w:r>
          </w:p>
        </w:tc>
        <w:tc>
          <w:tcPr>
            <w:tcW w:w="1539" w:type="dxa"/>
            <w:gridSpan w:val="3"/>
            <w:tcBorders>
              <w:right w:val="single" w:color="auto" w:sz="4" w:space="0"/>
            </w:tcBorders>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非正常持续时长</w:t>
            </w:r>
            <w:r>
              <w:rPr>
                <w:rFonts w:ascii="Times New Roman" w:hAnsi="Times New Roman" w:eastAsia="宋体" w:cs="Times New Roman"/>
                <w:color w:val="000000"/>
                <w:kern w:val="2"/>
                <w:sz w:val="18"/>
                <w:szCs w:val="21"/>
                <w:lang w:val="en-US" w:eastAsia="zh-CN" w:bidi="ar-SA"/>
              </w:rPr>
              <w:br w:type="textWrapping"/>
            </w:r>
            <w:r>
              <w:rPr>
                <w:rFonts w:hint="eastAsia" w:ascii="Times New Roman" w:hAnsi="Times New Roman" w:eastAsia="宋体"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  </w:t>
            </w:r>
            <w:r>
              <w:rPr>
                <w:rFonts w:hint="eastAsia" w:ascii="Times New Roman" w:hAnsi="Times New Roman" w:eastAsia="宋体"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h</w:t>
            </w:r>
          </w:p>
        </w:tc>
        <w:tc>
          <w:tcPr>
            <w:tcW w:w="2794" w:type="dxa"/>
            <w:gridSpan w:val="10"/>
            <w:tcBorders>
              <w:left w:val="single" w:color="auto" w:sz="4" w:space="0"/>
            </w:tcBorders>
            <w:vAlign w:val="center"/>
          </w:tcPr>
          <w:p>
            <w:pPr>
              <w:snapToGrid w:val="0"/>
              <w:spacing w:before="31" w:beforeLines="10" w:after="31" w:afterLines="10" w:line="260" w:lineRule="atLeast"/>
              <w:jc w:val="center"/>
              <w:rPr>
                <w:rFonts w:ascii="Times New Roman" w:hAnsi="Times New Roman" w:eastAsia="宋体" w:cs="Times New Roman"/>
                <w:color w:val="000000"/>
                <w:kern w:val="2"/>
                <w:sz w:val="18"/>
                <w:szCs w:val="21"/>
                <w:lang w:val="en-US" w:eastAsia="zh-CN" w:bidi="ar-SA"/>
              </w:rPr>
            </w:pPr>
            <m:oMath>
              <m:sSub>
                <m:sSubPr>
                  <m:ctrlPr>
                    <w:rPr>
                      <w:rFonts w:ascii="Cambria Math" w:hAnsi="Cambria Math"/>
                      <w:i/>
                      <w:color w:val="000000"/>
                    </w:rPr>
                  </m:ctrlPr>
                </m:sSubPr>
                <m:e>
                  <m:r>
                    <m:rPr/>
                    <w:rPr>
                      <w:rFonts w:ascii="Cambria Math" w:hAnsi="Cambria Math"/>
                      <w:color w:val="000000"/>
                    </w:rPr>
                    <m:t>C</m:t>
                  </m:r>
                  <m:ctrlPr>
                    <w:rPr>
                      <w:rFonts w:ascii="Cambria Math" w:hAnsi="Cambria Math"/>
                      <w:i/>
                      <w:color w:val="000000"/>
                    </w:rPr>
                  </m:ctrlPr>
                </m:e>
                <m:sub>
                  <m:r>
                    <m:rPr>
                      <m:sty m:val="p"/>
                    </m:rPr>
                    <w:rPr>
                      <w:rFonts w:hint="eastAsia" w:ascii="Cambria Math" w:hAnsi="Cambria Math"/>
                      <w:color w:val="000000"/>
                    </w:rPr>
                    <m:t>非正常</m:t>
                  </m:r>
                  <m:ctrlPr>
                    <w:rPr>
                      <w:rFonts w:ascii="Cambria Math" w:hAnsi="Cambria Math"/>
                      <w:i/>
                      <w:color w:val="000000"/>
                    </w:rPr>
                  </m:ctrlPr>
                </m:sub>
              </m:sSub>
            </m:oMath>
            <w:r>
              <w:rPr>
                <w:rFonts w:hint="eastAsia" w:ascii="Times New Roman" w:hAnsi="Times New Roman" w:eastAsia="宋体" w:cs="Times New Roman"/>
                <w:color w:val="000000"/>
                <w:kern w:val="2"/>
                <w:sz w:val="18"/>
                <w:szCs w:val="21"/>
                <w:lang w:val="en-US" w:eastAsia="zh-CN" w:bidi="ar-SA"/>
              </w:rPr>
              <w:t>占标率</w:t>
            </w:r>
            <w:r>
              <w:rPr>
                <w:rFonts w:hint="eastAsia" w:ascii="仿宋" w:hAnsi="仿宋" w:eastAsia="仿宋"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100% </w:t>
            </w:r>
            <w:r>
              <w:rPr>
                <w:rFonts w:hint="eastAsia" w:ascii="仿宋" w:hAnsi="仿宋" w:eastAsia="仿宋" w:cs="Times New Roman"/>
                <w:color w:val="000000"/>
                <w:kern w:val="2"/>
                <w:sz w:val="18"/>
                <w:szCs w:val="21"/>
                <w:lang w:val="en-US" w:eastAsia="zh-CN" w:bidi="ar-SA"/>
              </w:rPr>
              <w:t>□</w:t>
            </w:r>
          </w:p>
        </w:tc>
        <w:tc>
          <w:tcPr>
            <w:tcW w:w="2365" w:type="dxa"/>
            <w:gridSpan w:val="6"/>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m:oMath>
              <m:sSub>
                <m:sSubPr>
                  <m:ctrlPr>
                    <w:rPr>
                      <w:rFonts w:ascii="Cambria Math" w:hAnsi="Cambria Math"/>
                      <w:i/>
                      <w:color w:val="000000"/>
                    </w:rPr>
                  </m:ctrlPr>
                </m:sSubPr>
                <m:e>
                  <m:r>
                    <m:rPr/>
                    <w:rPr>
                      <w:rFonts w:ascii="Cambria Math" w:hAnsi="Cambria Math"/>
                      <w:color w:val="000000"/>
                    </w:rPr>
                    <m:t>C</m:t>
                  </m:r>
                  <m:ctrlPr>
                    <w:rPr>
                      <w:rFonts w:ascii="Cambria Math" w:hAnsi="Cambria Math"/>
                      <w:i/>
                      <w:color w:val="000000"/>
                    </w:rPr>
                  </m:ctrlPr>
                </m:e>
                <m:sub>
                  <m:r>
                    <m:rPr>
                      <m:sty m:val="p"/>
                    </m:rPr>
                    <w:rPr>
                      <w:rFonts w:hint="eastAsia" w:ascii="Cambria Math" w:hAnsi="Cambria Math"/>
                      <w:color w:val="000000"/>
                    </w:rPr>
                    <m:t>非正常</m:t>
                  </m:r>
                  <m:ctrlPr>
                    <w:rPr>
                      <w:rFonts w:ascii="Cambria Math" w:hAnsi="Cambria Math"/>
                      <w:i/>
                      <w:color w:val="000000"/>
                    </w:rPr>
                  </m:ctrlPr>
                </m:sub>
              </m:sSub>
            </m:oMath>
            <w:r>
              <w:rPr>
                <w:rFonts w:hint="eastAsia" w:ascii="Times New Roman" w:hAnsi="Times New Roman" w:eastAsia="宋体" w:cs="Times New Roman"/>
                <w:color w:val="000000"/>
                <w:kern w:val="2"/>
                <w:sz w:val="18"/>
                <w:szCs w:val="21"/>
                <w:lang w:val="en-US" w:eastAsia="zh-CN" w:bidi="ar-SA"/>
              </w:rPr>
              <w:t>占标率</w:t>
            </w:r>
            <w:r>
              <w:rPr>
                <w:rFonts w:hint="eastAsia" w:ascii="仿宋" w:hAnsi="仿宋" w:eastAsia="仿宋"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100%</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5" w:hRule="atLeast"/>
        </w:trPr>
        <w:tc>
          <w:tcPr>
            <w:tcW w:w="1029" w:type="dxa"/>
            <w:vMerge w:val="continue"/>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Calibri" w:hAnsi="Calibri" w:eastAsia="宋体" w:cs="Times New Roman"/>
                <w:color w:val="000000"/>
                <w:kern w:val="2"/>
                <w:sz w:val="18"/>
                <w:szCs w:val="21"/>
                <w:lang w:val="en-US" w:eastAsia="zh-CN" w:bidi="ar-SA"/>
              </w:rPr>
              <w:t>保证率日平均浓度和年平均浓度</w:t>
            </w:r>
            <w:r>
              <w:rPr>
                <w:rFonts w:hint="eastAsia" w:ascii="Times New Roman" w:hAnsi="Times New Roman" w:eastAsia="宋体" w:cs="Times New Roman"/>
                <w:color w:val="000000"/>
                <w:kern w:val="2"/>
                <w:sz w:val="18"/>
                <w:szCs w:val="21"/>
                <w:lang w:val="en-US" w:eastAsia="zh-CN" w:bidi="ar-SA"/>
              </w:rPr>
              <w:t>叠加值</w:t>
            </w:r>
          </w:p>
        </w:tc>
        <w:tc>
          <w:tcPr>
            <w:tcW w:w="3167" w:type="dxa"/>
            <w:gridSpan w:val="10"/>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m:oMath>
              <m:sSub>
                <m:sSubPr>
                  <m:ctrlPr>
                    <w:rPr>
                      <w:rFonts w:ascii="Cambria Math" w:hAnsi="Cambria Math"/>
                      <w:i/>
                      <w:color w:val="000000"/>
                    </w:rPr>
                  </m:ctrlPr>
                </m:sSubPr>
                <m:e>
                  <m:r>
                    <m:rPr/>
                    <w:rPr>
                      <w:rFonts w:ascii="Cambria Math" w:hAnsi="Cambria Math"/>
                      <w:color w:val="000000"/>
                    </w:rPr>
                    <m:t>C</m:t>
                  </m:r>
                  <m:ctrlPr>
                    <w:rPr>
                      <w:rFonts w:ascii="Cambria Math" w:hAnsi="Cambria Math"/>
                      <w:i/>
                      <w:color w:val="000000"/>
                    </w:rPr>
                  </m:ctrlPr>
                </m:e>
                <m:sub>
                  <m:r>
                    <m:rPr>
                      <m:sty m:val="p"/>
                    </m:rPr>
                    <w:rPr>
                      <w:rFonts w:hint="eastAsia" w:ascii="Cambria Math" w:hAnsi="Cambria Math"/>
                      <w:color w:val="000000"/>
                    </w:rPr>
                    <m:t>叠加</m:t>
                  </m:r>
                  <m:ctrlPr>
                    <w:rPr>
                      <w:rFonts w:ascii="Cambria Math" w:hAnsi="Cambria Math"/>
                      <w:i/>
                      <w:color w:val="000000"/>
                    </w:rPr>
                  </m:ctrlPr>
                </m:sub>
              </m:sSub>
            </m:oMath>
            <w:r>
              <w:rPr>
                <w:rFonts w:hint="eastAsia" w:ascii="Times New Roman" w:hAnsi="Times New Roman" w:eastAsia="宋体" w:cs="Times New Roman"/>
                <w:color w:val="000000"/>
                <w:kern w:val="2"/>
                <w:sz w:val="18"/>
                <w:szCs w:val="21"/>
                <w:lang w:val="en-US" w:eastAsia="zh-CN" w:bidi="ar-SA"/>
              </w:rPr>
              <w:t>达标</w:t>
            </w:r>
            <w:r>
              <w:rPr>
                <w:rFonts w:ascii="Times New Roman" w:hAnsi="Times New Roman" w:eastAsia="宋体" w:cs="Times New Roman"/>
                <w:color w:val="000000"/>
                <w:kern w:val="2"/>
                <w:sz w:val="18"/>
                <w:szCs w:val="21"/>
                <w:lang w:val="en-US" w:eastAsia="zh-CN" w:bidi="ar-SA"/>
              </w:rPr>
              <w:t xml:space="preserve"> </w:t>
            </w:r>
            <w:r>
              <w:rPr>
                <w:rFonts w:hint="eastAsia" w:ascii="仿宋" w:hAnsi="仿宋" w:eastAsia="仿宋" w:cs="Times New Roman"/>
                <w:color w:val="000000"/>
                <w:kern w:val="2"/>
                <w:sz w:val="18"/>
                <w:szCs w:val="21"/>
                <w:lang w:val="en-US" w:eastAsia="zh-CN" w:bidi="ar-SA"/>
              </w:rPr>
              <w:t>□</w:t>
            </w:r>
          </w:p>
        </w:tc>
        <w:tc>
          <w:tcPr>
            <w:tcW w:w="3531" w:type="dxa"/>
            <w:gridSpan w:val="9"/>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m:oMath>
              <m:sSub>
                <m:sSubPr>
                  <m:ctrlPr>
                    <w:rPr>
                      <w:rFonts w:ascii="Cambria Math" w:hAnsi="Cambria Math"/>
                      <w:i/>
                      <w:color w:val="000000"/>
                    </w:rPr>
                  </m:ctrlPr>
                </m:sSubPr>
                <m:e>
                  <m:r>
                    <m:rPr/>
                    <w:rPr>
                      <w:rFonts w:ascii="Cambria Math" w:hAnsi="Cambria Math"/>
                      <w:color w:val="000000"/>
                    </w:rPr>
                    <m:t>C</m:t>
                  </m:r>
                  <m:ctrlPr>
                    <w:rPr>
                      <w:rFonts w:ascii="Cambria Math" w:hAnsi="Cambria Math"/>
                      <w:i/>
                      <w:color w:val="000000"/>
                    </w:rPr>
                  </m:ctrlPr>
                </m:e>
                <m:sub>
                  <m:r>
                    <m:rPr>
                      <m:sty m:val="p"/>
                    </m:rPr>
                    <w:rPr>
                      <w:rFonts w:hint="eastAsia" w:ascii="Cambria Math" w:hAnsi="Cambria Math"/>
                      <w:color w:val="000000"/>
                    </w:rPr>
                    <m:t>叠加</m:t>
                  </m:r>
                  <m:ctrlPr>
                    <w:rPr>
                      <w:rFonts w:ascii="Cambria Math" w:hAnsi="Cambria Math"/>
                      <w:i/>
                      <w:color w:val="000000"/>
                    </w:rPr>
                  </m:ctrlPr>
                </m:sub>
              </m:sSub>
            </m:oMath>
            <w:r>
              <w:rPr>
                <w:rFonts w:hint="eastAsia" w:ascii="Times New Roman" w:hAnsi="Times New Roman" w:eastAsia="宋体" w:cs="Times New Roman"/>
                <w:color w:val="000000"/>
                <w:kern w:val="2"/>
                <w:sz w:val="18"/>
                <w:szCs w:val="21"/>
                <w:lang w:val="en-US" w:eastAsia="zh-CN" w:bidi="ar-SA"/>
              </w:rPr>
              <w:t>不达标</w:t>
            </w:r>
            <w:r>
              <w:rPr>
                <w:rFonts w:ascii="Times New Roman" w:hAnsi="Times New Roman" w:eastAsia="宋体" w:cs="Times New Roman"/>
                <w:color w:val="000000"/>
                <w:kern w:val="2"/>
                <w:sz w:val="18"/>
                <w:szCs w:val="21"/>
                <w:lang w:val="en-US" w:eastAsia="zh-CN" w:bidi="ar-SA"/>
              </w:rPr>
              <w:t xml:space="preserve"> </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29" w:type="dxa"/>
            <w:vMerge w:val="continue"/>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区域环境质量的整体变化情况</w:t>
            </w:r>
          </w:p>
        </w:tc>
        <w:tc>
          <w:tcPr>
            <w:tcW w:w="3167" w:type="dxa"/>
            <w:gridSpan w:val="10"/>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ascii="Times New Roman" w:hAnsi="Times New Roman" w:eastAsia="宋体" w:cs="Times New Roman"/>
                <w:i/>
                <w:color w:val="000000"/>
                <w:kern w:val="2"/>
                <w:sz w:val="18"/>
                <w:szCs w:val="21"/>
                <w:lang w:val="en-US" w:eastAsia="zh-CN" w:bidi="ar-SA"/>
              </w:rPr>
              <w:t xml:space="preserve">k </w:t>
            </w:r>
            <w:r>
              <w:rPr>
                <w:rFonts w:hint="eastAsia" w:ascii="仿宋" w:hAnsi="仿宋" w:eastAsia="仿宋"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-20% </w:t>
            </w:r>
            <w:r>
              <w:rPr>
                <w:rFonts w:hint="eastAsia" w:ascii="仿宋" w:hAnsi="仿宋" w:eastAsia="仿宋" w:cs="Times New Roman"/>
                <w:color w:val="000000"/>
                <w:kern w:val="2"/>
                <w:sz w:val="18"/>
                <w:szCs w:val="21"/>
                <w:lang w:val="en-US" w:eastAsia="zh-CN" w:bidi="ar-SA"/>
              </w:rPr>
              <w:sym w:font="Wingdings 2" w:char="00A3"/>
            </w:r>
          </w:p>
        </w:tc>
        <w:tc>
          <w:tcPr>
            <w:tcW w:w="3531" w:type="dxa"/>
            <w:gridSpan w:val="9"/>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ascii="Times New Roman" w:hAnsi="Times New Roman" w:eastAsia="宋体" w:cs="Times New Roman"/>
                <w:i/>
                <w:color w:val="000000"/>
                <w:kern w:val="2"/>
                <w:sz w:val="18"/>
                <w:szCs w:val="21"/>
                <w:lang w:val="en-US" w:eastAsia="zh-CN" w:bidi="ar-SA"/>
              </w:rPr>
              <w:t>k</w:t>
            </w:r>
            <w:r>
              <w:rPr>
                <w:rFonts w:ascii="Times New Roman" w:hAnsi="Times New Roman" w:eastAsia="宋体" w:cs="Times New Roman"/>
                <w:color w:val="000000"/>
                <w:kern w:val="2"/>
                <w:sz w:val="18"/>
                <w:szCs w:val="21"/>
                <w:lang w:val="en-US" w:eastAsia="zh-CN" w:bidi="ar-SA"/>
              </w:rPr>
              <w:t xml:space="preserve"> </w:t>
            </w:r>
            <w:r>
              <w:rPr>
                <w:rFonts w:hint="eastAsia" w:ascii="仿宋" w:hAnsi="仿宋" w:eastAsia="仿宋"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-20% </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29" w:type="dxa"/>
            <w:vMerge w:val="restart"/>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环境监测</w:t>
            </w:r>
            <w:r>
              <w:rPr>
                <w:rFonts w:ascii="Times New Roman" w:hAnsi="Times New Roman" w:eastAsia="宋体" w:cs="Times New Roman"/>
                <w:color w:val="000000"/>
                <w:kern w:val="2"/>
                <w:sz w:val="18"/>
                <w:szCs w:val="21"/>
                <w:lang w:val="en-US" w:eastAsia="zh-CN" w:bidi="ar-SA"/>
              </w:rPr>
              <w:br w:type="textWrapping"/>
            </w:r>
            <w:r>
              <w:rPr>
                <w:rFonts w:hint="eastAsia" w:ascii="Times New Roman" w:hAnsi="Times New Roman" w:eastAsia="宋体" w:cs="Times New Roman"/>
                <w:color w:val="000000"/>
                <w:kern w:val="2"/>
                <w:sz w:val="18"/>
                <w:szCs w:val="21"/>
                <w:lang w:val="en-US" w:eastAsia="zh-CN" w:bidi="ar-SA"/>
              </w:rPr>
              <w:t>计划</w:t>
            </w: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污染源监测</w:t>
            </w:r>
          </w:p>
        </w:tc>
        <w:tc>
          <w:tcPr>
            <w:tcW w:w="2935" w:type="dxa"/>
            <w:gridSpan w:val="8"/>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监测因子：（颗粒物</w:t>
            </w:r>
            <w:r>
              <w:rPr>
                <w:rFonts w:ascii="Times New Roman" w:hAnsi="Times New Roman" w:eastAsia="宋体" w:cs="Times New Roman"/>
                <w:color w:val="000000"/>
                <w:kern w:val="2"/>
                <w:sz w:val="18"/>
                <w:szCs w:val="21"/>
                <w:lang w:val="en-US" w:eastAsia="zh-CN" w:bidi="ar-SA"/>
              </w:rPr>
              <w:t xml:space="preserve"> </w:t>
            </w:r>
            <w:r>
              <w:rPr>
                <w:rFonts w:hint="eastAsia" w:ascii="Times New Roman" w:hAnsi="Times New Roman" w:eastAsia="宋体" w:cs="Times New Roman"/>
                <w:color w:val="000000"/>
                <w:kern w:val="2"/>
                <w:sz w:val="18"/>
                <w:szCs w:val="21"/>
                <w:lang w:val="en-US" w:eastAsia="zh-CN" w:bidi="ar-SA"/>
              </w:rPr>
              <w:t>）</w:t>
            </w:r>
          </w:p>
        </w:tc>
        <w:tc>
          <w:tcPr>
            <w:tcW w:w="2494" w:type="dxa"/>
            <w:gridSpan w:val="9"/>
            <w:vAlign w:val="center"/>
          </w:tcPr>
          <w:p>
            <w:pPr>
              <w:snapToGrid w:val="0"/>
              <w:spacing w:before="0" w:beforeLines="0" w:after="0" w:afterLines="0" w:line="260" w:lineRule="atLeast"/>
              <w:jc w:val="center"/>
              <w:rPr>
                <w:rFonts w:hint="eastAsia" w:ascii="Times New Roman" w:hAnsi="Times New Roman" w:eastAsia="仿宋"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 xml:space="preserve">有组织废气监测 </w:t>
            </w:r>
            <w:r>
              <w:rPr>
                <w:rFonts w:hint="eastAsia" w:ascii="仿宋" w:hAnsi="仿宋" w:eastAsia="仿宋"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    </w:t>
            </w:r>
            <w:r>
              <w:rPr>
                <w:rFonts w:ascii="Times New Roman" w:hAnsi="Times New Roman" w:eastAsia="宋体" w:cs="Times New Roman"/>
                <w:color w:val="000000"/>
                <w:kern w:val="2"/>
                <w:sz w:val="18"/>
                <w:szCs w:val="21"/>
                <w:lang w:val="en-US" w:eastAsia="zh-CN" w:bidi="ar-SA"/>
              </w:rPr>
              <w:br w:type="textWrapping"/>
            </w:r>
            <w:r>
              <w:rPr>
                <w:rFonts w:hint="eastAsia" w:ascii="Times New Roman" w:hAnsi="Times New Roman" w:eastAsia="宋体" w:cs="Times New Roman"/>
                <w:color w:val="000000"/>
                <w:kern w:val="2"/>
                <w:sz w:val="18"/>
                <w:szCs w:val="21"/>
                <w:lang w:val="en-US" w:eastAsia="zh-CN" w:bidi="ar-SA"/>
              </w:rPr>
              <w:t xml:space="preserve">无组织废气监测 </w:t>
            </w:r>
            <w:r>
              <w:rPr>
                <w:rFonts w:hint="eastAsia" w:ascii="仿宋" w:hAnsi="仿宋" w:eastAsia="仿宋" w:cs="Times New Roman"/>
                <w:color w:val="000000"/>
                <w:kern w:val="2"/>
                <w:sz w:val="18"/>
                <w:szCs w:val="21"/>
                <w:lang w:val="en-US" w:eastAsia="zh-CN" w:bidi="ar-SA"/>
              </w:rPr>
              <w:t>□</w:t>
            </w:r>
          </w:p>
        </w:tc>
        <w:tc>
          <w:tcPr>
            <w:tcW w:w="1269" w:type="dxa"/>
            <w:gridSpan w:val="2"/>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无监测</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29" w:type="dxa"/>
            <w:vMerge w:val="continue"/>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环境质量监测</w:t>
            </w:r>
          </w:p>
        </w:tc>
        <w:tc>
          <w:tcPr>
            <w:tcW w:w="2935" w:type="dxa"/>
            <w:gridSpan w:val="8"/>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监测因子：（</w:t>
            </w:r>
            <w:r>
              <w:rPr>
                <w:rFonts w:ascii="Times New Roman" w:hAnsi="Times New Roman" w:eastAsia="宋体" w:cs="Times New Roman"/>
                <w:color w:val="000000"/>
                <w:kern w:val="2"/>
                <w:sz w:val="18"/>
                <w:szCs w:val="21"/>
                <w:lang w:val="en-US" w:eastAsia="zh-CN" w:bidi="ar-SA"/>
              </w:rPr>
              <w:t xml:space="preserve">             </w:t>
            </w:r>
            <w:r>
              <w:rPr>
                <w:rFonts w:hint="eastAsia" w:ascii="Times New Roman" w:hAnsi="Times New Roman" w:eastAsia="宋体" w:cs="Times New Roman"/>
                <w:color w:val="000000"/>
                <w:kern w:val="2"/>
                <w:sz w:val="18"/>
                <w:szCs w:val="21"/>
                <w:lang w:val="en-US" w:eastAsia="zh-CN" w:bidi="ar-SA"/>
              </w:rPr>
              <w:t>）</w:t>
            </w:r>
          </w:p>
        </w:tc>
        <w:tc>
          <w:tcPr>
            <w:tcW w:w="2494" w:type="dxa"/>
            <w:gridSpan w:val="9"/>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监测点位数（</w:t>
            </w:r>
            <w:r>
              <w:rPr>
                <w:rFonts w:ascii="Times New Roman" w:hAnsi="Times New Roman" w:eastAsia="宋体" w:cs="Times New Roman"/>
                <w:color w:val="000000"/>
                <w:kern w:val="2"/>
                <w:sz w:val="18"/>
                <w:szCs w:val="21"/>
                <w:lang w:val="en-US" w:eastAsia="zh-CN" w:bidi="ar-SA"/>
              </w:rPr>
              <w:t xml:space="preserve">     </w:t>
            </w:r>
            <w:r>
              <w:rPr>
                <w:rFonts w:hint="eastAsia" w:ascii="Times New Roman" w:hAnsi="Times New Roman" w:eastAsia="宋体" w:cs="Times New Roman"/>
                <w:color w:val="000000"/>
                <w:kern w:val="2"/>
                <w:sz w:val="18"/>
                <w:szCs w:val="21"/>
                <w:lang w:val="en-US" w:eastAsia="zh-CN" w:bidi="ar-SA"/>
              </w:rPr>
              <w:t>）</w:t>
            </w:r>
          </w:p>
        </w:tc>
        <w:tc>
          <w:tcPr>
            <w:tcW w:w="1269" w:type="dxa"/>
            <w:gridSpan w:val="2"/>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无监测</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trPr>
        <w:tc>
          <w:tcPr>
            <w:tcW w:w="1029" w:type="dxa"/>
            <w:vMerge w:val="restart"/>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评价结论</w:t>
            </w: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环境影响</w:t>
            </w:r>
          </w:p>
        </w:tc>
        <w:tc>
          <w:tcPr>
            <w:tcW w:w="6698" w:type="dxa"/>
            <w:gridSpan w:val="19"/>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可以接受</w:t>
            </w:r>
            <w:r>
              <w:rPr>
                <w:rFonts w:ascii="Times New Roman" w:hAnsi="Times New Roman" w:eastAsia="宋体" w:cs="Times New Roman"/>
                <w:color w:val="000000"/>
                <w:kern w:val="2"/>
                <w:sz w:val="18"/>
                <w:szCs w:val="21"/>
                <w:lang w:val="en-US" w:eastAsia="zh-CN" w:bidi="ar-SA"/>
              </w:rPr>
              <w:t xml:space="preserve"> </w:t>
            </w:r>
            <w:r>
              <w:rPr>
                <w:rFonts w:hint="eastAsia" w:ascii="仿宋" w:hAnsi="仿宋" w:eastAsia="仿宋"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       </w:t>
            </w:r>
            <w:r>
              <w:rPr>
                <w:rFonts w:hint="eastAsia" w:ascii="Times New Roman" w:hAnsi="Times New Roman" w:eastAsia="宋体" w:cs="Times New Roman"/>
                <w:color w:val="000000"/>
                <w:kern w:val="2"/>
                <w:sz w:val="18"/>
                <w:szCs w:val="21"/>
                <w:lang w:val="en-US" w:eastAsia="zh-CN" w:bidi="ar-SA"/>
              </w:rPr>
              <w:t>不可以接受</w:t>
            </w:r>
            <w:r>
              <w:rPr>
                <w:rFonts w:ascii="Times New Roman" w:hAnsi="Times New Roman" w:eastAsia="宋体" w:cs="Times New Roman"/>
                <w:color w:val="000000"/>
                <w:kern w:val="2"/>
                <w:sz w:val="18"/>
                <w:szCs w:val="21"/>
                <w:lang w:val="en-US" w:eastAsia="zh-CN" w:bidi="ar-SA"/>
              </w:rPr>
              <w:t xml:space="preserve"> </w:t>
            </w:r>
            <w:r>
              <w:rPr>
                <w:rFonts w:hint="eastAsia" w:ascii="仿宋" w:hAnsi="仿宋" w:eastAsia="仿宋" w:cs="Times New Roman"/>
                <w:color w:val="000000"/>
                <w:kern w:val="2"/>
                <w:sz w:val="18"/>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8" w:hRule="atLeast"/>
        </w:trPr>
        <w:tc>
          <w:tcPr>
            <w:tcW w:w="1029" w:type="dxa"/>
            <w:vMerge w:val="continue"/>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大气环境防护距离</w:t>
            </w:r>
          </w:p>
        </w:tc>
        <w:tc>
          <w:tcPr>
            <w:tcW w:w="6698" w:type="dxa"/>
            <w:gridSpan w:val="19"/>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距（</w:t>
            </w:r>
            <w:r>
              <w:rPr>
                <w:rFonts w:ascii="Times New Roman" w:hAnsi="Times New Roman" w:eastAsia="宋体" w:cs="Times New Roman"/>
                <w:color w:val="000000"/>
                <w:kern w:val="2"/>
                <w:sz w:val="18"/>
                <w:szCs w:val="21"/>
                <w:lang w:val="en-US" w:eastAsia="zh-CN" w:bidi="ar-SA"/>
              </w:rPr>
              <w:t xml:space="preserve">  </w:t>
            </w:r>
            <w:r>
              <w:rPr>
                <w:rFonts w:hint="eastAsia" w:ascii="Times New Roman" w:hAnsi="Times New Roman" w:eastAsia="宋体"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 </w:t>
            </w:r>
            <w:r>
              <w:rPr>
                <w:rFonts w:hint="eastAsia" w:ascii="Times New Roman" w:hAnsi="Times New Roman" w:eastAsia="宋体" w:cs="Times New Roman"/>
                <w:color w:val="000000"/>
                <w:kern w:val="2"/>
                <w:sz w:val="18"/>
                <w:szCs w:val="21"/>
                <w:lang w:val="en-US" w:eastAsia="zh-CN" w:bidi="ar-SA"/>
              </w:rPr>
              <w:t>）厂界最远（/</w:t>
            </w:r>
            <w:r>
              <w:rPr>
                <w:rFonts w:ascii="Times New Roman" w:hAnsi="Times New Roman" w:eastAsia="宋体" w:cs="Times New Roman"/>
                <w:color w:val="000000"/>
                <w:kern w:val="2"/>
                <w:sz w:val="18"/>
                <w:szCs w:val="21"/>
                <w:lang w:val="en-US" w:eastAsia="zh-CN" w:bidi="ar-SA"/>
              </w:rPr>
              <w:t xml:space="preserve">  </w:t>
            </w:r>
            <w:r>
              <w:rPr>
                <w:rFonts w:hint="eastAsia" w:ascii="Times New Roman" w:hAnsi="Times New Roman" w:eastAsia="宋体"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29" w:type="dxa"/>
            <w:vMerge w:val="continue"/>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p>
        </w:tc>
        <w:tc>
          <w:tcPr>
            <w:tcW w:w="1772" w:type="dxa"/>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污染源年排放量</w:t>
            </w:r>
          </w:p>
        </w:tc>
        <w:tc>
          <w:tcPr>
            <w:tcW w:w="1811" w:type="dxa"/>
            <w:gridSpan w:val="4"/>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ascii="Times New Roman" w:hAnsi="Times New Roman" w:eastAsia="宋体" w:cs="Times New Roman"/>
                <w:color w:val="000000"/>
                <w:kern w:val="2"/>
                <w:sz w:val="18"/>
                <w:szCs w:val="21"/>
                <w:lang w:val="en-US" w:eastAsia="zh-CN" w:bidi="ar-SA"/>
              </w:rPr>
              <w:t>SO</w:t>
            </w:r>
            <w:r>
              <w:rPr>
                <w:rFonts w:ascii="Times New Roman" w:hAnsi="Times New Roman" w:eastAsia="宋体" w:cs="Times New Roman"/>
                <w:color w:val="000000"/>
                <w:kern w:val="2"/>
                <w:sz w:val="18"/>
                <w:szCs w:val="21"/>
                <w:vertAlign w:val="subscript"/>
                <w:lang w:val="en-US" w:eastAsia="zh-CN" w:bidi="ar-SA"/>
              </w:rPr>
              <w:t>2</w:t>
            </w:r>
            <w:r>
              <w:rPr>
                <w:rFonts w:ascii="Times New Roman" w:hAnsi="Times New Roman" w:eastAsia="宋体" w:cs="Times New Roman"/>
                <w:color w:val="000000"/>
                <w:kern w:val="2"/>
                <w:sz w:val="18"/>
                <w:szCs w:val="21"/>
                <w:lang w:val="en-US" w:eastAsia="zh-CN" w:bidi="ar-SA"/>
              </w:rPr>
              <w:t>:</w:t>
            </w:r>
            <w:r>
              <w:rPr>
                <w:rFonts w:hint="eastAsia" w:ascii="Times New Roman" w:hAnsi="Times New Roman" w:eastAsia="宋体" w:cs="Times New Roman"/>
                <w:color w:val="000000"/>
                <w:kern w:val="2"/>
                <w:sz w:val="18"/>
                <w:szCs w:val="21"/>
                <w:lang w:val="en-US" w:eastAsia="zh-CN" w:bidi="ar-SA"/>
              </w:rPr>
              <w:t>（</w:t>
            </w:r>
            <w:r>
              <w:rPr>
                <w:rFonts w:hint="eastAsia" w:ascii="Times New Roman" w:hAnsi="Times New Roman" w:cs="Times New Roman"/>
                <w:color w:val="000000"/>
                <w:kern w:val="2"/>
                <w:sz w:val="18"/>
                <w:szCs w:val="21"/>
                <w:lang w:val="en-US" w:eastAsia="zh-CN" w:bidi="ar-SA"/>
              </w:rPr>
              <w:t>0.695</w:t>
            </w:r>
            <w:r>
              <w:rPr>
                <w:rFonts w:hint="eastAsia" w:ascii="Times New Roman" w:hAnsi="Times New Roman" w:eastAsia="宋体"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t/a</w:t>
            </w:r>
          </w:p>
        </w:tc>
        <w:tc>
          <w:tcPr>
            <w:tcW w:w="1897" w:type="dxa"/>
            <w:gridSpan w:val="7"/>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ascii="Times New Roman" w:hAnsi="Times New Roman" w:eastAsia="宋体" w:cs="Times New Roman"/>
                <w:color w:val="000000"/>
                <w:kern w:val="2"/>
                <w:sz w:val="18"/>
                <w:szCs w:val="21"/>
                <w:lang w:val="en-US" w:eastAsia="zh-CN" w:bidi="ar-SA"/>
              </w:rPr>
              <w:t>NO</w:t>
            </w:r>
            <w:r>
              <w:rPr>
                <w:rFonts w:ascii="Times New Roman" w:hAnsi="Times New Roman" w:eastAsia="宋体" w:cs="Times New Roman"/>
                <w:color w:val="000000"/>
                <w:kern w:val="2"/>
                <w:sz w:val="18"/>
                <w:szCs w:val="21"/>
                <w:vertAlign w:val="subscript"/>
                <w:lang w:val="en-US" w:eastAsia="zh-CN" w:bidi="ar-SA"/>
              </w:rPr>
              <w:t>x</w:t>
            </w:r>
            <w:r>
              <w:rPr>
                <w:rFonts w:ascii="Times New Roman" w:hAnsi="Times New Roman" w:eastAsia="宋体" w:cs="Times New Roman"/>
                <w:color w:val="000000"/>
                <w:kern w:val="2"/>
                <w:sz w:val="18"/>
                <w:szCs w:val="21"/>
                <w:lang w:val="en-US" w:eastAsia="zh-CN" w:bidi="ar-SA"/>
              </w:rPr>
              <w:t>:</w:t>
            </w:r>
            <w:r>
              <w:rPr>
                <w:rFonts w:hint="eastAsia" w:ascii="Times New Roman" w:hAnsi="Times New Roman" w:eastAsia="宋体" w:cs="Times New Roman"/>
                <w:color w:val="000000"/>
                <w:kern w:val="2"/>
                <w:sz w:val="18"/>
                <w:szCs w:val="21"/>
                <w:lang w:val="en-US" w:eastAsia="zh-CN" w:bidi="ar-SA"/>
              </w:rPr>
              <w:t>（</w:t>
            </w:r>
            <w:r>
              <w:rPr>
                <w:rFonts w:hint="eastAsia" w:ascii="Times New Roman" w:hAnsi="Times New Roman" w:cs="Times New Roman"/>
                <w:color w:val="000000"/>
                <w:kern w:val="2"/>
                <w:sz w:val="18"/>
                <w:szCs w:val="21"/>
                <w:lang w:val="en-US" w:eastAsia="zh-CN" w:bidi="ar-SA"/>
              </w:rPr>
              <w:t>6.212</w:t>
            </w:r>
            <w:r>
              <w:rPr>
                <w:rFonts w:hint="eastAsia" w:ascii="Times New Roman" w:hAnsi="Times New Roman" w:eastAsia="宋体"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t/a</w:t>
            </w:r>
          </w:p>
        </w:tc>
        <w:tc>
          <w:tcPr>
            <w:tcW w:w="1474" w:type="dxa"/>
            <w:gridSpan w:val="5"/>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颗粒物</w:t>
            </w:r>
            <w:r>
              <w:rPr>
                <w:rFonts w:ascii="Times New Roman" w:hAnsi="Times New Roman" w:eastAsia="宋体" w:cs="Times New Roman"/>
                <w:color w:val="000000"/>
                <w:kern w:val="2"/>
                <w:sz w:val="18"/>
                <w:szCs w:val="21"/>
                <w:lang w:val="en-US" w:eastAsia="zh-CN" w:bidi="ar-SA"/>
              </w:rPr>
              <w:t>:</w:t>
            </w:r>
            <w:r>
              <w:rPr>
                <w:rFonts w:hint="eastAsia" w:ascii="Times New Roman" w:hAnsi="Times New Roman" w:eastAsia="宋体" w:cs="Times New Roman"/>
                <w:color w:val="000000"/>
                <w:kern w:val="2"/>
                <w:sz w:val="18"/>
                <w:szCs w:val="21"/>
                <w:lang w:val="en-US" w:eastAsia="zh-CN" w:bidi="ar-SA"/>
              </w:rPr>
              <w:t>（</w:t>
            </w:r>
            <w:r>
              <w:rPr>
                <w:rFonts w:hint="eastAsia" w:ascii="Times New Roman" w:hAnsi="Times New Roman" w:cs="Times New Roman"/>
                <w:color w:val="000000"/>
                <w:kern w:val="2"/>
                <w:sz w:val="18"/>
                <w:szCs w:val="21"/>
                <w:lang w:val="en-US" w:eastAsia="zh-CN" w:bidi="ar-SA"/>
              </w:rPr>
              <w:t>0.50009</w:t>
            </w:r>
            <w:r>
              <w:rPr>
                <w:rFonts w:hint="eastAsia" w:ascii="Times New Roman" w:hAnsi="Times New Roman" w:eastAsia="宋体"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t/a</w:t>
            </w:r>
          </w:p>
        </w:tc>
        <w:tc>
          <w:tcPr>
            <w:tcW w:w="1516" w:type="dxa"/>
            <w:gridSpan w:val="3"/>
            <w:vAlign w:val="center"/>
          </w:tcPr>
          <w:p>
            <w:pPr>
              <w:snapToGrid w:val="0"/>
              <w:spacing w:before="0" w:beforeLines="0" w:after="0" w:afterLines="0" w:line="260" w:lineRule="atLeast"/>
              <w:jc w:val="center"/>
              <w:rPr>
                <w:rFonts w:ascii="Times New Roman" w:hAnsi="Times New Roman" w:eastAsia="宋体" w:cs="Times New Roman"/>
                <w:color w:val="000000"/>
                <w:kern w:val="2"/>
                <w:sz w:val="18"/>
                <w:szCs w:val="21"/>
                <w:lang w:val="en-US" w:eastAsia="zh-CN" w:bidi="ar-SA"/>
              </w:rPr>
            </w:pPr>
            <w:r>
              <w:rPr>
                <w:rFonts w:ascii="Times New Roman" w:hAnsi="Times New Roman" w:eastAsia="宋体" w:cs="Times New Roman"/>
                <w:color w:val="000000"/>
                <w:kern w:val="2"/>
                <w:sz w:val="18"/>
                <w:szCs w:val="21"/>
                <w:lang w:val="en-US" w:eastAsia="zh-CN" w:bidi="ar-SA"/>
              </w:rPr>
              <w:t>VOC</w:t>
            </w:r>
            <w:r>
              <w:rPr>
                <w:rFonts w:ascii="Times New Roman" w:hAnsi="Times New Roman" w:eastAsia="宋体" w:cs="Times New Roman"/>
                <w:color w:val="000000"/>
                <w:kern w:val="2"/>
                <w:sz w:val="18"/>
                <w:szCs w:val="21"/>
                <w:vertAlign w:val="subscript"/>
                <w:lang w:val="en-US" w:eastAsia="zh-CN" w:bidi="ar-SA"/>
              </w:rPr>
              <w:t>s</w:t>
            </w:r>
            <w:r>
              <w:rPr>
                <w:rFonts w:ascii="Times New Roman" w:hAnsi="Times New Roman" w:eastAsia="宋体" w:cs="Times New Roman"/>
                <w:color w:val="000000"/>
                <w:kern w:val="2"/>
                <w:sz w:val="18"/>
                <w:szCs w:val="21"/>
                <w:lang w:val="en-US" w:eastAsia="zh-CN" w:bidi="ar-SA"/>
              </w:rPr>
              <w:t>:</w:t>
            </w:r>
            <w:r>
              <w:rPr>
                <w:rFonts w:hint="eastAsia" w:ascii="Times New Roman" w:hAnsi="Times New Roman" w:eastAsia="宋体" w:cs="Times New Roman"/>
                <w:color w:val="000000"/>
                <w:kern w:val="2"/>
                <w:sz w:val="18"/>
                <w:szCs w:val="21"/>
                <w:lang w:val="en-US" w:eastAsia="zh-CN" w:bidi="ar-SA"/>
              </w:rPr>
              <w:t>（</w:t>
            </w:r>
            <w:r>
              <w:rPr>
                <w:rFonts w:hint="eastAsia" w:ascii="Times New Roman" w:hAnsi="Times New Roman" w:cs="Times New Roman"/>
                <w:color w:val="000000"/>
                <w:kern w:val="2"/>
                <w:sz w:val="18"/>
                <w:szCs w:val="21"/>
                <w:lang w:val="en-US" w:eastAsia="zh-CN" w:bidi="ar-SA"/>
              </w:rPr>
              <w:t>/</w:t>
            </w:r>
            <w:r>
              <w:rPr>
                <w:rFonts w:hint="eastAsia" w:ascii="Times New Roman" w:hAnsi="Times New Roman" w:eastAsia="宋体"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1" w:hRule="atLeast"/>
        </w:trPr>
        <w:tc>
          <w:tcPr>
            <w:tcW w:w="9499" w:type="dxa"/>
            <w:gridSpan w:val="21"/>
            <w:vAlign w:val="center"/>
          </w:tcPr>
          <w:p>
            <w:pPr>
              <w:snapToGrid w:val="0"/>
              <w:spacing w:before="0" w:beforeLines="0" w:after="0" w:afterLines="0" w:line="260" w:lineRule="atLeast"/>
              <w:jc w:val="left"/>
              <w:rPr>
                <w:rFonts w:ascii="Times New Roman" w:hAnsi="Times New Roman" w:eastAsia="宋体" w:cs="Times New Roman"/>
                <w:color w:val="000000"/>
                <w:kern w:val="2"/>
                <w:sz w:val="18"/>
                <w:szCs w:val="21"/>
                <w:lang w:val="en-US" w:eastAsia="zh-CN" w:bidi="ar-SA"/>
              </w:rPr>
            </w:pPr>
            <w:r>
              <w:rPr>
                <w:rFonts w:hint="eastAsia" w:ascii="Times New Roman" w:hAnsi="Times New Roman" w:eastAsia="宋体" w:cs="Times New Roman"/>
                <w:color w:val="000000"/>
                <w:kern w:val="2"/>
                <w:sz w:val="18"/>
                <w:szCs w:val="21"/>
                <w:lang w:val="en-US" w:eastAsia="zh-CN" w:bidi="ar-SA"/>
              </w:rPr>
              <w:t>注：“</w:t>
            </w:r>
            <w:r>
              <w:rPr>
                <w:rFonts w:hint="eastAsia" w:ascii="仿宋" w:hAnsi="仿宋" w:eastAsia="仿宋" w:cs="Times New Roman"/>
                <w:color w:val="000000"/>
                <w:kern w:val="2"/>
                <w:sz w:val="18"/>
                <w:szCs w:val="21"/>
                <w:lang w:val="en-US" w:eastAsia="zh-CN" w:bidi="ar-SA"/>
              </w:rPr>
              <w:t>□</w:t>
            </w:r>
            <w:r>
              <w:rPr>
                <w:rFonts w:hint="eastAsia" w:ascii="Times New Roman" w:hAnsi="Times New Roman" w:eastAsia="宋体"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 </w:t>
            </w:r>
            <w:r>
              <w:rPr>
                <w:rFonts w:hint="eastAsia" w:ascii="Times New Roman" w:hAnsi="Times New Roman" w:eastAsia="宋体" w:cs="Times New Roman"/>
                <w:color w:val="000000"/>
                <w:kern w:val="2"/>
                <w:sz w:val="18"/>
                <w:szCs w:val="21"/>
                <w:lang w:val="en-US" w:eastAsia="zh-CN" w:bidi="ar-SA"/>
              </w:rPr>
              <w:t>为勾选项</w:t>
            </w:r>
            <w:r>
              <w:rPr>
                <w:rFonts w:ascii="Times New Roman" w:hAnsi="Times New Roman" w:eastAsia="宋体" w:cs="Times New Roman"/>
                <w:color w:val="000000"/>
                <w:kern w:val="2"/>
                <w:sz w:val="18"/>
                <w:szCs w:val="21"/>
                <w:lang w:val="en-US" w:eastAsia="zh-CN" w:bidi="ar-SA"/>
              </w:rPr>
              <w:t xml:space="preserve"> </w:t>
            </w:r>
            <w:r>
              <w:rPr>
                <w:rFonts w:hint="eastAsia" w:ascii="Times New Roman" w:hAnsi="Times New Roman" w:eastAsia="宋体" w:cs="Times New Roman"/>
                <w:color w:val="000000"/>
                <w:kern w:val="2"/>
                <w:sz w:val="18"/>
                <w:szCs w:val="21"/>
                <w:lang w:val="en-US" w:eastAsia="zh-CN" w:bidi="ar-SA"/>
              </w:rPr>
              <w:t>，填“√”</w:t>
            </w:r>
            <w:r>
              <w:rPr>
                <w:rFonts w:ascii="Times New Roman" w:hAnsi="Times New Roman" w:eastAsia="宋体" w:cs="Times New Roman"/>
                <w:color w:val="000000"/>
                <w:kern w:val="2"/>
                <w:sz w:val="18"/>
                <w:szCs w:val="21"/>
                <w:lang w:val="en-US" w:eastAsia="zh-CN" w:bidi="ar-SA"/>
              </w:rPr>
              <w:t xml:space="preserve"> </w:t>
            </w:r>
            <w:r>
              <w:rPr>
                <w:rFonts w:hint="eastAsia" w:ascii="Times New Roman" w:hAnsi="Times New Roman" w:eastAsia="宋体"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w:t>
            </w:r>
            <w:r>
              <w:rPr>
                <w:rFonts w:hint="eastAsia" w:ascii="Times New Roman" w:hAnsi="Times New Roman" w:eastAsia="宋体"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   </w:t>
            </w:r>
            <w:r>
              <w:rPr>
                <w:rFonts w:hint="eastAsia" w:ascii="Times New Roman" w:hAnsi="Times New Roman" w:eastAsia="宋体" w:cs="Times New Roman"/>
                <w:color w:val="000000"/>
                <w:kern w:val="2"/>
                <w:sz w:val="18"/>
                <w:szCs w:val="21"/>
                <w:lang w:val="en-US" w:eastAsia="zh-CN" w:bidi="ar-SA"/>
              </w:rPr>
              <w:t>）</w:t>
            </w:r>
            <w:r>
              <w:rPr>
                <w:rFonts w:ascii="Times New Roman" w:hAnsi="Times New Roman" w:eastAsia="宋体" w:cs="Times New Roman"/>
                <w:color w:val="000000"/>
                <w:kern w:val="2"/>
                <w:sz w:val="18"/>
                <w:szCs w:val="21"/>
                <w:lang w:val="en-US" w:eastAsia="zh-CN" w:bidi="ar-SA"/>
              </w:rPr>
              <w:t xml:space="preserve">” </w:t>
            </w:r>
            <w:r>
              <w:rPr>
                <w:rFonts w:hint="eastAsia" w:ascii="Times New Roman" w:hAnsi="Times New Roman" w:eastAsia="宋体" w:cs="Times New Roman"/>
                <w:color w:val="000000"/>
                <w:kern w:val="2"/>
                <w:sz w:val="18"/>
                <w:szCs w:val="21"/>
                <w:lang w:val="en-US" w:eastAsia="zh-CN" w:bidi="ar-SA"/>
              </w:rPr>
              <w:t>为内容填写项</w:t>
            </w:r>
          </w:p>
        </w:tc>
      </w:tr>
    </w:tbl>
    <w:p>
      <w:pPr>
        <w:adjustRightInd w:val="0"/>
        <w:ind w:firstLine="420"/>
        <w:jc w:val="center"/>
        <w:rPr>
          <w:rFonts w:hint="eastAsia" w:ascii="Times New Roman" w:hAnsi="Times New Roman" w:cs="Times New Roman"/>
          <w:kern w:val="21"/>
          <w:szCs w:val="20"/>
        </w:rPr>
      </w:pPr>
      <w:r>
        <w:rPr>
          <w:rFonts w:hint="eastAsia" w:ascii="Times New Roman" w:hAnsi="Times New Roman" w:cs="Times New Roman"/>
          <w:kern w:val="21"/>
          <w:szCs w:val="20"/>
        </w:rPr>
        <w:t>————</w:t>
      </w:r>
    </w:p>
    <w:p>
      <w:pPr>
        <w:jc w:val="center"/>
        <w:rPr>
          <w:rFonts w:hint="eastAsia"/>
        </w:rPr>
        <w:sectPr>
          <w:footerReference r:id="rId5" w:type="default"/>
          <w:headerReference r:id="rId4" w:type="even"/>
          <w:pgSz w:w="11906" w:h="16838"/>
          <w:pgMar w:top="1985" w:right="1134" w:bottom="1418" w:left="1418" w:header="1418" w:footer="1134" w:gutter="0"/>
          <w:pgNumType w:fmt="decimal"/>
          <w:cols w:space="425" w:num="1"/>
          <w:docGrid w:type="linesAndChars" w:linePitch="312" w:charSpace="0"/>
        </w:sectPr>
      </w:pPr>
    </w:p>
    <w:p>
      <w:pPr>
        <w:bidi w:val="0"/>
        <w:jc w:val="center"/>
        <w:rPr>
          <w:rFonts w:hint="eastAsia" w:cs="Times New Roman"/>
          <w:b/>
          <w:bCs/>
          <w:sz w:val="32"/>
          <w:szCs w:val="32"/>
          <w:lang w:val="en-US" w:eastAsia="zh-CN"/>
        </w:rPr>
      </w:pPr>
      <w:r>
        <w:rPr>
          <w:rFonts w:hint="eastAsia" w:cs="Times New Roman"/>
          <w:b/>
          <w:bCs/>
          <w:sz w:val="32"/>
          <w:szCs w:val="32"/>
          <w:lang w:val="en-US" w:eastAsia="zh-CN"/>
        </w:rPr>
        <w:t>建设项目地表水环境影响评价自查表</w:t>
      </w:r>
    </w:p>
    <w:tbl>
      <w:tblPr>
        <w:tblStyle w:val="20"/>
        <w:tblW w:w="142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7"/>
        <w:gridCol w:w="2985"/>
        <w:gridCol w:w="2145"/>
        <w:gridCol w:w="710"/>
        <w:gridCol w:w="720"/>
        <w:gridCol w:w="715"/>
        <w:gridCol w:w="1281"/>
        <w:gridCol w:w="864"/>
        <w:gridCol w:w="715"/>
        <w:gridCol w:w="1380"/>
        <w:gridCol w:w="50"/>
        <w:gridCol w:w="664"/>
        <w:gridCol w:w="14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492" w:type="dxa"/>
            <w:gridSpan w:val="2"/>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工作内容</w:t>
            </w:r>
          </w:p>
        </w:tc>
        <w:tc>
          <w:tcPr>
            <w:tcW w:w="10726" w:type="dxa"/>
            <w:gridSpan w:val="11"/>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restart"/>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影</w:t>
            </w:r>
            <w:r>
              <w:rPr>
                <w:rFonts w:hint="eastAsia" w:ascii="Calibri" w:hAnsi="Calibri" w:cs="Calibri"/>
                <w:kern w:val="21"/>
                <w:szCs w:val="21"/>
                <w:lang w:eastAsia="zh-CN"/>
              </w:rPr>
              <w:t>影</w:t>
            </w:r>
            <w:r>
              <w:rPr>
                <w:rFonts w:hint="eastAsia" w:ascii="Calibri" w:hAnsi="Calibri" w:cs="Calibri"/>
                <w:kern w:val="21"/>
                <w:szCs w:val="21"/>
              </w:rPr>
              <w:t>响识别</w:t>
            </w: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影响类型</w:t>
            </w:r>
          </w:p>
        </w:tc>
        <w:tc>
          <w:tcPr>
            <w:tcW w:w="10726" w:type="dxa"/>
            <w:gridSpan w:val="11"/>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水污染影响型</w:t>
            </w:r>
            <w:r>
              <w:rPr>
                <w:rFonts w:hint="eastAsia" w:ascii="仿宋" w:hAnsi="仿宋" w:eastAsia="仿宋" w:cs="Times New Roman"/>
                <w:color w:val="000000"/>
                <w:kern w:val="21"/>
                <w:szCs w:val="20"/>
                <w:lang w:eastAsia="zh-CN"/>
              </w:rPr>
              <w:t>☑</w:t>
            </w:r>
            <w:r>
              <w:rPr>
                <w:rFonts w:hint="eastAsia" w:ascii="Calibri" w:hAnsi="Calibri" w:cs="Calibri"/>
                <w:kern w:val="21"/>
                <w:szCs w:val="21"/>
              </w:rPr>
              <w:t>；水文要素影响型</w:t>
            </w:r>
            <w:r>
              <w:rPr>
                <w:rFonts w:ascii="Segoe UI Symbol" w:hAnsi="Segoe UI Symbol" w:eastAsia="MS Gothic" w:cs="Segoe UI Symbol"/>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水环境保护目标</w:t>
            </w:r>
          </w:p>
        </w:tc>
        <w:tc>
          <w:tcPr>
            <w:tcW w:w="10726" w:type="dxa"/>
            <w:gridSpan w:val="11"/>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饮用水水源保护区</w:t>
            </w:r>
            <w:r>
              <w:rPr>
                <w:rFonts w:ascii="Segoe UI Symbol" w:hAnsi="Segoe UI Symbol" w:eastAsia="MS Gothic" w:cs="Segoe UI Symbol"/>
                <w:kern w:val="21"/>
                <w:szCs w:val="21"/>
              </w:rPr>
              <w:t>☐</w:t>
            </w:r>
            <w:r>
              <w:rPr>
                <w:rFonts w:hint="eastAsia" w:ascii="Calibri" w:hAnsi="Calibri" w:cs="Calibri"/>
                <w:kern w:val="21"/>
                <w:szCs w:val="21"/>
              </w:rPr>
              <w:t>；饮用水取水口；涉水的自然保护区</w:t>
            </w:r>
            <w:r>
              <w:rPr>
                <w:rFonts w:ascii="Segoe UI Symbol" w:hAnsi="Segoe UI Symbol" w:eastAsia="MS Gothic" w:cs="Segoe UI Symbol"/>
                <w:kern w:val="21"/>
                <w:szCs w:val="21"/>
              </w:rPr>
              <w:t>☐</w:t>
            </w:r>
            <w:r>
              <w:rPr>
                <w:rFonts w:hint="eastAsia" w:ascii="Calibri" w:hAnsi="Calibri" w:cs="Calibri"/>
                <w:kern w:val="21"/>
                <w:szCs w:val="21"/>
              </w:rPr>
              <w:t>；重要湿地</w:t>
            </w:r>
            <w:r>
              <w:rPr>
                <w:rFonts w:ascii="Segoe UI Symbol" w:hAnsi="Segoe UI Symbol" w:eastAsia="MS Gothic" w:cs="Segoe UI Symbol"/>
                <w:kern w:val="21"/>
                <w:szCs w:val="21"/>
              </w:rPr>
              <w:t>☐</w:t>
            </w:r>
            <w:r>
              <w:rPr>
                <w:rFonts w:hint="eastAsia" w:ascii="Calibri" w:hAnsi="Calibri" w:cs="Calibri"/>
                <w:kern w:val="21"/>
                <w:szCs w:val="21"/>
              </w:rPr>
              <w:t>；</w:t>
            </w:r>
          </w:p>
          <w:p>
            <w:pPr>
              <w:adjustRightInd w:val="0"/>
              <w:snapToGrid w:val="0"/>
              <w:ind w:firstLine="420"/>
              <w:rPr>
                <w:rFonts w:hint="eastAsia" w:ascii="Calibri" w:hAnsi="Calibri" w:eastAsia="仿宋" w:cs="Calibri"/>
                <w:kern w:val="21"/>
                <w:szCs w:val="21"/>
                <w:lang w:eastAsia="zh-CN"/>
              </w:rPr>
            </w:pPr>
            <w:r>
              <w:rPr>
                <w:rFonts w:hint="eastAsia" w:ascii="Calibri" w:hAnsi="Calibri" w:cs="Calibri"/>
                <w:kern w:val="21"/>
                <w:szCs w:val="21"/>
              </w:rPr>
              <w:t>重点保护与珍稀水生生物的栖息地</w:t>
            </w:r>
            <w:r>
              <w:rPr>
                <w:rFonts w:ascii="Segoe UI Symbol" w:hAnsi="Segoe UI Symbol" w:eastAsia="MS Gothic" w:cs="Segoe UI Symbol"/>
                <w:kern w:val="21"/>
                <w:szCs w:val="21"/>
              </w:rPr>
              <w:t>☐</w:t>
            </w:r>
            <w:r>
              <w:rPr>
                <w:rFonts w:hint="eastAsia" w:ascii="Calibri" w:hAnsi="Calibri" w:cs="Calibri"/>
                <w:kern w:val="21"/>
                <w:szCs w:val="21"/>
              </w:rPr>
              <w:t>；重要水生生物的自然产卵场及索饵场、越冬场和洄游通道、天然渔场等渔业水体</w:t>
            </w:r>
            <w:r>
              <w:rPr>
                <w:rFonts w:ascii="Segoe UI Symbol" w:hAnsi="Segoe UI Symbol" w:eastAsia="MS Gothic" w:cs="Segoe UI Symbol"/>
                <w:kern w:val="21"/>
                <w:szCs w:val="21"/>
              </w:rPr>
              <w:t>☐</w:t>
            </w:r>
            <w:r>
              <w:rPr>
                <w:rFonts w:hint="eastAsia" w:ascii="Calibri" w:hAnsi="Calibri" w:cs="Calibri"/>
                <w:kern w:val="21"/>
                <w:szCs w:val="21"/>
              </w:rPr>
              <w:t>；涉水的风景名胜区</w:t>
            </w:r>
            <w:r>
              <w:rPr>
                <w:rFonts w:ascii="Segoe UI Symbol" w:hAnsi="Segoe UI Symbol" w:eastAsia="MS Gothic" w:cs="Segoe UI Symbol"/>
                <w:kern w:val="21"/>
                <w:szCs w:val="21"/>
              </w:rPr>
              <w:t>☐</w:t>
            </w:r>
            <w:r>
              <w:rPr>
                <w:rFonts w:hint="eastAsia" w:ascii="Calibri" w:hAnsi="Calibri" w:cs="Calibri"/>
                <w:kern w:val="21"/>
                <w:szCs w:val="21"/>
              </w:rPr>
              <w:t>；其他</w:t>
            </w:r>
            <w:r>
              <w:rPr>
                <w:rFonts w:hint="eastAsia" w:ascii="仿宋" w:hAnsi="仿宋" w:eastAsia="仿宋" w:cs="Times New Roman"/>
                <w:color w:val="000000"/>
                <w:kern w:val="21"/>
                <w:szCs w:val="20"/>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restart"/>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影响途径</w:t>
            </w:r>
          </w:p>
        </w:tc>
        <w:tc>
          <w:tcPr>
            <w:tcW w:w="5571" w:type="dxa"/>
            <w:gridSpan w:val="5"/>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水污染影响型</w:t>
            </w:r>
          </w:p>
        </w:tc>
        <w:tc>
          <w:tcPr>
            <w:tcW w:w="5155" w:type="dxa"/>
            <w:gridSpan w:val="6"/>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5571" w:type="dxa"/>
            <w:gridSpan w:val="5"/>
            <w:tcBorders>
              <w:tl2br w:val="nil"/>
              <w:tr2bl w:val="nil"/>
            </w:tcBorders>
            <w:vAlign w:val="center"/>
          </w:tcPr>
          <w:p>
            <w:pPr>
              <w:adjustRightInd w:val="0"/>
              <w:snapToGrid w:val="0"/>
              <w:ind w:firstLine="420"/>
              <w:rPr>
                <w:rFonts w:hint="eastAsia" w:ascii="Calibri" w:hAnsi="Calibri" w:eastAsia="仿宋" w:cs="Calibri"/>
                <w:kern w:val="21"/>
                <w:szCs w:val="21"/>
                <w:lang w:eastAsia="zh-CN"/>
              </w:rPr>
            </w:pPr>
            <w:r>
              <w:rPr>
                <w:rFonts w:hint="eastAsia" w:ascii="Calibri" w:hAnsi="Calibri" w:cs="Calibri"/>
                <w:kern w:val="21"/>
                <w:szCs w:val="21"/>
              </w:rPr>
              <w:t>直接排放</w:t>
            </w:r>
            <w:r>
              <w:rPr>
                <w:rFonts w:ascii="Segoe UI Symbol" w:hAnsi="Segoe UI Symbol" w:eastAsia="MS Gothic" w:cs="Segoe UI Symbol"/>
                <w:kern w:val="21"/>
                <w:szCs w:val="21"/>
              </w:rPr>
              <w:t>☐</w:t>
            </w:r>
            <w:r>
              <w:rPr>
                <w:rFonts w:hint="eastAsia" w:ascii="Calibri" w:hAnsi="Calibri" w:cs="Calibri"/>
                <w:kern w:val="21"/>
                <w:szCs w:val="21"/>
              </w:rPr>
              <w:t>；间接排放</w:t>
            </w:r>
            <w:r>
              <w:rPr>
                <w:rFonts w:hint="eastAsia" w:ascii="仿宋" w:hAnsi="仿宋" w:eastAsia="仿宋" w:cs="Times New Roman"/>
                <w:color w:val="000000"/>
                <w:kern w:val="21"/>
                <w:szCs w:val="20"/>
                <w:lang w:eastAsia="zh-CN"/>
              </w:rPr>
              <w:t>☑</w:t>
            </w:r>
            <w:r>
              <w:rPr>
                <w:rFonts w:hint="eastAsia" w:ascii="Calibri" w:hAnsi="Calibri" w:cs="Calibri"/>
                <w:kern w:val="21"/>
                <w:szCs w:val="21"/>
              </w:rPr>
              <w:t>；其他</w:t>
            </w:r>
            <w:r>
              <w:rPr>
                <w:rFonts w:hint="eastAsia" w:ascii="仿宋" w:hAnsi="仿宋" w:eastAsia="仿宋" w:cs="Times New Roman"/>
                <w:color w:val="000000"/>
                <w:kern w:val="21"/>
                <w:szCs w:val="20"/>
                <w:lang w:eastAsia="zh-CN"/>
              </w:rPr>
              <w:t>□</w:t>
            </w:r>
          </w:p>
        </w:tc>
        <w:tc>
          <w:tcPr>
            <w:tcW w:w="5155" w:type="dxa"/>
            <w:gridSpan w:val="6"/>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水温</w:t>
            </w:r>
            <w:r>
              <w:rPr>
                <w:rFonts w:ascii="Segoe UI Symbol" w:hAnsi="Segoe UI Symbol" w:eastAsia="MS Gothic" w:cs="Segoe UI Symbol"/>
                <w:kern w:val="21"/>
                <w:szCs w:val="21"/>
              </w:rPr>
              <w:t>☐</w:t>
            </w:r>
            <w:r>
              <w:rPr>
                <w:rFonts w:hint="eastAsia" w:ascii="Calibri" w:hAnsi="Calibri" w:cs="Calibri"/>
                <w:kern w:val="21"/>
                <w:szCs w:val="21"/>
              </w:rPr>
              <w:t>；径流</w:t>
            </w:r>
            <w:r>
              <w:rPr>
                <w:rFonts w:ascii="Segoe UI Symbol" w:hAnsi="Segoe UI Symbol" w:eastAsia="MS Gothic" w:cs="Segoe UI Symbol"/>
                <w:kern w:val="21"/>
                <w:szCs w:val="21"/>
              </w:rPr>
              <w:t>☐</w:t>
            </w:r>
            <w:r>
              <w:rPr>
                <w:rFonts w:hint="eastAsia" w:ascii="Calibri" w:hAnsi="Calibri" w:cs="Calibri"/>
                <w:kern w:val="21"/>
                <w:szCs w:val="21"/>
              </w:rPr>
              <w:t>；水域面积</w:t>
            </w:r>
            <w:r>
              <w:rPr>
                <w:rFonts w:ascii="Segoe UI Symbol" w:hAnsi="Segoe UI Symbol" w:eastAsia="MS Gothic" w:cs="Segoe UI Symbol"/>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影响因子</w:t>
            </w:r>
          </w:p>
        </w:tc>
        <w:tc>
          <w:tcPr>
            <w:tcW w:w="5571" w:type="dxa"/>
            <w:gridSpan w:val="5"/>
            <w:tcBorders>
              <w:tl2br w:val="nil"/>
              <w:tr2bl w:val="nil"/>
            </w:tcBorders>
            <w:vAlign w:val="center"/>
          </w:tcPr>
          <w:p>
            <w:pPr>
              <w:adjustRightInd w:val="0"/>
              <w:snapToGrid w:val="0"/>
              <w:ind w:firstLine="420"/>
              <w:rPr>
                <w:rFonts w:hint="eastAsia" w:ascii="Calibri" w:hAnsi="Calibri" w:eastAsia="仿宋" w:cs="Calibri"/>
                <w:kern w:val="21"/>
                <w:szCs w:val="21"/>
                <w:lang w:eastAsia="zh-CN"/>
              </w:rPr>
            </w:pPr>
            <w:r>
              <w:rPr>
                <w:rFonts w:hint="eastAsia" w:ascii="Calibri" w:hAnsi="Calibri" w:cs="Calibri"/>
                <w:kern w:val="21"/>
                <w:szCs w:val="21"/>
              </w:rPr>
              <w:t>持久性污染物</w:t>
            </w:r>
            <w:r>
              <w:rPr>
                <w:rFonts w:ascii="Segoe UI Symbol" w:hAnsi="Segoe UI Symbol" w:eastAsia="MS Gothic" w:cs="Segoe UI Symbol"/>
                <w:kern w:val="21"/>
                <w:szCs w:val="21"/>
              </w:rPr>
              <w:t>☐</w:t>
            </w:r>
            <w:r>
              <w:rPr>
                <w:rFonts w:hint="eastAsia" w:ascii="Calibri" w:hAnsi="Calibri" w:cs="Calibri"/>
                <w:kern w:val="21"/>
                <w:szCs w:val="21"/>
              </w:rPr>
              <w:t>；有毒有害污染物</w:t>
            </w:r>
            <w:r>
              <w:rPr>
                <w:rFonts w:ascii="Segoe UI Symbol" w:hAnsi="Segoe UI Symbol" w:eastAsia="MS Gothic" w:cs="Segoe UI Symbol"/>
                <w:kern w:val="21"/>
                <w:szCs w:val="21"/>
              </w:rPr>
              <w:t>☐</w:t>
            </w:r>
            <w:r>
              <w:rPr>
                <w:rFonts w:hint="eastAsia" w:ascii="Calibri" w:hAnsi="Calibri" w:cs="Calibri"/>
                <w:kern w:val="21"/>
                <w:szCs w:val="21"/>
              </w:rPr>
              <w:t>；非持久性污染物</w:t>
            </w:r>
            <w:r>
              <w:rPr>
                <w:rFonts w:ascii="Segoe UI Symbol" w:hAnsi="Segoe UI Symbol" w:eastAsia="MS Gothic" w:cs="Segoe UI Symbol"/>
                <w:kern w:val="21"/>
                <w:szCs w:val="21"/>
              </w:rPr>
              <w:t>☐</w:t>
            </w:r>
            <w:r>
              <w:rPr>
                <w:rFonts w:ascii="Wingdings 2" w:hAnsi="Wingdings 2" w:eastAsia="MS Gothic" w:cs="Segoe UI Symbol"/>
                <w:kern w:val="21"/>
                <w:szCs w:val="21"/>
              </w:rPr>
              <w:t></w:t>
            </w:r>
            <w:r>
              <w:rPr>
                <w:rFonts w:hint="eastAsia" w:ascii="Calibri" w:hAnsi="Calibri" w:cs="Calibri"/>
                <w:kern w:val="21"/>
                <w:szCs w:val="21"/>
              </w:rPr>
              <w:t>；pH值</w:t>
            </w:r>
            <w:r>
              <w:rPr>
                <w:rFonts w:ascii="Segoe UI Symbol" w:hAnsi="Segoe UI Symbol" w:eastAsia="MS Gothic" w:cs="Segoe UI Symbol"/>
                <w:kern w:val="21"/>
                <w:szCs w:val="21"/>
              </w:rPr>
              <w:t>☐</w:t>
            </w:r>
            <w:r>
              <w:rPr>
                <w:rFonts w:hint="eastAsia" w:ascii="Calibri" w:hAnsi="Calibri" w:cs="Calibri"/>
                <w:kern w:val="21"/>
                <w:szCs w:val="21"/>
              </w:rPr>
              <w:t>；热污染</w:t>
            </w:r>
            <w:r>
              <w:rPr>
                <w:rFonts w:ascii="Segoe UI Symbol" w:hAnsi="Segoe UI Symbol" w:eastAsia="MS Gothic" w:cs="Segoe UI Symbol"/>
                <w:kern w:val="21"/>
                <w:szCs w:val="21"/>
              </w:rPr>
              <w:t>☐</w:t>
            </w:r>
            <w:r>
              <w:rPr>
                <w:rFonts w:hint="eastAsia" w:ascii="Calibri" w:hAnsi="Calibri" w:cs="Calibri"/>
                <w:kern w:val="21"/>
                <w:szCs w:val="21"/>
              </w:rPr>
              <w:t>；富营养化</w:t>
            </w:r>
            <w:r>
              <w:rPr>
                <w:rFonts w:ascii="Segoe UI Symbol" w:hAnsi="Segoe UI Symbol" w:eastAsia="MS Gothic" w:cs="Segoe UI Symbol"/>
                <w:kern w:val="21"/>
                <w:szCs w:val="21"/>
              </w:rPr>
              <w:t>☐</w:t>
            </w:r>
            <w:r>
              <w:rPr>
                <w:rFonts w:hint="eastAsia" w:ascii="Calibri" w:hAnsi="Calibri" w:cs="Calibri"/>
                <w:kern w:val="21"/>
                <w:szCs w:val="21"/>
              </w:rPr>
              <w:t>；其他</w:t>
            </w:r>
            <w:r>
              <w:rPr>
                <w:rFonts w:hint="eastAsia" w:ascii="仿宋" w:hAnsi="仿宋" w:eastAsia="仿宋" w:cs="Times New Roman"/>
                <w:color w:val="000000"/>
                <w:kern w:val="21"/>
                <w:szCs w:val="20"/>
                <w:lang w:eastAsia="zh-CN"/>
              </w:rPr>
              <w:t>☑</w:t>
            </w:r>
          </w:p>
        </w:tc>
        <w:tc>
          <w:tcPr>
            <w:tcW w:w="5155" w:type="dxa"/>
            <w:gridSpan w:val="6"/>
            <w:tcBorders>
              <w:tl2br w:val="nil"/>
              <w:tr2bl w:val="nil"/>
            </w:tcBorders>
            <w:vAlign w:val="center"/>
          </w:tcPr>
          <w:p>
            <w:pPr>
              <w:adjustRightInd w:val="0"/>
              <w:snapToGrid w:val="0"/>
              <w:ind w:firstLine="420"/>
              <w:rPr>
                <w:rFonts w:ascii="Calibri" w:hAnsi="Calibri" w:eastAsia="宋体" w:cs="Calibri"/>
                <w:kern w:val="21"/>
                <w:szCs w:val="21"/>
              </w:rPr>
            </w:pPr>
            <w:r>
              <w:rPr>
                <w:rFonts w:hint="eastAsia" w:ascii="Calibri" w:hAnsi="Calibri" w:cs="Calibri"/>
                <w:kern w:val="21"/>
                <w:szCs w:val="21"/>
              </w:rPr>
              <w:t>水温</w:t>
            </w:r>
            <w:r>
              <w:rPr>
                <w:rFonts w:ascii="Segoe UI Symbol" w:hAnsi="Segoe UI Symbol" w:eastAsia="MS Gothic" w:cs="Segoe UI Symbol"/>
                <w:kern w:val="21"/>
                <w:szCs w:val="21"/>
              </w:rPr>
              <w:t>☐</w:t>
            </w:r>
            <w:r>
              <w:rPr>
                <w:rFonts w:hint="eastAsia" w:ascii="Calibri" w:hAnsi="Calibri" w:cs="Calibri"/>
                <w:kern w:val="21"/>
                <w:szCs w:val="21"/>
              </w:rPr>
              <w:t>；水位（水深）</w:t>
            </w:r>
            <w:r>
              <w:rPr>
                <w:rFonts w:ascii="Segoe UI Symbol" w:hAnsi="Segoe UI Symbol" w:eastAsia="MS Gothic" w:cs="Segoe UI Symbol"/>
                <w:kern w:val="21"/>
                <w:szCs w:val="21"/>
              </w:rPr>
              <w:t>☐</w:t>
            </w:r>
            <w:r>
              <w:rPr>
                <w:rFonts w:hint="eastAsia" w:ascii="Calibri" w:hAnsi="Calibri" w:cs="Calibri"/>
                <w:kern w:val="21"/>
                <w:szCs w:val="21"/>
              </w:rPr>
              <w:t>；流速</w:t>
            </w:r>
            <w:r>
              <w:rPr>
                <w:rFonts w:ascii="Segoe UI Symbol" w:hAnsi="Segoe UI Symbol" w:eastAsia="MS Gothic" w:cs="Segoe UI Symbol"/>
                <w:kern w:val="21"/>
                <w:szCs w:val="21"/>
              </w:rPr>
              <w:t>☐</w:t>
            </w:r>
            <w:r>
              <w:rPr>
                <w:rFonts w:hint="eastAsia" w:ascii="Calibri" w:hAnsi="Calibri" w:cs="Calibri"/>
                <w:kern w:val="21"/>
                <w:szCs w:val="21"/>
              </w:rPr>
              <w:t>；流量</w:t>
            </w:r>
            <w:r>
              <w:rPr>
                <w:rFonts w:ascii="Segoe UI Symbol" w:hAnsi="Segoe UI Symbol" w:eastAsia="MS Gothic" w:cs="Segoe UI Symbol"/>
                <w:kern w:val="21"/>
                <w:szCs w:val="21"/>
              </w:rPr>
              <w:t>☐</w:t>
            </w:r>
            <w:r>
              <w:rPr>
                <w:rFonts w:hint="eastAsia" w:ascii="Calibri" w:hAnsi="Calibri" w:cs="Calibri"/>
                <w:kern w:val="21"/>
                <w:szCs w:val="21"/>
              </w:rPr>
              <w:t>；其他</w:t>
            </w:r>
            <w:r>
              <w:rPr>
                <w:rFonts w:ascii="Segoe UI Symbol" w:hAnsi="Segoe UI Symbol" w:eastAsia="MS Gothic" w:cs="Segoe UI Symbol"/>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492" w:type="dxa"/>
            <w:gridSpan w:val="2"/>
            <w:vMerge w:val="restart"/>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评价等级</w:t>
            </w:r>
          </w:p>
        </w:tc>
        <w:tc>
          <w:tcPr>
            <w:tcW w:w="5571" w:type="dxa"/>
            <w:gridSpan w:val="5"/>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水污染影响型</w:t>
            </w:r>
          </w:p>
        </w:tc>
        <w:tc>
          <w:tcPr>
            <w:tcW w:w="5155" w:type="dxa"/>
            <w:gridSpan w:val="6"/>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492" w:type="dxa"/>
            <w:gridSpan w:val="2"/>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5571" w:type="dxa"/>
            <w:gridSpan w:val="5"/>
            <w:tcBorders>
              <w:tl2br w:val="nil"/>
              <w:tr2bl w:val="nil"/>
            </w:tcBorders>
            <w:vAlign w:val="center"/>
          </w:tcPr>
          <w:p>
            <w:pPr>
              <w:adjustRightInd w:val="0"/>
              <w:snapToGrid w:val="0"/>
              <w:ind w:firstLine="420"/>
              <w:rPr>
                <w:rFonts w:hint="eastAsia" w:ascii="Calibri" w:hAnsi="Calibri" w:eastAsia="仿宋" w:cs="Calibri"/>
                <w:kern w:val="21"/>
                <w:szCs w:val="21"/>
                <w:lang w:eastAsia="zh-CN"/>
              </w:rPr>
            </w:pPr>
            <w:r>
              <w:rPr>
                <w:rFonts w:hint="eastAsia" w:ascii="Calibri" w:hAnsi="Calibri" w:cs="Calibri"/>
                <w:kern w:val="21"/>
                <w:szCs w:val="21"/>
              </w:rPr>
              <w:t>一级</w:t>
            </w:r>
            <w:r>
              <w:rPr>
                <w:rFonts w:ascii="Segoe UI Symbol" w:hAnsi="Segoe UI Symbol" w:eastAsia="MS Gothic" w:cs="Segoe UI Symbol"/>
                <w:kern w:val="21"/>
                <w:szCs w:val="21"/>
              </w:rPr>
              <w:t>☐</w:t>
            </w:r>
            <w:r>
              <w:rPr>
                <w:rFonts w:hint="eastAsia" w:ascii="Calibri" w:hAnsi="Calibri" w:cs="Calibri"/>
                <w:kern w:val="21"/>
                <w:szCs w:val="21"/>
              </w:rPr>
              <w:t>；二级</w:t>
            </w:r>
            <w:r>
              <w:rPr>
                <w:rFonts w:ascii="Segoe UI Symbol" w:hAnsi="Segoe UI Symbol" w:eastAsia="MS Gothic" w:cs="Segoe UI Symbol"/>
                <w:kern w:val="21"/>
                <w:szCs w:val="21"/>
              </w:rPr>
              <w:t>☐</w:t>
            </w:r>
            <w:r>
              <w:rPr>
                <w:rFonts w:hint="eastAsia" w:ascii="Calibri" w:hAnsi="Calibri" w:cs="Calibri"/>
                <w:kern w:val="21"/>
                <w:szCs w:val="21"/>
              </w:rPr>
              <w:t>；三级A</w:t>
            </w:r>
            <w:r>
              <w:rPr>
                <w:rFonts w:ascii="Segoe UI Symbol" w:hAnsi="Segoe UI Symbol" w:eastAsia="MS Gothic" w:cs="Segoe UI Symbol"/>
                <w:kern w:val="21"/>
                <w:szCs w:val="21"/>
              </w:rPr>
              <w:t>☐</w:t>
            </w:r>
            <w:r>
              <w:rPr>
                <w:rFonts w:hint="eastAsia" w:ascii="Calibri" w:hAnsi="Calibri" w:cs="Calibri"/>
                <w:kern w:val="21"/>
                <w:szCs w:val="21"/>
              </w:rPr>
              <w:t>；三级B</w:t>
            </w:r>
            <w:r>
              <w:rPr>
                <w:rFonts w:hint="eastAsia" w:ascii="仿宋" w:hAnsi="仿宋" w:eastAsia="仿宋" w:cs="Times New Roman"/>
                <w:color w:val="000000"/>
                <w:kern w:val="21"/>
                <w:szCs w:val="20"/>
                <w:lang w:eastAsia="zh-CN"/>
              </w:rPr>
              <w:t>☑</w:t>
            </w:r>
          </w:p>
        </w:tc>
        <w:tc>
          <w:tcPr>
            <w:tcW w:w="5155" w:type="dxa"/>
            <w:gridSpan w:val="6"/>
            <w:tcBorders>
              <w:tl2br w:val="nil"/>
              <w:tr2bl w:val="nil"/>
            </w:tcBorders>
            <w:vAlign w:val="center"/>
          </w:tcPr>
          <w:p>
            <w:pPr>
              <w:adjustRightInd w:val="0"/>
              <w:snapToGrid w:val="0"/>
              <w:ind w:firstLine="420"/>
              <w:rPr>
                <w:rFonts w:ascii="Calibri" w:hAnsi="Calibri" w:eastAsia="宋体" w:cs="Calibri"/>
                <w:kern w:val="21"/>
                <w:szCs w:val="21"/>
              </w:rPr>
            </w:pPr>
            <w:r>
              <w:rPr>
                <w:rFonts w:hint="eastAsia" w:ascii="Calibri" w:hAnsi="Calibri" w:cs="Calibri"/>
                <w:kern w:val="21"/>
                <w:szCs w:val="21"/>
              </w:rPr>
              <w:t>一级</w:t>
            </w:r>
            <w:r>
              <w:rPr>
                <w:rFonts w:ascii="Segoe UI Symbol" w:hAnsi="Segoe UI Symbol" w:eastAsia="MS Gothic" w:cs="Segoe UI Symbol"/>
                <w:kern w:val="21"/>
                <w:szCs w:val="21"/>
              </w:rPr>
              <w:t>☐</w:t>
            </w:r>
            <w:r>
              <w:rPr>
                <w:rFonts w:hint="eastAsia" w:ascii="Calibri" w:hAnsi="Calibri" w:cs="Calibri"/>
                <w:kern w:val="21"/>
                <w:szCs w:val="21"/>
              </w:rPr>
              <w:t>；二级</w:t>
            </w:r>
            <w:r>
              <w:rPr>
                <w:rFonts w:ascii="Segoe UI Symbol" w:hAnsi="Segoe UI Symbol" w:eastAsia="MS Gothic" w:cs="Segoe UI Symbol"/>
                <w:kern w:val="21"/>
                <w:szCs w:val="21"/>
              </w:rPr>
              <w:t>☐</w:t>
            </w:r>
            <w:r>
              <w:rPr>
                <w:rFonts w:hint="eastAsia" w:ascii="Calibri" w:hAnsi="Calibri" w:cs="Calibri"/>
                <w:kern w:val="21"/>
                <w:szCs w:val="21"/>
              </w:rPr>
              <w:t>；三级</w:t>
            </w:r>
            <w:r>
              <w:rPr>
                <w:rFonts w:ascii="Segoe UI Symbol" w:hAnsi="Segoe UI Symbol" w:eastAsia="MS Gothic" w:cs="Segoe UI Symbol"/>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restart"/>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现</w:t>
            </w:r>
            <w:r>
              <w:rPr>
                <w:rFonts w:hint="eastAsia" w:ascii="Calibri" w:hAnsi="Calibri" w:cs="Calibri"/>
                <w:kern w:val="21"/>
                <w:szCs w:val="21"/>
                <w:lang w:eastAsia="zh-CN"/>
              </w:rPr>
              <w:t>现</w:t>
            </w:r>
            <w:r>
              <w:rPr>
                <w:rFonts w:hint="eastAsia" w:ascii="Calibri" w:hAnsi="Calibri" w:cs="Calibri"/>
                <w:kern w:val="21"/>
                <w:szCs w:val="21"/>
              </w:rPr>
              <w:t>状调查</w:t>
            </w:r>
          </w:p>
        </w:tc>
        <w:tc>
          <w:tcPr>
            <w:tcW w:w="2985" w:type="dxa"/>
            <w:vMerge w:val="restart"/>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区域污染源</w:t>
            </w:r>
          </w:p>
        </w:tc>
        <w:tc>
          <w:tcPr>
            <w:tcW w:w="5571" w:type="dxa"/>
            <w:gridSpan w:val="5"/>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调查项目</w:t>
            </w:r>
          </w:p>
        </w:tc>
        <w:tc>
          <w:tcPr>
            <w:tcW w:w="5155" w:type="dxa"/>
            <w:gridSpan w:val="6"/>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855" w:type="dxa"/>
            <w:gridSpan w:val="2"/>
            <w:tcBorders>
              <w:tl2br w:val="nil"/>
              <w:tr2bl w:val="nil"/>
            </w:tcBorders>
            <w:vAlign w:val="center"/>
          </w:tcPr>
          <w:p>
            <w:pPr>
              <w:adjustRightInd w:val="0"/>
              <w:snapToGrid w:val="0"/>
              <w:rPr>
                <w:rFonts w:ascii="Calibri" w:hAnsi="Calibri" w:eastAsia="宋体" w:cs="Calibri"/>
                <w:kern w:val="21"/>
                <w:szCs w:val="21"/>
              </w:rPr>
            </w:pPr>
            <w:r>
              <w:rPr>
                <w:rFonts w:hint="eastAsia" w:ascii="Calibri" w:hAnsi="Calibri" w:cs="Calibri"/>
                <w:kern w:val="21"/>
                <w:szCs w:val="21"/>
              </w:rPr>
              <w:t>已建</w:t>
            </w:r>
            <w:r>
              <w:rPr>
                <w:rFonts w:ascii="Segoe UI Symbol" w:hAnsi="Segoe UI Symbol" w:eastAsia="MS Gothic" w:cs="Segoe UI Symbol"/>
                <w:kern w:val="21"/>
                <w:szCs w:val="21"/>
              </w:rPr>
              <w:t>☐</w:t>
            </w:r>
            <w:r>
              <w:rPr>
                <w:rFonts w:hint="eastAsia" w:ascii="Calibri" w:hAnsi="Calibri" w:cs="Calibri"/>
                <w:kern w:val="21"/>
                <w:szCs w:val="21"/>
              </w:rPr>
              <w:t>；在建</w:t>
            </w:r>
            <w:r>
              <w:rPr>
                <w:rFonts w:ascii="Segoe UI Symbol" w:hAnsi="Segoe UI Symbol" w:eastAsia="MS Gothic" w:cs="Segoe UI Symbol"/>
                <w:kern w:val="21"/>
                <w:szCs w:val="21"/>
              </w:rPr>
              <w:t>☐</w:t>
            </w:r>
            <w:r>
              <w:rPr>
                <w:rFonts w:hint="eastAsia" w:ascii="Calibri" w:hAnsi="Calibri" w:cs="Calibri"/>
                <w:kern w:val="21"/>
                <w:szCs w:val="21"/>
              </w:rPr>
              <w:t>；拟建</w:t>
            </w:r>
            <w:r>
              <w:rPr>
                <w:rFonts w:ascii="Segoe UI Symbol" w:hAnsi="Segoe UI Symbol" w:eastAsia="MS Gothic" w:cs="Segoe UI Symbol"/>
                <w:kern w:val="21"/>
                <w:szCs w:val="21"/>
              </w:rPr>
              <w:t>☐</w:t>
            </w:r>
            <w:r>
              <w:rPr>
                <w:rFonts w:hint="eastAsia" w:ascii="Calibri" w:hAnsi="Calibri" w:cs="Calibri"/>
                <w:kern w:val="21"/>
                <w:szCs w:val="21"/>
              </w:rPr>
              <w:t>；其他</w:t>
            </w:r>
            <w:r>
              <w:rPr>
                <w:rFonts w:ascii="Segoe UI Symbol" w:hAnsi="Segoe UI Symbol" w:eastAsia="MS Gothic" w:cs="Segoe UI Symbol"/>
                <w:kern w:val="21"/>
                <w:szCs w:val="21"/>
              </w:rPr>
              <w:t>☐</w:t>
            </w:r>
          </w:p>
        </w:tc>
        <w:tc>
          <w:tcPr>
            <w:tcW w:w="2716" w:type="dxa"/>
            <w:gridSpan w:val="3"/>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拟替代的污染源</w:t>
            </w:r>
            <w:r>
              <w:rPr>
                <w:rFonts w:ascii="Segoe UI Symbol" w:hAnsi="Segoe UI Symbol" w:eastAsia="MS Gothic" w:cs="Segoe UI Symbol"/>
                <w:kern w:val="21"/>
                <w:szCs w:val="21"/>
              </w:rPr>
              <w:t>☐</w:t>
            </w:r>
          </w:p>
        </w:tc>
        <w:tc>
          <w:tcPr>
            <w:tcW w:w="5155" w:type="dxa"/>
            <w:gridSpan w:val="6"/>
            <w:tcBorders>
              <w:tl2br w:val="nil"/>
              <w:tr2bl w:val="nil"/>
            </w:tcBorders>
            <w:vAlign w:val="center"/>
          </w:tcPr>
          <w:p>
            <w:pPr>
              <w:adjustRightInd w:val="0"/>
              <w:snapToGrid w:val="0"/>
              <w:ind w:firstLine="420"/>
              <w:rPr>
                <w:rFonts w:ascii="Calibri" w:hAnsi="Calibri" w:eastAsia="宋体" w:cs="Calibri"/>
                <w:kern w:val="21"/>
                <w:szCs w:val="21"/>
              </w:rPr>
            </w:pPr>
            <w:r>
              <w:rPr>
                <w:rFonts w:hint="eastAsia" w:ascii="Calibri" w:hAnsi="Calibri" w:cs="Calibri"/>
                <w:kern w:val="21"/>
                <w:szCs w:val="21"/>
              </w:rPr>
              <w:t>排污许可证</w:t>
            </w:r>
            <w:r>
              <w:rPr>
                <w:rFonts w:ascii="Segoe UI Symbol" w:hAnsi="Segoe UI Symbol" w:eastAsia="MS Gothic" w:cs="Segoe UI Symbol"/>
                <w:kern w:val="21"/>
                <w:szCs w:val="21"/>
              </w:rPr>
              <w:t>☐</w:t>
            </w:r>
            <w:r>
              <w:rPr>
                <w:rFonts w:hint="eastAsia" w:ascii="Calibri" w:hAnsi="Calibri" w:cs="Calibri"/>
                <w:kern w:val="21"/>
                <w:szCs w:val="21"/>
              </w:rPr>
              <w:t>；环评</w:t>
            </w:r>
            <w:r>
              <w:rPr>
                <w:rFonts w:ascii="Segoe UI Symbol" w:hAnsi="Segoe UI Symbol" w:eastAsia="MS Gothic" w:cs="Segoe UI Symbol"/>
                <w:kern w:val="21"/>
                <w:szCs w:val="21"/>
              </w:rPr>
              <w:t>☐</w:t>
            </w:r>
            <w:r>
              <w:rPr>
                <w:rFonts w:hint="eastAsia" w:ascii="Calibri" w:hAnsi="Calibri" w:cs="Calibri"/>
                <w:kern w:val="21"/>
                <w:szCs w:val="21"/>
              </w:rPr>
              <w:t>；环保验收</w:t>
            </w:r>
            <w:r>
              <w:rPr>
                <w:rFonts w:ascii="Segoe UI Symbol" w:hAnsi="Segoe UI Symbol" w:eastAsia="MS Gothic" w:cs="Segoe UI Symbol"/>
                <w:kern w:val="21"/>
                <w:szCs w:val="21"/>
              </w:rPr>
              <w:t>☐</w:t>
            </w:r>
            <w:r>
              <w:rPr>
                <w:rFonts w:hint="eastAsia" w:ascii="Calibri" w:hAnsi="Calibri" w:cs="Calibri"/>
                <w:kern w:val="21"/>
                <w:szCs w:val="21"/>
              </w:rPr>
              <w:t>；既有实测</w:t>
            </w:r>
            <w:r>
              <w:rPr>
                <w:rFonts w:ascii="Segoe UI Symbol" w:hAnsi="Segoe UI Symbol" w:eastAsia="MS Gothic" w:cs="Segoe UI Symbol"/>
                <w:kern w:val="21"/>
                <w:szCs w:val="21"/>
              </w:rPr>
              <w:t>☐</w:t>
            </w:r>
            <w:r>
              <w:rPr>
                <w:rFonts w:hint="eastAsia" w:ascii="Calibri" w:hAnsi="Calibri" w:cs="Calibri"/>
                <w:kern w:val="21"/>
                <w:szCs w:val="21"/>
              </w:rPr>
              <w:t>；现场监测</w:t>
            </w:r>
            <w:r>
              <w:rPr>
                <w:rFonts w:ascii="Segoe UI Symbol" w:hAnsi="Segoe UI Symbol" w:eastAsia="MS Gothic" w:cs="Segoe UI Symbol"/>
                <w:kern w:val="21"/>
                <w:szCs w:val="21"/>
              </w:rPr>
              <w:t>☐</w:t>
            </w:r>
            <w:r>
              <w:rPr>
                <w:rFonts w:hint="eastAsia" w:ascii="Calibri" w:hAnsi="Calibri" w:cs="Calibri"/>
                <w:kern w:val="21"/>
                <w:szCs w:val="21"/>
              </w:rPr>
              <w:t>；入河排放口数据</w:t>
            </w:r>
            <w:r>
              <w:rPr>
                <w:rFonts w:ascii="Segoe UI Symbol" w:hAnsi="Segoe UI Symbol" w:eastAsia="MS Gothic" w:cs="Segoe UI Symbol"/>
                <w:kern w:val="21"/>
                <w:szCs w:val="21"/>
              </w:rPr>
              <w:t>☐</w:t>
            </w:r>
            <w:r>
              <w:rPr>
                <w:rFonts w:hint="eastAsia" w:ascii="Calibri" w:hAnsi="Calibri" w:cs="Calibri"/>
                <w:kern w:val="21"/>
                <w:szCs w:val="21"/>
              </w:rPr>
              <w:t>；其他</w:t>
            </w:r>
            <w:r>
              <w:rPr>
                <w:rFonts w:ascii="Segoe UI Symbol" w:hAnsi="Segoe UI Symbol" w:eastAsia="MS Gothic" w:cs="Segoe UI Symbol"/>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restart"/>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受影响水体水环境质量</w:t>
            </w:r>
          </w:p>
        </w:tc>
        <w:tc>
          <w:tcPr>
            <w:tcW w:w="5571" w:type="dxa"/>
            <w:gridSpan w:val="5"/>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调查时期</w:t>
            </w:r>
          </w:p>
        </w:tc>
        <w:tc>
          <w:tcPr>
            <w:tcW w:w="5155" w:type="dxa"/>
            <w:gridSpan w:val="6"/>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5571" w:type="dxa"/>
            <w:gridSpan w:val="5"/>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丰水期</w:t>
            </w:r>
            <w:r>
              <w:rPr>
                <w:rFonts w:ascii="Segoe UI Symbol" w:hAnsi="Segoe UI Symbol" w:eastAsia="MS Gothic" w:cs="Segoe UI Symbol"/>
                <w:kern w:val="21"/>
                <w:szCs w:val="21"/>
              </w:rPr>
              <w:t>☐</w:t>
            </w:r>
            <w:r>
              <w:rPr>
                <w:rFonts w:hint="eastAsia" w:ascii="Calibri" w:hAnsi="Calibri" w:cs="Calibri"/>
                <w:kern w:val="21"/>
                <w:szCs w:val="21"/>
              </w:rPr>
              <w:t>；平水期</w:t>
            </w:r>
            <w:r>
              <w:rPr>
                <w:rFonts w:ascii="Segoe UI Symbol" w:hAnsi="Segoe UI Symbol" w:eastAsia="MS Gothic" w:cs="Segoe UI Symbol"/>
                <w:kern w:val="21"/>
                <w:szCs w:val="21"/>
              </w:rPr>
              <w:t>☐</w:t>
            </w:r>
            <w:r>
              <w:rPr>
                <w:rFonts w:hint="eastAsia" w:ascii="Calibri" w:hAnsi="Calibri" w:cs="Calibri"/>
                <w:kern w:val="21"/>
                <w:szCs w:val="21"/>
              </w:rPr>
              <w:t>；枯水期</w:t>
            </w:r>
            <w:r>
              <w:rPr>
                <w:rFonts w:ascii="Segoe UI Symbol" w:hAnsi="Segoe UI Symbol" w:eastAsia="MS Gothic" w:cs="Segoe UI Symbol"/>
                <w:kern w:val="21"/>
                <w:szCs w:val="21"/>
              </w:rPr>
              <w:t>☐</w:t>
            </w:r>
            <w:r>
              <w:rPr>
                <w:rFonts w:hint="eastAsia" w:ascii="Calibri" w:hAnsi="Calibri" w:cs="Calibri"/>
                <w:kern w:val="21"/>
                <w:szCs w:val="21"/>
              </w:rPr>
              <w:t>；冰封期</w:t>
            </w:r>
            <w:r>
              <w:rPr>
                <w:rFonts w:ascii="Segoe UI Symbol" w:hAnsi="Segoe UI Symbol" w:eastAsia="MS Gothic" w:cs="Segoe UI Symbol"/>
                <w:kern w:val="21"/>
                <w:szCs w:val="21"/>
              </w:rPr>
              <w:t>☐</w:t>
            </w:r>
          </w:p>
          <w:p>
            <w:pPr>
              <w:adjustRightInd w:val="0"/>
              <w:snapToGrid w:val="0"/>
              <w:ind w:firstLine="420"/>
              <w:rPr>
                <w:rFonts w:ascii="Calibri" w:hAnsi="Calibri" w:eastAsia="宋体" w:cs="Calibri"/>
                <w:kern w:val="21"/>
                <w:szCs w:val="21"/>
              </w:rPr>
            </w:pPr>
            <w:r>
              <w:rPr>
                <w:rFonts w:hint="eastAsia" w:ascii="Calibri" w:hAnsi="Calibri" w:cs="Calibri"/>
                <w:kern w:val="21"/>
                <w:szCs w:val="21"/>
              </w:rPr>
              <w:t>春季</w:t>
            </w:r>
            <w:r>
              <w:rPr>
                <w:rFonts w:ascii="Segoe UI Symbol" w:hAnsi="Segoe UI Symbol" w:eastAsia="MS Gothic" w:cs="Segoe UI Symbol"/>
                <w:kern w:val="21"/>
                <w:szCs w:val="21"/>
              </w:rPr>
              <w:t>☐</w:t>
            </w:r>
            <w:r>
              <w:rPr>
                <w:rFonts w:hint="eastAsia" w:ascii="Calibri" w:hAnsi="Calibri" w:cs="Calibri"/>
                <w:kern w:val="21"/>
                <w:szCs w:val="21"/>
              </w:rPr>
              <w:t>；夏季</w:t>
            </w:r>
            <w:r>
              <w:rPr>
                <w:rFonts w:ascii="Segoe UI Symbol" w:hAnsi="Segoe UI Symbol" w:eastAsia="MS Gothic" w:cs="Segoe UI Symbol"/>
                <w:kern w:val="21"/>
                <w:szCs w:val="21"/>
              </w:rPr>
              <w:t>☐</w:t>
            </w:r>
            <w:r>
              <w:rPr>
                <w:rFonts w:hint="eastAsia" w:ascii="Calibri" w:hAnsi="Calibri" w:cs="Calibri"/>
                <w:kern w:val="21"/>
                <w:szCs w:val="21"/>
              </w:rPr>
              <w:t>；秋季</w:t>
            </w:r>
            <w:r>
              <w:rPr>
                <w:rFonts w:ascii="Segoe UI Symbol" w:hAnsi="Segoe UI Symbol" w:eastAsia="MS Gothic" w:cs="Segoe UI Symbol"/>
                <w:kern w:val="21"/>
                <w:szCs w:val="21"/>
              </w:rPr>
              <w:t>☐</w:t>
            </w:r>
            <w:r>
              <w:rPr>
                <w:rFonts w:hint="eastAsia" w:ascii="Calibri" w:hAnsi="Calibri" w:cs="Calibri"/>
                <w:kern w:val="21"/>
                <w:szCs w:val="21"/>
              </w:rPr>
              <w:t>；冬季</w:t>
            </w:r>
            <w:r>
              <w:rPr>
                <w:rFonts w:ascii="Segoe UI Symbol" w:hAnsi="Segoe UI Symbol" w:eastAsia="MS Gothic" w:cs="Segoe UI Symbol"/>
                <w:kern w:val="21"/>
                <w:szCs w:val="21"/>
              </w:rPr>
              <w:t>☐</w:t>
            </w:r>
          </w:p>
        </w:tc>
        <w:tc>
          <w:tcPr>
            <w:tcW w:w="5155" w:type="dxa"/>
            <w:gridSpan w:val="6"/>
            <w:tcBorders>
              <w:tl2br w:val="nil"/>
              <w:tr2bl w:val="nil"/>
            </w:tcBorders>
            <w:vAlign w:val="center"/>
          </w:tcPr>
          <w:p>
            <w:pPr>
              <w:adjustRightInd w:val="0"/>
              <w:snapToGrid w:val="0"/>
              <w:ind w:firstLine="420"/>
              <w:jc w:val="center"/>
              <w:rPr>
                <w:rFonts w:ascii="Calibri" w:hAnsi="Calibri" w:eastAsia="宋体" w:cs="Calibri"/>
                <w:kern w:val="21"/>
                <w:szCs w:val="21"/>
              </w:rPr>
            </w:pPr>
            <w:r>
              <w:rPr>
                <w:rFonts w:hint="eastAsia" w:ascii="Calibri" w:hAnsi="Calibri" w:cs="Calibri"/>
                <w:kern w:val="21"/>
                <w:szCs w:val="21"/>
              </w:rPr>
              <w:t>生态环境保护主管部门</w:t>
            </w:r>
            <w:r>
              <w:rPr>
                <w:rFonts w:ascii="Segoe UI Symbol" w:hAnsi="Segoe UI Symbol" w:eastAsia="MS Gothic" w:cs="Segoe UI Symbol"/>
                <w:kern w:val="21"/>
                <w:szCs w:val="21"/>
              </w:rPr>
              <w:t>☐</w:t>
            </w:r>
            <w:r>
              <w:rPr>
                <w:rFonts w:hint="eastAsia" w:ascii="Calibri" w:hAnsi="Calibri" w:cs="Calibri"/>
                <w:kern w:val="21"/>
                <w:szCs w:val="21"/>
              </w:rPr>
              <w:t>；补充监测</w:t>
            </w:r>
            <w:r>
              <w:rPr>
                <w:rFonts w:ascii="Segoe UI Symbol" w:hAnsi="Segoe UI Symbol" w:eastAsia="MS Gothic" w:cs="Segoe UI Symbol"/>
                <w:kern w:val="21"/>
                <w:szCs w:val="21"/>
              </w:rPr>
              <w:t>☐</w:t>
            </w:r>
            <w:r>
              <w:rPr>
                <w:rFonts w:hint="eastAsia" w:ascii="Calibri" w:hAnsi="Calibri" w:cs="Calibri"/>
                <w:kern w:val="21"/>
                <w:szCs w:val="21"/>
              </w:rPr>
              <w:t>；其他</w:t>
            </w:r>
            <w:r>
              <w:rPr>
                <w:rFonts w:ascii="Segoe UI Symbol" w:hAnsi="Segoe UI Symbol" w:eastAsia="MS Gothic" w:cs="Segoe UI Symbol"/>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区域水资源开发利用状况</w:t>
            </w:r>
          </w:p>
        </w:tc>
        <w:tc>
          <w:tcPr>
            <w:tcW w:w="10726" w:type="dxa"/>
            <w:gridSpan w:val="11"/>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未开发</w:t>
            </w:r>
            <w:r>
              <w:rPr>
                <w:rFonts w:ascii="Segoe UI Symbol" w:hAnsi="Segoe UI Symbol" w:eastAsia="MS Gothic" w:cs="Segoe UI Symbol"/>
                <w:kern w:val="21"/>
                <w:szCs w:val="21"/>
              </w:rPr>
              <w:t>☐</w:t>
            </w:r>
            <w:r>
              <w:rPr>
                <w:rFonts w:hint="eastAsia" w:ascii="Calibri" w:hAnsi="Calibri" w:cs="Calibri"/>
                <w:kern w:val="21"/>
                <w:szCs w:val="21"/>
              </w:rPr>
              <w:t>；开发量40%以下</w:t>
            </w:r>
            <w:r>
              <w:rPr>
                <w:rFonts w:ascii="Segoe UI Symbol" w:hAnsi="Segoe UI Symbol" w:eastAsia="MS Gothic" w:cs="Segoe UI Symbol"/>
                <w:kern w:val="21"/>
                <w:szCs w:val="21"/>
              </w:rPr>
              <w:t>☐</w:t>
            </w:r>
            <w:r>
              <w:rPr>
                <w:rFonts w:hint="eastAsia" w:ascii="Calibri" w:hAnsi="Calibri" w:cs="Calibri"/>
                <w:kern w:val="21"/>
                <w:szCs w:val="21"/>
              </w:rPr>
              <w:t>；开发量40%以上</w:t>
            </w:r>
            <w:r>
              <w:rPr>
                <w:rFonts w:ascii="Segoe UI Symbol" w:hAnsi="Segoe UI Symbol" w:eastAsia="MS Gothic" w:cs="Segoe UI Symbol"/>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restart"/>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水文情势调查</w:t>
            </w:r>
          </w:p>
        </w:tc>
        <w:tc>
          <w:tcPr>
            <w:tcW w:w="5571" w:type="dxa"/>
            <w:gridSpan w:val="5"/>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调查时期</w:t>
            </w:r>
          </w:p>
        </w:tc>
        <w:tc>
          <w:tcPr>
            <w:tcW w:w="5155" w:type="dxa"/>
            <w:gridSpan w:val="6"/>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5571" w:type="dxa"/>
            <w:gridSpan w:val="5"/>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丰水期</w:t>
            </w:r>
            <w:r>
              <w:rPr>
                <w:rFonts w:ascii="Segoe UI Symbol" w:hAnsi="Segoe UI Symbol" w:eastAsia="MS Gothic" w:cs="Segoe UI Symbol"/>
                <w:kern w:val="21"/>
                <w:szCs w:val="21"/>
              </w:rPr>
              <w:t>☐</w:t>
            </w:r>
            <w:r>
              <w:rPr>
                <w:rFonts w:hint="eastAsia" w:ascii="Calibri" w:hAnsi="Calibri" w:cs="Calibri"/>
                <w:kern w:val="21"/>
                <w:szCs w:val="21"/>
              </w:rPr>
              <w:t>；平水期</w:t>
            </w:r>
            <w:r>
              <w:rPr>
                <w:rFonts w:ascii="Segoe UI Symbol" w:hAnsi="Segoe UI Symbol" w:eastAsia="MS Gothic" w:cs="Segoe UI Symbol"/>
                <w:kern w:val="21"/>
                <w:szCs w:val="21"/>
              </w:rPr>
              <w:t>☐</w:t>
            </w:r>
            <w:r>
              <w:rPr>
                <w:rFonts w:hint="eastAsia" w:ascii="Calibri" w:hAnsi="Calibri" w:cs="Calibri"/>
                <w:kern w:val="21"/>
                <w:szCs w:val="21"/>
              </w:rPr>
              <w:t>；枯水期</w:t>
            </w:r>
            <w:r>
              <w:rPr>
                <w:rFonts w:ascii="Segoe UI Symbol" w:hAnsi="Segoe UI Symbol" w:eastAsia="MS Gothic" w:cs="Segoe UI Symbol"/>
                <w:kern w:val="21"/>
                <w:szCs w:val="21"/>
              </w:rPr>
              <w:t>☐</w:t>
            </w:r>
            <w:r>
              <w:rPr>
                <w:rFonts w:hint="eastAsia" w:ascii="Calibri" w:hAnsi="Calibri" w:cs="Calibri"/>
                <w:kern w:val="21"/>
                <w:szCs w:val="21"/>
              </w:rPr>
              <w:t>；冰封期</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春季</w:t>
            </w:r>
            <w:r>
              <w:rPr>
                <w:rFonts w:ascii="Segoe UI Symbol" w:hAnsi="Segoe UI Symbol" w:eastAsia="MS Gothic" w:cs="Segoe UI Symbol"/>
                <w:kern w:val="21"/>
                <w:szCs w:val="21"/>
              </w:rPr>
              <w:t>☐</w:t>
            </w:r>
            <w:r>
              <w:rPr>
                <w:rFonts w:hint="eastAsia" w:ascii="Calibri" w:hAnsi="Calibri" w:cs="Calibri"/>
                <w:kern w:val="21"/>
                <w:szCs w:val="21"/>
              </w:rPr>
              <w:t>；夏季</w:t>
            </w:r>
            <w:r>
              <w:rPr>
                <w:rFonts w:ascii="Segoe UI Symbol" w:hAnsi="Segoe UI Symbol" w:eastAsia="MS Gothic" w:cs="Segoe UI Symbol"/>
                <w:kern w:val="21"/>
                <w:szCs w:val="21"/>
              </w:rPr>
              <w:t>☐</w:t>
            </w:r>
            <w:r>
              <w:rPr>
                <w:rFonts w:hint="eastAsia" w:ascii="Calibri" w:hAnsi="Calibri" w:cs="Calibri"/>
                <w:kern w:val="21"/>
                <w:szCs w:val="21"/>
              </w:rPr>
              <w:t>；秋季</w:t>
            </w:r>
            <w:r>
              <w:rPr>
                <w:rFonts w:ascii="Segoe UI Symbol" w:hAnsi="Segoe UI Symbol" w:eastAsia="MS Gothic" w:cs="Segoe UI Symbol"/>
                <w:kern w:val="21"/>
                <w:szCs w:val="21"/>
              </w:rPr>
              <w:t>☐</w:t>
            </w:r>
            <w:r>
              <w:rPr>
                <w:rFonts w:hint="eastAsia" w:ascii="Calibri" w:hAnsi="Calibri" w:cs="Calibri"/>
                <w:kern w:val="21"/>
                <w:szCs w:val="21"/>
              </w:rPr>
              <w:t>；冬季</w:t>
            </w:r>
            <w:r>
              <w:rPr>
                <w:rFonts w:ascii="Segoe UI Symbol" w:hAnsi="Segoe UI Symbol" w:eastAsia="MS Gothic" w:cs="Segoe UI Symbol"/>
                <w:kern w:val="21"/>
                <w:szCs w:val="21"/>
              </w:rPr>
              <w:t>☐</w:t>
            </w:r>
          </w:p>
        </w:tc>
        <w:tc>
          <w:tcPr>
            <w:tcW w:w="5155" w:type="dxa"/>
            <w:gridSpan w:val="6"/>
            <w:tcBorders>
              <w:tl2br w:val="nil"/>
              <w:tr2bl w:val="nil"/>
            </w:tcBorders>
            <w:vAlign w:val="center"/>
          </w:tcPr>
          <w:p>
            <w:pPr>
              <w:adjustRightInd w:val="0"/>
              <w:snapToGrid w:val="0"/>
              <w:ind w:firstLine="420"/>
              <w:jc w:val="center"/>
              <w:rPr>
                <w:rFonts w:ascii="Calibri" w:hAnsi="Calibri" w:eastAsia="宋体" w:cs="Calibri"/>
                <w:kern w:val="21"/>
                <w:szCs w:val="21"/>
              </w:rPr>
            </w:pPr>
            <w:r>
              <w:rPr>
                <w:rFonts w:hint="eastAsia" w:ascii="Calibri" w:hAnsi="Calibri" w:cs="Calibri"/>
                <w:kern w:val="21"/>
                <w:szCs w:val="21"/>
              </w:rPr>
              <w:t>水行政主管部门</w:t>
            </w:r>
            <w:r>
              <w:rPr>
                <w:rFonts w:ascii="Segoe UI Symbol" w:hAnsi="Segoe UI Symbol" w:eastAsia="MS Gothic" w:cs="Segoe UI Symbol"/>
                <w:kern w:val="21"/>
                <w:szCs w:val="21"/>
              </w:rPr>
              <w:t>☐</w:t>
            </w:r>
            <w:r>
              <w:rPr>
                <w:rFonts w:hint="eastAsia" w:ascii="Calibri" w:hAnsi="Calibri" w:cs="Calibri"/>
                <w:kern w:val="21"/>
                <w:szCs w:val="21"/>
              </w:rPr>
              <w:t>；补充监测</w:t>
            </w:r>
            <w:r>
              <w:rPr>
                <w:rFonts w:ascii="Segoe UI Symbol" w:hAnsi="Segoe UI Symbol" w:eastAsia="MS Gothic" w:cs="Segoe UI Symbol"/>
                <w:kern w:val="21"/>
                <w:szCs w:val="21"/>
              </w:rPr>
              <w:t>☐</w:t>
            </w:r>
            <w:r>
              <w:rPr>
                <w:rFonts w:hint="eastAsia" w:ascii="Calibri" w:hAnsi="Calibri" w:cs="Calibri"/>
                <w:kern w:val="21"/>
                <w:szCs w:val="21"/>
              </w:rPr>
              <w:t>；其他</w:t>
            </w:r>
            <w:r>
              <w:rPr>
                <w:rFonts w:ascii="Segoe UI Symbol" w:hAnsi="Segoe UI Symbol" w:eastAsia="MS Gothic" w:cs="Segoe UI Symbol"/>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restart"/>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补充监测</w:t>
            </w:r>
          </w:p>
        </w:tc>
        <w:tc>
          <w:tcPr>
            <w:tcW w:w="5571" w:type="dxa"/>
            <w:gridSpan w:val="5"/>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监测时期</w:t>
            </w:r>
          </w:p>
        </w:tc>
        <w:tc>
          <w:tcPr>
            <w:tcW w:w="2959" w:type="dxa"/>
            <w:gridSpan w:val="3"/>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监测因子</w:t>
            </w:r>
          </w:p>
        </w:tc>
        <w:tc>
          <w:tcPr>
            <w:tcW w:w="2196" w:type="dxa"/>
            <w:gridSpan w:val="3"/>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监测断面或点位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5571" w:type="dxa"/>
            <w:gridSpan w:val="5"/>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丰水期</w:t>
            </w:r>
            <w:r>
              <w:rPr>
                <w:rFonts w:ascii="Segoe UI Symbol" w:hAnsi="Segoe UI Symbol" w:eastAsia="MS Gothic" w:cs="Segoe UI Symbol"/>
                <w:kern w:val="21"/>
                <w:szCs w:val="21"/>
              </w:rPr>
              <w:t>☐</w:t>
            </w:r>
            <w:r>
              <w:rPr>
                <w:rFonts w:hint="eastAsia" w:ascii="Calibri" w:hAnsi="Calibri" w:cs="Calibri"/>
                <w:kern w:val="21"/>
                <w:szCs w:val="21"/>
              </w:rPr>
              <w:t>；平水期</w:t>
            </w:r>
            <w:r>
              <w:rPr>
                <w:rFonts w:ascii="Segoe UI Symbol" w:hAnsi="Segoe UI Symbol" w:eastAsia="MS Gothic" w:cs="Segoe UI Symbol"/>
                <w:kern w:val="21"/>
                <w:szCs w:val="21"/>
              </w:rPr>
              <w:t>☐</w:t>
            </w:r>
            <w:r>
              <w:rPr>
                <w:rFonts w:hint="eastAsia" w:ascii="Calibri" w:hAnsi="Calibri" w:cs="Calibri"/>
                <w:kern w:val="21"/>
                <w:szCs w:val="21"/>
              </w:rPr>
              <w:t>；枯水期</w:t>
            </w:r>
            <w:r>
              <w:rPr>
                <w:rFonts w:ascii="Segoe UI Symbol" w:hAnsi="Segoe UI Symbol" w:eastAsia="MS Gothic" w:cs="Segoe UI Symbol"/>
                <w:kern w:val="21"/>
                <w:szCs w:val="21"/>
              </w:rPr>
              <w:t>☐</w:t>
            </w:r>
            <w:r>
              <w:rPr>
                <w:rFonts w:hint="eastAsia" w:ascii="Calibri" w:hAnsi="Calibri" w:cs="Calibri"/>
                <w:kern w:val="21"/>
                <w:szCs w:val="21"/>
              </w:rPr>
              <w:t>；冰封期</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春季</w:t>
            </w:r>
            <w:r>
              <w:rPr>
                <w:rFonts w:ascii="Segoe UI Symbol" w:hAnsi="Segoe UI Symbol" w:eastAsia="MS Gothic" w:cs="Segoe UI Symbol"/>
                <w:kern w:val="21"/>
                <w:szCs w:val="21"/>
              </w:rPr>
              <w:t>☐</w:t>
            </w:r>
            <w:r>
              <w:rPr>
                <w:rFonts w:hint="eastAsia" w:ascii="Calibri" w:hAnsi="Calibri" w:cs="Calibri"/>
                <w:kern w:val="21"/>
                <w:szCs w:val="21"/>
              </w:rPr>
              <w:t>；夏季</w:t>
            </w:r>
            <w:r>
              <w:rPr>
                <w:rFonts w:ascii="Segoe UI Symbol" w:hAnsi="Segoe UI Symbol" w:eastAsia="MS Gothic" w:cs="Segoe UI Symbol"/>
                <w:kern w:val="21"/>
                <w:szCs w:val="21"/>
              </w:rPr>
              <w:t>☐</w:t>
            </w:r>
            <w:r>
              <w:rPr>
                <w:rFonts w:hint="eastAsia" w:ascii="Calibri" w:hAnsi="Calibri" w:cs="Calibri"/>
                <w:kern w:val="21"/>
                <w:szCs w:val="21"/>
              </w:rPr>
              <w:t>；秋季</w:t>
            </w:r>
            <w:r>
              <w:rPr>
                <w:rFonts w:ascii="Segoe UI Symbol" w:hAnsi="Segoe UI Symbol" w:eastAsia="MS Gothic" w:cs="Segoe UI Symbol"/>
                <w:kern w:val="21"/>
                <w:szCs w:val="21"/>
              </w:rPr>
              <w:t>☐</w:t>
            </w:r>
            <w:r>
              <w:rPr>
                <w:rFonts w:hint="eastAsia" w:ascii="Calibri" w:hAnsi="Calibri" w:cs="Calibri"/>
                <w:kern w:val="21"/>
                <w:szCs w:val="21"/>
              </w:rPr>
              <w:t>；冬季</w:t>
            </w:r>
            <w:r>
              <w:rPr>
                <w:rFonts w:ascii="Segoe UI Symbol" w:hAnsi="Segoe UI Symbol" w:eastAsia="MS Gothic" w:cs="Segoe UI Symbol"/>
                <w:kern w:val="21"/>
                <w:szCs w:val="21"/>
              </w:rPr>
              <w:t>☐</w:t>
            </w:r>
          </w:p>
        </w:tc>
        <w:tc>
          <w:tcPr>
            <w:tcW w:w="2959" w:type="dxa"/>
            <w:gridSpan w:val="3"/>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w:t>
            </w:r>
          </w:p>
        </w:tc>
        <w:tc>
          <w:tcPr>
            <w:tcW w:w="2196" w:type="dxa"/>
            <w:gridSpan w:val="3"/>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监测断面或点位个数（）个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restart"/>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现</w:t>
            </w:r>
            <w:r>
              <w:rPr>
                <w:rFonts w:hint="eastAsia" w:ascii="Calibri" w:hAnsi="Calibri" w:cs="Calibri"/>
                <w:kern w:val="21"/>
                <w:szCs w:val="21"/>
                <w:lang w:eastAsia="zh-CN"/>
              </w:rPr>
              <w:t>现</w:t>
            </w:r>
            <w:r>
              <w:rPr>
                <w:rFonts w:hint="eastAsia" w:ascii="Calibri" w:hAnsi="Calibri" w:cs="Calibri"/>
                <w:kern w:val="21"/>
                <w:szCs w:val="21"/>
              </w:rPr>
              <w:t>状评价</w:t>
            </w: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评价范围</w:t>
            </w:r>
          </w:p>
        </w:tc>
        <w:tc>
          <w:tcPr>
            <w:tcW w:w="10726" w:type="dxa"/>
            <w:gridSpan w:val="11"/>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河流：长度（）km；湖库、河口及近岸海域：面积（）km</w:t>
            </w:r>
            <w:r>
              <w:rPr>
                <w:rFonts w:hint="eastAsia" w:ascii="Calibri" w:hAnsi="Calibri" w:cs="Calibri"/>
                <w:kern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评价因子</w:t>
            </w:r>
          </w:p>
        </w:tc>
        <w:tc>
          <w:tcPr>
            <w:tcW w:w="10726" w:type="dxa"/>
            <w:gridSpan w:val="11"/>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w:t>
            </w:r>
            <w:r>
              <w:rPr>
                <w:rFonts w:ascii="Calibri" w:hAnsi="Calibri" w:cs="Calibri"/>
                <w:kern w:val="21"/>
                <w:szCs w:val="21"/>
              </w:rPr>
              <w:t xml:space="preserve"> </w:t>
            </w:r>
            <w:r>
              <w:rPr>
                <w:rFonts w:hint="eastAsia" w:ascii="Calibri" w:hAnsi="Calibri" w:cs="Calibri"/>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评价标准</w:t>
            </w:r>
          </w:p>
        </w:tc>
        <w:tc>
          <w:tcPr>
            <w:tcW w:w="10726" w:type="dxa"/>
            <w:gridSpan w:val="11"/>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河流、湖库、河口：</w:t>
            </w:r>
            <w:r>
              <w:rPr>
                <w:rFonts w:hint="eastAsia" w:ascii="Calibri" w:hAnsi="Calibri" w:cs="Calibri"/>
                <w:kern w:val="21"/>
                <w:szCs w:val="21"/>
              </w:rPr>
              <w:fldChar w:fldCharType="begin"/>
            </w:r>
            <w:r>
              <w:rPr>
                <w:rFonts w:hint="eastAsia" w:ascii="Calibri" w:hAnsi="Calibri" w:cs="Calibri"/>
                <w:kern w:val="21"/>
                <w:szCs w:val="21"/>
              </w:rPr>
              <w:instrText xml:space="preserve"> = 1 \* ROMAN \* MERGEFORMAT </w:instrText>
            </w:r>
            <w:r>
              <w:rPr>
                <w:rFonts w:hint="eastAsia" w:ascii="Calibri" w:hAnsi="Calibri" w:cs="Calibri"/>
                <w:kern w:val="21"/>
                <w:szCs w:val="21"/>
              </w:rPr>
              <w:fldChar w:fldCharType="separate"/>
            </w:r>
            <w:r>
              <w:rPr>
                <w:rFonts w:ascii="Calibri" w:hAnsi="Calibri" w:cs="Calibri"/>
                <w:kern w:val="21"/>
                <w:szCs w:val="21"/>
              </w:rPr>
              <w:t>I</w:t>
            </w:r>
            <w:r>
              <w:rPr>
                <w:rFonts w:hint="eastAsia" w:ascii="Calibri" w:hAnsi="Calibri" w:cs="Calibri"/>
                <w:kern w:val="21"/>
                <w:szCs w:val="21"/>
              </w:rPr>
              <w:fldChar w:fldCharType="end"/>
            </w:r>
            <w:r>
              <w:rPr>
                <w:rFonts w:hint="eastAsia" w:ascii="Calibri" w:hAnsi="Calibri" w:cs="Calibri"/>
                <w:kern w:val="21"/>
                <w:szCs w:val="21"/>
              </w:rPr>
              <w:t>类</w:t>
            </w:r>
            <w:r>
              <w:rPr>
                <w:rFonts w:ascii="Segoe UI Symbol" w:hAnsi="Segoe UI Symbol" w:eastAsia="MS Gothic" w:cs="Segoe UI Symbol"/>
                <w:kern w:val="21"/>
                <w:szCs w:val="21"/>
              </w:rPr>
              <w:t>☐</w:t>
            </w:r>
            <w:r>
              <w:rPr>
                <w:rFonts w:hint="eastAsia" w:ascii="Calibri" w:hAnsi="Calibri" w:cs="Calibri"/>
                <w:kern w:val="21"/>
                <w:szCs w:val="21"/>
              </w:rPr>
              <w:t>；</w:t>
            </w:r>
            <w:r>
              <w:rPr>
                <w:rFonts w:hint="eastAsia" w:ascii="Calibri" w:hAnsi="Calibri" w:cs="Calibri"/>
                <w:kern w:val="21"/>
                <w:szCs w:val="21"/>
              </w:rPr>
              <w:fldChar w:fldCharType="begin"/>
            </w:r>
            <w:r>
              <w:rPr>
                <w:rFonts w:hint="eastAsia" w:ascii="Calibri" w:hAnsi="Calibri" w:cs="Calibri"/>
                <w:kern w:val="21"/>
                <w:szCs w:val="21"/>
              </w:rPr>
              <w:instrText xml:space="preserve"> = 2 \* ROMAN \* MERGEFORMAT </w:instrText>
            </w:r>
            <w:r>
              <w:rPr>
                <w:rFonts w:hint="eastAsia" w:ascii="Calibri" w:hAnsi="Calibri" w:cs="Calibri"/>
                <w:kern w:val="21"/>
                <w:szCs w:val="21"/>
              </w:rPr>
              <w:fldChar w:fldCharType="separate"/>
            </w:r>
            <w:r>
              <w:rPr>
                <w:rFonts w:ascii="Calibri" w:hAnsi="Calibri" w:cs="Calibri"/>
                <w:kern w:val="21"/>
                <w:szCs w:val="21"/>
              </w:rPr>
              <w:t>II</w:t>
            </w:r>
            <w:r>
              <w:rPr>
                <w:rFonts w:hint="eastAsia" w:ascii="Calibri" w:hAnsi="Calibri" w:cs="Calibri"/>
                <w:kern w:val="21"/>
                <w:szCs w:val="21"/>
              </w:rPr>
              <w:fldChar w:fldCharType="end"/>
            </w:r>
            <w:r>
              <w:rPr>
                <w:rFonts w:hint="eastAsia" w:ascii="Calibri" w:hAnsi="Calibri" w:cs="Calibri"/>
                <w:kern w:val="21"/>
                <w:szCs w:val="21"/>
              </w:rPr>
              <w:t>类</w:t>
            </w:r>
            <w:r>
              <w:rPr>
                <w:rFonts w:ascii="Segoe UI Symbol" w:hAnsi="Segoe UI Symbol" w:eastAsia="MS Gothic" w:cs="Segoe UI Symbol"/>
                <w:kern w:val="21"/>
                <w:szCs w:val="21"/>
              </w:rPr>
              <w:t>☐</w:t>
            </w:r>
            <w:r>
              <w:rPr>
                <w:rFonts w:hint="eastAsia" w:ascii="Calibri" w:hAnsi="Calibri" w:cs="Calibri"/>
                <w:kern w:val="21"/>
                <w:szCs w:val="21"/>
              </w:rPr>
              <w:t>；</w:t>
            </w:r>
            <w:r>
              <w:rPr>
                <w:rFonts w:hint="eastAsia" w:ascii="Calibri" w:hAnsi="Calibri" w:cs="Calibri"/>
                <w:kern w:val="21"/>
                <w:szCs w:val="21"/>
              </w:rPr>
              <w:fldChar w:fldCharType="begin"/>
            </w:r>
            <w:r>
              <w:rPr>
                <w:rFonts w:hint="eastAsia" w:ascii="Calibri" w:hAnsi="Calibri" w:cs="Calibri"/>
                <w:kern w:val="21"/>
                <w:szCs w:val="21"/>
              </w:rPr>
              <w:instrText xml:space="preserve"> = 3 \* ROMAN \* MERGEFORMAT </w:instrText>
            </w:r>
            <w:r>
              <w:rPr>
                <w:rFonts w:hint="eastAsia" w:ascii="Calibri" w:hAnsi="Calibri" w:cs="Calibri"/>
                <w:kern w:val="21"/>
                <w:szCs w:val="21"/>
              </w:rPr>
              <w:fldChar w:fldCharType="separate"/>
            </w:r>
            <w:r>
              <w:rPr>
                <w:rFonts w:ascii="Calibri" w:hAnsi="Calibri" w:cs="Calibri"/>
                <w:kern w:val="21"/>
                <w:szCs w:val="21"/>
              </w:rPr>
              <w:t>III</w:t>
            </w:r>
            <w:r>
              <w:rPr>
                <w:rFonts w:hint="eastAsia" w:ascii="Calibri" w:hAnsi="Calibri" w:cs="Calibri"/>
                <w:kern w:val="21"/>
                <w:szCs w:val="21"/>
              </w:rPr>
              <w:fldChar w:fldCharType="end"/>
            </w:r>
            <w:r>
              <w:rPr>
                <w:rFonts w:hint="eastAsia" w:ascii="Calibri" w:hAnsi="Calibri" w:cs="Calibri"/>
                <w:kern w:val="21"/>
                <w:szCs w:val="21"/>
              </w:rPr>
              <w:t>类</w:t>
            </w:r>
            <w:r>
              <w:rPr>
                <w:rFonts w:ascii="Segoe UI Symbol" w:hAnsi="Segoe UI Symbol" w:eastAsia="MS Gothic" w:cs="Segoe UI Symbol"/>
                <w:kern w:val="21"/>
                <w:szCs w:val="21"/>
              </w:rPr>
              <w:t>☐</w:t>
            </w:r>
            <w:r>
              <w:rPr>
                <w:rFonts w:hint="eastAsia" w:ascii="Calibri" w:hAnsi="Calibri" w:cs="Calibri"/>
                <w:kern w:val="21"/>
                <w:szCs w:val="21"/>
              </w:rPr>
              <w:t>；</w:t>
            </w:r>
            <w:r>
              <w:rPr>
                <w:rFonts w:hint="eastAsia" w:ascii="Calibri" w:hAnsi="Calibri" w:cs="Calibri"/>
                <w:kern w:val="21"/>
                <w:szCs w:val="21"/>
              </w:rPr>
              <w:fldChar w:fldCharType="begin"/>
            </w:r>
            <w:r>
              <w:rPr>
                <w:rFonts w:hint="eastAsia" w:ascii="Calibri" w:hAnsi="Calibri" w:cs="Calibri"/>
                <w:kern w:val="21"/>
                <w:szCs w:val="21"/>
              </w:rPr>
              <w:instrText xml:space="preserve"> = 4 \* ROMAN \* MERGEFORMAT </w:instrText>
            </w:r>
            <w:r>
              <w:rPr>
                <w:rFonts w:hint="eastAsia" w:ascii="Calibri" w:hAnsi="Calibri" w:cs="Calibri"/>
                <w:kern w:val="21"/>
                <w:szCs w:val="21"/>
              </w:rPr>
              <w:fldChar w:fldCharType="separate"/>
            </w:r>
            <w:r>
              <w:rPr>
                <w:rFonts w:ascii="Calibri" w:hAnsi="Calibri" w:cs="Calibri"/>
                <w:kern w:val="21"/>
                <w:szCs w:val="21"/>
              </w:rPr>
              <w:t>IV</w:t>
            </w:r>
            <w:r>
              <w:rPr>
                <w:rFonts w:hint="eastAsia" w:ascii="Calibri" w:hAnsi="Calibri" w:cs="Calibri"/>
                <w:kern w:val="21"/>
                <w:szCs w:val="21"/>
              </w:rPr>
              <w:fldChar w:fldCharType="end"/>
            </w:r>
            <w:r>
              <w:rPr>
                <w:rFonts w:hint="eastAsia" w:ascii="Calibri" w:hAnsi="Calibri" w:cs="Calibri"/>
                <w:kern w:val="21"/>
                <w:szCs w:val="21"/>
              </w:rPr>
              <w:t>类</w:t>
            </w:r>
            <w:r>
              <w:rPr>
                <w:rFonts w:ascii="Segoe UI Symbol" w:hAnsi="Segoe UI Symbol" w:eastAsia="MS Gothic" w:cs="Segoe UI Symbol"/>
                <w:kern w:val="21"/>
                <w:szCs w:val="21"/>
              </w:rPr>
              <w:t>☐</w:t>
            </w:r>
            <w:r>
              <w:rPr>
                <w:rFonts w:hint="eastAsia" w:ascii="Calibri" w:hAnsi="Calibri" w:cs="Calibri"/>
                <w:kern w:val="21"/>
                <w:szCs w:val="21"/>
              </w:rPr>
              <w:t>；</w:t>
            </w:r>
            <w:r>
              <w:rPr>
                <w:rFonts w:hint="eastAsia" w:ascii="Calibri" w:hAnsi="Calibri" w:cs="Calibri"/>
                <w:kern w:val="21"/>
                <w:szCs w:val="21"/>
              </w:rPr>
              <w:fldChar w:fldCharType="begin"/>
            </w:r>
            <w:r>
              <w:rPr>
                <w:rFonts w:hint="eastAsia" w:ascii="Calibri" w:hAnsi="Calibri" w:cs="Calibri"/>
                <w:kern w:val="21"/>
                <w:szCs w:val="21"/>
              </w:rPr>
              <w:instrText xml:space="preserve"> = 5 \* ROMAN \* MERGEFORMAT </w:instrText>
            </w:r>
            <w:r>
              <w:rPr>
                <w:rFonts w:hint="eastAsia" w:ascii="Calibri" w:hAnsi="Calibri" w:cs="Calibri"/>
                <w:kern w:val="21"/>
                <w:szCs w:val="21"/>
              </w:rPr>
              <w:fldChar w:fldCharType="separate"/>
            </w:r>
            <w:r>
              <w:rPr>
                <w:rFonts w:ascii="Calibri" w:hAnsi="Calibri" w:cs="Calibri"/>
                <w:kern w:val="21"/>
                <w:szCs w:val="21"/>
              </w:rPr>
              <w:t>V</w:t>
            </w:r>
            <w:r>
              <w:rPr>
                <w:rFonts w:hint="eastAsia" w:ascii="Calibri" w:hAnsi="Calibri" w:cs="Calibri"/>
                <w:kern w:val="21"/>
                <w:szCs w:val="21"/>
              </w:rPr>
              <w:fldChar w:fldCharType="end"/>
            </w:r>
            <w:r>
              <w:rPr>
                <w:rFonts w:hint="eastAsia" w:ascii="Calibri" w:hAnsi="Calibri" w:cs="Calibri"/>
                <w:kern w:val="21"/>
                <w:szCs w:val="21"/>
              </w:rPr>
              <w:t>类</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近岸海域：第一类</w:t>
            </w:r>
            <w:r>
              <w:rPr>
                <w:rFonts w:ascii="Segoe UI Symbol" w:hAnsi="Segoe UI Symbol" w:eastAsia="MS Gothic" w:cs="Segoe UI Symbol"/>
                <w:kern w:val="21"/>
                <w:szCs w:val="21"/>
              </w:rPr>
              <w:t>☐</w:t>
            </w:r>
            <w:r>
              <w:rPr>
                <w:rFonts w:hint="eastAsia" w:ascii="Calibri" w:hAnsi="Calibri" w:cs="Calibri"/>
                <w:kern w:val="21"/>
                <w:szCs w:val="21"/>
              </w:rPr>
              <w:t>；第二类</w:t>
            </w:r>
            <w:r>
              <w:rPr>
                <w:rFonts w:ascii="Segoe UI Symbol" w:hAnsi="Segoe UI Symbol" w:eastAsia="MS Gothic" w:cs="Segoe UI Symbol"/>
                <w:kern w:val="21"/>
                <w:szCs w:val="21"/>
              </w:rPr>
              <w:t>☐</w:t>
            </w:r>
            <w:r>
              <w:rPr>
                <w:rFonts w:hint="eastAsia" w:ascii="Calibri" w:hAnsi="Calibri" w:cs="Calibri"/>
                <w:kern w:val="21"/>
                <w:szCs w:val="21"/>
              </w:rPr>
              <w:t>；第三类</w:t>
            </w:r>
            <w:r>
              <w:rPr>
                <w:rFonts w:ascii="Segoe UI Symbol" w:hAnsi="Segoe UI Symbol" w:eastAsia="MS Gothic" w:cs="Segoe UI Symbol"/>
                <w:kern w:val="21"/>
                <w:szCs w:val="21"/>
              </w:rPr>
              <w:t>☐</w:t>
            </w:r>
            <w:r>
              <w:rPr>
                <w:rFonts w:hint="eastAsia" w:ascii="Calibri" w:hAnsi="Calibri" w:cs="Calibri"/>
                <w:kern w:val="21"/>
                <w:szCs w:val="21"/>
              </w:rPr>
              <w:t>；第四类</w:t>
            </w:r>
            <w:r>
              <w:rPr>
                <w:rFonts w:ascii="Segoe UI Symbol" w:hAnsi="Segoe UI Symbol" w:eastAsia="MS Gothic" w:cs="Segoe UI Symbol"/>
                <w:kern w:val="21"/>
                <w:szCs w:val="21"/>
              </w:rPr>
              <w:t>☐</w:t>
            </w:r>
          </w:p>
          <w:p>
            <w:pPr>
              <w:adjustRightInd w:val="0"/>
              <w:snapToGrid w:val="0"/>
              <w:ind w:firstLine="420"/>
              <w:rPr>
                <w:rFonts w:ascii="Calibri" w:hAnsi="Calibri" w:eastAsia="宋体" w:cs="Calibri"/>
                <w:kern w:val="21"/>
                <w:szCs w:val="21"/>
              </w:rPr>
            </w:pPr>
            <w:r>
              <w:rPr>
                <w:rFonts w:hint="eastAsia" w:ascii="Calibri" w:hAnsi="Calibri" w:cs="Calibri"/>
                <w:kern w:val="21"/>
                <w:szCs w:val="21"/>
              </w:rPr>
              <w:t>规划年评价标准（）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评价时期</w:t>
            </w:r>
          </w:p>
        </w:tc>
        <w:tc>
          <w:tcPr>
            <w:tcW w:w="10726" w:type="dxa"/>
            <w:gridSpan w:val="11"/>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丰水期</w:t>
            </w:r>
            <w:r>
              <w:rPr>
                <w:rFonts w:ascii="Segoe UI Symbol" w:hAnsi="Segoe UI Symbol" w:eastAsia="MS Gothic" w:cs="Segoe UI Symbol"/>
                <w:kern w:val="21"/>
                <w:szCs w:val="21"/>
              </w:rPr>
              <w:t>☐</w:t>
            </w:r>
            <w:r>
              <w:rPr>
                <w:rFonts w:hint="eastAsia" w:ascii="Calibri" w:hAnsi="Calibri" w:cs="Calibri"/>
                <w:kern w:val="21"/>
                <w:szCs w:val="21"/>
              </w:rPr>
              <w:t>；平水期</w:t>
            </w:r>
            <w:r>
              <w:rPr>
                <w:rFonts w:ascii="Segoe UI Symbol" w:hAnsi="Segoe UI Symbol" w:eastAsia="MS Gothic" w:cs="Segoe UI Symbol"/>
                <w:kern w:val="21"/>
                <w:szCs w:val="21"/>
              </w:rPr>
              <w:t>☐</w:t>
            </w:r>
            <w:r>
              <w:rPr>
                <w:rFonts w:hint="eastAsia" w:ascii="Calibri" w:hAnsi="Calibri" w:cs="Calibri"/>
                <w:kern w:val="21"/>
                <w:szCs w:val="21"/>
              </w:rPr>
              <w:t>；枯水期</w:t>
            </w:r>
            <w:r>
              <w:rPr>
                <w:rFonts w:ascii="Segoe UI Symbol" w:hAnsi="Segoe UI Symbol" w:eastAsia="MS Gothic" w:cs="Segoe UI Symbol"/>
                <w:kern w:val="21"/>
                <w:szCs w:val="21"/>
              </w:rPr>
              <w:t>☐</w:t>
            </w:r>
            <w:r>
              <w:rPr>
                <w:rFonts w:hint="eastAsia" w:ascii="Calibri" w:hAnsi="Calibri" w:cs="Calibri"/>
                <w:kern w:val="21"/>
                <w:szCs w:val="21"/>
              </w:rPr>
              <w:t>；冰封期</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春季</w:t>
            </w:r>
            <w:r>
              <w:rPr>
                <w:rFonts w:ascii="Segoe UI Symbol" w:hAnsi="Segoe UI Symbol" w:eastAsia="MS Gothic" w:cs="Segoe UI Symbol"/>
                <w:kern w:val="21"/>
                <w:szCs w:val="21"/>
              </w:rPr>
              <w:t>☐</w:t>
            </w:r>
            <w:r>
              <w:rPr>
                <w:rFonts w:hint="eastAsia" w:ascii="Calibri" w:hAnsi="Calibri" w:cs="Calibri"/>
                <w:kern w:val="21"/>
                <w:szCs w:val="21"/>
              </w:rPr>
              <w:t>；夏季</w:t>
            </w:r>
            <w:r>
              <w:rPr>
                <w:rFonts w:ascii="Segoe UI Symbol" w:hAnsi="Segoe UI Symbol" w:eastAsia="MS Gothic" w:cs="Segoe UI Symbol"/>
                <w:kern w:val="21"/>
                <w:szCs w:val="21"/>
              </w:rPr>
              <w:t>☐</w:t>
            </w:r>
            <w:r>
              <w:rPr>
                <w:rFonts w:hint="eastAsia" w:ascii="Calibri" w:hAnsi="Calibri" w:cs="Calibri"/>
                <w:kern w:val="21"/>
                <w:szCs w:val="21"/>
              </w:rPr>
              <w:t>；秋季</w:t>
            </w:r>
            <w:r>
              <w:rPr>
                <w:rFonts w:ascii="Segoe UI Symbol" w:hAnsi="Segoe UI Symbol" w:eastAsia="MS Gothic" w:cs="Segoe UI Symbol"/>
                <w:kern w:val="21"/>
                <w:szCs w:val="21"/>
              </w:rPr>
              <w:t>☐</w:t>
            </w:r>
            <w:r>
              <w:rPr>
                <w:rFonts w:hint="eastAsia" w:ascii="Calibri" w:hAnsi="Calibri" w:cs="Calibri"/>
                <w:kern w:val="21"/>
                <w:szCs w:val="21"/>
              </w:rPr>
              <w:t>；冬季</w:t>
            </w:r>
            <w:r>
              <w:rPr>
                <w:rFonts w:ascii="Segoe UI Symbol" w:hAnsi="Segoe UI Symbol" w:eastAsia="MS Gothic" w:cs="Segoe UI Symbol"/>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评价结论</w:t>
            </w:r>
          </w:p>
        </w:tc>
        <w:tc>
          <w:tcPr>
            <w:tcW w:w="9244" w:type="dxa"/>
            <w:gridSpan w:val="10"/>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水环境功能区或水功能区、近岸海域环境区水质达标状况</w:t>
            </w:r>
            <w:r>
              <w:rPr>
                <w:rFonts w:ascii="Segoe UI Symbol" w:hAnsi="Segoe UI Symbol" w:eastAsia="MS Gothic" w:cs="Segoe UI Symbol"/>
                <w:kern w:val="21"/>
                <w:szCs w:val="21"/>
              </w:rPr>
              <w:t>☐</w:t>
            </w:r>
            <w:r>
              <w:rPr>
                <w:rFonts w:hint="eastAsia" w:ascii="Calibri" w:hAnsi="Calibri" w:cs="Calibri"/>
                <w:kern w:val="21"/>
                <w:szCs w:val="21"/>
              </w:rPr>
              <w:t>：达标</w:t>
            </w:r>
            <w:r>
              <w:rPr>
                <w:rFonts w:ascii="Segoe UI Symbol" w:hAnsi="Segoe UI Symbol" w:eastAsia="MS Gothic" w:cs="Segoe UI Symbol"/>
                <w:kern w:val="21"/>
                <w:szCs w:val="21"/>
              </w:rPr>
              <w:t>☐</w:t>
            </w:r>
            <w:r>
              <w:rPr>
                <w:rFonts w:hint="eastAsia" w:ascii="Calibri" w:hAnsi="Calibri" w:cs="Calibri"/>
                <w:kern w:val="21"/>
                <w:szCs w:val="21"/>
              </w:rPr>
              <w:t>；不达标</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水环境控制单元或断面水质达标状况</w:t>
            </w:r>
            <w:r>
              <w:rPr>
                <w:rFonts w:ascii="Segoe UI Symbol" w:hAnsi="Segoe UI Symbol" w:eastAsia="MS Gothic" w:cs="Segoe UI Symbol"/>
                <w:kern w:val="21"/>
                <w:szCs w:val="21"/>
              </w:rPr>
              <w:t>☐</w:t>
            </w:r>
            <w:r>
              <w:rPr>
                <w:rFonts w:hint="eastAsia" w:ascii="Calibri" w:hAnsi="Calibri" w:cs="Calibri"/>
                <w:kern w:val="21"/>
                <w:szCs w:val="21"/>
              </w:rPr>
              <w:t>：达标</w:t>
            </w:r>
            <w:r>
              <w:rPr>
                <w:rFonts w:ascii="Segoe UI Symbol" w:hAnsi="Segoe UI Symbol" w:eastAsia="MS Gothic" w:cs="Segoe UI Symbol"/>
                <w:kern w:val="21"/>
                <w:szCs w:val="21"/>
              </w:rPr>
              <w:t>☐</w:t>
            </w:r>
            <w:r>
              <w:rPr>
                <w:rFonts w:hint="eastAsia" w:ascii="Calibri" w:hAnsi="Calibri" w:cs="Calibri"/>
                <w:kern w:val="21"/>
                <w:szCs w:val="21"/>
              </w:rPr>
              <w:t>；不达标</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水环境保护目标质量状况</w:t>
            </w:r>
            <w:r>
              <w:rPr>
                <w:rFonts w:ascii="Segoe UI Symbol" w:hAnsi="Segoe UI Symbol" w:eastAsia="MS Gothic" w:cs="Segoe UI Symbol"/>
                <w:kern w:val="21"/>
                <w:szCs w:val="21"/>
              </w:rPr>
              <w:t>☐</w:t>
            </w:r>
            <w:r>
              <w:rPr>
                <w:rFonts w:hint="eastAsia" w:ascii="Calibri" w:hAnsi="Calibri" w:cs="Calibri"/>
                <w:kern w:val="21"/>
                <w:szCs w:val="21"/>
              </w:rPr>
              <w:t>：达标</w:t>
            </w:r>
            <w:r>
              <w:rPr>
                <w:rFonts w:ascii="Segoe UI Symbol" w:hAnsi="Segoe UI Symbol" w:eastAsia="MS Gothic" w:cs="Segoe UI Symbol"/>
                <w:kern w:val="21"/>
                <w:szCs w:val="21"/>
              </w:rPr>
              <w:t>☐</w:t>
            </w:r>
            <w:r>
              <w:rPr>
                <w:rFonts w:hint="eastAsia" w:ascii="Calibri" w:hAnsi="Calibri" w:cs="Calibri"/>
                <w:kern w:val="21"/>
                <w:szCs w:val="21"/>
              </w:rPr>
              <w:t>；不达标</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对照断面、控制断面等代表性断面的水质状况</w:t>
            </w:r>
            <w:r>
              <w:rPr>
                <w:rFonts w:ascii="Segoe UI Symbol" w:hAnsi="Segoe UI Symbol" w:eastAsia="MS Gothic" w:cs="Segoe UI Symbol"/>
                <w:kern w:val="21"/>
                <w:szCs w:val="21"/>
              </w:rPr>
              <w:t>☐</w:t>
            </w:r>
            <w:r>
              <w:rPr>
                <w:rFonts w:hint="eastAsia" w:ascii="Calibri" w:hAnsi="Calibri" w:cs="Calibri"/>
                <w:kern w:val="21"/>
                <w:szCs w:val="21"/>
              </w:rPr>
              <w:t>：达标</w:t>
            </w:r>
            <w:r>
              <w:rPr>
                <w:rFonts w:ascii="Segoe UI Symbol" w:hAnsi="Segoe UI Symbol" w:eastAsia="MS Gothic" w:cs="Segoe UI Symbol"/>
                <w:kern w:val="21"/>
                <w:szCs w:val="21"/>
              </w:rPr>
              <w:t>☐</w:t>
            </w:r>
            <w:r>
              <w:rPr>
                <w:rFonts w:hint="eastAsia" w:ascii="Calibri" w:hAnsi="Calibri" w:cs="Calibri"/>
                <w:kern w:val="21"/>
                <w:szCs w:val="21"/>
              </w:rPr>
              <w:t>；不达标</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底泥污染评价</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水资源与开发利用程度及其水文情势评价</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水环境质量回顾评价</w:t>
            </w:r>
            <w:r>
              <w:rPr>
                <w:rFonts w:ascii="Segoe UI Symbol" w:hAnsi="Segoe UI Symbol" w:eastAsia="MS Gothic" w:cs="Segoe UI Symbol"/>
                <w:kern w:val="21"/>
                <w:szCs w:val="21"/>
              </w:rPr>
              <w:t>☐</w:t>
            </w:r>
          </w:p>
          <w:p>
            <w:pPr>
              <w:adjustRightInd w:val="0"/>
              <w:snapToGrid w:val="0"/>
              <w:ind w:firstLine="420"/>
              <w:rPr>
                <w:rFonts w:ascii="Calibri" w:hAnsi="Calibri" w:eastAsia="宋体" w:cs="Calibri"/>
                <w:kern w:val="21"/>
                <w:szCs w:val="21"/>
              </w:rPr>
            </w:pPr>
            <w:r>
              <w:rPr>
                <w:rFonts w:hint="eastAsia" w:ascii="Calibri" w:hAnsi="Calibri" w:cs="Calibri"/>
                <w:kern w:val="21"/>
                <w:szCs w:val="21"/>
              </w:rPr>
              <w:t>流域（区域）水资源（包括水能资源）与开发利用总体状况、生态流量管理要求与现状满足程度、建设项目占用水域空间的水流状况与河湖演变状况</w:t>
            </w:r>
            <w:r>
              <w:rPr>
                <w:rFonts w:ascii="Segoe UI Symbol" w:hAnsi="Segoe UI Symbol" w:eastAsia="MS Gothic" w:cs="Segoe UI Symbol"/>
                <w:kern w:val="21"/>
                <w:szCs w:val="21"/>
              </w:rPr>
              <w:t>☐</w:t>
            </w:r>
          </w:p>
        </w:tc>
        <w:tc>
          <w:tcPr>
            <w:tcW w:w="1482" w:type="dxa"/>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达标区</w:t>
            </w:r>
            <w:r>
              <w:rPr>
                <w:rFonts w:ascii="Segoe UI Symbol" w:hAnsi="Segoe UI Symbol" w:eastAsia="MS Gothic" w:cs="Segoe UI Symbol"/>
                <w:kern w:val="21"/>
                <w:szCs w:val="21"/>
              </w:rPr>
              <w:t>☐</w:t>
            </w:r>
          </w:p>
          <w:p>
            <w:pPr>
              <w:adjustRightInd w:val="0"/>
              <w:snapToGrid w:val="0"/>
              <w:ind w:firstLine="420"/>
              <w:rPr>
                <w:rFonts w:ascii="Calibri" w:hAnsi="Calibri" w:eastAsia="宋体" w:cs="Calibri"/>
                <w:kern w:val="21"/>
                <w:szCs w:val="21"/>
              </w:rPr>
            </w:pPr>
            <w:r>
              <w:rPr>
                <w:rFonts w:hint="eastAsia" w:ascii="Calibri" w:hAnsi="Calibri" w:cs="Calibri"/>
                <w:kern w:val="21"/>
                <w:szCs w:val="21"/>
              </w:rPr>
              <w:t>不达标区</w:t>
            </w:r>
            <w:r>
              <w:rPr>
                <w:rFonts w:ascii="Segoe UI Symbol" w:hAnsi="Segoe UI Symbol" w:eastAsia="MS Gothic" w:cs="Segoe UI Symbol"/>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restart"/>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影</w:t>
            </w:r>
            <w:r>
              <w:rPr>
                <w:rFonts w:hint="eastAsia" w:ascii="Calibri" w:hAnsi="Calibri" w:cs="Calibri"/>
                <w:kern w:val="21"/>
                <w:szCs w:val="21"/>
                <w:lang w:eastAsia="zh-CN"/>
              </w:rPr>
              <w:t>影</w:t>
            </w:r>
            <w:r>
              <w:rPr>
                <w:rFonts w:hint="eastAsia" w:ascii="Calibri" w:hAnsi="Calibri" w:cs="Calibri"/>
                <w:kern w:val="21"/>
                <w:szCs w:val="21"/>
              </w:rPr>
              <w:t>响预测</w:t>
            </w: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预测范围</w:t>
            </w:r>
          </w:p>
        </w:tc>
        <w:tc>
          <w:tcPr>
            <w:tcW w:w="10726" w:type="dxa"/>
            <w:gridSpan w:val="11"/>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河流：长度（）km；湖库、河口及近岸海域：面积（）km</w:t>
            </w:r>
            <w:r>
              <w:rPr>
                <w:rFonts w:hint="eastAsia" w:ascii="Calibri" w:hAnsi="Calibri" w:cs="Calibri"/>
                <w:kern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预测因子</w:t>
            </w:r>
          </w:p>
        </w:tc>
        <w:tc>
          <w:tcPr>
            <w:tcW w:w="10726" w:type="dxa"/>
            <w:gridSpan w:val="11"/>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预测时期</w:t>
            </w:r>
          </w:p>
        </w:tc>
        <w:tc>
          <w:tcPr>
            <w:tcW w:w="10726" w:type="dxa"/>
            <w:gridSpan w:val="11"/>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丰水期</w:t>
            </w:r>
            <w:r>
              <w:rPr>
                <w:rFonts w:ascii="Segoe UI Symbol" w:hAnsi="Segoe UI Symbol" w:eastAsia="MS Gothic" w:cs="Segoe UI Symbol"/>
                <w:kern w:val="21"/>
                <w:szCs w:val="21"/>
              </w:rPr>
              <w:t>☐</w:t>
            </w:r>
            <w:r>
              <w:rPr>
                <w:rFonts w:hint="eastAsia" w:ascii="Calibri" w:hAnsi="Calibri" w:cs="Calibri"/>
                <w:kern w:val="21"/>
                <w:szCs w:val="21"/>
              </w:rPr>
              <w:t>；平水期</w:t>
            </w:r>
            <w:r>
              <w:rPr>
                <w:rFonts w:ascii="Segoe UI Symbol" w:hAnsi="Segoe UI Symbol" w:eastAsia="MS Gothic" w:cs="Segoe UI Symbol"/>
                <w:kern w:val="21"/>
                <w:szCs w:val="21"/>
              </w:rPr>
              <w:t>☐</w:t>
            </w:r>
            <w:r>
              <w:rPr>
                <w:rFonts w:hint="eastAsia" w:ascii="Calibri" w:hAnsi="Calibri" w:cs="Calibri"/>
                <w:kern w:val="21"/>
                <w:szCs w:val="21"/>
              </w:rPr>
              <w:t>；枯水期</w:t>
            </w:r>
            <w:r>
              <w:rPr>
                <w:rFonts w:ascii="Segoe UI Symbol" w:hAnsi="Segoe UI Symbol" w:eastAsia="MS Gothic" w:cs="Segoe UI Symbol"/>
                <w:kern w:val="21"/>
                <w:szCs w:val="21"/>
              </w:rPr>
              <w:t>☐</w:t>
            </w:r>
            <w:r>
              <w:rPr>
                <w:rFonts w:hint="eastAsia" w:ascii="Calibri" w:hAnsi="Calibri" w:cs="Calibri"/>
                <w:kern w:val="21"/>
                <w:szCs w:val="21"/>
              </w:rPr>
              <w:t>；冰封期</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春季</w:t>
            </w:r>
            <w:r>
              <w:rPr>
                <w:rFonts w:ascii="Segoe UI Symbol" w:hAnsi="Segoe UI Symbol" w:eastAsia="MS Gothic" w:cs="Segoe UI Symbol"/>
                <w:kern w:val="21"/>
                <w:szCs w:val="21"/>
              </w:rPr>
              <w:t>☐</w:t>
            </w:r>
            <w:r>
              <w:rPr>
                <w:rFonts w:hint="eastAsia" w:ascii="Calibri" w:hAnsi="Calibri" w:cs="Calibri"/>
                <w:kern w:val="21"/>
                <w:szCs w:val="21"/>
              </w:rPr>
              <w:t>；夏季</w:t>
            </w:r>
            <w:r>
              <w:rPr>
                <w:rFonts w:ascii="Segoe UI Symbol" w:hAnsi="Segoe UI Symbol" w:eastAsia="MS Gothic" w:cs="Segoe UI Symbol"/>
                <w:kern w:val="21"/>
                <w:szCs w:val="21"/>
              </w:rPr>
              <w:t>☐</w:t>
            </w:r>
            <w:r>
              <w:rPr>
                <w:rFonts w:hint="eastAsia" w:ascii="Calibri" w:hAnsi="Calibri" w:cs="Calibri"/>
                <w:kern w:val="21"/>
                <w:szCs w:val="21"/>
              </w:rPr>
              <w:t>；秋季</w:t>
            </w:r>
            <w:r>
              <w:rPr>
                <w:rFonts w:ascii="Segoe UI Symbol" w:hAnsi="Segoe UI Symbol" w:eastAsia="MS Gothic" w:cs="Segoe UI Symbol"/>
                <w:kern w:val="21"/>
                <w:szCs w:val="21"/>
              </w:rPr>
              <w:t>☐</w:t>
            </w:r>
            <w:r>
              <w:rPr>
                <w:rFonts w:hint="eastAsia" w:ascii="Calibri" w:hAnsi="Calibri" w:cs="Calibri"/>
                <w:kern w:val="21"/>
                <w:szCs w:val="21"/>
              </w:rPr>
              <w:t>；冬季</w:t>
            </w:r>
            <w:r>
              <w:rPr>
                <w:rFonts w:ascii="Segoe UI Symbol" w:hAnsi="Segoe UI Symbol" w:eastAsia="MS Gothic" w:cs="Segoe UI Symbol"/>
                <w:kern w:val="21"/>
                <w:szCs w:val="21"/>
              </w:rPr>
              <w:t>☐</w:t>
            </w:r>
          </w:p>
          <w:p>
            <w:pPr>
              <w:adjustRightInd w:val="0"/>
              <w:snapToGrid w:val="0"/>
              <w:ind w:firstLine="420"/>
              <w:rPr>
                <w:rFonts w:ascii="Calibri" w:hAnsi="Calibri" w:eastAsia="宋体" w:cs="Calibri"/>
                <w:kern w:val="21"/>
                <w:szCs w:val="21"/>
              </w:rPr>
            </w:pPr>
            <w:r>
              <w:rPr>
                <w:rFonts w:hint="eastAsia" w:ascii="Calibri" w:hAnsi="Calibri" w:cs="Calibri"/>
                <w:kern w:val="21"/>
                <w:szCs w:val="21"/>
              </w:rPr>
              <w:t>设计水文条件</w:t>
            </w:r>
            <w:r>
              <w:rPr>
                <w:rFonts w:ascii="Segoe UI Symbol" w:hAnsi="Segoe UI Symbol" w:eastAsia="MS Gothic" w:cs="Segoe UI Symbol"/>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预测情景</w:t>
            </w:r>
          </w:p>
        </w:tc>
        <w:tc>
          <w:tcPr>
            <w:tcW w:w="10726" w:type="dxa"/>
            <w:gridSpan w:val="11"/>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建设期</w:t>
            </w:r>
            <w:r>
              <w:rPr>
                <w:rFonts w:ascii="Segoe UI Symbol" w:hAnsi="Segoe UI Symbol" w:eastAsia="MS Gothic" w:cs="Segoe UI Symbol"/>
                <w:kern w:val="21"/>
                <w:szCs w:val="21"/>
              </w:rPr>
              <w:t>☐</w:t>
            </w:r>
            <w:r>
              <w:rPr>
                <w:rFonts w:hint="eastAsia" w:ascii="Calibri" w:hAnsi="Calibri" w:cs="Calibri"/>
                <w:kern w:val="21"/>
                <w:szCs w:val="21"/>
              </w:rPr>
              <w:t>；生产运行期</w:t>
            </w:r>
            <w:r>
              <w:rPr>
                <w:rFonts w:ascii="Segoe UI Symbol" w:hAnsi="Segoe UI Symbol" w:eastAsia="MS Gothic" w:cs="Segoe UI Symbol"/>
                <w:kern w:val="21"/>
                <w:szCs w:val="21"/>
              </w:rPr>
              <w:t>☐</w:t>
            </w:r>
            <w:r>
              <w:rPr>
                <w:rFonts w:hint="eastAsia" w:ascii="Calibri" w:hAnsi="Calibri" w:cs="Calibri"/>
                <w:kern w:val="21"/>
                <w:szCs w:val="21"/>
              </w:rPr>
              <w:t>；服务期满后</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正常工况</w:t>
            </w:r>
            <w:r>
              <w:rPr>
                <w:rFonts w:ascii="Segoe UI Symbol" w:hAnsi="Segoe UI Symbol" w:eastAsia="MS Gothic" w:cs="Segoe UI Symbol"/>
                <w:kern w:val="21"/>
                <w:szCs w:val="21"/>
              </w:rPr>
              <w:t>☐</w:t>
            </w:r>
            <w:r>
              <w:rPr>
                <w:rFonts w:hint="eastAsia" w:ascii="Calibri" w:hAnsi="Calibri" w:cs="Calibri"/>
                <w:kern w:val="21"/>
                <w:szCs w:val="21"/>
              </w:rPr>
              <w:t>；非正常工况</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污染控制和减缓措施方案</w:t>
            </w:r>
            <w:r>
              <w:rPr>
                <w:rFonts w:ascii="Segoe UI Symbol" w:hAnsi="Segoe UI Symbol" w:eastAsia="MS Gothic" w:cs="Segoe UI Symbol"/>
                <w:kern w:val="21"/>
                <w:szCs w:val="21"/>
              </w:rPr>
              <w:t>☐</w:t>
            </w:r>
          </w:p>
          <w:p>
            <w:pPr>
              <w:adjustRightInd w:val="0"/>
              <w:snapToGrid w:val="0"/>
              <w:ind w:firstLine="420"/>
              <w:rPr>
                <w:rFonts w:ascii="Calibri" w:hAnsi="Calibri" w:eastAsia="宋体" w:cs="Calibri"/>
                <w:kern w:val="21"/>
                <w:szCs w:val="21"/>
              </w:rPr>
            </w:pPr>
            <w:r>
              <w:rPr>
                <w:rFonts w:hint="eastAsia" w:ascii="Calibri" w:hAnsi="Calibri" w:cs="Calibri"/>
                <w:kern w:val="21"/>
                <w:szCs w:val="21"/>
              </w:rPr>
              <w:t>区（流）域环境质量改善目标要求情景</w:t>
            </w:r>
            <w:r>
              <w:rPr>
                <w:rFonts w:ascii="Segoe UI Symbol" w:hAnsi="Segoe UI Symbol" w:eastAsia="MS Gothic" w:cs="Segoe UI Symbol"/>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预测方法</w:t>
            </w:r>
          </w:p>
        </w:tc>
        <w:tc>
          <w:tcPr>
            <w:tcW w:w="10726" w:type="dxa"/>
            <w:gridSpan w:val="11"/>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数值解</w:t>
            </w:r>
            <w:r>
              <w:rPr>
                <w:rFonts w:ascii="Segoe UI Symbol" w:hAnsi="Segoe UI Symbol" w:eastAsia="MS Gothic" w:cs="Segoe UI Symbol"/>
                <w:kern w:val="21"/>
                <w:szCs w:val="21"/>
              </w:rPr>
              <w:t>☐</w:t>
            </w:r>
            <w:r>
              <w:rPr>
                <w:rFonts w:hint="eastAsia" w:ascii="Calibri" w:hAnsi="Calibri" w:cs="Calibri"/>
                <w:kern w:val="21"/>
                <w:szCs w:val="21"/>
              </w:rPr>
              <w:t>：解析解</w:t>
            </w:r>
            <w:r>
              <w:rPr>
                <w:rFonts w:ascii="Segoe UI Symbol" w:hAnsi="Segoe UI Symbol" w:eastAsia="MS Gothic" w:cs="Segoe UI Symbol"/>
                <w:kern w:val="21"/>
                <w:szCs w:val="21"/>
              </w:rPr>
              <w:t>☐</w:t>
            </w:r>
            <w:r>
              <w:rPr>
                <w:rFonts w:hint="eastAsia" w:ascii="Calibri" w:hAnsi="Calibri" w:cs="Calibri"/>
                <w:kern w:val="21"/>
                <w:szCs w:val="21"/>
              </w:rPr>
              <w:t>；其他</w:t>
            </w:r>
            <w:r>
              <w:rPr>
                <w:rFonts w:ascii="Segoe UI Symbol" w:hAnsi="Segoe UI Symbol" w:eastAsia="MS Gothic" w:cs="Segoe UI Symbol"/>
                <w:kern w:val="21"/>
                <w:szCs w:val="21"/>
              </w:rPr>
              <w:t>☐</w:t>
            </w:r>
          </w:p>
          <w:p>
            <w:pPr>
              <w:adjustRightInd w:val="0"/>
              <w:snapToGrid w:val="0"/>
              <w:ind w:firstLine="420"/>
              <w:rPr>
                <w:rFonts w:ascii="Calibri" w:hAnsi="Calibri" w:eastAsia="宋体" w:cs="Calibri"/>
                <w:kern w:val="21"/>
                <w:szCs w:val="21"/>
              </w:rPr>
            </w:pPr>
            <w:r>
              <w:rPr>
                <w:rFonts w:hint="eastAsia" w:ascii="Calibri" w:hAnsi="Calibri" w:cs="Calibri"/>
                <w:kern w:val="21"/>
                <w:szCs w:val="21"/>
              </w:rPr>
              <w:t>导则推荐模式</w:t>
            </w:r>
            <w:r>
              <w:rPr>
                <w:rFonts w:ascii="Segoe UI Symbol" w:hAnsi="Segoe UI Symbol" w:eastAsia="MS Gothic" w:cs="Segoe UI Symbol"/>
                <w:kern w:val="21"/>
                <w:szCs w:val="21"/>
              </w:rPr>
              <w:t>☐</w:t>
            </w:r>
            <w:r>
              <w:rPr>
                <w:rFonts w:hint="eastAsia" w:ascii="Calibri" w:hAnsi="Calibri" w:cs="Calibri"/>
                <w:kern w:val="21"/>
                <w:szCs w:val="21"/>
              </w:rPr>
              <w:t>：其他</w:t>
            </w:r>
            <w:r>
              <w:rPr>
                <w:rFonts w:ascii="Segoe UI Symbol" w:hAnsi="Segoe UI Symbol" w:eastAsia="MS Gothic" w:cs="Segoe UI Symbol"/>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restart"/>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影</w:t>
            </w:r>
            <w:r>
              <w:rPr>
                <w:rFonts w:hint="eastAsia" w:ascii="Calibri" w:hAnsi="Calibri" w:cs="Calibri"/>
                <w:kern w:val="21"/>
                <w:szCs w:val="21"/>
                <w:lang w:eastAsia="zh-CN"/>
              </w:rPr>
              <w:t>影</w:t>
            </w:r>
            <w:r>
              <w:rPr>
                <w:rFonts w:hint="eastAsia" w:ascii="Calibri" w:hAnsi="Calibri" w:cs="Calibri"/>
                <w:kern w:val="21"/>
                <w:szCs w:val="21"/>
              </w:rPr>
              <w:t>响评价</w:t>
            </w: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水环境影响评价</w:t>
            </w:r>
          </w:p>
        </w:tc>
        <w:tc>
          <w:tcPr>
            <w:tcW w:w="10726" w:type="dxa"/>
            <w:gridSpan w:val="11"/>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排放口混合区外满足水环境管理要求</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水环境功能区或水功能区、近岸海域环境功能区水质达标</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满足水环境保护目标水域水环境质量要求</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水环境控制单元或断面水质达标</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满足重点水污染物排放总量控制指标要求，重点行业建设项目，主要污染物排放满足等量或减量替代要求</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满足区（流）域水环境质量改善目标要求</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水文要素影响型建设项目同时应包括水文情势变化评价、主要水文特征值影响评价、生态流量符合性评价</w:t>
            </w:r>
            <w:r>
              <w:rPr>
                <w:rFonts w:ascii="Segoe UI Symbol" w:hAnsi="Segoe UI Symbol" w:eastAsia="MS Gothic" w:cs="Segoe UI Symbol"/>
                <w:kern w:val="21"/>
                <w:szCs w:val="21"/>
              </w:rPr>
              <w:t>☐</w:t>
            </w:r>
          </w:p>
          <w:p>
            <w:pPr>
              <w:adjustRightInd w:val="0"/>
              <w:snapToGrid w:val="0"/>
              <w:ind w:firstLine="420"/>
              <w:rPr>
                <w:rFonts w:ascii="Calibri" w:hAnsi="Calibri" w:cs="Calibri"/>
                <w:kern w:val="21"/>
                <w:szCs w:val="21"/>
              </w:rPr>
            </w:pPr>
            <w:r>
              <w:rPr>
                <w:rFonts w:hint="eastAsia" w:ascii="Calibri" w:hAnsi="Calibri" w:cs="Calibri"/>
                <w:kern w:val="21"/>
                <w:szCs w:val="21"/>
              </w:rPr>
              <w:t>对于新设或调整入河（湖库、近岸海域）排放口的建设项目，应包括排放口设置的环境合理性评价</w:t>
            </w:r>
            <w:r>
              <w:rPr>
                <w:rFonts w:ascii="Segoe UI Symbol" w:hAnsi="Segoe UI Symbol" w:eastAsia="MS Gothic" w:cs="Segoe UI Symbol"/>
                <w:kern w:val="21"/>
                <w:szCs w:val="21"/>
              </w:rPr>
              <w:t>☐</w:t>
            </w:r>
          </w:p>
          <w:p>
            <w:pPr>
              <w:adjustRightInd w:val="0"/>
              <w:snapToGrid w:val="0"/>
              <w:ind w:firstLine="420"/>
              <w:rPr>
                <w:rFonts w:ascii="Calibri" w:hAnsi="Calibri" w:eastAsia="宋体" w:cs="Calibri"/>
                <w:kern w:val="21"/>
                <w:szCs w:val="21"/>
              </w:rPr>
            </w:pPr>
            <w:r>
              <w:rPr>
                <w:rFonts w:hint="eastAsia" w:ascii="Calibri" w:hAnsi="Calibri" w:cs="Calibri"/>
                <w:kern w:val="21"/>
                <w:szCs w:val="21"/>
              </w:rPr>
              <w:t>满足生态保护红线、水环境质量底线、资源利用上线和环境准入清单管理要求</w:t>
            </w:r>
            <w:r>
              <w:rPr>
                <w:rFonts w:ascii="Segoe UI Symbol" w:hAnsi="Segoe UI Symbol" w:eastAsia="MS Gothic" w:cs="Segoe UI Symbol"/>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restart"/>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污染源排放量核算</w:t>
            </w:r>
          </w:p>
        </w:tc>
        <w:tc>
          <w:tcPr>
            <w:tcW w:w="3575" w:type="dxa"/>
            <w:gridSpan w:val="3"/>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污染物名称</w:t>
            </w:r>
          </w:p>
        </w:tc>
        <w:tc>
          <w:tcPr>
            <w:tcW w:w="3575" w:type="dxa"/>
            <w:gridSpan w:val="4"/>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排放量/（t/a）</w:t>
            </w:r>
          </w:p>
        </w:tc>
        <w:tc>
          <w:tcPr>
            <w:tcW w:w="3576" w:type="dxa"/>
            <w:gridSpan w:val="4"/>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3575" w:type="dxa"/>
            <w:gridSpan w:val="3"/>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w:t>
            </w:r>
          </w:p>
        </w:tc>
        <w:tc>
          <w:tcPr>
            <w:tcW w:w="3575" w:type="dxa"/>
            <w:gridSpan w:val="4"/>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w:t>
            </w:r>
          </w:p>
        </w:tc>
        <w:tc>
          <w:tcPr>
            <w:tcW w:w="3576" w:type="dxa"/>
            <w:gridSpan w:val="4"/>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restart"/>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替代源排放情况</w:t>
            </w:r>
          </w:p>
        </w:tc>
        <w:tc>
          <w:tcPr>
            <w:tcW w:w="2145" w:type="dxa"/>
            <w:tcBorders>
              <w:tl2br w:val="nil"/>
              <w:tr2bl w:val="nil"/>
            </w:tcBorders>
            <w:vAlign w:val="center"/>
          </w:tcPr>
          <w:p>
            <w:pPr>
              <w:adjustRightInd w:val="0"/>
              <w:snapToGrid w:val="0"/>
              <w:ind w:firstLine="420"/>
              <w:jc w:val="left"/>
              <w:rPr>
                <w:rFonts w:ascii="Calibri" w:hAnsi="Calibri" w:cs="Calibri"/>
                <w:kern w:val="21"/>
                <w:szCs w:val="21"/>
              </w:rPr>
            </w:pPr>
            <w:r>
              <w:rPr>
                <w:rFonts w:hint="eastAsia" w:ascii="Calibri" w:hAnsi="Calibri" w:cs="Calibri"/>
                <w:kern w:val="21"/>
                <w:szCs w:val="21"/>
              </w:rPr>
              <w:t>污染源名称</w:t>
            </w:r>
          </w:p>
        </w:tc>
        <w:tc>
          <w:tcPr>
            <w:tcW w:w="2145" w:type="dxa"/>
            <w:gridSpan w:val="3"/>
            <w:tcBorders>
              <w:tl2br w:val="nil"/>
              <w:tr2bl w:val="nil"/>
            </w:tcBorders>
            <w:vAlign w:val="center"/>
          </w:tcPr>
          <w:p>
            <w:pPr>
              <w:adjustRightInd w:val="0"/>
              <w:snapToGrid w:val="0"/>
              <w:ind w:firstLine="420"/>
              <w:jc w:val="left"/>
              <w:rPr>
                <w:rFonts w:ascii="Calibri" w:hAnsi="Calibri" w:cs="Calibri"/>
                <w:kern w:val="21"/>
                <w:szCs w:val="21"/>
              </w:rPr>
            </w:pPr>
            <w:r>
              <w:rPr>
                <w:rFonts w:hint="eastAsia" w:ascii="Calibri" w:hAnsi="Calibri" w:cs="Calibri"/>
                <w:kern w:val="21"/>
                <w:szCs w:val="21"/>
              </w:rPr>
              <w:t>排污许可证编号</w:t>
            </w:r>
          </w:p>
        </w:tc>
        <w:tc>
          <w:tcPr>
            <w:tcW w:w="2145" w:type="dxa"/>
            <w:gridSpan w:val="2"/>
            <w:tcBorders>
              <w:tl2br w:val="nil"/>
              <w:tr2bl w:val="nil"/>
            </w:tcBorders>
            <w:vAlign w:val="center"/>
          </w:tcPr>
          <w:p>
            <w:pPr>
              <w:adjustRightInd w:val="0"/>
              <w:snapToGrid w:val="0"/>
              <w:ind w:firstLine="420"/>
              <w:jc w:val="left"/>
              <w:rPr>
                <w:rFonts w:ascii="Calibri" w:hAnsi="Calibri" w:cs="Calibri"/>
                <w:kern w:val="21"/>
                <w:szCs w:val="21"/>
              </w:rPr>
            </w:pPr>
            <w:r>
              <w:rPr>
                <w:rFonts w:hint="eastAsia" w:ascii="Calibri" w:hAnsi="Calibri" w:cs="Calibri"/>
                <w:kern w:val="21"/>
                <w:szCs w:val="21"/>
              </w:rPr>
              <w:t>污染物名称</w:t>
            </w:r>
          </w:p>
        </w:tc>
        <w:tc>
          <w:tcPr>
            <w:tcW w:w="2145" w:type="dxa"/>
            <w:gridSpan w:val="3"/>
            <w:tcBorders>
              <w:tl2br w:val="nil"/>
              <w:tr2bl w:val="nil"/>
            </w:tcBorders>
            <w:vAlign w:val="center"/>
          </w:tcPr>
          <w:p>
            <w:pPr>
              <w:adjustRightInd w:val="0"/>
              <w:snapToGrid w:val="0"/>
              <w:ind w:firstLine="420"/>
              <w:jc w:val="left"/>
              <w:rPr>
                <w:rFonts w:ascii="Calibri" w:hAnsi="Calibri" w:cs="Calibri"/>
                <w:kern w:val="21"/>
                <w:szCs w:val="21"/>
              </w:rPr>
            </w:pPr>
            <w:r>
              <w:rPr>
                <w:rFonts w:hint="eastAsia" w:ascii="Calibri" w:hAnsi="Calibri" w:cs="Calibri"/>
                <w:kern w:val="21"/>
                <w:szCs w:val="21"/>
              </w:rPr>
              <w:t>排放量/（t/a）</w:t>
            </w:r>
          </w:p>
        </w:tc>
        <w:tc>
          <w:tcPr>
            <w:tcW w:w="2146" w:type="dxa"/>
            <w:gridSpan w:val="2"/>
            <w:tcBorders>
              <w:tl2br w:val="nil"/>
              <w:tr2bl w:val="nil"/>
            </w:tcBorders>
            <w:vAlign w:val="center"/>
          </w:tcPr>
          <w:p>
            <w:pPr>
              <w:adjustRightInd w:val="0"/>
              <w:snapToGrid w:val="0"/>
              <w:ind w:firstLine="420"/>
              <w:jc w:val="left"/>
              <w:rPr>
                <w:rFonts w:ascii="Calibri" w:hAnsi="Calibri" w:cs="Calibri"/>
                <w:kern w:val="21"/>
                <w:szCs w:val="21"/>
              </w:rPr>
            </w:pPr>
            <w:r>
              <w:rPr>
                <w:rFonts w:hint="eastAsia" w:ascii="Calibri" w:hAnsi="Calibri" w:cs="Calibri"/>
                <w:kern w:val="21"/>
                <w:szCs w:val="21"/>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145" w:type="dxa"/>
            <w:tcBorders>
              <w:tl2br w:val="nil"/>
              <w:tr2bl w:val="nil"/>
            </w:tcBorders>
            <w:vAlign w:val="center"/>
          </w:tcPr>
          <w:p>
            <w:pPr>
              <w:adjustRightInd w:val="0"/>
              <w:snapToGrid w:val="0"/>
              <w:ind w:firstLine="420"/>
              <w:rPr>
                <w:rFonts w:ascii="Calibri" w:hAnsi="Calibri" w:cs="Calibri"/>
                <w:kern w:val="21"/>
                <w:szCs w:val="21"/>
              </w:rPr>
            </w:pPr>
          </w:p>
        </w:tc>
        <w:tc>
          <w:tcPr>
            <w:tcW w:w="2145" w:type="dxa"/>
            <w:gridSpan w:val="3"/>
            <w:tcBorders>
              <w:tl2br w:val="nil"/>
              <w:tr2bl w:val="nil"/>
            </w:tcBorders>
            <w:vAlign w:val="center"/>
          </w:tcPr>
          <w:p>
            <w:pPr>
              <w:adjustRightInd w:val="0"/>
              <w:snapToGrid w:val="0"/>
              <w:ind w:firstLine="420"/>
              <w:rPr>
                <w:rFonts w:ascii="Calibri" w:hAnsi="Calibri" w:cs="Calibri"/>
                <w:kern w:val="21"/>
                <w:szCs w:val="21"/>
              </w:rPr>
            </w:pPr>
          </w:p>
        </w:tc>
        <w:tc>
          <w:tcPr>
            <w:tcW w:w="2145" w:type="dxa"/>
            <w:gridSpan w:val="2"/>
            <w:tcBorders>
              <w:tl2br w:val="nil"/>
              <w:tr2bl w:val="nil"/>
            </w:tcBorders>
            <w:vAlign w:val="center"/>
          </w:tcPr>
          <w:p>
            <w:pPr>
              <w:adjustRightInd w:val="0"/>
              <w:snapToGrid w:val="0"/>
              <w:ind w:firstLine="420"/>
              <w:rPr>
                <w:rFonts w:ascii="Calibri" w:hAnsi="Calibri" w:cs="Calibri"/>
                <w:kern w:val="21"/>
                <w:szCs w:val="21"/>
              </w:rPr>
            </w:pPr>
          </w:p>
        </w:tc>
        <w:tc>
          <w:tcPr>
            <w:tcW w:w="2145" w:type="dxa"/>
            <w:gridSpan w:val="3"/>
            <w:tcBorders>
              <w:tl2br w:val="nil"/>
              <w:tr2bl w:val="nil"/>
            </w:tcBorders>
            <w:vAlign w:val="center"/>
          </w:tcPr>
          <w:p>
            <w:pPr>
              <w:adjustRightInd w:val="0"/>
              <w:snapToGrid w:val="0"/>
              <w:ind w:firstLine="420"/>
              <w:rPr>
                <w:rFonts w:ascii="Calibri" w:hAnsi="Calibri" w:cs="Calibri"/>
                <w:kern w:val="21"/>
                <w:szCs w:val="21"/>
              </w:rPr>
            </w:pPr>
          </w:p>
        </w:tc>
        <w:tc>
          <w:tcPr>
            <w:tcW w:w="2146" w:type="dxa"/>
            <w:gridSpan w:val="2"/>
            <w:tcBorders>
              <w:tl2br w:val="nil"/>
              <w:tr2bl w:val="nil"/>
            </w:tcBorders>
            <w:vAlign w:val="center"/>
          </w:tcPr>
          <w:p>
            <w:pPr>
              <w:adjustRightInd w:val="0"/>
              <w:snapToGrid w:val="0"/>
              <w:ind w:firstLine="420"/>
              <w:rPr>
                <w:rFonts w:ascii="Calibri" w:hAnsi="Calibri" w:cs="Calibri"/>
                <w:kern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生态流量确定</w:t>
            </w:r>
          </w:p>
        </w:tc>
        <w:tc>
          <w:tcPr>
            <w:tcW w:w="10726" w:type="dxa"/>
            <w:gridSpan w:val="11"/>
            <w:tcBorders>
              <w:tl2br w:val="nil"/>
              <w:tr2bl w:val="nil"/>
            </w:tcBorders>
            <w:vAlign w:val="center"/>
          </w:tcPr>
          <w:p>
            <w:pPr>
              <w:adjustRightInd w:val="0"/>
              <w:snapToGrid w:val="0"/>
              <w:ind w:firstLine="420"/>
              <w:rPr>
                <w:rFonts w:ascii="Calibri" w:hAnsi="Calibri" w:cs="Calibri"/>
                <w:kern w:val="21"/>
                <w:szCs w:val="21"/>
              </w:rPr>
            </w:pPr>
            <w:r>
              <w:rPr>
                <w:rFonts w:hint="eastAsia" w:ascii="Calibri" w:hAnsi="Calibri" w:cs="Calibri"/>
                <w:kern w:val="21"/>
                <w:szCs w:val="21"/>
              </w:rPr>
              <w:t>生态流量：一般水期（）m</w:t>
            </w:r>
            <w:r>
              <w:rPr>
                <w:rFonts w:hint="eastAsia" w:ascii="Calibri" w:hAnsi="Calibri" w:cs="Calibri"/>
                <w:kern w:val="21"/>
                <w:szCs w:val="21"/>
                <w:vertAlign w:val="superscript"/>
              </w:rPr>
              <w:t>3</w:t>
            </w:r>
            <w:r>
              <w:rPr>
                <w:rFonts w:hint="eastAsia" w:ascii="Calibri" w:hAnsi="Calibri" w:cs="Calibri"/>
                <w:kern w:val="21"/>
                <w:szCs w:val="21"/>
              </w:rPr>
              <w:t>/s；鱼类繁殖期（）m3/s；其他（）m3/s</w:t>
            </w:r>
          </w:p>
          <w:p>
            <w:pPr>
              <w:adjustRightInd w:val="0"/>
              <w:snapToGrid w:val="0"/>
              <w:ind w:firstLine="420"/>
              <w:rPr>
                <w:rFonts w:ascii="Calibri" w:hAnsi="Calibri" w:cs="Calibri"/>
                <w:kern w:val="21"/>
                <w:szCs w:val="21"/>
              </w:rPr>
            </w:pPr>
            <w:r>
              <w:rPr>
                <w:rFonts w:hint="eastAsia" w:ascii="Calibri" w:hAnsi="Calibri" w:cs="Calibri"/>
                <w:kern w:val="21"/>
                <w:szCs w:val="21"/>
              </w:rPr>
              <w:t>生态水位：一般水期（）m；鱼类繁殖期（）m；其他（）m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restart"/>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防</w:t>
            </w:r>
            <w:r>
              <w:rPr>
                <w:rFonts w:hint="eastAsia" w:ascii="Calibri" w:hAnsi="Calibri" w:cs="Calibri"/>
                <w:kern w:val="21"/>
                <w:szCs w:val="21"/>
                <w:lang w:eastAsia="zh-CN"/>
              </w:rPr>
              <w:t>防</w:t>
            </w:r>
            <w:r>
              <w:rPr>
                <w:rFonts w:hint="eastAsia" w:ascii="Calibri" w:hAnsi="Calibri" w:cs="Calibri"/>
                <w:kern w:val="21"/>
                <w:szCs w:val="21"/>
              </w:rPr>
              <w:t>治措施</w:t>
            </w: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环保措施</w:t>
            </w:r>
          </w:p>
        </w:tc>
        <w:tc>
          <w:tcPr>
            <w:tcW w:w="10726" w:type="dxa"/>
            <w:gridSpan w:val="11"/>
            <w:tcBorders>
              <w:tl2br w:val="nil"/>
              <w:tr2bl w:val="nil"/>
            </w:tcBorders>
            <w:vAlign w:val="center"/>
          </w:tcPr>
          <w:p>
            <w:pPr>
              <w:adjustRightInd w:val="0"/>
              <w:snapToGrid w:val="0"/>
              <w:ind w:firstLine="420"/>
              <w:rPr>
                <w:rFonts w:ascii="Calibri" w:hAnsi="Calibri" w:eastAsia="宋体" w:cs="Calibri"/>
                <w:kern w:val="21"/>
                <w:szCs w:val="21"/>
              </w:rPr>
            </w:pPr>
            <w:r>
              <w:rPr>
                <w:rFonts w:hint="eastAsia" w:ascii="Calibri" w:hAnsi="Calibri" w:cs="Calibri"/>
                <w:kern w:val="21"/>
                <w:szCs w:val="21"/>
              </w:rPr>
              <w:t>污水处理设施</w:t>
            </w:r>
            <w:r>
              <w:rPr>
                <w:rFonts w:hint="eastAsia" w:ascii="仿宋" w:hAnsi="仿宋" w:eastAsia="仿宋" w:cs="Times New Roman"/>
                <w:color w:val="000000"/>
                <w:kern w:val="21"/>
                <w:szCs w:val="20"/>
                <w:lang w:eastAsia="zh-CN"/>
              </w:rPr>
              <w:t>☑</w:t>
            </w:r>
            <w:r>
              <w:rPr>
                <w:rFonts w:hint="eastAsia" w:ascii="Calibri" w:hAnsi="Calibri" w:cs="Calibri"/>
                <w:kern w:val="21"/>
                <w:szCs w:val="21"/>
              </w:rPr>
              <w:t>；水文减缓设施</w:t>
            </w:r>
            <w:r>
              <w:rPr>
                <w:rFonts w:ascii="Segoe UI Symbol" w:hAnsi="Segoe UI Symbol" w:eastAsia="MS Gothic" w:cs="Segoe UI Symbol"/>
                <w:kern w:val="21"/>
                <w:szCs w:val="21"/>
              </w:rPr>
              <w:t>☐</w:t>
            </w:r>
            <w:r>
              <w:rPr>
                <w:rFonts w:hint="eastAsia" w:ascii="Calibri" w:hAnsi="Calibri" w:cs="Calibri"/>
                <w:kern w:val="21"/>
                <w:szCs w:val="21"/>
              </w:rPr>
              <w:t>；生态流量保障设施</w:t>
            </w:r>
            <w:r>
              <w:rPr>
                <w:rFonts w:ascii="Segoe UI Symbol" w:hAnsi="Segoe UI Symbol" w:eastAsia="MS Gothic" w:cs="Segoe UI Symbol"/>
                <w:kern w:val="21"/>
                <w:szCs w:val="21"/>
              </w:rPr>
              <w:t>☐</w:t>
            </w:r>
            <w:r>
              <w:rPr>
                <w:rFonts w:hint="eastAsia" w:ascii="Calibri" w:hAnsi="Calibri" w:cs="Calibri"/>
                <w:kern w:val="21"/>
                <w:szCs w:val="21"/>
              </w:rPr>
              <w:t>；区域消减</w:t>
            </w:r>
            <w:r>
              <w:rPr>
                <w:rFonts w:ascii="Segoe UI Symbol" w:hAnsi="Segoe UI Symbol" w:eastAsia="MS Gothic" w:cs="Segoe UI Symbol"/>
                <w:kern w:val="21"/>
                <w:szCs w:val="21"/>
              </w:rPr>
              <w:t>☐</w:t>
            </w:r>
            <w:r>
              <w:rPr>
                <w:rFonts w:hint="eastAsia" w:ascii="Calibri" w:hAnsi="Calibri" w:cs="Calibri"/>
                <w:kern w:val="21"/>
                <w:szCs w:val="21"/>
              </w:rPr>
              <w:t>；依托其他工程措施</w:t>
            </w:r>
            <w:r>
              <w:rPr>
                <w:rFonts w:hint="eastAsia" w:ascii="仿宋" w:hAnsi="仿宋" w:eastAsia="仿宋" w:cs="Times New Roman"/>
                <w:color w:val="000000"/>
                <w:kern w:val="21"/>
                <w:szCs w:val="20"/>
                <w:lang w:eastAsia="zh-CN"/>
              </w:rPr>
              <w:t>☑</w:t>
            </w:r>
            <w:r>
              <w:rPr>
                <w:rFonts w:hint="eastAsia" w:ascii="Calibri" w:hAnsi="Calibri" w:cs="Calibri"/>
                <w:kern w:val="21"/>
                <w:szCs w:val="21"/>
              </w:rPr>
              <w:t>；其他</w:t>
            </w:r>
            <w:r>
              <w:rPr>
                <w:rFonts w:hint="eastAsia" w:ascii="仿宋" w:hAnsi="仿宋" w:eastAsia="仿宋" w:cs="Times New Roman"/>
                <w:color w:val="000000"/>
                <w:kern w:val="21"/>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restart"/>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监测计划</w:t>
            </w:r>
          </w:p>
        </w:tc>
        <w:tc>
          <w:tcPr>
            <w:tcW w:w="3575" w:type="dxa"/>
            <w:gridSpan w:val="3"/>
            <w:tcBorders>
              <w:tl2br w:val="nil"/>
              <w:tr2bl w:val="nil"/>
            </w:tcBorders>
            <w:vAlign w:val="center"/>
          </w:tcPr>
          <w:p>
            <w:pPr>
              <w:adjustRightInd w:val="0"/>
              <w:snapToGrid w:val="0"/>
              <w:ind w:firstLine="420"/>
              <w:rPr>
                <w:rFonts w:ascii="Calibri" w:hAnsi="Calibri" w:cs="Calibri"/>
                <w:kern w:val="21"/>
                <w:szCs w:val="21"/>
              </w:rPr>
            </w:pPr>
          </w:p>
        </w:tc>
        <w:tc>
          <w:tcPr>
            <w:tcW w:w="3575" w:type="dxa"/>
            <w:gridSpan w:val="4"/>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环境质量</w:t>
            </w:r>
          </w:p>
        </w:tc>
        <w:tc>
          <w:tcPr>
            <w:tcW w:w="3576" w:type="dxa"/>
            <w:gridSpan w:val="4"/>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3575" w:type="dxa"/>
            <w:gridSpan w:val="3"/>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监测方式</w:t>
            </w:r>
          </w:p>
        </w:tc>
        <w:tc>
          <w:tcPr>
            <w:tcW w:w="3575" w:type="dxa"/>
            <w:gridSpan w:val="4"/>
            <w:tcBorders>
              <w:tl2br w:val="nil"/>
              <w:tr2bl w:val="nil"/>
            </w:tcBorders>
            <w:vAlign w:val="center"/>
          </w:tcPr>
          <w:p>
            <w:pPr>
              <w:adjustRightInd w:val="0"/>
              <w:snapToGrid w:val="0"/>
              <w:ind w:firstLine="420"/>
              <w:jc w:val="center"/>
              <w:rPr>
                <w:rFonts w:ascii="Calibri" w:hAnsi="Calibri" w:eastAsia="宋体" w:cs="Calibri"/>
                <w:kern w:val="21"/>
                <w:szCs w:val="21"/>
              </w:rPr>
            </w:pPr>
            <w:r>
              <w:rPr>
                <w:rFonts w:hint="eastAsia" w:ascii="Calibri" w:hAnsi="Calibri" w:cs="Calibri"/>
                <w:kern w:val="21"/>
                <w:szCs w:val="21"/>
              </w:rPr>
              <w:t>手动</w:t>
            </w:r>
            <w:r>
              <w:rPr>
                <w:rFonts w:ascii="Segoe UI Symbol" w:hAnsi="Segoe UI Symbol" w:eastAsia="MS Gothic" w:cs="Segoe UI Symbol"/>
                <w:kern w:val="21"/>
                <w:szCs w:val="21"/>
              </w:rPr>
              <w:t>☐</w:t>
            </w:r>
            <w:r>
              <w:rPr>
                <w:rFonts w:hint="eastAsia" w:ascii="Calibri" w:hAnsi="Calibri" w:cs="Calibri"/>
                <w:kern w:val="21"/>
                <w:szCs w:val="21"/>
              </w:rPr>
              <w:t>；自动</w:t>
            </w:r>
            <w:r>
              <w:rPr>
                <w:rFonts w:ascii="Segoe UI Symbol" w:hAnsi="Segoe UI Symbol" w:eastAsia="MS Gothic" w:cs="Segoe UI Symbol"/>
                <w:kern w:val="21"/>
                <w:szCs w:val="21"/>
              </w:rPr>
              <w:t>☐</w:t>
            </w:r>
            <w:r>
              <w:rPr>
                <w:rFonts w:hint="eastAsia" w:ascii="Calibri" w:hAnsi="Calibri" w:cs="Calibri"/>
                <w:kern w:val="21"/>
                <w:szCs w:val="21"/>
              </w:rPr>
              <w:t>；无监测</w:t>
            </w:r>
            <w:r>
              <w:rPr>
                <w:rFonts w:hint="eastAsia" w:ascii="仿宋" w:hAnsi="仿宋" w:eastAsia="仿宋" w:cs="Times New Roman"/>
                <w:color w:val="000000"/>
                <w:kern w:val="21"/>
                <w:szCs w:val="20"/>
                <w:lang w:eastAsia="zh-CN"/>
              </w:rPr>
              <w:t>□</w:t>
            </w:r>
          </w:p>
        </w:tc>
        <w:tc>
          <w:tcPr>
            <w:tcW w:w="3576" w:type="dxa"/>
            <w:gridSpan w:val="4"/>
            <w:tcBorders>
              <w:tl2br w:val="nil"/>
              <w:tr2bl w:val="nil"/>
            </w:tcBorders>
            <w:vAlign w:val="center"/>
          </w:tcPr>
          <w:p>
            <w:pPr>
              <w:adjustRightInd w:val="0"/>
              <w:snapToGrid w:val="0"/>
              <w:ind w:firstLine="420"/>
              <w:jc w:val="center"/>
              <w:rPr>
                <w:rFonts w:ascii="Calibri" w:hAnsi="Calibri" w:eastAsia="宋体" w:cs="Calibri"/>
                <w:kern w:val="21"/>
                <w:szCs w:val="21"/>
              </w:rPr>
            </w:pPr>
            <w:r>
              <w:rPr>
                <w:rFonts w:hint="eastAsia" w:ascii="Calibri" w:hAnsi="Calibri" w:cs="Calibri"/>
                <w:kern w:val="21"/>
                <w:szCs w:val="21"/>
              </w:rPr>
              <w:t>手动</w:t>
            </w:r>
            <w:r>
              <w:rPr>
                <w:rFonts w:hint="eastAsia" w:ascii="仿宋" w:hAnsi="仿宋" w:eastAsia="仿宋" w:cs="Times New Roman"/>
                <w:color w:val="000000"/>
                <w:kern w:val="21"/>
                <w:szCs w:val="20"/>
                <w:lang w:eastAsia="zh-CN"/>
              </w:rPr>
              <w:t>☑</w:t>
            </w:r>
            <w:r>
              <w:rPr>
                <w:rFonts w:hint="eastAsia" w:ascii="Calibri" w:hAnsi="Calibri" w:cs="Calibri"/>
                <w:kern w:val="21"/>
                <w:szCs w:val="21"/>
              </w:rPr>
              <w:t>；自动</w:t>
            </w:r>
            <w:r>
              <w:rPr>
                <w:rFonts w:ascii="Segoe UI Symbol" w:hAnsi="Segoe UI Symbol" w:eastAsia="MS Gothic" w:cs="Segoe UI Symbol"/>
                <w:kern w:val="21"/>
                <w:szCs w:val="21"/>
              </w:rPr>
              <w:t>☐</w:t>
            </w:r>
            <w:r>
              <w:rPr>
                <w:rFonts w:hint="eastAsia" w:ascii="Calibri" w:hAnsi="Calibri" w:cs="Calibri"/>
                <w:kern w:val="21"/>
                <w:szCs w:val="21"/>
              </w:rPr>
              <w:t>；无监测</w:t>
            </w:r>
            <w:r>
              <w:rPr>
                <w:rFonts w:hint="eastAsia" w:ascii="仿宋" w:hAnsi="仿宋" w:eastAsia="仿宋" w:cs="Times New Roman"/>
                <w:color w:val="000000"/>
                <w:kern w:val="21"/>
                <w:szCs w:val="20"/>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3575" w:type="dxa"/>
            <w:gridSpan w:val="3"/>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监测点位</w:t>
            </w:r>
          </w:p>
        </w:tc>
        <w:tc>
          <w:tcPr>
            <w:tcW w:w="3575" w:type="dxa"/>
            <w:gridSpan w:val="4"/>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w:t>
            </w:r>
          </w:p>
        </w:tc>
        <w:tc>
          <w:tcPr>
            <w:tcW w:w="3576" w:type="dxa"/>
            <w:gridSpan w:val="4"/>
            <w:tcBorders>
              <w:tl2br w:val="nil"/>
              <w:tr2bl w:val="nil"/>
            </w:tcBorders>
            <w:vAlign w:val="center"/>
          </w:tcPr>
          <w:p>
            <w:pPr>
              <w:adjustRightInd w:val="0"/>
              <w:snapToGrid w:val="0"/>
              <w:ind w:left="0" w:leftChars="0" w:firstLine="0" w:firstLineChars="0"/>
              <w:jc w:val="both"/>
              <w:rPr>
                <w:rFonts w:ascii="Calibri" w:hAnsi="Calibri" w:cs="Calibri"/>
                <w:kern w:val="21"/>
                <w:szCs w:val="21"/>
              </w:rPr>
            </w:pPr>
            <w:r>
              <w:rPr>
                <w:rFonts w:hint="eastAsia" w:ascii="Calibri" w:hAnsi="Calibri" w:cs="Calibri"/>
                <w:kern w:val="21"/>
                <w:szCs w:val="21"/>
              </w:rPr>
              <w:t>（</w:t>
            </w:r>
            <w:r>
              <w:rPr>
                <w:rFonts w:hint="eastAsia" w:ascii="Times New Roman" w:hAnsi="Times New Roman" w:cs="Times New Roman"/>
                <w:color w:val="auto"/>
                <w:kern w:val="21"/>
                <w:szCs w:val="21"/>
                <w:u w:val="none" w:color="auto"/>
              </w:rPr>
              <w:t>捞刀河</w:t>
            </w:r>
            <w:r>
              <w:rPr>
                <w:rFonts w:hint="eastAsia" w:ascii="Times New Roman" w:hAnsi="Times New Roman" w:cs="Times New Roman"/>
                <w:color w:val="auto"/>
                <w:kern w:val="21"/>
                <w:szCs w:val="21"/>
                <w:u w:val="none" w:color="auto"/>
                <w:lang w:eastAsia="zh-CN"/>
              </w:rPr>
              <w:t>、湘江</w:t>
            </w:r>
            <w:r>
              <w:rPr>
                <w:rFonts w:hint="eastAsia" w:ascii="Times New Roman" w:hAnsi="Times New Roman" w:cs="Times New Roman"/>
                <w:color w:val="auto"/>
                <w:kern w:val="21"/>
                <w:szCs w:val="21"/>
                <w:u w:val="none" w:color="auto"/>
              </w:rPr>
              <w:t>各设一个监测断面</w:t>
            </w:r>
            <w:r>
              <w:rPr>
                <w:rFonts w:hint="eastAsia" w:ascii="Calibri" w:hAnsi="Calibri" w:cs="Calibri"/>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3575" w:type="dxa"/>
            <w:gridSpan w:val="3"/>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监测因子</w:t>
            </w:r>
          </w:p>
        </w:tc>
        <w:tc>
          <w:tcPr>
            <w:tcW w:w="3575" w:type="dxa"/>
            <w:gridSpan w:val="4"/>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w:t>
            </w:r>
          </w:p>
        </w:tc>
        <w:tc>
          <w:tcPr>
            <w:tcW w:w="3576" w:type="dxa"/>
            <w:gridSpan w:val="4"/>
            <w:tcBorders>
              <w:tl2br w:val="nil"/>
              <w:tr2bl w:val="nil"/>
            </w:tcBorders>
            <w:vAlign w:val="center"/>
          </w:tcPr>
          <w:p>
            <w:pPr>
              <w:adjustRightInd w:val="0"/>
              <w:snapToGrid w:val="0"/>
              <w:ind w:left="0" w:leftChars="0" w:firstLine="0" w:firstLineChars="0"/>
              <w:jc w:val="left"/>
              <w:rPr>
                <w:rFonts w:ascii="Calibri" w:hAnsi="Calibri" w:cs="Calibri"/>
                <w:kern w:val="21"/>
                <w:szCs w:val="21"/>
                <w:u w:val="none" w:color="auto"/>
              </w:rPr>
            </w:pPr>
            <w:r>
              <w:rPr>
                <w:rFonts w:hint="eastAsia" w:ascii="Calibri" w:hAnsi="Calibri" w:cs="Calibri"/>
                <w:kern w:val="21"/>
                <w:szCs w:val="21"/>
                <w:u w:val="none" w:color="auto"/>
              </w:rPr>
              <w:t>（</w:t>
            </w:r>
            <w:r>
              <w:rPr>
                <w:rFonts w:hint="eastAsia" w:ascii="Times New Roman" w:hAnsi="Times New Roman" w:cs="Times New Roman"/>
                <w:color w:val="auto"/>
                <w:kern w:val="21"/>
                <w:szCs w:val="21"/>
                <w:u w:val="none" w:color="auto"/>
              </w:rPr>
              <w:t>pH、COD、SS、氨氮、石油类</w:t>
            </w:r>
            <w:r>
              <w:rPr>
                <w:rFonts w:hint="eastAsia" w:ascii="Calibri" w:hAnsi="Calibri" w:cs="Calibri"/>
                <w:kern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7" w:type="dxa"/>
            <w:vMerge w:val="continue"/>
            <w:tcBorders>
              <w:tl2br w:val="nil"/>
              <w:tr2bl w:val="nil"/>
            </w:tcBorders>
            <w:vAlign w:val="center"/>
          </w:tcPr>
          <w:p>
            <w:pPr>
              <w:adjustRightInd w:val="0"/>
              <w:snapToGrid w:val="0"/>
              <w:ind w:firstLine="420"/>
              <w:jc w:val="center"/>
              <w:rPr>
                <w:rFonts w:ascii="Calibri" w:hAnsi="Calibri" w:cs="Calibri"/>
                <w:kern w:val="21"/>
                <w:szCs w:val="21"/>
              </w:rPr>
            </w:pPr>
          </w:p>
        </w:tc>
        <w:tc>
          <w:tcPr>
            <w:tcW w:w="2985" w:type="dxa"/>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污染物排放清单</w:t>
            </w:r>
          </w:p>
        </w:tc>
        <w:tc>
          <w:tcPr>
            <w:tcW w:w="10726" w:type="dxa"/>
            <w:gridSpan w:val="11"/>
            <w:tcBorders>
              <w:tl2br w:val="nil"/>
              <w:tr2bl w:val="nil"/>
            </w:tcBorders>
            <w:vAlign w:val="center"/>
          </w:tcPr>
          <w:p>
            <w:pPr>
              <w:adjustRightInd w:val="0"/>
              <w:snapToGrid w:val="0"/>
              <w:ind w:firstLine="420"/>
              <w:rPr>
                <w:rFonts w:ascii="Calibri" w:hAnsi="Calibri" w:cs="Calibri"/>
                <w:kern w:val="21"/>
                <w:szCs w:val="21"/>
              </w:rPr>
            </w:pPr>
            <w:r>
              <w:rPr>
                <w:rFonts w:ascii="Segoe UI Symbol" w:hAnsi="Segoe UI Symbol" w:eastAsia="MS Gothic" w:cs="Segoe UI Symbol"/>
                <w:kern w:val="21"/>
                <w:szCs w:val="21"/>
              </w:rPr>
              <w:t>☐</w:t>
            </w:r>
            <w:r>
              <w:rPr>
                <w:rFonts w:hint="eastAsia" w:ascii="Times New Roman" w:hAnsi="Times New Roman" w:cs="Times New Roman"/>
                <w:color w:val="auto"/>
                <w:kern w:val="21"/>
                <w:szCs w:val="21"/>
                <w:u w:val="none" w:color="auto"/>
              </w:rPr>
              <w:t>pH、COD、SS、氨氮、石油类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492" w:type="dxa"/>
            <w:gridSpan w:val="2"/>
            <w:tcBorders>
              <w:tl2br w:val="nil"/>
              <w:tr2bl w:val="nil"/>
            </w:tcBorders>
            <w:vAlign w:val="center"/>
          </w:tcPr>
          <w:p>
            <w:pPr>
              <w:adjustRightInd w:val="0"/>
              <w:snapToGrid w:val="0"/>
              <w:ind w:firstLine="420"/>
              <w:jc w:val="center"/>
              <w:rPr>
                <w:rFonts w:ascii="Calibri" w:hAnsi="Calibri" w:cs="Calibri"/>
                <w:kern w:val="21"/>
                <w:szCs w:val="21"/>
              </w:rPr>
            </w:pPr>
            <w:r>
              <w:rPr>
                <w:rFonts w:hint="eastAsia" w:ascii="Calibri" w:hAnsi="Calibri" w:cs="Calibri"/>
                <w:kern w:val="21"/>
                <w:szCs w:val="21"/>
              </w:rPr>
              <w:t>评价结论</w:t>
            </w:r>
          </w:p>
        </w:tc>
        <w:tc>
          <w:tcPr>
            <w:tcW w:w="10726" w:type="dxa"/>
            <w:gridSpan w:val="11"/>
            <w:tcBorders>
              <w:tl2br w:val="nil"/>
              <w:tr2bl w:val="nil"/>
            </w:tcBorders>
            <w:vAlign w:val="center"/>
          </w:tcPr>
          <w:p>
            <w:pPr>
              <w:adjustRightInd w:val="0"/>
              <w:snapToGrid w:val="0"/>
              <w:ind w:firstLine="420"/>
              <w:rPr>
                <w:rFonts w:ascii="Calibri" w:hAnsi="Calibri" w:eastAsia="宋体" w:cs="Calibri"/>
                <w:kern w:val="21"/>
                <w:szCs w:val="21"/>
              </w:rPr>
            </w:pPr>
            <w:r>
              <w:rPr>
                <w:rFonts w:hint="eastAsia" w:ascii="Calibri" w:hAnsi="Calibri" w:cs="Calibri"/>
                <w:kern w:val="21"/>
                <w:szCs w:val="21"/>
              </w:rPr>
              <w:t>可以接受</w:t>
            </w:r>
            <w:r>
              <w:rPr>
                <w:rFonts w:hint="eastAsia" w:ascii="仿宋" w:hAnsi="仿宋" w:eastAsia="仿宋" w:cs="Times New Roman"/>
                <w:color w:val="000000"/>
                <w:kern w:val="21"/>
                <w:szCs w:val="20"/>
                <w:lang w:eastAsia="zh-CN"/>
              </w:rPr>
              <w:t>☑</w:t>
            </w:r>
            <w:r>
              <w:rPr>
                <w:rFonts w:hint="eastAsia" w:ascii="Calibri" w:hAnsi="Calibri" w:cs="Calibri"/>
                <w:kern w:val="21"/>
                <w:szCs w:val="21"/>
              </w:rPr>
              <w:t>；不可以接受</w:t>
            </w:r>
            <w:r>
              <w:rPr>
                <w:rFonts w:ascii="Segoe UI Symbol" w:hAnsi="Segoe UI Symbol" w:eastAsia="MS Gothic" w:cs="Segoe UI Symbol"/>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4218" w:type="dxa"/>
            <w:gridSpan w:val="13"/>
            <w:tcBorders>
              <w:tl2br w:val="nil"/>
              <w:tr2bl w:val="nil"/>
            </w:tcBorders>
            <w:vAlign w:val="center"/>
          </w:tcPr>
          <w:p>
            <w:pPr>
              <w:adjustRightInd w:val="0"/>
              <w:snapToGrid w:val="0"/>
              <w:ind w:firstLine="420"/>
              <w:rPr>
                <w:rFonts w:ascii="Calibri" w:hAnsi="Calibri" w:eastAsia="宋体" w:cs="Calibri"/>
                <w:kern w:val="21"/>
                <w:szCs w:val="21"/>
              </w:rPr>
            </w:pPr>
            <w:r>
              <w:rPr>
                <w:rFonts w:ascii="Calibri" w:hAnsi="Calibri" w:cs="Calibri"/>
                <w:kern w:val="21"/>
                <w:szCs w:val="21"/>
              </w:rPr>
              <w:t>注：“□”为勾选项，填“√”；“（）”为内容填写项</w:t>
            </w:r>
            <w:r>
              <w:rPr>
                <w:rFonts w:hint="eastAsia" w:ascii="Calibri" w:hAnsi="Calibri" w:cs="Calibri"/>
                <w:kern w:val="21"/>
                <w:szCs w:val="21"/>
              </w:rPr>
              <w:t>；“备注”为其他补充内容。</w:t>
            </w:r>
          </w:p>
        </w:tc>
      </w:tr>
    </w:tbl>
    <w:p>
      <w:pPr>
        <w:jc w:val="center"/>
        <w:rPr>
          <w:rFonts w:hint="eastAsia"/>
        </w:rPr>
        <w:sectPr>
          <w:pgSz w:w="16838" w:h="11906" w:orient="landscape"/>
          <w:pgMar w:top="1418" w:right="1985" w:bottom="1134" w:left="1418" w:header="1418" w:footer="1134" w:gutter="0"/>
          <w:pgNumType w:fmt="decimal"/>
          <w:cols w:space="425" w:num="1"/>
          <w:docGrid w:type="linesAndChars" w:linePitch="312" w:charSpace="0"/>
        </w:sectPr>
      </w:pPr>
    </w:p>
    <w:p>
      <w:pPr>
        <w:bidi w:val="0"/>
        <w:jc w:val="center"/>
        <w:rPr>
          <w:rFonts w:hint="eastAsia" w:cs="Times New Roman"/>
          <w:b/>
          <w:bCs/>
          <w:sz w:val="32"/>
          <w:szCs w:val="32"/>
          <w:lang w:val="en-US" w:eastAsia="zh-CN"/>
        </w:rPr>
      </w:pPr>
      <w:r>
        <w:rPr>
          <w:rFonts w:hint="eastAsia" w:cs="Times New Roman"/>
          <w:b/>
          <w:bCs/>
          <w:sz w:val="32"/>
          <w:szCs w:val="32"/>
          <w:lang w:val="en-US" w:eastAsia="zh-CN"/>
        </w:rPr>
        <w:t>建设项目环境风险评价自查表</w:t>
      </w:r>
    </w:p>
    <w:tbl>
      <w:tblPr>
        <w:tblStyle w:val="20"/>
        <w:tblW w:w="9244" w:type="dxa"/>
        <w:tblInd w:w="1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40"/>
        <w:gridCol w:w="1167"/>
        <w:gridCol w:w="1073"/>
        <w:gridCol w:w="631"/>
        <w:gridCol w:w="342"/>
        <w:gridCol w:w="156"/>
        <w:gridCol w:w="406"/>
        <w:gridCol w:w="190"/>
        <w:gridCol w:w="261"/>
        <w:gridCol w:w="243"/>
        <w:gridCol w:w="440"/>
        <w:gridCol w:w="436"/>
        <w:gridCol w:w="237"/>
        <w:gridCol w:w="452"/>
        <w:gridCol w:w="347"/>
        <w:gridCol w:w="224"/>
        <w:gridCol w:w="120"/>
        <w:gridCol w:w="212"/>
        <w:gridCol w:w="637"/>
        <w:gridCol w:w="7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107" w:type="dxa"/>
            <w:gridSpan w:val="2"/>
            <w:tcBorders>
              <w:top w:val="single" w:color="auto" w:sz="12" w:space="0"/>
              <w:left w:val="single" w:color="auto" w:sz="12" w:space="0"/>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工作内容</w:t>
            </w:r>
          </w:p>
        </w:tc>
        <w:tc>
          <w:tcPr>
            <w:tcW w:w="7137" w:type="dxa"/>
            <w:gridSpan w:val="18"/>
            <w:tcBorders>
              <w:top w:val="single" w:color="auto" w:sz="12"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hint="eastAsia" w:ascii="Times New Roman" w:hAnsi="Times New Roman" w:eastAsia="宋体" w:cs="Times New Roman"/>
                <w:kern w:val="21"/>
                <w:sz w:val="18"/>
                <w:szCs w:val="18"/>
                <w:lang w:eastAsia="zh-CN"/>
              </w:rPr>
            </w:pPr>
            <w:r>
              <w:rPr>
                <w:rFonts w:hint="eastAsia" w:ascii="Times New Roman" w:hAnsi="Times New Roman" w:eastAsia="宋体" w:cs="Times New Roman"/>
                <w:kern w:val="21"/>
                <w:sz w:val="18"/>
                <w:szCs w:val="18"/>
                <w:lang w:eastAsia="zh-CN"/>
              </w:rPr>
              <w:t>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trPr>
        <w:tc>
          <w:tcPr>
            <w:tcW w:w="940" w:type="dxa"/>
            <w:vMerge w:val="restart"/>
            <w:tcBorders>
              <w:top w:val="nil"/>
              <w:left w:val="single" w:color="auto" w:sz="12" w:space="0"/>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风</w:t>
            </w:r>
          </w:p>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险</w:t>
            </w:r>
          </w:p>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调</w:t>
            </w:r>
          </w:p>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查</w:t>
            </w:r>
          </w:p>
        </w:tc>
        <w:tc>
          <w:tcPr>
            <w:tcW w:w="1167" w:type="dxa"/>
            <w:vMerge w:val="restart"/>
            <w:tcBorders>
              <w:top w:val="nil"/>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危险</w:t>
            </w:r>
            <w:r>
              <w:rPr>
                <w:rFonts w:ascii="Times New Roman" w:hAnsi="Times New Roman" w:cs="Times New Roman"/>
                <w:kern w:val="21"/>
                <w:sz w:val="18"/>
                <w:szCs w:val="18"/>
              </w:rPr>
              <w:t>物质</w:t>
            </w:r>
          </w:p>
        </w:tc>
        <w:tc>
          <w:tcPr>
            <w:tcW w:w="1073" w:type="dxa"/>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hint="eastAsia" w:ascii="Times New Roman" w:hAnsi="Times New Roman" w:eastAsia="宋体" w:cs="Times New Roman"/>
                <w:kern w:val="21"/>
                <w:sz w:val="18"/>
                <w:szCs w:val="18"/>
                <w:lang w:eastAsia="zh-CN"/>
              </w:rPr>
            </w:pPr>
            <w:r>
              <w:rPr>
                <w:rFonts w:hint="eastAsia" w:ascii="Times New Roman" w:hAnsi="Times New Roman" w:eastAsia="宋体" w:cs="Times New Roman"/>
                <w:kern w:val="21"/>
                <w:sz w:val="18"/>
                <w:szCs w:val="18"/>
                <w:lang w:eastAsia="zh-CN"/>
              </w:rPr>
              <w:t>名称</w:t>
            </w:r>
          </w:p>
        </w:tc>
        <w:tc>
          <w:tcPr>
            <w:tcW w:w="1129" w:type="dxa"/>
            <w:gridSpan w:val="3"/>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hint="eastAsia" w:ascii="Times New Roman" w:hAnsi="Times New Roman" w:eastAsia="宋体" w:cs="Times New Roman"/>
                <w:kern w:val="21"/>
                <w:sz w:val="18"/>
                <w:szCs w:val="18"/>
                <w:lang w:eastAsia="zh-CN"/>
              </w:rPr>
            </w:pPr>
          </w:p>
        </w:tc>
        <w:tc>
          <w:tcPr>
            <w:tcW w:w="596" w:type="dxa"/>
            <w:gridSpan w:val="2"/>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hint="default" w:ascii="Times New Roman" w:hAnsi="Times New Roman" w:eastAsia="宋体" w:cs="Times New Roman"/>
                <w:kern w:val="21"/>
                <w:sz w:val="18"/>
                <w:szCs w:val="18"/>
                <w:lang w:val="en-US" w:eastAsia="zh-CN"/>
              </w:rPr>
            </w:pPr>
          </w:p>
        </w:tc>
        <w:tc>
          <w:tcPr>
            <w:tcW w:w="1380" w:type="dxa"/>
            <w:gridSpan w:val="4"/>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hint="eastAsia" w:ascii="Times New Roman" w:hAnsi="Times New Roman" w:eastAsia="宋体" w:cs="Times New Roman"/>
                <w:kern w:val="21"/>
                <w:sz w:val="18"/>
                <w:szCs w:val="18"/>
                <w:lang w:eastAsia="zh-CN"/>
              </w:rPr>
            </w:pPr>
          </w:p>
        </w:tc>
        <w:tc>
          <w:tcPr>
            <w:tcW w:w="689" w:type="dxa"/>
            <w:gridSpan w:val="2"/>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hint="eastAsia" w:ascii="Times New Roman" w:hAnsi="Times New Roman" w:eastAsia="宋体" w:cs="Times New Roman"/>
                <w:kern w:val="21"/>
                <w:sz w:val="18"/>
                <w:szCs w:val="18"/>
                <w:lang w:eastAsia="zh-CN"/>
              </w:rPr>
            </w:pPr>
          </w:p>
        </w:tc>
        <w:tc>
          <w:tcPr>
            <w:tcW w:w="691" w:type="dxa"/>
            <w:gridSpan w:val="3"/>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hint="eastAsia" w:ascii="Times New Roman" w:hAnsi="Times New Roman" w:eastAsia="宋体" w:cs="Times New Roman"/>
                <w:kern w:val="21"/>
                <w:sz w:val="18"/>
                <w:szCs w:val="18"/>
                <w:lang w:eastAsia="zh-CN"/>
              </w:rPr>
            </w:pPr>
          </w:p>
        </w:tc>
        <w:tc>
          <w:tcPr>
            <w:tcW w:w="849" w:type="dxa"/>
            <w:gridSpan w:val="2"/>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hint="eastAsia" w:ascii="Times New Roman" w:hAnsi="Times New Roman" w:eastAsia="宋体" w:cs="Times New Roman"/>
                <w:kern w:val="21"/>
                <w:sz w:val="18"/>
                <w:szCs w:val="18"/>
                <w:lang w:eastAsia="zh-CN"/>
              </w:rPr>
            </w:pPr>
          </w:p>
        </w:tc>
        <w:tc>
          <w:tcPr>
            <w:tcW w:w="730" w:type="dxa"/>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hint="eastAsia" w:ascii="Times New Roman" w:hAnsi="Times New Roman" w:eastAsia="宋体" w:cs="Times New Roman"/>
                <w:kern w:val="21"/>
                <w:sz w:val="18"/>
                <w:szCs w:val="18"/>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40" w:type="dxa"/>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167" w:type="dxa"/>
            <w:vMerge w:val="continue"/>
            <w:tcBorders>
              <w:top w:val="nil"/>
              <w:left w:val="nil"/>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073" w:type="dxa"/>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存在总量/t</w:t>
            </w:r>
          </w:p>
        </w:tc>
        <w:tc>
          <w:tcPr>
            <w:tcW w:w="1129" w:type="dxa"/>
            <w:gridSpan w:val="3"/>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p>
        </w:tc>
        <w:tc>
          <w:tcPr>
            <w:tcW w:w="596" w:type="dxa"/>
            <w:gridSpan w:val="2"/>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hint="eastAsia" w:ascii="Times New Roman" w:hAnsi="Times New Roman" w:cs="Times New Roman"/>
                <w:kern w:val="21"/>
                <w:sz w:val="18"/>
                <w:szCs w:val="18"/>
                <w:lang w:val="en-US" w:eastAsia="zh-CN"/>
              </w:rPr>
            </w:pPr>
          </w:p>
        </w:tc>
        <w:tc>
          <w:tcPr>
            <w:tcW w:w="1380" w:type="dxa"/>
            <w:gridSpan w:val="4"/>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p>
        </w:tc>
        <w:tc>
          <w:tcPr>
            <w:tcW w:w="689" w:type="dxa"/>
            <w:gridSpan w:val="2"/>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p>
        </w:tc>
        <w:tc>
          <w:tcPr>
            <w:tcW w:w="691" w:type="dxa"/>
            <w:gridSpan w:val="3"/>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p>
        </w:tc>
        <w:tc>
          <w:tcPr>
            <w:tcW w:w="849" w:type="dxa"/>
            <w:gridSpan w:val="2"/>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p>
        </w:tc>
        <w:tc>
          <w:tcPr>
            <w:tcW w:w="730" w:type="dxa"/>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7" w:hRule="atLeast"/>
        </w:trPr>
        <w:tc>
          <w:tcPr>
            <w:tcW w:w="940" w:type="dxa"/>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167" w:type="dxa"/>
            <w:vMerge w:val="restart"/>
            <w:tcBorders>
              <w:top w:val="nil"/>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环境敏感性</w:t>
            </w:r>
          </w:p>
        </w:tc>
        <w:tc>
          <w:tcPr>
            <w:tcW w:w="1073" w:type="dxa"/>
            <w:vMerge w:val="restart"/>
            <w:tcBorders>
              <w:top w:val="nil"/>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大气</w:t>
            </w:r>
          </w:p>
        </w:tc>
        <w:tc>
          <w:tcPr>
            <w:tcW w:w="3105" w:type="dxa"/>
            <w:gridSpan w:val="9"/>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500m</w:t>
            </w:r>
            <w:r>
              <w:rPr>
                <w:rFonts w:hint="eastAsia" w:ascii="宋体" w:hAnsi="宋体" w:cs="Times New Roman"/>
                <w:kern w:val="21"/>
                <w:sz w:val="18"/>
                <w:szCs w:val="18"/>
              </w:rPr>
              <w:t>范围内人口数</w:t>
            </w:r>
            <w:r>
              <w:rPr>
                <w:rFonts w:hint="eastAsia" w:ascii="Times New Roman" w:hAnsi="Times New Roman" w:cs="Times New Roman"/>
                <w:kern w:val="21"/>
                <w:sz w:val="18"/>
                <w:szCs w:val="18"/>
                <w:u w:val="single"/>
              </w:rPr>
              <w:t xml:space="preserve"> </w:t>
            </w:r>
            <w:r>
              <w:rPr>
                <w:rFonts w:hint="eastAsia" w:ascii="Times New Roman" w:hAnsi="Times New Roman" w:cs="Times New Roman"/>
                <w:kern w:val="21"/>
                <w:sz w:val="18"/>
                <w:szCs w:val="18"/>
                <w:u w:val="single"/>
                <w:lang w:val="en-US" w:eastAsia="zh-CN"/>
              </w:rPr>
              <w:t xml:space="preserve">   </w:t>
            </w:r>
            <w:r>
              <w:rPr>
                <w:rFonts w:hint="eastAsia" w:ascii="Times New Roman" w:hAnsi="Times New Roman" w:cs="Times New Roman"/>
                <w:kern w:val="21"/>
                <w:sz w:val="18"/>
                <w:szCs w:val="18"/>
                <w:u w:val="single"/>
              </w:rPr>
              <w:t xml:space="preserve"> </w:t>
            </w:r>
            <w:r>
              <w:rPr>
                <w:rFonts w:hint="eastAsia" w:ascii="Times New Roman" w:hAnsi="Times New Roman" w:cs="Times New Roman"/>
                <w:kern w:val="21"/>
                <w:sz w:val="18"/>
                <w:szCs w:val="18"/>
              </w:rPr>
              <w:t>人</w:t>
            </w:r>
          </w:p>
        </w:tc>
        <w:tc>
          <w:tcPr>
            <w:tcW w:w="2959" w:type="dxa"/>
            <w:gridSpan w:val="8"/>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5km</w:t>
            </w:r>
            <w:r>
              <w:rPr>
                <w:rFonts w:hint="eastAsia" w:ascii="宋体" w:hAnsi="宋体" w:cs="Times New Roman"/>
                <w:kern w:val="21"/>
                <w:sz w:val="18"/>
                <w:szCs w:val="18"/>
              </w:rPr>
              <w:t>范围内人口数</w:t>
            </w:r>
            <w:r>
              <w:rPr>
                <w:rFonts w:hint="eastAsia" w:ascii="Times New Roman" w:hAnsi="Times New Roman" w:cs="Times New Roman"/>
                <w:kern w:val="21"/>
                <w:sz w:val="18"/>
                <w:szCs w:val="18"/>
                <w:u w:val="single"/>
              </w:rPr>
              <w:t xml:space="preserve"> </w:t>
            </w:r>
            <w:r>
              <w:rPr>
                <w:rFonts w:hint="eastAsia" w:ascii="Times New Roman" w:hAnsi="Times New Roman" w:cs="Times New Roman"/>
                <w:kern w:val="21"/>
                <w:sz w:val="18"/>
                <w:szCs w:val="18"/>
                <w:u w:val="single"/>
                <w:lang w:val="en-US" w:eastAsia="zh-CN"/>
              </w:rPr>
              <w:t xml:space="preserve">    </w:t>
            </w:r>
            <w:r>
              <w:rPr>
                <w:rFonts w:hint="eastAsia" w:ascii="Times New Roman" w:hAnsi="Times New Roman" w:cs="Times New Roman"/>
                <w:kern w:val="21"/>
                <w:sz w:val="18"/>
                <w:szCs w:val="18"/>
                <w:u w:val="single"/>
              </w:rPr>
              <w:t xml:space="preserve"> </w:t>
            </w:r>
            <w:r>
              <w:rPr>
                <w:rFonts w:hint="eastAsia" w:ascii="Times New Roman" w:hAnsi="Times New Roman" w:cs="Times New Roman"/>
                <w:kern w:val="21"/>
                <w:sz w:val="18"/>
                <w:szCs w:val="18"/>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40" w:type="dxa"/>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167" w:type="dxa"/>
            <w:vMerge w:val="continue"/>
            <w:tcBorders>
              <w:top w:val="nil"/>
              <w:left w:val="nil"/>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073" w:type="dxa"/>
            <w:vMerge w:val="continue"/>
            <w:tcBorders>
              <w:top w:val="nil"/>
              <w:left w:val="nil"/>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4485" w:type="dxa"/>
            <w:gridSpan w:val="14"/>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每公里管段周边200m</w:t>
            </w:r>
            <w:r>
              <w:rPr>
                <w:rFonts w:hint="eastAsia" w:ascii="宋体" w:hAnsi="宋体" w:cs="Times New Roman"/>
                <w:kern w:val="21"/>
                <w:sz w:val="18"/>
                <w:szCs w:val="18"/>
              </w:rPr>
              <w:t>范围内人口数（最大）</w:t>
            </w:r>
          </w:p>
        </w:tc>
        <w:tc>
          <w:tcPr>
            <w:tcW w:w="1579" w:type="dxa"/>
            <w:gridSpan w:val="3"/>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u w:val="single"/>
                <w:lang w:val="en-US" w:eastAsia="zh-CN"/>
              </w:rPr>
              <w:t>2000</w:t>
            </w:r>
            <w:r>
              <w:rPr>
                <w:rFonts w:hint="eastAsia" w:ascii="Times New Roman" w:hAnsi="Times New Roman" w:cs="Times New Roman"/>
                <w:kern w:val="21"/>
                <w:sz w:val="18"/>
                <w:szCs w:val="18"/>
                <w:u w:val="single"/>
              </w:rPr>
              <w:t xml:space="preserve"> </w:t>
            </w:r>
            <w:r>
              <w:rPr>
                <w:rFonts w:hint="eastAsia" w:ascii="Times New Roman" w:hAnsi="Times New Roman" w:cs="Times New Roman"/>
                <w:kern w:val="21"/>
                <w:sz w:val="18"/>
                <w:szCs w:val="18"/>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940" w:type="dxa"/>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167" w:type="dxa"/>
            <w:vMerge w:val="continue"/>
            <w:tcBorders>
              <w:top w:val="nil"/>
              <w:left w:val="nil"/>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073" w:type="dxa"/>
            <w:vMerge w:val="restart"/>
            <w:tcBorders>
              <w:top w:val="nil"/>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地表水</w:t>
            </w:r>
          </w:p>
        </w:tc>
        <w:tc>
          <w:tcPr>
            <w:tcW w:w="1725"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地表水功能敏感性</w:t>
            </w:r>
          </w:p>
        </w:tc>
        <w:tc>
          <w:tcPr>
            <w:tcW w:w="1380" w:type="dxa"/>
            <w:gridSpan w:val="4"/>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F1</w:t>
            </w:r>
            <w:r>
              <w:rPr>
                <w:rFonts w:hint="eastAsia" w:ascii="MS Gothic" w:hAnsi="MS Gothic" w:eastAsia="MS Gothic" w:cs="Times New Roman"/>
                <w:kern w:val="21"/>
                <w:sz w:val="18"/>
                <w:szCs w:val="18"/>
              </w:rPr>
              <w:t>☐</w:t>
            </w:r>
          </w:p>
        </w:tc>
        <w:tc>
          <w:tcPr>
            <w:tcW w:w="1380"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F2</w:t>
            </w:r>
            <w:r>
              <w:rPr>
                <w:rFonts w:ascii="Wingdings 2" w:hAnsi="Wingdings 2" w:eastAsia="MS Gothic" w:cs="Times New Roman"/>
                <w:kern w:val="21"/>
                <w:sz w:val="18"/>
                <w:szCs w:val="18"/>
              </w:rPr>
              <w:t></w:t>
            </w:r>
          </w:p>
        </w:tc>
        <w:tc>
          <w:tcPr>
            <w:tcW w:w="1579" w:type="dxa"/>
            <w:gridSpan w:val="3"/>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F3</w:t>
            </w:r>
            <w:r>
              <w:rPr>
                <w:rFonts w:hint="eastAsia" w:ascii="MS Gothic" w:hAnsi="MS Gothic"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2" w:hRule="atLeast"/>
        </w:trPr>
        <w:tc>
          <w:tcPr>
            <w:tcW w:w="940" w:type="dxa"/>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167" w:type="dxa"/>
            <w:vMerge w:val="continue"/>
            <w:tcBorders>
              <w:top w:val="nil"/>
              <w:left w:val="nil"/>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073" w:type="dxa"/>
            <w:vMerge w:val="continue"/>
            <w:tcBorders>
              <w:top w:val="nil"/>
              <w:left w:val="nil"/>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725"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环境敏感目标分级</w:t>
            </w:r>
          </w:p>
        </w:tc>
        <w:tc>
          <w:tcPr>
            <w:tcW w:w="1380" w:type="dxa"/>
            <w:gridSpan w:val="4"/>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S1</w:t>
            </w:r>
            <w:r>
              <w:rPr>
                <w:rFonts w:hint="eastAsia" w:ascii="MS Gothic" w:hAnsi="MS Gothic" w:eastAsia="MS Gothic" w:cs="Times New Roman"/>
                <w:kern w:val="21"/>
                <w:sz w:val="18"/>
                <w:szCs w:val="18"/>
              </w:rPr>
              <w:t>☐</w:t>
            </w:r>
          </w:p>
        </w:tc>
        <w:tc>
          <w:tcPr>
            <w:tcW w:w="1380"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S2</w:t>
            </w:r>
            <w:r>
              <w:rPr>
                <w:rFonts w:hint="eastAsia" w:ascii="MS Gothic" w:hAnsi="MS Gothic" w:eastAsia="MS Gothic" w:cs="Times New Roman"/>
                <w:kern w:val="21"/>
                <w:sz w:val="18"/>
                <w:szCs w:val="18"/>
              </w:rPr>
              <w:t>☐</w:t>
            </w:r>
          </w:p>
        </w:tc>
        <w:tc>
          <w:tcPr>
            <w:tcW w:w="1579" w:type="dxa"/>
            <w:gridSpan w:val="3"/>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S3</w:t>
            </w:r>
            <w:r>
              <w:rPr>
                <w:rFonts w:ascii="Wingdings 2" w:hAnsi="Wingdings 2"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940" w:type="dxa"/>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167" w:type="dxa"/>
            <w:vMerge w:val="continue"/>
            <w:tcBorders>
              <w:top w:val="nil"/>
              <w:left w:val="nil"/>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073" w:type="dxa"/>
            <w:vMerge w:val="restart"/>
            <w:tcBorders>
              <w:top w:val="nil"/>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地下水</w:t>
            </w:r>
          </w:p>
        </w:tc>
        <w:tc>
          <w:tcPr>
            <w:tcW w:w="1725"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地下水功能敏感性</w:t>
            </w:r>
          </w:p>
        </w:tc>
        <w:tc>
          <w:tcPr>
            <w:tcW w:w="1380" w:type="dxa"/>
            <w:gridSpan w:val="4"/>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G1</w:t>
            </w:r>
            <w:r>
              <w:rPr>
                <w:rFonts w:hint="eastAsia" w:ascii="MS Gothic" w:hAnsi="MS Gothic" w:eastAsia="MS Gothic" w:cs="Times New Roman"/>
                <w:kern w:val="21"/>
                <w:sz w:val="18"/>
                <w:szCs w:val="18"/>
              </w:rPr>
              <w:t>☐</w:t>
            </w:r>
          </w:p>
        </w:tc>
        <w:tc>
          <w:tcPr>
            <w:tcW w:w="1380"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G2</w:t>
            </w:r>
            <w:r>
              <w:rPr>
                <w:rFonts w:hint="eastAsia" w:ascii="MS Gothic" w:hAnsi="MS Gothic" w:eastAsia="MS Gothic" w:cs="Times New Roman"/>
                <w:kern w:val="21"/>
                <w:sz w:val="18"/>
                <w:szCs w:val="18"/>
              </w:rPr>
              <w:t>☐</w:t>
            </w:r>
          </w:p>
        </w:tc>
        <w:tc>
          <w:tcPr>
            <w:tcW w:w="1579" w:type="dxa"/>
            <w:gridSpan w:val="3"/>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G3</w:t>
            </w:r>
            <w:r>
              <w:rPr>
                <w:rFonts w:ascii="Wingdings 2" w:hAnsi="Wingdings 2"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940" w:type="dxa"/>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167" w:type="dxa"/>
            <w:vMerge w:val="continue"/>
            <w:tcBorders>
              <w:top w:val="nil"/>
              <w:left w:val="nil"/>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073" w:type="dxa"/>
            <w:vMerge w:val="continue"/>
            <w:tcBorders>
              <w:top w:val="nil"/>
              <w:left w:val="nil"/>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725"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包气带防污性能</w:t>
            </w:r>
          </w:p>
        </w:tc>
        <w:tc>
          <w:tcPr>
            <w:tcW w:w="1380" w:type="dxa"/>
            <w:gridSpan w:val="4"/>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D1</w:t>
            </w:r>
            <w:r>
              <w:rPr>
                <w:rFonts w:hint="eastAsia" w:ascii="MS Gothic" w:hAnsi="MS Gothic" w:eastAsia="MS Gothic" w:cs="Times New Roman"/>
                <w:kern w:val="21"/>
                <w:sz w:val="18"/>
                <w:szCs w:val="18"/>
              </w:rPr>
              <w:t>☐</w:t>
            </w:r>
          </w:p>
        </w:tc>
        <w:tc>
          <w:tcPr>
            <w:tcW w:w="1380"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D2</w:t>
            </w:r>
            <w:r>
              <w:rPr>
                <w:rFonts w:hint="eastAsia" w:ascii="MS Gothic" w:hAnsi="MS Gothic" w:eastAsia="MS Gothic" w:cs="Times New Roman"/>
                <w:kern w:val="21"/>
                <w:sz w:val="18"/>
                <w:szCs w:val="18"/>
              </w:rPr>
              <w:t>☐</w:t>
            </w:r>
          </w:p>
        </w:tc>
        <w:tc>
          <w:tcPr>
            <w:tcW w:w="1579" w:type="dxa"/>
            <w:gridSpan w:val="3"/>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D3</w:t>
            </w:r>
            <w:r>
              <w:rPr>
                <w:rFonts w:hint="eastAsia" w:ascii="MS Gothic" w:hAnsi="MS Gothic"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2107" w:type="dxa"/>
            <w:gridSpan w:val="2"/>
            <w:vMerge w:val="restart"/>
            <w:tcBorders>
              <w:top w:val="nil"/>
              <w:left w:val="single" w:color="auto" w:sz="12" w:space="0"/>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物质及工艺系统</w:t>
            </w:r>
          </w:p>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危险性</w:t>
            </w:r>
          </w:p>
        </w:tc>
        <w:tc>
          <w:tcPr>
            <w:tcW w:w="1073" w:type="dxa"/>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Q</w:t>
            </w:r>
            <w:r>
              <w:rPr>
                <w:rFonts w:hint="eastAsia" w:ascii="宋体" w:hAnsi="宋体" w:cs="Times New Roman"/>
                <w:kern w:val="21"/>
                <w:sz w:val="18"/>
                <w:szCs w:val="18"/>
              </w:rPr>
              <w:t>值</w:t>
            </w:r>
          </w:p>
        </w:tc>
        <w:tc>
          <w:tcPr>
            <w:tcW w:w="1725"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Q</w:t>
            </w:r>
            <w:r>
              <w:rPr>
                <w:rFonts w:hint="eastAsia" w:ascii="宋体" w:hAnsi="宋体" w:cs="Times New Roman"/>
                <w:kern w:val="21"/>
                <w:sz w:val="18"/>
                <w:szCs w:val="18"/>
              </w:rPr>
              <w:t>＜</w:t>
            </w:r>
            <w:r>
              <w:rPr>
                <w:rFonts w:hint="eastAsia" w:ascii="Times New Roman" w:hAnsi="Times New Roman" w:cs="Times New Roman"/>
                <w:kern w:val="21"/>
                <w:sz w:val="18"/>
                <w:szCs w:val="18"/>
              </w:rPr>
              <w:t>1</w:t>
            </w:r>
            <w:r>
              <w:rPr>
                <w:rFonts w:hint="eastAsia" w:ascii="Wingdings 2" w:hAnsi="Wingdings 2" w:eastAsia="MS Gothic" w:cs="Times New Roman"/>
                <w:kern w:val="21"/>
                <w:sz w:val="18"/>
                <w:szCs w:val="18"/>
              </w:rPr>
              <w:t>☐</w:t>
            </w:r>
          </w:p>
        </w:tc>
        <w:tc>
          <w:tcPr>
            <w:tcW w:w="1380" w:type="dxa"/>
            <w:gridSpan w:val="4"/>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both"/>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1</w:t>
            </w:r>
            <w:r>
              <w:rPr>
                <w:rFonts w:hint="eastAsia" w:ascii="宋体" w:hAnsi="宋体" w:cs="Times New Roman"/>
                <w:kern w:val="21"/>
                <w:sz w:val="18"/>
                <w:szCs w:val="18"/>
              </w:rPr>
              <w:t>≤</w:t>
            </w:r>
            <w:r>
              <w:rPr>
                <w:rFonts w:hint="eastAsia" w:ascii="Times New Roman" w:hAnsi="Times New Roman" w:cs="Times New Roman"/>
                <w:kern w:val="21"/>
                <w:sz w:val="18"/>
                <w:szCs w:val="18"/>
              </w:rPr>
              <w:t>Q</w:t>
            </w:r>
            <w:r>
              <w:rPr>
                <w:rFonts w:hint="eastAsia" w:ascii="宋体" w:hAnsi="宋体" w:cs="Times New Roman"/>
                <w:kern w:val="21"/>
                <w:sz w:val="18"/>
                <w:szCs w:val="18"/>
              </w:rPr>
              <w:t>＜</w:t>
            </w:r>
            <w:r>
              <w:rPr>
                <w:rFonts w:hint="eastAsia" w:ascii="Times New Roman" w:hAnsi="Times New Roman" w:cs="Times New Roman"/>
                <w:kern w:val="21"/>
                <w:sz w:val="18"/>
                <w:szCs w:val="18"/>
              </w:rPr>
              <w:t>10</w:t>
            </w:r>
            <w:r>
              <w:rPr>
                <w:rFonts w:hint="eastAsia" w:ascii="MS Gothic" w:hAnsi="MS Gothic" w:eastAsia="MS Gothic" w:cs="Times New Roman"/>
                <w:kern w:val="21"/>
                <w:sz w:val="18"/>
                <w:szCs w:val="18"/>
              </w:rPr>
              <w:t>☐</w:t>
            </w:r>
          </w:p>
        </w:tc>
        <w:tc>
          <w:tcPr>
            <w:tcW w:w="1380"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both"/>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10</w:t>
            </w:r>
            <w:r>
              <w:rPr>
                <w:rFonts w:hint="eastAsia" w:ascii="宋体" w:hAnsi="宋体" w:cs="Times New Roman"/>
                <w:kern w:val="21"/>
                <w:sz w:val="18"/>
                <w:szCs w:val="18"/>
              </w:rPr>
              <w:t>≤</w:t>
            </w:r>
            <w:r>
              <w:rPr>
                <w:rFonts w:hint="eastAsia" w:ascii="Times New Roman" w:hAnsi="Times New Roman" w:cs="Times New Roman"/>
                <w:kern w:val="21"/>
                <w:sz w:val="18"/>
                <w:szCs w:val="18"/>
              </w:rPr>
              <w:t>Q</w:t>
            </w:r>
            <w:r>
              <w:rPr>
                <w:rFonts w:hint="eastAsia" w:ascii="宋体" w:hAnsi="宋体" w:cs="Times New Roman"/>
                <w:kern w:val="21"/>
                <w:sz w:val="18"/>
                <w:szCs w:val="18"/>
              </w:rPr>
              <w:t>＜</w:t>
            </w:r>
            <w:r>
              <w:rPr>
                <w:rFonts w:hint="eastAsia" w:ascii="Times New Roman" w:hAnsi="Times New Roman" w:cs="Times New Roman"/>
                <w:kern w:val="21"/>
                <w:sz w:val="18"/>
                <w:szCs w:val="18"/>
              </w:rPr>
              <w:t>100</w:t>
            </w:r>
            <w:r>
              <w:rPr>
                <w:rFonts w:hint="eastAsia" w:ascii="MS Gothic" w:hAnsi="MS Gothic" w:eastAsia="MS Gothic" w:cs="Times New Roman"/>
                <w:kern w:val="21"/>
                <w:sz w:val="18"/>
                <w:szCs w:val="18"/>
              </w:rPr>
              <w:t>☐</w:t>
            </w:r>
          </w:p>
        </w:tc>
        <w:tc>
          <w:tcPr>
            <w:tcW w:w="1579" w:type="dxa"/>
            <w:gridSpan w:val="3"/>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Q</w:t>
            </w:r>
            <w:r>
              <w:rPr>
                <w:rFonts w:hint="eastAsia" w:ascii="宋体" w:hAnsi="宋体" w:cs="Times New Roman"/>
                <w:kern w:val="21"/>
                <w:sz w:val="18"/>
                <w:szCs w:val="18"/>
              </w:rPr>
              <w:t>＞</w:t>
            </w:r>
            <w:r>
              <w:rPr>
                <w:rFonts w:hint="eastAsia" w:ascii="Times New Roman" w:hAnsi="Times New Roman" w:cs="Times New Roman"/>
                <w:kern w:val="21"/>
                <w:sz w:val="18"/>
                <w:szCs w:val="18"/>
              </w:rPr>
              <w:t>100</w:t>
            </w:r>
            <w:r>
              <w:rPr>
                <w:rFonts w:hint="eastAsia" w:ascii="MS Gothic" w:hAnsi="MS Gothic"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2107" w:type="dxa"/>
            <w:gridSpan w:val="2"/>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073" w:type="dxa"/>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M</w:t>
            </w:r>
            <w:r>
              <w:rPr>
                <w:rFonts w:hint="eastAsia" w:ascii="宋体" w:hAnsi="宋体" w:cs="Times New Roman"/>
                <w:kern w:val="21"/>
                <w:sz w:val="18"/>
                <w:szCs w:val="18"/>
              </w:rPr>
              <w:t>值</w:t>
            </w:r>
          </w:p>
        </w:tc>
        <w:tc>
          <w:tcPr>
            <w:tcW w:w="1725"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M1</w:t>
            </w:r>
            <w:r>
              <w:rPr>
                <w:rFonts w:hint="eastAsia" w:ascii="MS Gothic" w:hAnsi="MS Gothic" w:eastAsia="MS Gothic" w:cs="Times New Roman"/>
                <w:kern w:val="21"/>
                <w:sz w:val="18"/>
                <w:szCs w:val="18"/>
              </w:rPr>
              <w:t>☐</w:t>
            </w:r>
          </w:p>
        </w:tc>
        <w:tc>
          <w:tcPr>
            <w:tcW w:w="1380" w:type="dxa"/>
            <w:gridSpan w:val="4"/>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M2</w:t>
            </w:r>
            <w:r>
              <w:rPr>
                <w:rFonts w:hint="eastAsia" w:ascii="MS Gothic" w:hAnsi="MS Gothic" w:eastAsia="MS Gothic" w:cs="Times New Roman"/>
                <w:kern w:val="21"/>
                <w:sz w:val="18"/>
                <w:szCs w:val="18"/>
              </w:rPr>
              <w:t>☐</w:t>
            </w:r>
          </w:p>
        </w:tc>
        <w:tc>
          <w:tcPr>
            <w:tcW w:w="1380"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M3</w:t>
            </w:r>
            <w:r>
              <w:rPr>
                <w:rFonts w:hint="eastAsia" w:ascii="MS Gothic" w:hAnsi="MS Gothic" w:eastAsia="MS Gothic" w:cs="Times New Roman"/>
                <w:kern w:val="21"/>
                <w:sz w:val="18"/>
                <w:szCs w:val="18"/>
              </w:rPr>
              <w:t>☐</w:t>
            </w:r>
          </w:p>
        </w:tc>
        <w:tc>
          <w:tcPr>
            <w:tcW w:w="1579" w:type="dxa"/>
            <w:gridSpan w:val="3"/>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M4</w:t>
            </w:r>
            <w:r>
              <w:rPr>
                <w:rFonts w:hint="eastAsia" w:ascii="MS Gothic" w:hAnsi="MS Gothic"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92" w:hRule="atLeast"/>
        </w:trPr>
        <w:tc>
          <w:tcPr>
            <w:tcW w:w="2107" w:type="dxa"/>
            <w:gridSpan w:val="2"/>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073" w:type="dxa"/>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P</w:t>
            </w:r>
            <w:r>
              <w:rPr>
                <w:rFonts w:hint="eastAsia" w:ascii="宋体" w:hAnsi="宋体" w:cs="Times New Roman"/>
                <w:kern w:val="21"/>
                <w:sz w:val="18"/>
                <w:szCs w:val="18"/>
              </w:rPr>
              <w:t>值</w:t>
            </w:r>
          </w:p>
        </w:tc>
        <w:tc>
          <w:tcPr>
            <w:tcW w:w="1725"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P1</w:t>
            </w:r>
            <w:r>
              <w:rPr>
                <w:rFonts w:hint="eastAsia" w:ascii="MS Gothic" w:hAnsi="MS Gothic" w:eastAsia="MS Gothic" w:cs="Times New Roman"/>
                <w:kern w:val="21"/>
                <w:sz w:val="18"/>
                <w:szCs w:val="18"/>
              </w:rPr>
              <w:t>☐</w:t>
            </w:r>
          </w:p>
        </w:tc>
        <w:tc>
          <w:tcPr>
            <w:tcW w:w="1380" w:type="dxa"/>
            <w:gridSpan w:val="4"/>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P2</w:t>
            </w:r>
            <w:r>
              <w:rPr>
                <w:rFonts w:hint="eastAsia" w:ascii="MS Gothic" w:hAnsi="MS Gothic" w:eastAsia="MS Gothic" w:cs="Times New Roman"/>
                <w:kern w:val="21"/>
                <w:sz w:val="18"/>
                <w:szCs w:val="18"/>
              </w:rPr>
              <w:t>☐</w:t>
            </w:r>
          </w:p>
        </w:tc>
        <w:tc>
          <w:tcPr>
            <w:tcW w:w="1380"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P3</w:t>
            </w:r>
            <w:r>
              <w:rPr>
                <w:rFonts w:hint="eastAsia" w:ascii="MS Gothic" w:hAnsi="MS Gothic" w:eastAsia="MS Gothic" w:cs="Times New Roman"/>
                <w:kern w:val="21"/>
                <w:sz w:val="18"/>
                <w:szCs w:val="18"/>
              </w:rPr>
              <w:t>☐</w:t>
            </w:r>
          </w:p>
        </w:tc>
        <w:tc>
          <w:tcPr>
            <w:tcW w:w="1579" w:type="dxa"/>
            <w:gridSpan w:val="3"/>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P4</w:t>
            </w:r>
            <w:r>
              <w:rPr>
                <w:rFonts w:hint="eastAsia" w:ascii="MS Gothic" w:hAnsi="MS Gothic"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7" w:hRule="atLeast"/>
        </w:trPr>
        <w:tc>
          <w:tcPr>
            <w:tcW w:w="2107" w:type="dxa"/>
            <w:gridSpan w:val="2"/>
            <w:vMerge w:val="restart"/>
            <w:tcBorders>
              <w:top w:val="nil"/>
              <w:left w:val="single" w:color="auto" w:sz="12" w:space="0"/>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环境敏感</w:t>
            </w:r>
          </w:p>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程度</w:t>
            </w:r>
          </w:p>
        </w:tc>
        <w:tc>
          <w:tcPr>
            <w:tcW w:w="1073" w:type="dxa"/>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大气</w:t>
            </w:r>
          </w:p>
        </w:tc>
        <w:tc>
          <w:tcPr>
            <w:tcW w:w="2229" w:type="dxa"/>
            <w:gridSpan w:val="7"/>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E1</w:t>
            </w:r>
            <w:r>
              <w:rPr>
                <w:rFonts w:hint="eastAsia" w:ascii="MS Gothic" w:hAnsi="MS Gothic" w:eastAsia="MS Gothic" w:cs="Times New Roman"/>
                <w:kern w:val="21"/>
                <w:sz w:val="18"/>
                <w:szCs w:val="18"/>
              </w:rPr>
              <w:t>☐</w:t>
            </w:r>
          </w:p>
        </w:tc>
        <w:tc>
          <w:tcPr>
            <w:tcW w:w="1912"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E2</w:t>
            </w:r>
            <w:r>
              <w:rPr>
                <w:rFonts w:ascii="Wingdings 2" w:hAnsi="Wingdings 2" w:eastAsia="MS Gothic" w:cs="Times New Roman"/>
                <w:kern w:val="21"/>
                <w:sz w:val="18"/>
                <w:szCs w:val="18"/>
              </w:rPr>
              <w:t></w:t>
            </w:r>
          </w:p>
        </w:tc>
        <w:tc>
          <w:tcPr>
            <w:tcW w:w="1923" w:type="dxa"/>
            <w:gridSpan w:val="5"/>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E3</w:t>
            </w:r>
            <w:r>
              <w:rPr>
                <w:rFonts w:hint="eastAsia" w:ascii="MS Gothic" w:hAnsi="MS Gothic"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2" w:hRule="atLeast"/>
        </w:trPr>
        <w:tc>
          <w:tcPr>
            <w:tcW w:w="2107" w:type="dxa"/>
            <w:gridSpan w:val="2"/>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073" w:type="dxa"/>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地表水</w:t>
            </w:r>
          </w:p>
        </w:tc>
        <w:tc>
          <w:tcPr>
            <w:tcW w:w="2229" w:type="dxa"/>
            <w:gridSpan w:val="7"/>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E1</w:t>
            </w:r>
            <w:r>
              <w:rPr>
                <w:rFonts w:hint="eastAsia" w:ascii="MS Gothic" w:hAnsi="MS Gothic" w:eastAsia="MS Gothic" w:cs="Times New Roman"/>
                <w:kern w:val="21"/>
                <w:sz w:val="18"/>
                <w:szCs w:val="18"/>
              </w:rPr>
              <w:t>☐</w:t>
            </w:r>
          </w:p>
        </w:tc>
        <w:tc>
          <w:tcPr>
            <w:tcW w:w="1912"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E2</w:t>
            </w:r>
            <w:r>
              <w:rPr>
                <w:rFonts w:ascii="Wingdings 2" w:hAnsi="Wingdings 2" w:eastAsia="MS Gothic" w:cs="Times New Roman"/>
                <w:kern w:val="21"/>
                <w:sz w:val="18"/>
                <w:szCs w:val="18"/>
              </w:rPr>
              <w:t></w:t>
            </w:r>
          </w:p>
        </w:tc>
        <w:tc>
          <w:tcPr>
            <w:tcW w:w="1923" w:type="dxa"/>
            <w:gridSpan w:val="5"/>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E3</w:t>
            </w:r>
            <w:r>
              <w:rPr>
                <w:rFonts w:hint="eastAsia" w:ascii="MS Gothic" w:hAnsi="MS Gothic"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2107" w:type="dxa"/>
            <w:gridSpan w:val="2"/>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073" w:type="dxa"/>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地下水</w:t>
            </w:r>
          </w:p>
        </w:tc>
        <w:tc>
          <w:tcPr>
            <w:tcW w:w="2229" w:type="dxa"/>
            <w:gridSpan w:val="7"/>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E1</w:t>
            </w:r>
            <w:r>
              <w:rPr>
                <w:rFonts w:hint="eastAsia" w:ascii="MS Gothic" w:hAnsi="MS Gothic" w:eastAsia="MS Gothic" w:cs="Times New Roman"/>
                <w:kern w:val="21"/>
                <w:sz w:val="18"/>
                <w:szCs w:val="18"/>
              </w:rPr>
              <w:t>☐</w:t>
            </w:r>
          </w:p>
        </w:tc>
        <w:tc>
          <w:tcPr>
            <w:tcW w:w="1912"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E2</w:t>
            </w:r>
            <w:r>
              <w:rPr>
                <w:rFonts w:ascii="Wingdings 2" w:hAnsi="Wingdings 2" w:eastAsia="MS Gothic" w:cs="Times New Roman"/>
                <w:kern w:val="21"/>
                <w:sz w:val="18"/>
                <w:szCs w:val="18"/>
              </w:rPr>
              <w:t></w:t>
            </w:r>
          </w:p>
        </w:tc>
        <w:tc>
          <w:tcPr>
            <w:tcW w:w="1923" w:type="dxa"/>
            <w:gridSpan w:val="5"/>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E3</w:t>
            </w:r>
            <w:r>
              <w:rPr>
                <w:rFonts w:hint="eastAsia" w:ascii="MS Gothic" w:hAnsi="MS Gothic"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2107" w:type="dxa"/>
            <w:gridSpan w:val="2"/>
            <w:tcBorders>
              <w:top w:val="single" w:color="auto" w:sz="4" w:space="0"/>
              <w:left w:val="single" w:color="auto" w:sz="12" w:space="0"/>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环境风险</w:t>
            </w:r>
          </w:p>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潜势</w:t>
            </w:r>
          </w:p>
        </w:tc>
        <w:tc>
          <w:tcPr>
            <w:tcW w:w="1704" w:type="dxa"/>
            <w:gridSpan w:val="2"/>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Ⅳ</w:t>
            </w:r>
            <w:r>
              <w:rPr>
                <w:rFonts w:hint="eastAsia" w:ascii="Times New Roman" w:hAnsi="Times New Roman" w:cs="Times New Roman"/>
                <w:kern w:val="21"/>
                <w:sz w:val="18"/>
                <w:szCs w:val="18"/>
                <w:vertAlign w:val="superscript"/>
              </w:rPr>
              <w:t>+</w:t>
            </w:r>
            <w:r>
              <w:rPr>
                <w:rFonts w:hint="eastAsia" w:ascii="MS Gothic" w:hAnsi="MS Gothic" w:eastAsia="MS Gothic" w:cs="Times New Roman"/>
                <w:kern w:val="21"/>
                <w:sz w:val="18"/>
                <w:szCs w:val="18"/>
              </w:rPr>
              <w:t>☐</w:t>
            </w:r>
          </w:p>
        </w:tc>
        <w:tc>
          <w:tcPr>
            <w:tcW w:w="1355"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Ⅳ</w:t>
            </w:r>
            <w:r>
              <w:rPr>
                <w:rFonts w:hint="eastAsia" w:ascii="MS Gothic" w:hAnsi="MS Gothic" w:eastAsia="MS Gothic" w:cs="Times New Roman"/>
                <w:kern w:val="21"/>
                <w:sz w:val="18"/>
                <w:szCs w:val="18"/>
              </w:rPr>
              <w:t>☐</w:t>
            </w:r>
          </w:p>
        </w:tc>
        <w:tc>
          <w:tcPr>
            <w:tcW w:w="1356" w:type="dxa"/>
            <w:gridSpan w:val="4"/>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Ⅲ</w:t>
            </w:r>
            <w:r>
              <w:rPr>
                <w:rFonts w:hint="eastAsia" w:ascii="MS Gothic" w:hAnsi="MS Gothic" w:eastAsia="MS Gothic" w:cs="Times New Roman"/>
                <w:kern w:val="21"/>
                <w:sz w:val="18"/>
                <w:szCs w:val="18"/>
              </w:rPr>
              <w:t>☐</w:t>
            </w:r>
          </w:p>
        </w:tc>
        <w:tc>
          <w:tcPr>
            <w:tcW w:w="1355"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Ⅱ</w:t>
            </w:r>
            <w:r>
              <w:rPr>
                <w:rFonts w:hint="eastAsia" w:ascii="MS Gothic" w:hAnsi="MS Gothic" w:eastAsia="MS Gothic" w:cs="Times New Roman"/>
                <w:kern w:val="21"/>
                <w:sz w:val="18"/>
                <w:szCs w:val="18"/>
              </w:rPr>
              <w:t>☐</w:t>
            </w:r>
          </w:p>
        </w:tc>
        <w:tc>
          <w:tcPr>
            <w:tcW w:w="1367" w:type="dxa"/>
            <w:gridSpan w:val="2"/>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I</w:t>
            </w:r>
            <w:r>
              <w:rPr>
                <w:rFonts w:hint="eastAsia" w:ascii="MS Gothic" w:hAnsi="MS Gothic"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07" w:type="dxa"/>
            <w:gridSpan w:val="2"/>
            <w:tcBorders>
              <w:top w:val="single" w:color="auto" w:sz="4" w:space="0"/>
              <w:left w:val="single" w:color="auto" w:sz="12" w:space="0"/>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评价等级</w:t>
            </w:r>
          </w:p>
        </w:tc>
        <w:tc>
          <w:tcPr>
            <w:tcW w:w="2046" w:type="dxa"/>
            <w:gridSpan w:val="3"/>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一级</w:t>
            </w:r>
            <w:r>
              <w:rPr>
                <w:rFonts w:hint="eastAsia" w:ascii="MS Gothic" w:hAnsi="MS Gothic" w:eastAsia="MS Gothic" w:cs="Times New Roman"/>
                <w:kern w:val="21"/>
                <w:sz w:val="18"/>
                <w:szCs w:val="18"/>
              </w:rPr>
              <w:t>☐</w:t>
            </w:r>
          </w:p>
        </w:tc>
        <w:tc>
          <w:tcPr>
            <w:tcW w:w="1696" w:type="dxa"/>
            <w:gridSpan w:val="6"/>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二级</w:t>
            </w:r>
            <w:r>
              <w:rPr>
                <w:rFonts w:hint="eastAsia" w:ascii="MS Gothic" w:hAnsi="MS Gothic" w:eastAsia="MS Gothic" w:cs="Times New Roman"/>
                <w:kern w:val="21"/>
                <w:sz w:val="18"/>
                <w:szCs w:val="18"/>
              </w:rPr>
              <w:t>☐</w:t>
            </w:r>
          </w:p>
        </w:tc>
        <w:tc>
          <w:tcPr>
            <w:tcW w:w="1696"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三级</w:t>
            </w:r>
            <w:r>
              <w:rPr>
                <w:rFonts w:hint="eastAsia" w:ascii="MS Gothic" w:hAnsi="MS Gothic" w:eastAsia="MS Gothic" w:cs="Times New Roman"/>
                <w:kern w:val="21"/>
                <w:sz w:val="18"/>
                <w:szCs w:val="18"/>
              </w:rPr>
              <w:t>☐</w:t>
            </w:r>
          </w:p>
        </w:tc>
        <w:tc>
          <w:tcPr>
            <w:tcW w:w="1699" w:type="dxa"/>
            <w:gridSpan w:val="4"/>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简单分析</w:t>
            </w:r>
            <w:r>
              <w:rPr>
                <w:rFonts w:hint="eastAsia" w:ascii="MS Gothic" w:hAnsi="MS Gothic"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40" w:type="dxa"/>
            <w:vMerge w:val="restart"/>
            <w:tcBorders>
              <w:top w:val="nil"/>
              <w:left w:val="single" w:color="auto" w:sz="12" w:space="0"/>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风</w:t>
            </w:r>
          </w:p>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险</w:t>
            </w:r>
          </w:p>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识</w:t>
            </w:r>
          </w:p>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别</w:t>
            </w:r>
          </w:p>
        </w:tc>
        <w:tc>
          <w:tcPr>
            <w:tcW w:w="1167" w:type="dxa"/>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物质危险性</w:t>
            </w:r>
          </w:p>
        </w:tc>
        <w:tc>
          <w:tcPr>
            <w:tcW w:w="3742" w:type="dxa"/>
            <w:gridSpan w:val="9"/>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有毒有害</w:t>
            </w:r>
            <w:r>
              <w:rPr>
                <w:rFonts w:hint="eastAsia" w:ascii="MS Gothic" w:hAnsi="MS Gothic" w:eastAsia="MS Gothic" w:cs="Times New Roman"/>
                <w:kern w:val="21"/>
                <w:sz w:val="18"/>
                <w:szCs w:val="18"/>
              </w:rPr>
              <w:t>☐</w:t>
            </w:r>
          </w:p>
        </w:tc>
        <w:tc>
          <w:tcPr>
            <w:tcW w:w="3395" w:type="dxa"/>
            <w:gridSpan w:val="9"/>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易燃易爆</w:t>
            </w:r>
            <w:r>
              <w:rPr>
                <w:rFonts w:hint="eastAsia" w:ascii="MS Gothic" w:hAnsi="MS Gothic"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7" w:hRule="atLeast"/>
        </w:trPr>
        <w:tc>
          <w:tcPr>
            <w:tcW w:w="940" w:type="dxa"/>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167" w:type="dxa"/>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环境风险</w:t>
            </w:r>
          </w:p>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类型</w:t>
            </w:r>
          </w:p>
        </w:tc>
        <w:tc>
          <w:tcPr>
            <w:tcW w:w="3742" w:type="dxa"/>
            <w:gridSpan w:val="9"/>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泄漏</w:t>
            </w:r>
            <w:r>
              <w:rPr>
                <w:rFonts w:ascii="Wingdings 2" w:hAnsi="Wingdings 2" w:eastAsia="MS Gothic" w:cs="Times New Roman"/>
                <w:kern w:val="21"/>
                <w:sz w:val="18"/>
                <w:szCs w:val="18"/>
              </w:rPr>
              <w:t></w:t>
            </w:r>
            <w:r>
              <w:rPr>
                <w:rFonts w:hint="eastAsia" w:ascii="MS Gothic" w:hAnsi="MS Gothic" w:eastAsia="MS Gothic" w:cs="Times New Roman"/>
                <w:kern w:val="21"/>
                <w:sz w:val="18"/>
                <w:szCs w:val="18"/>
              </w:rPr>
              <w:t>☐</w:t>
            </w:r>
          </w:p>
        </w:tc>
        <w:tc>
          <w:tcPr>
            <w:tcW w:w="3395" w:type="dxa"/>
            <w:gridSpan w:val="9"/>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火灾、爆炸引发伴生/</w:t>
            </w:r>
            <w:r>
              <w:rPr>
                <w:rFonts w:hint="eastAsia" w:ascii="宋体" w:hAnsi="宋体" w:cs="Times New Roman"/>
                <w:kern w:val="21"/>
                <w:sz w:val="18"/>
                <w:szCs w:val="18"/>
              </w:rPr>
              <w:t>次生污染物排放</w:t>
            </w:r>
            <w:r>
              <w:rPr>
                <w:rFonts w:hint="eastAsia" w:ascii="MS Gothic" w:hAnsi="MS Gothic"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 w:hRule="atLeast"/>
        </w:trPr>
        <w:tc>
          <w:tcPr>
            <w:tcW w:w="940" w:type="dxa"/>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167" w:type="dxa"/>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影响途径</w:t>
            </w:r>
          </w:p>
        </w:tc>
        <w:tc>
          <w:tcPr>
            <w:tcW w:w="2608"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大气</w:t>
            </w:r>
            <w:r>
              <w:rPr>
                <w:rFonts w:hint="eastAsia" w:ascii="MS Gothic" w:hAnsi="MS Gothic" w:eastAsia="MS Gothic" w:cs="Times New Roman"/>
                <w:kern w:val="21"/>
                <w:sz w:val="18"/>
                <w:szCs w:val="18"/>
              </w:rPr>
              <w:t>☐</w:t>
            </w:r>
          </w:p>
        </w:tc>
        <w:tc>
          <w:tcPr>
            <w:tcW w:w="2259" w:type="dxa"/>
            <w:gridSpan w:val="7"/>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地表水</w:t>
            </w:r>
            <w:r>
              <w:rPr>
                <w:rFonts w:ascii="Wingdings 2" w:hAnsi="Wingdings 2" w:eastAsia="MS Gothic" w:cs="Times New Roman"/>
                <w:kern w:val="21"/>
                <w:sz w:val="18"/>
                <w:szCs w:val="18"/>
              </w:rPr>
              <w:t></w:t>
            </w:r>
          </w:p>
        </w:tc>
        <w:tc>
          <w:tcPr>
            <w:tcW w:w="2270" w:type="dxa"/>
            <w:gridSpan w:val="6"/>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地下水</w:t>
            </w:r>
            <w:r>
              <w:rPr>
                <w:rFonts w:ascii="Wingdings 2" w:hAnsi="Wingdings 2"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2107" w:type="dxa"/>
            <w:gridSpan w:val="2"/>
            <w:tcBorders>
              <w:top w:val="single" w:color="auto" w:sz="4" w:space="0"/>
              <w:left w:val="single" w:color="auto" w:sz="12" w:space="0"/>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事故情形分析</w:t>
            </w:r>
          </w:p>
        </w:tc>
        <w:tc>
          <w:tcPr>
            <w:tcW w:w="2046" w:type="dxa"/>
            <w:gridSpan w:val="3"/>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源强设定方法</w:t>
            </w:r>
          </w:p>
        </w:tc>
        <w:tc>
          <w:tcPr>
            <w:tcW w:w="1696" w:type="dxa"/>
            <w:gridSpan w:val="6"/>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both"/>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计算法</w:t>
            </w:r>
            <w:r>
              <w:rPr>
                <w:rFonts w:hint="eastAsia" w:ascii="MS Gothic" w:hAnsi="MS Gothic" w:eastAsia="MS Gothic" w:cs="Times New Roman"/>
                <w:kern w:val="21"/>
                <w:sz w:val="18"/>
                <w:szCs w:val="18"/>
              </w:rPr>
              <w:t>☐</w:t>
            </w:r>
          </w:p>
        </w:tc>
        <w:tc>
          <w:tcPr>
            <w:tcW w:w="1696"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both"/>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经验估算法</w:t>
            </w:r>
            <w:r>
              <w:rPr>
                <w:rFonts w:hint="eastAsia" w:ascii="MS Gothic" w:hAnsi="MS Gothic" w:eastAsia="MS Gothic" w:cs="Times New Roman"/>
                <w:kern w:val="21"/>
                <w:sz w:val="18"/>
                <w:szCs w:val="18"/>
              </w:rPr>
              <w:t>☐</w:t>
            </w:r>
          </w:p>
        </w:tc>
        <w:tc>
          <w:tcPr>
            <w:tcW w:w="1699" w:type="dxa"/>
            <w:gridSpan w:val="4"/>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both"/>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其他估算法</w:t>
            </w:r>
            <w:r>
              <w:rPr>
                <w:rFonts w:hint="eastAsia" w:ascii="MS Gothic" w:hAnsi="MS Gothic"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7" w:hRule="atLeast"/>
        </w:trPr>
        <w:tc>
          <w:tcPr>
            <w:tcW w:w="940" w:type="dxa"/>
            <w:vMerge w:val="restart"/>
            <w:tcBorders>
              <w:top w:val="nil"/>
              <w:left w:val="single" w:color="auto" w:sz="12" w:space="0"/>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风险</w:t>
            </w:r>
          </w:p>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预测</w:t>
            </w:r>
          </w:p>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与</w:t>
            </w:r>
          </w:p>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评价</w:t>
            </w:r>
          </w:p>
        </w:tc>
        <w:tc>
          <w:tcPr>
            <w:tcW w:w="1167" w:type="dxa"/>
            <w:vMerge w:val="restart"/>
            <w:tcBorders>
              <w:top w:val="nil"/>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大气</w:t>
            </w:r>
          </w:p>
        </w:tc>
        <w:tc>
          <w:tcPr>
            <w:tcW w:w="2046" w:type="dxa"/>
            <w:gridSpan w:val="3"/>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预测模型</w:t>
            </w:r>
          </w:p>
        </w:tc>
        <w:tc>
          <w:tcPr>
            <w:tcW w:w="1696" w:type="dxa"/>
            <w:gridSpan w:val="6"/>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SLAB</w:t>
            </w:r>
            <w:r>
              <w:rPr>
                <w:rFonts w:hint="eastAsia" w:ascii="MS Gothic" w:hAnsi="MS Gothic" w:eastAsia="MS Gothic" w:cs="Times New Roman"/>
                <w:kern w:val="21"/>
                <w:sz w:val="18"/>
                <w:szCs w:val="18"/>
              </w:rPr>
              <w:t>☐</w:t>
            </w:r>
          </w:p>
        </w:tc>
        <w:tc>
          <w:tcPr>
            <w:tcW w:w="1696" w:type="dxa"/>
            <w:gridSpan w:val="5"/>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AFTOX</w:t>
            </w:r>
            <w:r>
              <w:rPr>
                <w:rFonts w:hint="eastAsia" w:ascii="MS Gothic" w:hAnsi="MS Gothic" w:eastAsia="MS Gothic" w:cs="Times New Roman"/>
                <w:kern w:val="21"/>
                <w:sz w:val="18"/>
                <w:szCs w:val="18"/>
              </w:rPr>
              <w:t>☐</w:t>
            </w:r>
          </w:p>
        </w:tc>
        <w:tc>
          <w:tcPr>
            <w:tcW w:w="1699" w:type="dxa"/>
            <w:gridSpan w:val="4"/>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其他</w:t>
            </w:r>
            <w:r>
              <w:rPr>
                <w:rFonts w:hint="eastAsia" w:ascii="MS Gothic" w:hAnsi="MS Gothic" w:eastAsia="MS Gothic" w:cs="Times New Roman"/>
                <w:kern w:val="2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940" w:type="dxa"/>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167" w:type="dxa"/>
            <w:vMerge w:val="continue"/>
            <w:tcBorders>
              <w:top w:val="nil"/>
              <w:left w:val="nil"/>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2046" w:type="dxa"/>
            <w:gridSpan w:val="3"/>
            <w:vMerge w:val="restart"/>
            <w:tcBorders>
              <w:top w:val="nil"/>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预测结果</w:t>
            </w:r>
          </w:p>
        </w:tc>
        <w:tc>
          <w:tcPr>
            <w:tcW w:w="5091" w:type="dxa"/>
            <w:gridSpan w:val="15"/>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 xml:space="preserve">大气毒性终点浓度-1 </w:t>
            </w:r>
            <w:r>
              <w:rPr>
                <w:rFonts w:hint="eastAsia" w:ascii="宋体" w:hAnsi="宋体" w:cs="Times New Roman"/>
                <w:kern w:val="21"/>
                <w:sz w:val="18"/>
                <w:szCs w:val="18"/>
              </w:rPr>
              <w:t>最大影响范围</w:t>
            </w:r>
            <w:r>
              <w:rPr>
                <w:rFonts w:hint="eastAsia" w:ascii="Times New Roman" w:hAnsi="Times New Roman" w:cs="Times New Roman"/>
                <w:kern w:val="21"/>
                <w:sz w:val="18"/>
                <w:szCs w:val="18"/>
                <w:u w:val="single"/>
              </w:rPr>
              <w:t xml:space="preserve">  </w:t>
            </w:r>
            <w:r>
              <w:rPr>
                <w:rFonts w:ascii="Times New Roman" w:hAnsi="Times New Roman" w:cs="Times New Roman"/>
                <w:kern w:val="21"/>
                <w:sz w:val="18"/>
                <w:szCs w:val="18"/>
                <w:u w:val="single"/>
              </w:rPr>
              <w:t xml:space="preserve">   </w:t>
            </w:r>
            <w:r>
              <w:rPr>
                <w:rFonts w:hint="eastAsia" w:ascii="Times New Roman" w:hAnsi="Times New Roman" w:cs="Times New Roman"/>
                <w:kern w:val="21"/>
                <w:sz w:val="18"/>
                <w:szCs w:val="18"/>
                <w:u w:val="single"/>
              </w:rPr>
              <w:t xml:space="preserve">   </w:t>
            </w:r>
            <w:r>
              <w:rPr>
                <w:rFonts w:hint="eastAsia" w:ascii="Times New Roman" w:hAnsi="Times New Roman" w:cs="Times New Roman"/>
                <w:kern w:val="21"/>
                <w:sz w:val="18"/>
                <w:szCs w:val="18"/>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72" w:hRule="atLeast"/>
        </w:trPr>
        <w:tc>
          <w:tcPr>
            <w:tcW w:w="940" w:type="dxa"/>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167" w:type="dxa"/>
            <w:vMerge w:val="continue"/>
            <w:tcBorders>
              <w:top w:val="nil"/>
              <w:left w:val="nil"/>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2046" w:type="dxa"/>
            <w:gridSpan w:val="3"/>
            <w:vMerge w:val="continue"/>
            <w:tcBorders>
              <w:top w:val="nil"/>
              <w:left w:val="nil"/>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5091" w:type="dxa"/>
            <w:gridSpan w:val="15"/>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 xml:space="preserve">大气毒性终点浓度-2 </w:t>
            </w:r>
            <w:r>
              <w:rPr>
                <w:rFonts w:hint="eastAsia" w:ascii="宋体" w:hAnsi="宋体" w:cs="Times New Roman"/>
                <w:kern w:val="21"/>
                <w:sz w:val="18"/>
                <w:szCs w:val="18"/>
              </w:rPr>
              <w:t>最大影响范围</w:t>
            </w:r>
            <w:r>
              <w:rPr>
                <w:rFonts w:hint="eastAsia" w:ascii="Times New Roman" w:hAnsi="Times New Roman" w:cs="Times New Roman"/>
                <w:kern w:val="21"/>
                <w:sz w:val="18"/>
                <w:szCs w:val="18"/>
                <w:u w:val="single"/>
              </w:rPr>
              <w:t xml:space="preserve">  </w:t>
            </w:r>
            <w:r>
              <w:rPr>
                <w:rFonts w:ascii="Times New Roman" w:hAnsi="Times New Roman" w:cs="Times New Roman"/>
                <w:kern w:val="21"/>
                <w:sz w:val="18"/>
                <w:szCs w:val="18"/>
                <w:u w:val="single"/>
              </w:rPr>
              <w:t xml:space="preserve">   </w:t>
            </w:r>
            <w:r>
              <w:rPr>
                <w:rFonts w:hint="eastAsia" w:ascii="Times New Roman" w:hAnsi="Times New Roman" w:cs="Times New Roman"/>
                <w:kern w:val="21"/>
                <w:sz w:val="18"/>
                <w:szCs w:val="18"/>
                <w:u w:val="single"/>
              </w:rPr>
              <w:t xml:space="preserve">   </w:t>
            </w:r>
            <w:r>
              <w:rPr>
                <w:rFonts w:hint="eastAsia" w:ascii="Times New Roman" w:hAnsi="Times New Roman" w:cs="Times New Roman"/>
                <w:kern w:val="21"/>
                <w:sz w:val="18"/>
                <w:szCs w:val="18"/>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7" w:hRule="atLeast"/>
        </w:trPr>
        <w:tc>
          <w:tcPr>
            <w:tcW w:w="940" w:type="dxa"/>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167" w:type="dxa"/>
            <w:tcBorders>
              <w:top w:val="single" w:color="auto" w:sz="4" w:space="0"/>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地表水</w:t>
            </w:r>
          </w:p>
        </w:tc>
        <w:tc>
          <w:tcPr>
            <w:tcW w:w="7137" w:type="dxa"/>
            <w:gridSpan w:val="18"/>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最近环境敏感目标</w:t>
            </w:r>
            <w:r>
              <w:rPr>
                <w:rFonts w:hint="eastAsia" w:ascii="Times New Roman" w:hAnsi="Times New Roman" w:cs="Times New Roman"/>
                <w:kern w:val="21"/>
                <w:sz w:val="18"/>
                <w:szCs w:val="18"/>
                <w:u w:val="single"/>
              </w:rPr>
              <w:t xml:space="preserve">   </w:t>
            </w:r>
            <w:r>
              <w:rPr>
                <w:rFonts w:ascii="Times New Roman" w:hAnsi="Times New Roman" w:cs="Times New Roman"/>
                <w:kern w:val="21"/>
                <w:sz w:val="18"/>
                <w:szCs w:val="18"/>
                <w:u w:val="single"/>
              </w:rPr>
              <w:t xml:space="preserve">      </w:t>
            </w:r>
            <w:r>
              <w:rPr>
                <w:rFonts w:hint="eastAsia" w:ascii="Times New Roman" w:hAnsi="Times New Roman" w:cs="Times New Roman"/>
                <w:kern w:val="21"/>
                <w:sz w:val="18"/>
                <w:szCs w:val="18"/>
                <w:u w:val="single"/>
              </w:rPr>
              <w:t xml:space="preserve">   </w:t>
            </w:r>
            <w:r>
              <w:rPr>
                <w:rFonts w:hint="eastAsia" w:ascii="Times New Roman" w:hAnsi="Times New Roman" w:cs="Times New Roman"/>
                <w:kern w:val="21"/>
                <w:sz w:val="18"/>
                <w:szCs w:val="18"/>
              </w:rPr>
              <w:t>，到达时间</w:t>
            </w:r>
            <w:r>
              <w:rPr>
                <w:rFonts w:hint="eastAsia" w:ascii="Times New Roman" w:hAnsi="Times New Roman" w:cs="Times New Roman"/>
                <w:kern w:val="21"/>
                <w:sz w:val="18"/>
                <w:szCs w:val="18"/>
                <w:u w:val="single"/>
              </w:rPr>
              <w:t xml:space="preserve">  </w:t>
            </w:r>
            <w:r>
              <w:rPr>
                <w:rFonts w:ascii="Times New Roman" w:hAnsi="Times New Roman" w:cs="Times New Roman"/>
                <w:kern w:val="21"/>
                <w:sz w:val="18"/>
                <w:szCs w:val="18"/>
                <w:u w:val="single"/>
              </w:rPr>
              <w:t xml:space="preserve">     </w:t>
            </w:r>
            <w:r>
              <w:rPr>
                <w:rFonts w:hint="eastAsia" w:ascii="Times New Roman" w:hAnsi="Times New Roman" w:cs="Times New Roman"/>
                <w:kern w:val="21"/>
                <w:sz w:val="18"/>
                <w:szCs w:val="18"/>
                <w:u w:val="single"/>
              </w:rPr>
              <w:t xml:space="preserve">    </w:t>
            </w:r>
            <w:r>
              <w:rPr>
                <w:rFonts w:hint="eastAsia" w:ascii="Times New Roman" w:hAnsi="Times New Roman" w:cs="Times New Roman"/>
                <w:kern w:val="21"/>
                <w:sz w:val="18"/>
                <w:szCs w:val="18"/>
              </w:rPr>
              <w:t>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 w:hRule="atLeast"/>
        </w:trPr>
        <w:tc>
          <w:tcPr>
            <w:tcW w:w="940" w:type="dxa"/>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167" w:type="dxa"/>
            <w:vMerge w:val="restart"/>
            <w:tcBorders>
              <w:top w:val="nil"/>
              <w:left w:val="nil"/>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地下水</w:t>
            </w:r>
          </w:p>
        </w:tc>
        <w:tc>
          <w:tcPr>
            <w:tcW w:w="7137" w:type="dxa"/>
            <w:gridSpan w:val="18"/>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下游厂区边界到达时间</w:t>
            </w:r>
            <w:r>
              <w:rPr>
                <w:rFonts w:hint="eastAsia" w:ascii="Times New Roman" w:hAnsi="Times New Roman" w:cs="Times New Roman"/>
                <w:kern w:val="21"/>
                <w:sz w:val="18"/>
                <w:szCs w:val="18"/>
                <w:u w:val="single"/>
              </w:rPr>
              <w:t xml:space="preserve">   </w:t>
            </w:r>
            <w:r>
              <w:rPr>
                <w:rFonts w:ascii="Times New Roman" w:hAnsi="Times New Roman" w:cs="Times New Roman"/>
                <w:kern w:val="21"/>
                <w:sz w:val="18"/>
                <w:szCs w:val="18"/>
                <w:u w:val="single"/>
              </w:rPr>
              <w:t xml:space="preserve">      </w:t>
            </w:r>
            <w:r>
              <w:rPr>
                <w:rFonts w:hint="eastAsia" w:ascii="Times New Roman" w:hAnsi="Times New Roman" w:cs="Times New Roman"/>
                <w:kern w:val="21"/>
                <w:sz w:val="18"/>
                <w:szCs w:val="18"/>
                <w:u w:val="single"/>
              </w:rPr>
              <w:t xml:space="preserve">   </w:t>
            </w:r>
            <w:r>
              <w:rPr>
                <w:rFonts w:hint="eastAsia" w:ascii="Times New Roman" w:hAnsi="Times New Roman" w:cs="Times New Roman"/>
                <w:kern w:val="21"/>
                <w:sz w:val="18"/>
                <w:szCs w:val="18"/>
              </w:rPr>
              <w: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 w:hRule="atLeast"/>
        </w:trPr>
        <w:tc>
          <w:tcPr>
            <w:tcW w:w="940" w:type="dxa"/>
            <w:vMerge w:val="continue"/>
            <w:tcBorders>
              <w:top w:val="nil"/>
              <w:left w:val="single" w:color="auto" w:sz="12" w:space="0"/>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1167" w:type="dxa"/>
            <w:vMerge w:val="continue"/>
            <w:tcBorders>
              <w:top w:val="nil"/>
              <w:left w:val="nil"/>
              <w:bottom w:val="single" w:color="auto" w:sz="4" w:space="0"/>
              <w:right w:val="single" w:color="auto" w:sz="4" w:space="0"/>
            </w:tcBorders>
            <w:vAlign w:val="center"/>
          </w:tcPr>
          <w:p>
            <w:pPr>
              <w:widowControl/>
              <w:wordWrap/>
              <w:adjustRightInd w:val="0"/>
              <w:snapToGrid/>
              <w:spacing w:line="240" w:lineRule="auto"/>
              <w:ind w:left="0" w:leftChars="0" w:right="0" w:firstLine="0" w:firstLineChars="0"/>
              <w:jc w:val="left"/>
              <w:textAlignment w:val="auto"/>
              <w:outlineLvl w:val="9"/>
              <w:rPr>
                <w:rFonts w:ascii="Times New Roman" w:hAnsi="Times New Roman" w:cs="Times New Roman"/>
                <w:kern w:val="21"/>
                <w:sz w:val="18"/>
                <w:szCs w:val="18"/>
              </w:rPr>
            </w:pPr>
          </w:p>
        </w:tc>
        <w:tc>
          <w:tcPr>
            <w:tcW w:w="7137" w:type="dxa"/>
            <w:gridSpan w:val="18"/>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最近环境敏感目标</w:t>
            </w:r>
            <w:r>
              <w:rPr>
                <w:rFonts w:hint="eastAsia" w:ascii="Times New Roman" w:hAnsi="Times New Roman" w:cs="Times New Roman"/>
                <w:kern w:val="21"/>
                <w:sz w:val="18"/>
                <w:szCs w:val="18"/>
                <w:u w:val="single"/>
              </w:rPr>
              <w:t xml:space="preserve">   </w:t>
            </w:r>
            <w:r>
              <w:rPr>
                <w:rFonts w:ascii="Times New Roman" w:hAnsi="Times New Roman" w:cs="Times New Roman"/>
                <w:kern w:val="21"/>
                <w:sz w:val="18"/>
                <w:szCs w:val="18"/>
                <w:u w:val="single"/>
              </w:rPr>
              <w:t xml:space="preserve">    </w:t>
            </w:r>
            <w:r>
              <w:rPr>
                <w:rFonts w:hint="eastAsia" w:ascii="Times New Roman" w:hAnsi="Times New Roman" w:cs="Times New Roman"/>
                <w:kern w:val="21"/>
                <w:sz w:val="18"/>
                <w:szCs w:val="18"/>
                <w:u w:val="single"/>
              </w:rPr>
              <w:t xml:space="preserve">   </w:t>
            </w:r>
            <w:r>
              <w:rPr>
                <w:rFonts w:hint="eastAsia" w:ascii="Times New Roman" w:hAnsi="Times New Roman" w:cs="Times New Roman"/>
                <w:kern w:val="21"/>
                <w:sz w:val="18"/>
                <w:szCs w:val="18"/>
              </w:rPr>
              <w:t>，到达时间</w:t>
            </w:r>
            <w:r>
              <w:rPr>
                <w:rFonts w:hint="eastAsia" w:ascii="Times New Roman" w:hAnsi="Times New Roman" w:cs="Times New Roman"/>
                <w:kern w:val="21"/>
                <w:sz w:val="18"/>
                <w:szCs w:val="18"/>
                <w:u w:val="single"/>
              </w:rPr>
              <w:t xml:space="preserve">   </w:t>
            </w:r>
            <w:r>
              <w:rPr>
                <w:rFonts w:ascii="Times New Roman" w:hAnsi="Times New Roman" w:cs="Times New Roman"/>
                <w:kern w:val="21"/>
                <w:sz w:val="18"/>
                <w:szCs w:val="18"/>
                <w:u w:val="single"/>
              </w:rPr>
              <w:t xml:space="preserve">    </w:t>
            </w:r>
            <w:r>
              <w:rPr>
                <w:rFonts w:hint="eastAsia" w:ascii="Times New Roman" w:hAnsi="Times New Roman" w:cs="Times New Roman"/>
                <w:kern w:val="21"/>
                <w:sz w:val="18"/>
                <w:szCs w:val="18"/>
                <w:u w:val="single"/>
              </w:rPr>
              <w:t xml:space="preserve">   </w:t>
            </w:r>
            <w:r>
              <w:rPr>
                <w:rFonts w:hint="eastAsia" w:ascii="Times New Roman" w:hAnsi="Times New Roman" w:cs="Times New Roman"/>
                <w:kern w:val="21"/>
                <w:sz w:val="18"/>
                <w:szCs w:val="18"/>
              </w:rPr>
              <w: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2107" w:type="dxa"/>
            <w:gridSpan w:val="2"/>
            <w:tcBorders>
              <w:top w:val="single" w:color="auto" w:sz="4" w:space="0"/>
              <w:left w:val="single" w:color="auto" w:sz="12" w:space="0"/>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重点风险防范</w:t>
            </w:r>
          </w:p>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措施</w:t>
            </w:r>
          </w:p>
        </w:tc>
        <w:tc>
          <w:tcPr>
            <w:tcW w:w="7137" w:type="dxa"/>
            <w:gridSpan w:val="18"/>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jc w:val="left"/>
              <w:textAlignment w:val="auto"/>
              <w:outlineLvl w:val="9"/>
              <w:rPr>
                <w:rFonts w:hint="eastAsia" w:ascii="Times New Roman" w:hAnsi="Times New Roman" w:cs="Times New Roman"/>
                <w:kern w:val="21"/>
                <w:sz w:val="18"/>
                <w:szCs w:val="18"/>
                <w:u w:val="none"/>
              </w:rPr>
            </w:pPr>
            <w:r>
              <w:rPr>
                <w:rFonts w:hint="eastAsia" w:ascii="Times New Roman" w:hAnsi="Times New Roman" w:cs="Times New Roman"/>
                <w:kern w:val="21"/>
                <w:sz w:val="18"/>
                <w:szCs w:val="18"/>
                <w:u w:val="none"/>
              </w:rPr>
              <w:t>（1）整体防范措施：企业应设立环境风险机构，负责建立和健全企业环境风险防范的制度，根据本企业的生产特点，制定环境污染事故防范措施，并落实在企业各生产环节。</w:t>
            </w:r>
          </w:p>
          <w:p>
            <w:pPr>
              <w:wordWrap/>
              <w:adjustRightInd w:val="0"/>
              <w:snapToGrid/>
              <w:spacing w:line="240" w:lineRule="auto"/>
              <w:ind w:left="0" w:leftChars="0" w:right="0" w:firstLine="0" w:firstLineChars="0"/>
              <w:jc w:val="left"/>
              <w:textAlignment w:val="auto"/>
              <w:outlineLvl w:val="9"/>
              <w:rPr>
                <w:rFonts w:hint="eastAsia" w:ascii="Times New Roman" w:hAnsi="Times New Roman" w:eastAsia="宋体" w:cs="Times New Roman"/>
                <w:kern w:val="21"/>
                <w:sz w:val="18"/>
                <w:szCs w:val="18"/>
                <w:lang w:eastAsia="zh-CN"/>
              </w:rPr>
            </w:pPr>
            <w:r>
              <w:rPr>
                <w:rFonts w:hint="eastAsia" w:ascii="Times New Roman" w:hAnsi="Times New Roman" w:cs="Times New Roman"/>
                <w:kern w:val="21"/>
                <w:sz w:val="18"/>
                <w:szCs w:val="18"/>
                <w:u w:val="none"/>
              </w:rPr>
              <w:t>（2）火灾防范措施：生产厂房可燃物品贮存区须确保通风良好、配备相应品种和数量的消防器材、设置必要的防火防爆与降温技术措施、按安全部门要求预留必要的安全间距，远离火种和热源。生产车间和原辅料及产品仓库禁止明火进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107" w:type="dxa"/>
            <w:gridSpan w:val="2"/>
            <w:tcBorders>
              <w:top w:val="single" w:color="auto" w:sz="4" w:space="0"/>
              <w:left w:val="single" w:color="auto" w:sz="12" w:space="0"/>
              <w:bottom w:val="single" w:color="auto" w:sz="4" w:space="0"/>
              <w:right w:val="single" w:color="auto" w:sz="4" w:space="0"/>
            </w:tcBorders>
            <w:vAlign w:val="center"/>
          </w:tcPr>
          <w:p>
            <w:pPr>
              <w:wordWrap/>
              <w:adjustRightInd w:val="0"/>
              <w:snapToGrid/>
              <w:spacing w:line="240" w:lineRule="auto"/>
              <w:ind w:left="0" w:leftChars="0" w:right="0" w:firstLine="0" w:firstLineChars="0"/>
              <w:jc w:val="center"/>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评价结论与建议</w:t>
            </w:r>
          </w:p>
        </w:tc>
        <w:tc>
          <w:tcPr>
            <w:tcW w:w="7137" w:type="dxa"/>
            <w:gridSpan w:val="18"/>
            <w:tcBorders>
              <w:top w:val="single" w:color="auto" w:sz="4" w:space="0"/>
              <w:left w:val="nil"/>
              <w:bottom w:val="single" w:color="auto" w:sz="4" w:space="0"/>
              <w:right w:val="single" w:color="auto" w:sz="12" w:space="0"/>
            </w:tcBorders>
            <w:vAlign w:val="center"/>
          </w:tcPr>
          <w:p>
            <w:pPr>
              <w:wordWrap/>
              <w:adjustRightInd w:val="0"/>
              <w:snapToGrid/>
              <w:spacing w:line="240" w:lineRule="auto"/>
              <w:ind w:left="0" w:leftChars="0" w:right="0" w:firstLine="0" w:firstLineChars="0"/>
              <w:textAlignment w:val="auto"/>
              <w:outlineLvl w:val="9"/>
              <w:rPr>
                <w:rFonts w:ascii="Times New Roman" w:hAnsi="Times New Roman" w:cs="Times New Roman"/>
                <w:kern w:val="21"/>
                <w:sz w:val="18"/>
                <w:szCs w:val="18"/>
              </w:rPr>
            </w:pPr>
            <w:r>
              <w:rPr>
                <w:rFonts w:ascii="Times New Roman" w:hAnsi="Times New Roman" w:cs="Times New Roman"/>
                <w:kern w:val="21"/>
                <w:sz w:val="18"/>
                <w:szCs w:val="18"/>
              </w:rPr>
              <w:t>在建设方落实好各项的风险防范措施的要求后，风险事故发生的几率及风险发生时的环境影响均能得到有效控制。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244" w:type="dxa"/>
            <w:gridSpan w:val="20"/>
            <w:tcBorders>
              <w:top w:val="single" w:color="auto" w:sz="4" w:space="0"/>
              <w:left w:val="single" w:color="auto" w:sz="12" w:space="0"/>
              <w:bottom w:val="single" w:color="auto" w:sz="12" w:space="0"/>
              <w:right w:val="single" w:color="auto" w:sz="12" w:space="0"/>
            </w:tcBorders>
            <w:vAlign w:val="center"/>
          </w:tcPr>
          <w:p>
            <w:pPr>
              <w:wordWrap/>
              <w:adjustRightInd w:val="0"/>
              <w:snapToGrid/>
              <w:spacing w:line="240" w:lineRule="auto"/>
              <w:ind w:left="0" w:leftChars="0" w:right="0" w:firstLine="0" w:firstLineChars="0"/>
              <w:textAlignment w:val="auto"/>
              <w:outlineLvl w:val="9"/>
              <w:rPr>
                <w:rFonts w:ascii="Times New Roman" w:hAnsi="Times New Roman" w:cs="Times New Roman"/>
                <w:kern w:val="21"/>
                <w:sz w:val="18"/>
                <w:szCs w:val="18"/>
              </w:rPr>
            </w:pPr>
            <w:r>
              <w:rPr>
                <w:rFonts w:hint="eastAsia" w:ascii="Times New Roman" w:hAnsi="Times New Roman" w:cs="Times New Roman"/>
                <w:kern w:val="21"/>
                <w:sz w:val="18"/>
                <w:szCs w:val="18"/>
              </w:rPr>
              <w:t>注：“□”为勾选项，“</w:t>
            </w:r>
            <w:r>
              <w:rPr>
                <w:rFonts w:hint="eastAsia" w:ascii="Times New Roman" w:hAnsi="Times New Roman" w:cs="Times New Roman"/>
                <w:kern w:val="21"/>
                <w:sz w:val="18"/>
                <w:szCs w:val="18"/>
                <w:u w:val="single"/>
              </w:rPr>
              <w:t xml:space="preserve">  </w:t>
            </w:r>
            <w:r>
              <w:rPr>
                <w:rFonts w:ascii="Times New Roman" w:hAnsi="Times New Roman" w:cs="Times New Roman"/>
                <w:kern w:val="21"/>
                <w:sz w:val="18"/>
                <w:szCs w:val="18"/>
                <w:u w:val="single"/>
              </w:rPr>
              <w:t xml:space="preserve">  </w:t>
            </w:r>
            <w:r>
              <w:rPr>
                <w:rFonts w:hint="eastAsia" w:ascii="Times New Roman" w:hAnsi="Times New Roman" w:cs="Times New Roman"/>
                <w:kern w:val="21"/>
                <w:sz w:val="18"/>
                <w:szCs w:val="18"/>
              </w:rPr>
              <w:t>”为填写项。</w:t>
            </w:r>
          </w:p>
        </w:tc>
      </w:tr>
    </w:tbl>
    <w:p>
      <w:pPr>
        <w:widowControl w:val="0"/>
        <w:wordWrap/>
        <w:adjustRightInd w:val="0"/>
        <w:snapToGrid/>
        <w:spacing w:line="240" w:lineRule="auto"/>
        <w:ind w:left="0" w:leftChars="0" w:right="0" w:firstLine="0" w:firstLineChars="0"/>
        <w:jc w:val="both"/>
        <w:textAlignment w:val="auto"/>
        <w:outlineLvl w:val="9"/>
        <w:rPr>
          <w:rFonts w:hint="eastAsia"/>
        </w:rPr>
        <w:sectPr>
          <w:pgSz w:w="11906" w:h="16838"/>
          <w:pgMar w:top="1985" w:right="1134" w:bottom="1418" w:left="1418" w:header="1418" w:footer="1134" w:gutter="0"/>
          <w:pgNumType w:fmt="decimal"/>
          <w:cols w:space="720" w:num="1"/>
          <w:docGrid w:type="linesAndChars" w:linePitch="312" w:charSpace="0"/>
        </w:sectPr>
      </w:pPr>
    </w:p>
    <w:p>
      <w:pPr>
        <w:bidi w:val="0"/>
        <w:jc w:val="center"/>
        <w:rPr>
          <w:rFonts w:hint="eastAsia" w:cs="Times New Roman"/>
          <w:b/>
          <w:bCs/>
          <w:sz w:val="32"/>
          <w:szCs w:val="32"/>
          <w:lang w:val="en-US" w:eastAsia="zh-CN"/>
        </w:rPr>
      </w:pPr>
      <w:r>
        <w:rPr>
          <w:rFonts w:hint="eastAsia" w:cs="Times New Roman"/>
          <w:b/>
          <w:bCs/>
          <w:sz w:val="32"/>
          <w:szCs w:val="32"/>
          <w:lang w:val="en-US" w:eastAsia="zh-CN"/>
        </w:rPr>
        <w:t>建设项目土壤环境影响评价自评表</w:t>
      </w:r>
    </w:p>
    <w:tbl>
      <w:tblPr>
        <w:tblStyle w:val="20"/>
        <w:tblW w:w="82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1564"/>
        <w:gridCol w:w="1900"/>
        <w:gridCol w:w="498"/>
        <w:gridCol w:w="770"/>
        <w:gridCol w:w="730"/>
        <w:gridCol w:w="584"/>
        <w:gridCol w:w="1043"/>
        <w:gridCol w:w="7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990" w:type="dxa"/>
            <w:gridSpan w:val="2"/>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工作内容</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完成情况</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restart"/>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影响识别</w:t>
            </w: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影响类型</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污染影响型☑；生态影响型□；两种兼有□</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土地利用类型</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建设用地☑；农用地□；未利用地□</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占地规模</w:t>
            </w:r>
          </w:p>
        </w:tc>
        <w:tc>
          <w:tcPr>
            <w:tcW w:w="5525" w:type="dxa"/>
            <w:gridSpan w:val="6"/>
            <w:vAlign w:val="center"/>
          </w:tcPr>
          <w:p>
            <w:pPr>
              <w:widowControl/>
              <w:adjustRightInd w:val="0"/>
              <w:spacing w:line="240" w:lineRule="exact"/>
              <w:ind w:firstLine="0" w:firstLineChars="0"/>
              <w:jc w:val="both"/>
              <w:rPr>
                <w:rFonts w:hint="default" w:ascii="Times New Roman" w:hAnsi="Times New Roman" w:eastAsia="宋体" w:cs="Times New Roman"/>
                <w:color w:val="000000"/>
                <w:kern w:val="21"/>
                <w:sz w:val="21"/>
                <w:szCs w:val="21"/>
                <w:lang w:val="en-US" w:eastAsia="zh-CN" w:bidi="ar-SA"/>
              </w:rPr>
            </w:pPr>
            <w:r>
              <w:rPr>
                <w:rFonts w:hint="eastAsia" w:ascii="Times New Roman" w:hAnsi="Times New Roman" w:cs="Times New Roman"/>
                <w:color w:val="000000"/>
                <w:kern w:val="21"/>
                <w:sz w:val="21"/>
                <w:szCs w:val="21"/>
                <w:lang w:val="en-US" w:eastAsia="zh-CN" w:bidi="ar-SA"/>
              </w:rPr>
              <w:t>10000</w:t>
            </w:r>
            <w:r>
              <w:rPr>
                <w:rFonts w:hint="eastAsia" w:ascii="Times New Roman" w:hAnsi="Times New Roman" w:eastAsia="宋体" w:cs="Times New Roman"/>
                <w:color w:val="000000"/>
                <w:kern w:val="21"/>
                <w:sz w:val="21"/>
                <w:szCs w:val="21"/>
                <w:lang w:val="en-US" w:eastAsia="zh-CN" w:bidi="ar-SA"/>
              </w:rPr>
              <w:t>m</w:t>
            </w:r>
            <w:r>
              <w:rPr>
                <w:rFonts w:hint="eastAsia" w:ascii="Times New Roman" w:hAnsi="Times New Roman" w:eastAsia="宋体" w:cs="Times New Roman"/>
                <w:color w:val="000000"/>
                <w:kern w:val="21"/>
                <w:sz w:val="21"/>
                <w:szCs w:val="21"/>
                <w:vertAlign w:val="superscript"/>
                <w:lang w:val="en-US" w:eastAsia="zh-CN" w:bidi="ar-SA"/>
              </w:rPr>
              <w:t>2</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敏感目标信息</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敏感目标</w:t>
            </w:r>
            <w:r>
              <w:rPr>
                <w:rFonts w:ascii="Times New Roman" w:hAnsi="Times New Roman" w:eastAsia="宋体" w:cs="Times New Roman"/>
                <w:color w:val="000000"/>
                <w:kern w:val="21"/>
                <w:sz w:val="21"/>
                <w:szCs w:val="21"/>
                <w:lang w:val="en-US" w:eastAsia="zh-CN" w:bidi="ar-SA"/>
              </w:rPr>
              <w:t>1</w:t>
            </w:r>
            <w:r>
              <w:rPr>
                <w:rFonts w:hint="eastAsia" w:ascii="Times New Roman" w:hAnsi="Times New Roman" w:eastAsia="宋体" w:cs="Times New Roman"/>
                <w:color w:val="000000"/>
                <w:kern w:val="21"/>
                <w:sz w:val="21"/>
                <w:szCs w:val="21"/>
                <w:lang w:val="en-US" w:eastAsia="zh-CN" w:bidi="ar-SA"/>
              </w:rPr>
              <w:t>（）、方位（）、距离（）；</w:t>
            </w:r>
          </w:p>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敏感目标</w:t>
            </w:r>
            <w:r>
              <w:rPr>
                <w:rFonts w:ascii="Times New Roman" w:hAnsi="Times New Roman" w:eastAsia="宋体" w:cs="Times New Roman"/>
                <w:color w:val="000000"/>
                <w:kern w:val="21"/>
                <w:sz w:val="21"/>
                <w:szCs w:val="21"/>
                <w:lang w:val="en-US" w:eastAsia="zh-CN" w:bidi="ar-SA"/>
              </w:rPr>
              <w:t>2</w:t>
            </w:r>
            <w:r>
              <w:rPr>
                <w:rFonts w:hint="eastAsia" w:ascii="Times New Roman" w:hAnsi="Times New Roman" w:eastAsia="宋体" w:cs="Times New Roman"/>
                <w:color w:val="000000"/>
                <w:kern w:val="21"/>
                <w:sz w:val="21"/>
                <w:szCs w:val="21"/>
                <w:lang w:val="en-US" w:eastAsia="zh-CN" w:bidi="ar-SA"/>
              </w:rPr>
              <w:t>（）、方位（）、距离（）；</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影响途径</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大气沉降□；地面漫流□；垂直入渗</w:t>
            </w:r>
            <w:r>
              <w:rPr>
                <w:rFonts w:ascii="Times New Roman" w:hAnsi="Times New Roman" w:eastAsia="宋体" w:cs="Times New Roman"/>
                <w:color w:val="000000"/>
                <w:kern w:val="0"/>
                <w:sz w:val="21"/>
                <w:szCs w:val="21"/>
                <w:lang w:val="en-US" w:eastAsia="zh-CN" w:bidi="ar-SA"/>
              </w:rPr>
              <w:sym w:font="Wingdings 2" w:char="F052"/>
            </w:r>
            <w:r>
              <w:rPr>
                <w:rFonts w:hint="eastAsia" w:ascii="Times New Roman" w:hAnsi="Times New Roman" w:eastAsia="宋体" w:cs="Times New Roman"/>
                <w:color w:val="000000"/>
                <w:kern w:val="21"/>
                <w:sz w:val="21"/>
                <w:szCs w:val="21"/>
                <w:lang w:val="en-US" w:eastAsia="zh-CN" w:bidi="ar-SA"/>
              </w:rPr>
              <w:t>；地下水位□；其他（）</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全部污染物</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特征因子</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所属土壤环境影响评价项目类别</w:t>
            </w:r>
          </w:p>
        </w:tc>
        <w:tc>
          <w:tcPr>
            <w:tcW w:w="5525" w:type="dxa"/>
            <w:gridSpan w:val="6"/>
            <w:vAlign w:val="center"/>
          </w:tcPr>
          <w:p>
            <w:pPr>
              <w:widowControl/>
              <w:adjustRightInd w:val="0"/>
              <w:spacing w:line="240" w:lineRule="exact"/>
              <w:ind w:firstLine="0" w:firstLineChars="0"/>
              <w:jc w:val="both"/>
              <w:rPr>
                <w:rFonts w:hint="eastAsia"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I类□；II类□；III类□；IV类☑</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敏感程度</w:t>
            </w:r>
          </w:p>
        </w:tc>
        <w:tc>
          <w:tcPr>
            <w:tcW w:w="5525" w:type="dxa"/>
            <w:gridSpan w:val="6"/>
            <w:vAlign w:val="center"/>
          </w:tcPr>
          <w:p>
            <w:pPr>
              <w:widowControl/>
              <w:adjustRightInd w:val="0"/>
              <w:spacing w:line="240" w:lineRule="exact"/>
              <w:ind w:firstLine="0" w:firstLineChars="0"/>
              <w:jc w:val="both"/>
              <w:rPr>
                <w:rFonts w:hint="eastAsia"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敏感□；较敏感□；不敏感</w:t>
            </w:r>
            <w:r>
              <w:rPr>
                <w:rFonts w:hint="eastAsia" w:ascii="Times New Roman" w:hAnsi="Times New Roman" w:eastAsia="宋体" w:cs="Times New Roman"/>
                <w:color w:val="000000"/>
                <w:kern w:val="0"/>
                <w:sz w:val="21"/>
                <w:szCs w:val="21"/>
                <w:lang w:val="en-US" w:eastAsia="zh-CN" w:bidi="ar-SA"/>
              </w:rPr>
              <w:t>☑</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990" w:type="dxa"/>
            <w:gridSpan w:val="2"/>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评价工作等级</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一级□；二级□；三级□</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restart"/>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现状调查内容</w:t>
            </w: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资料收集</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a）□；b）□；c）□；d）□</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理化特性</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761" w:type="dxa"/>
            <w:vAlign w:val="center"/>
          </w:tcPr>
          <w:p>
            <w:pPr>
              <w:widowControl/>
              <w:adjustRightInd w:val="0"/>
              <w:spacing w:line="240" w:lineRule="exact"/>
              <w:ind w:firstLine="0" w:firstLineChars="0"/>
              <w:jc w:val="center"/>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Merge w:val="restart"/>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现状监测点位</w:t>
            </w:r>
          </w:p>
        </w:tc>
        <w:tc>
          <w:tcPr>
            <w:tcW w:w="1900"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268" w:type="dxa"/>
            <w:gridSpan w:val="2"/>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占地范围内</w:t>
            </w:r>
          </w:p>
        </w:tc>
        <w:tc>
          <w:tcPr>
            <w:tcW w:w="1314" w:type="dxa"/>
            <w:gridSpan w:val="2"/>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占地范围外</w:t>
            </w:r>
          </w:p>
        </w:tc>
        <w:tc>
          <w:tcPr>
            <w:tcW w:w="1043"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深度</w:t>
            </w:r>
          </w:p>
        </w:tc>
        <w:tc>
          <w:tcPr>
            <w:tcW w:w="761" w:type="dxa"/>
            <w:vMerge w:val="restart"/>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900"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表层样点数</w:t>
            </w:r>
          </w:p>
        </w:tc>
        <w:tc>
          <w:tcPr>
            <w:tcW w:w="1268" w:type="dxa"/>
            <w:gridSpan w:val="2"/>
            <w:vAlign w:val="center"/>
          </w:tcPr>
          <w:p>
            <w:pPr>
              <w:widowControl/>
              <w:adjustRightInd w:val="0"/>
              <w:spacing w:line="240" w:lineRule="exact"/>
              <w:ind w:firstLine="0" w:firstLineChars="0"/>
              <w:jc w:val="center"/>
              <w:rPr>
                <w:rFonts w:ascii="Times New Roman" w:hAnsi="Times New Roman" w:eastAsia="宋体" w:cs="Times New Roman"/>
                <w:color w:val="000000"/>
                <w:kern w:val="21"/>
                <w:sz w:val="21"/>
                <w:szCs w:val="21"/>
                <w:lang w:val="en-US" w:eastAsia="zh-CN" w:bidi="ar-SA"/>
              </w:rPr>
            </w:pPr>
          </w:p>
        </w:tc>
        <w:tc>
          <w:tcPr>
            <w:tcW w:w="1314" w:type="dxa"/>
            <w:gridSpan w:val="2"/>
            <w:vAlign w:val="center"/>
          </w:tcPr>
          <w:p>
            <w:pPr>
              <w:widowControl/>
              <w:adjustRightInd w:val="0"/>
              <w:spacing w:line="240" w:lineRule="exact"/>
              <w:ind w:firstLine="0" w:firstLineChars="0"/>
              <w:jc w:val="center"/>
              <w:rPr>
                <w:rFonts w:ascii="Times New Roman" w:hAnsi="Times New Roman" w:eastAsia="宋体" w:cs="Times New Roman"/>
                <w:color w:val="000000"/>
                <w:kern w:val="21"/>
                <w:sz w:val="21"/>
                <w:szCs w:val="21"/>
                <w:lang w:val="en-US" w:eastAsia="zh-CN" w:bidi="ar-SA"/>
              </w:rPr>
            </w:pPr>
          </w:p>
        </w:tc>
        <w:tc>
          <w:tcPr>
            <w:tcW w:w="1043" w:type="dxa"/>
            <w:vAlign w:val="center"/>
          </w:tcPr>
          <w:p>
            <w:pPr>
              <w:widowControl/>
              <w:adjustRightInd w:val="0"/>
              <w:spacing w:line="240" w:lineRule="exact"/>
              <w:ind w:firstLine="0" w:firstLineChars="0"/>
              <w:jc w:val="center"/>
              <w:rPr>
                <w:rFonts w:ascii="Times New Roman" w:hAnsi="Times New Roman" w:eastAsia="宋体" w:cs="Times New Roman"/>
                <w:color w:val="000000"/>
                <w:kern w:val="21"/>
                <w:sz w:val="21"/>
                <w:szCs w:val="21"/>
                <w:lang w:val="en-US" w:eastAsia="zh-CN" w:bidi="ar-SA"/>
              </w:rPr>
            </w:pPr>
          </w:p>
        </w:tc>
        <w:tc>
          <w:tcPr>
            <w:tcW w:w="761"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900"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柱状样点数</w:t>
            </w:r>
          </w:p>
        </w:tc>
        <w:tc>
          <w:tcPr>
            <w:tcW w:w="1268" w:type="dxa"/>
            <w:gridSpan w:val="2"/>
            <w:vAlign w:val="center"/>
          </w:tcPr>
          <w:p>
            <w:pPr>
              <w:widowControl/>
              <w:adjustRightInd w:val="0"/>
              <w:spacing w:line="240" w:lineRule="exact"/>
              <w:ind w:firstLine="0" w:firstLineChars="0"/>
              <w:jc w:val="center"/>
              <w:rPr>
                <w:rFonts w:ascii="Times New Roman" w:hAnsi="Times New Roman" w:eastAsia="宋体" w:cs="Times New Roman"/>
                <w:color w:val="000000"/>
                <w:kern w:val="21"/>
                <w:sz w:val="21"/>
                <w:szCs w:val="21"/>
                <w:lang w:val="en-US" w:eastAsia="zh-CN" w:bidi="ar-SA"/>
              </w:rPr>
            </w:pPr>
          </w:p>
        </w:tc>
        <w:tc>
          <w:tcPr>
            <w:tcW w:w="1314" w:type="dxa"/>
            <w:gridSpan w:val="2"/>
            <w:vAlign w:val="center"/>
          </w:tcPr>
          <w:p>
            <w:pPr>
              <w:widowControl/>
              <w:adjustRightInd w:val="0"/>
              <w:spacing w:line="240" w:lineRule="exact"/>
              <w:ind w:firstLine="0" w:firstLineChars="0"/>
              <w:jc w:val="center"/>
              <w:rPr>
                <w:rFonts w:ascii="Times New Roman" w:hAnsi="Times New Roman" w:eastAsia="宋体" w:cs="Times New Roman"/>
                <w:color w:val="000000"/>
                <w:kern w:val="21"/>
                <w:sz w:val="21"/>
                <w:szCs w:val="21"/>
                <w:lang w:val="en-US" w:eastAsia="zh-CN" w:bidi="ar-SA"/>
              </w:rPr>
            </w:pPr>
          </w:p>
        </w:tc>
        <w:tc>
          <w:tcPr>
            <w:tcW w:w="1043" w:type="dxa"/>
            <w:vAlign w:val="center"/>
          </w:tcPr>
          <w:p>
            <w:pPr>
              <w:widowControl/>
              <w:adjustRightInd w:val="0"/>
              <w:spacing w:line="240" w:lineRule="exact"/>
              <w:ind w:firstLine="0" w:firstLineChars="0"/>
              <w:jc w:val="center"/>
              <w:rPr>
                <w:rFonts w:ascii="Times New Roman" w:hAnsi="Times New Roman" w:eastAsia="宋体" w:cs="Times New Roman"/>
                <w:color w:val="000000"/>
                <w:kern w:val="21"/>
                <w:sz w:val="21"/>
                <w:szCs w:val="21"/>
                <w:lang w:val="en-US" w:eastAsia="zh-CN" w:bidi="ar-SA"/>
              </w:rPr>
            </w:pP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现状监测因子</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restart"/>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现状评价</w:t>
            </w: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评价因子</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评价标准</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GB15618□；GB36600□；表D.1□；表D.2□；其他（）</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现状评价结论</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restart"/>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影响预测</w:t>
            </w: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预测因子</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铅</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预测方法</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附录E□；附录F□；其他（）</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预测分析内容</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预测结论</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达标结论：a）□；b）□；c）□</w:t>
            </w:r>
          </w:p>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不达标结论：a）□；b）□</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restart"/>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防治措施</w:t>
            </w: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防控措施</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土壤环境质量现状保障□；源头控制□；过程防控□；其他（）</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Merge w:val="restart"/>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跟踪监测</w:t>
            </w:r>
          </w:p>
        </w:tc>
        <w:tc>
          <w:tcPr>
            <w:tcW w:w="2398" w:type="dxa"/>
            <w:gridSpan w:val="2"/>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监测点数</w:t>
            </w:r>
          </w:p>
        </w:tc>
        <w:tc>
          <w:tcPr>
            <w:tcW w:w="1500" w:type="dxa"/>
            <w:gridSpan w:val="2"/>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监测指标</w:t>
            </w:r>
          </w:p>
        </w:tc>
        <w:tc>
          <w:tcPr>
            <w:tcW w:w="1627" w:type="dxa"/>
            <w:gridSpan w:val="2"/>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监测频次</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2398" w:type="dxa"/>
            <w:gridSpan w:val="2"/>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00" w:type="dxa"/>
            <w:gridSpan w:val="2"/>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627" w:type="dxa"/>
            <w:gridSpan w:val="2"/>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Merge w:val="continue"/>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c>
          <w:tcPr>
            <w:tcW w:w="1564"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信息公开指标</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土壤环境跟踪监测计划、监测结果、防控措施</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990" w:type="dxa"/>
            <w:gridSpan w:val="2"/>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评价结论</w:t>
            </w:r>
          </w:p>
        </w:tc>
        <w:tc>
          <w:tcPr>
            <w:tcW w:w="5525" w:type="dxa"/>
            <w:gridSpan w:val="6"/>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本项目土壤环境影响评价项目类别为IV类，不需要开展土壤环境影响评价。</w:t>
            </w:r>
          </w:p>
        </w:tc>
        <w:tc>
          <w:tcPr>
            <w:tcW w:w="761" w:type="dxa"/>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76" w:type="dxa"/>
            <w:gridSpan w:val="9"/>
            <w:vAlign w:val="center"/>
          </w:tcPr>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注1：“□”为勾选项，可√；“（）”为内容填写项；“备注”为其他补充内容。</w:t>
            </w:r>
          </w:p>
          <w:p>
            <w:pPr>
              <w:widowControl/>
              <w:adjustRightInd w:val="0"/>
              <w:spacing w:line="240" w:lineRule="exact"/>
              <w:ind w:firstLine="0" w:firstLineChars="0"/>
              <w:jc w:val="both"/>
              <w:rPr>
                <w:rFonts w:ascii="Times New Roman" w:hAnsi="Times New Roman" w:eastAsia="宋体" w:cs="Times New Roman"/>
                <w:color w:val="000000"/>
                <w:kern w:val="21"/>
                <w:sz w:val="21"/>
                <w:szCs w:val="21"/>
                <w:lang w:val="en-US" w:eastAsia="zh-CN" w:bidi="ar-SA"/>
              </w:rPr>
            </w:pPr>
            <w:r>
              <w:rPr>
                <w:rFonts w:hint="eastAsia" w:ascii="Times New Roman" w:hAnsi="Times New Roman" w:eastAsia="宋体" w:cs="Times New Roman"/>
                <w:color w:val="000000"/>
                <w:kern w:val="21"/>
                <w:sz w:val="21"/>
                <w:szCs w:val="21"/>
                <w:lang w:val="en-US" w:eastAsia="zh-CN" w:bidi="ar-SA"/>
              </w:rPr>
              <w:t>注2：需要分别开展土壤环境影响评级工作的，分别填写自查表。</w:t>
            </w:r>
          </w:p>
        </w:tc>
      </w:tr>
    </w:tbl>
    <w:p>
      <w:pPr>
        <w:rPr>
          <w:rFonts w:hint="default"/>
          <w:lang w:val="en-US" w:eastAsia="zh-CN"/>
        </w:rPr>
      </w:pPr>
    </w:p>
    <w:sectPr>
      <w:pgSz w:w="11906" w:h="16838"/>
      <w:pgMar w:top="1803" w:right="1440" w:bottom="1803"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2010609030101010101"/>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新宋体">
    <w:panose1 w:val="02010609030101010101"/>
    <w:charset w:val="86"/>
    <w:family w:val="auto"/>
    <w:pitch w:val="default"/>
    <w:sig w:usb0="00000283" w:usb1="288F0000" w:usb2="00000006" w:usb3="00000000" w:csb0="00040001" w:csb1="00000000"/>
  </w:font>
  <w:font w:name="F4">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Segoe UI Symbol">
    <w:panose1 w:val="020B0502040204020203"/>
    <w:charset w:val="00"/>
    <w:family w:val="auto"/>
    <w:pitch w:val="default"/>
    <w:sig w:usb0="800001E3" w:usb1="1200FFEF" w:usb2="00040000" w:usb3="04000000" w:csb0="00000001" w:csb1="40000000"/>
  </w:font>
  <w:font w:name="MS Gothic">
    <w:panose1 w:val="020B0609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ind w:right="227" w:firstLine="0"/>
      <w:jc w:val="right"/>
      <w:rPr>
        <w:rFonts w:ascii="Times New Roman" w:hAnsi="Times New Roman" w:cs="Times New Roman"/>
        <w:kern w:val="21"/>
        <w:szCs w:val="20"/>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ind w:firstLine="0"/>
      <w:rPr>
        <w:rFonts w:ascii="Times New Roman" w:hAnsi="Times New Roman" w:cs="Times New Roman"/>
        <w:kern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5BAD69"/>
    <w:multiLevelType w:val="singleLevel"/>
    <w:tmpl w:val="D55BAD69"/>
    <w:lvl w:ilvl="0" w:tentative="0">
      <w:start w:val="1"/>
      <w:numFmt w:val="chineseCounting"/>
      <w:suff w:val="nothing"/>
      <w:lvlText w:val="%1、"/>
      <w:lvlJc w:val="left"/>
      <w:rPr>
        <w:rFonts w:hint="eastAsia"/>
      </w:rPr>
    </w:lvl>
  </w:abstractNum>
  <w:abstractNum w:abstractNumId="1">
    <w:nsid w:val="0041DA27"/>
    <w:multiLevelType w:val="singleLevel"/>
    <w:tmpl w:val="0041DA27"/>
    <w:lvl w:ilvl="0" w:tentative="0">
      <w:start w:val="1"/>
      <w:numFmt w:val="lowerLetter"/>
      <w:suff w:val="nothing"/>
      <w:lvlText w:val="%1、"/>
      <w:lvlJc w:val="left"/>
    </w:lvl>
  </w:abstractNum>
  <w:abstractNum w:abstractNumId="2">
    <w:nsid w:val="560AEB4E"/>
    <w:multiLevelType w:val="singleLevel"/>
    <w:tmpl w:val="560AEB4E"/>
    <w:lvl w:ilvl="0" w:tentative="0">
      <w:start w:val="6"/>
      <w:numFmt w:val="chineseCounting"/>
      <w:suff w:val="nothing"/>
      <w:lvlText w:val="%1、"/>
      <w:lvlJc w:val="left"/>
      <w:rPr>
        <w:rFonts w:hint="eastAsia"/>
      </w:rPr>
    </w:lvl>
  </w:abstractNum>
  <w:abstractNum w:abstractNumId="3">
    <w:nsid w:val="57C91313"/>
    <w:multiLevelType w:val="multilevel"/>
    <w:tmpl w:val="57C91313"/>
    <w:lvl w:ilvl="0" w:tentative="0">
      <w:start w:val="1"/>
      <w:numFmt w:val="decimal"/>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6"/>
      <w:lvlText w:val="%1.%2.%3."/>
      <w:lvlJc w:val="left"/>
      <w:pPr>
        <w:ind w:left="1004"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F0335E"/>
    <w:rsid w:val="003428CD"/>
    <w:rsid w:val="01BA16D4"/>
    <w:rsid w:val="04444DE3"/>
    <w:rsid w:val="05954B32"/>
    <w:rsid w:val="0E5000BC"/>
    <w:rsid w:val="22D32935"/>
    <w:rsid w:val="25F04937"/>
    <w:rsid w:val="27276099"/>
    <w:rsid w:val="27B83B12"/>
    <w:rsid w:val="2AA649DC"/>
    <w:rsid w:val="30642357"/>
    <w:rsid w:val="321C77B1"/>
    <w:rsid w:val="37051F69"/>
    <w:rsid w:val="37600BD2"/>
    <w:rsid w:val="4158088F"/>
    <w:rsid w:val="445D01EB"/>
    <w:rsid w:val="5251388C"/>
    <w:rsid w:val="597D5588"/>
    <w:rsid w:val="5C8425DE"/>
    <w:rsid w:val="60F0335E"/>
    <w:rsid w:val="647B602D"/>
    <w:rsid w:val="6548189E"/>
    <w:rsid w:val="668F5752"/>
    <w:rsid w:val="6AEF29F4"/>
    <w:rsid w:val="6F961A0F"/>
    <w:rsid w:val="77F409FE"/>
    <w:rsid w:val="79652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45"/>
    <w:qFormat/>
    <w:uiPriority w:val="0"/>
    <w:pPr>
      <w:widowControl w:val="0"/>
      <w:jc w:val="both"/>
    </w:pPr>
    <w:rPr>
      <w:rFonts w:ascii="Calibri" w:hAnsi="Calibri" w:eastAsia="宋体" w:cs="Times New Roman"/>
      <w:kern w:val="2"/>
      <w:sz w:val="21"/>
      <w:szCs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next w:val="1"/>
    <w:qFormat/>
    <w:uiPriority w:val="9"/>
    <w:pPr>
      <w:keepNext/>
      <w:keepLines/>
      <w:widowControl w:val="0"/>
      <w:numPr>
        <w:ilvl w:val="1"/>
        <w:numId w:val="1"/>
      </w:numPr>
      <w:spacing w:line="360" w:lineRule="auto"/>
      <w:ind w:left="575" w:leftChars="0" w:right="0" w:rightChars="0" w:hanging="575" w:firstLineChars="0"/>
      <w:jc w:val="both"/>
      <w:outlineLvl w:val="1"/>
    </w:pPr>
    <w:rPr>
      <w:rFonts w:ascii="Times New Roman" w:hAnsi="Times New Roman" w:eastAsia="宋体" w:cs="Times New Roman"/>
      <w:b/>
      <w:bCs/>
      <w:kern w:val="0"/>
      <w:sz w:val="28"/>
      <w:szCs w:val="32"/>
      <w:lang w:val="en-US" w:eastAsia="zh-CN" w:bidi="ar-SA"/>
    </w:rPr>
  </w:style>
  <w:style w:type="paragraph" w:styleId="6">
    <w:name w:val="heading 3"/>
    <w:next w:val="1"/>
    <w:qFormat/>
    <w:uiPriority w:val="9"/>
    <w:pPr>
      <w:keepNext/>
      <w:keepLines/>
      <w:widowControl w:val="0"/>
      <w:numPr>
        <w:ilvl w:val="2"/>
        <w:numId w:val="1"/>
      </w:numPr>
      <w:spacing w:line="360" w:lineRule="auto"/>
      <w:ind w:firstLine="1440" w:firstLineChars="0"/>
      <w:jc w:val="both"/>
      <w:outlineLvl w:val="2"/>
    </w:pPr>
    <w:rPr>
      <w:rFonts w:ascii="Times New Roman" w:hAnsi="Times New Roman" w:eastAsia="宋体" w:cs="Times New Roman"/>
      <w:b/>
      <w:bCs/>
      <w:kern w:val="2"/>
      <w:sz w:val="24"/>
      <w:szCs w:val="32"/>
      <w:lang w:val="en-US" w:eastAsia="zh-CN" w:bidi="ar-SA"/>
    </w:rPr>
  </w:style>
  <w:style w:type="paragraph" w:styleId="7">
    <w:name w:val="heading 4"/>
    <w:next w:val="1"/>
    <w:qFormat/>
    <w:uiPriority w:val="0"/>
    <w:pPr>
      <w:keepNext/>
      <w:keepLines/>
      <w:widowControl w:val="0"/>
      <w:numPr>
        <w:ilvl w:val="3"/>
        <w:numId w:val="1"/>
      </w:numPr>
      <w:spacing w:beforeLines="0" w:beforeAutospacing="0" w:afterLines="0" w:afterAutospacing="0" w:line="360" w:lineRule="auto"/>
      <w:ind w:left="864" w:hanging="864" w:firstLineChars="0"/>
      <w:jc w:val="both"/>
      <w:outlineLvl w:val="3"/>
    </w:pPr>
    <w:rPr>
      <w:rFonts w:ascii="Times New Roman" w:hAnsi="Times New Roman" w:eastAsia="宋体" w:cs="Times New Roman"/>
      <w:b/>
      <w:kern w:val="2"/>
      <w:sz w:val="24"/>
      <w:szCs w:val="24"/>
      <w:lang w:val="en-US" w:eastAsia="zh-CN" w:bidi="ar-SA"/>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widowControl/>
      <w:snapToGrid w:val="0"/>
      <w:spacing w:before="60" w:after="160" w:line="259" w:lineRule="auto"/>
      <w:ind w:right="113"/>
    </w:pPr>
    <w:rPr>
      <w:kern w:val="0"/>
      <w:sz w:val="18"/>
      <w:szCs w:val="20"/>
    </w:rPr>
  </w:style>
  <w:style w:type="paragraph" w:customStyle="1" w:styleId="3">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8">
    <w:name w:val="Normal Indent"/>
    <w:next w:val="7"/>
    <w:qFormat/>
    <w:uiPriority w:val="99"/>
    <w:pPr>
      <w:widowControl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styleId="9">
    <w:name w:val="caption"/>
    <w:next w:val="1"/>
    <w:qFormat/>
    <w:uiPriority w:val="0"/>
    <w:pPr>
      <w:widowControl w:val="0"/>
      <w:spacing w:beforeLines="30" w:line="240" w:lineRule="auto"/>
      <w:ind w:firstLine="0" w:firstLineChars="0"/>
      <w:jc w:val="center"/>
    </w:pPr>
    <w:rPr>
      <w:rFonts w:ascii="Times New Roman" w:hAnsi="Times New Roman" w:eastAsia="宋体" w:cs="Times New Roman"/>
      <w:b/>
      <w:color w:val="000000"/>
      <w:kern w:val="2"/>
      <w:sz w:val="24"/>
      <w:szCs w:val="21"/>
      <w:lang w:val="en-US" w:eastAsia="zh-CN" w:bidi="ar-SA"/>
    </w:rPr>
  </w:style>
  <w:style w:type="paragraph" w:styleId="10">
    <w:name w:val="annotation text"/>
    <w:qFormat/>
    <w:uiPriority w:val="0"/>
    <w:pPr>
      <w:widowControl w:val="0"/>
      <w:spacing w:line="360" w:lineRule="auto"/>
      <w:jc w:val="left"/>
    </w:pPr>
    <w:rPr>
      <w:rFonts w:ascii="Calibri" w:hAnsi="Calibri" w:eastAsia="宋体" w:cs="Times New Roman"/>
      <w:kern w:val="2"/>
      <w:sz w:val="24"/>
      <w:szCs w:val="24"/>
      <w:lang w:val="en-US" w:eastAsia="zh-CN" w:bidi="ar-SA"/>
    </w:rPr>
  </w:style>
  <w:style w:type="paragraph" w:styleId="11">
    <w:name w:val="Plain Text"/>
    <w:qFormat/>
    <w:uiPriority w:val="99"/>
    <w:pPr>
      <w:widowControl w:val="0"/>
      <w:ind w:firstLine="567"/>
      <w:jc w:val="both"/>
    </w:pPr>
    <w:rPr>
      <w:rFonts w:ascii="宋体" w:hAnsi="Courier New" w:eastAsia="宋体" w:cs="Times New Roman"/>
      <w:kern w:val="2"/>
      <w:sz w:val="21"/>
      <w:szCs w:val="21"/>
      <w:lang w:val="en-US" w:eastAsia="zh-CN" w:bidi="ar-SA"/>
    </w:rPr>
  </w:style>
  <w:style w:type="paragraph" w:styleId="12">
    <w:name w:val="Body Text Indent 2"/>
    <w:qFormat/>
    <w:uiPriority w:val="0"/>
    <w:pPr>
      <w:widowControl w:val="0"/>
      <w:spacing w:line="600" w:lineRule="exact"/>
      <w:ind w:firstLine="573"/>
      <w:jc w:val="both"/>
    </w:pPr>
    <w:rPr>
      <w:rFonts w:ascii="Calibri" w:hAnsi="Calibri" w:eastAsia="宋体" w:cs="Times New Roman"/>
      <w:spacing w:val="20"/>
      <w:kern w:val="0"/>
      <w:sz w:val="20"/>
      <w:szCs w:val="20"/>
      <w:lang w:val="en-US" w:eastAsia="zh-CN" w:bidi="ar-SA"/>
    </w:rPr>
  </w:style>
  <w:style w:type="paragraph" w:styleId="13">
    <w:name w:val="footer"/>
    <w:qFormat/>
    <w:uiPriority w:val="0"/>
    <w:pPr>
      <w:widowControl w:val="0"/>
      <w:tabs>
        <w:tab w:val="center" w:pos="4153"/>
        <w:tab w:val="right" w:pos="8306"/>
      </w:tabs>
      <w:snapToGrid w:val="0"/>
      <w:spacing w:line="360" w:lineRule="auto"/>
      <w:ind w:firstLine="1440" w:firstLineChars="200"/>
      <w:jc w:val="left"/>
    </w:pPr>
    <w:rPr>
      <w:rFonts w:ascii="Times New Roman" w:hAnsi="Times New Roman" w:eastAsia="宋体" w:cs="Times New Roman"/>
      <w:kern w:val="2"/>
      <w:sz w:val="18"/>
      <w:szCs w:val="18"/>
      <w:lang w:val="en-US" w:eastAsia="zh-CN" w:bidi="ar-SA"/>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next w:val="1"/>
    <w:qFormat/>
    <w:uiPriority w:val="39"/>
    <w:pPr>
      <w:widowControl w:val="0"/>
      <w:spacing w:line="360" w:lineRule="auto"/>
      <w:ind w:firstLine="0" w:firstLineChars="0"/>
      <w:jc w:val="both"/>
    </w:pPr>
    <w:rPr>
      <w:rFonts w:ascii="Times New Roman" w:hAnsi="Times New Roman" w:eastAsia="宋体" w:cs="Times New Roman"/>
      <w:kern w:val="2"/>
      <w:sz w:val="24"/>
      <w:szCs w:val="22"/>
      <w:lang w:val="en-US" w:eastAsia="zh-CN" w:bidi="ar-SA"/>
    </w:rPr>
  </w:style>
  <w:style w:type="paragraph" w:styleId="16">
    <w:name w:val="toc 2"/>
    <w:basedOn w:val="1"/>
    <w:next w:val="1"/>
    <w:qFormat/>
    <w:uiPriority w:val="0"/>
    <w:pPr>
      <w:widowControl w:val="0"/>
      <w:ind w:left="420" w:leftChars="200"/>
      <w:jc w:val="both"/>
    </w:pPr>
    <w:rPr>
      <w:rFonts w:ascii="Calibri" w:hAnsi="Calibri" w:eastAsia="宋体" w:cs="Times New Roman"/>
      <w:kern w:val="2"/>
      <w:sz w:val="21"/>
      <w:szCs w:val="21"/>
      <w:lang w:val="en-US" w:eastAsia="zh-CN" w:bidi="ar-SA"/>
    </w:rPr>
  </w:style>
  <w:style w:type="paragraph" w:styleId="17">
    <w:name w:val="Normal (Web)"/>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18">
    <w:name w:val="annotation subject"/>
    <w:next w:val="10"/>
    <w:qFormat/>
    <w:uiPriority w:val="0"/>
    <w:pPr>
      <w:widowControl w:val="0"/>
      <w:spacing w:line="360" w:lineRule="auto"/>
      <w:jc w:val="left"/>
    </w:pPr>
    <w:rPr>
      <w:rFonts w:ascii="Calibri" w:hAnsi="Calibri" w:eastAsia="宋体" w:cs="Times New Roman"/>
      <w:b/>
      <w:bCs/>
      <w:kern w:val="2"/>
      <w:sz w:val="24"/>
      <w:szCs w:val="24"/>
      <w:lang w:val="en-US" w:eastAsia="zh-CN" w:bidi="ar-SA"/>
    </w:rPr>
  </w:style>
  <w:style w:type="paragraph" w:styleId="19">
    <w:name w:val="Body Text First Indent"/>
    <w:basedOn w:val="2"/>
    <w:qFormat/>
    <w:uiPriority w:val="0"/>
    <w:pPr>
      <w:widowControl w:val="0"/>
      <w:spacing w:line="360" w:lineRule="auto"/>
      <w:ind w:firstLine="420" w:firstLineChars="100"/>
      <w:jc w:val="both"/>
    </w:pPr>
    <w:rPr>
      <w:rFonts w:ascii="Times New Roman" w:hAnsi="Times New Roman" w:eastAsia="宋体" w:cs="Times New Roman"/>
      <w:kern w:val="2"/>
      <w:sz w:val="24"/>
      <w:szCs w:val="24"/>
      <w:lang w:val="en-US" w:eastAsia="zh-CN" w:bidi="ar-SA"/>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annotation reference"/>
    <w:qFormat/>
    <w:uiPriority w:val="99"/>
    <w:rPr>
      <w:sz w:val="21"/>
      <w:szCs w:val="21"/>
    </w:rPr>
  </w:style>
  <w:style w:type="paragraph" w:customStyle="1" w:styleId="24">
    <w:name w:val="Default"/>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25">
    <w:name w:val="BodyText"/>
    <w:basedOn w:val="1"/>
    <w:next w:val="1"/>
    <w:qFormat/>
    <w:uiPriority w:val="0"/>
    <w:pPr>
      <w:spacing w:after="120"/>
      <w:jc w:val="both"/>
      <w:textAlignment w:val="baseline"/>
    </w:pPr>
  </w:style>
  <w:style w:type="paragraph" w:customStyle="1" w:styleId="26">
    <w:name w:val="样式 标题 2 +"/>
    <w:qFormat/>
    <w:uiPriority w:val="0"/>
    <w:pPr>
      <w:keepNext/>
      <w:keepLines/>
      <w:widowControl w:val="0"/>
      <w:numPr>
        <w:ilvl w:val="1"/>
        <w:numId w:val="1"/>
      </w:numPr>
      <w:spacing w:line="240" w:lineRule="auto"/>
      <w:ind w:left="575" w:leftChars="0" w:right="0" w:rightChars="0" w:hanging="575" w:firstLineChars="0"/>
      <w:jc w:val="both"/>
      <w:outlineLvl w:val="1"/>
    </w:pPr>
    <w:rPr>
      <w:rFonts w:ascii="Times New Roman" w:hAnsi="Times New Roman" w:eastAsia="宋体" w:cs="Times New Roman"/>
      <w:b/>
      <w:bCs/>
      <w:kern w:val="2"/>
      <w:sz w:val="28"/>
      <w:szCs w:val="32"/>
      <w:lang w:val="en-US" w:eastAsia="zh-CN" w:bidi="ar-SA"/>
    </w:rPr>
  </w:style>
  <w:style w:type="paragraph" w:customStyle="1" w:styleId="27">
    <w:name w:val="表格内文字"/>
    <w:qFormat/>
    <w:uiPriority w:val="0"/>
    <w:pPr>
      <w:widowControl w:val="0"/>
      <w:tabs>
        <w:tab w:val="left" w:pos="0"/>
      </w:tabs>
      <w:adjustRightInd w:val="0"/>
      <w:snapToGrid w:val="0"/>
      <w:spacing w:line="240" w:lineRule="auto"/>
      <w:ind w:firstLine="0" w:firstLineChars="0"/>
      <w:jc w:val="center"/>
    </w:pPr>
    <w:rPr>
      <w:rFonts w:ascii="仿宋_GB2312" w:hAnsi="Times New Roman" w:eastAsia="仿宋_GB2312" w:cs="Times New Roman"/>
      <w:kern w:val="2"/>
      <w:sz w:val="24"/>
      <w:szCs w:val="24"/>
      <w:lang w:val="en-US" w:eastAsia="zh-CN" w:bidi="ar-SA"/>
    </w:rPr>
  </w:style>
  <w:style w:type="paragraph" w:customStyle="1" w:styleId="28">
    <w:name w:val="报告书正文"/>
    <w:qFormat/>
    <w:uiPriority w:val="0"/>
    <w:pPr>
      <w:widowControl w:val="0"/>
      <w:spacing w:line="300" w:lineRule="auto"/>
      <w:ind w:firstLine="200" w:firstLineChars="200"/>
      <w:jc w:val="both"/>
    </w:pPr>
    <w:rPr>
      <w:rFonts w:ascii="Calibri" w:hAnsi="Calibri" w:eastAsia="宋体" w:cs="Times New Roman"/>
      <w:kern w:val="2"/>
      <w:sz w:val="24"/>
      <w:szCs w:val="21"/>
      <w:lang w:val="en-US" w:eastAsia="zh-CN" w:bidi="ar-SA"/>
    </w:rPr>
  </w:style>
  <w:style w:type="paragraph" w:customStyle="1" w:styleId="29">
    <w:name w:val="aa正文aa"/>
    <w:qFormat/>
    <w:uiPriority w:val="0"/>
    <w:pPr>
      <w:widowControl w:val="0"/>
      <w:snapToGrid w:val="0"/>
      <w:spacing w:line="360" w:lineRule="auto"/>
      <w:ind w:firstLine="200" w:firstLineChars="200"/>
      <w:jc w:val="left"/>
      <w:textAlignment w:val="auto"/>
    </w:pPr>
    <w:rPr>
      <w:rFonts w:ascii="Times New Roman" w:hAnsi="Times New Roman" w:eastAsia="宋体" w:cs="Arial"/>
      <w:kern w:val="2"/>
      <w:sz w:val="24"/>
      <w:szCs w:val="24"/>
      <w:lang w:val="en-US" w:eastAsia="zh-CN" w:bidi="ar-SA"/>
    </w:rPr>
  </w:style>
  <w:style w:type="paragraph" w:customStyle="1" w:styleId="30">
    <w:name w:val="_Style 2"/>
    <w:qFormat/>
    <w:uiPriority w:val="0"/>
    <w:pPr>
      <w:widowControl w:val="0"/>
      <w:spacing w:line="380" w:lineRule="exact"/>
      <w:jc w:val="center"/>
    </w:pPr>
    <w:rPr>
      <w:rFonts w:ascii="Times New Roman" w:hAnsi="Times New Roman" w:eastAsia="宋体" w:cs="Times New Roman"/>
      <w:kern w:val="2"/>
      <w:sz w:val="21"/>
      <w:szCs w:val="22"/>
      <w:lang w:val="en-US" w:eastAsia="zh-CN" w:bidi="ar-SA"/>
    </w:rPr>
  </w:style>
  <w:style w:type="paragraph" w:customStyle="1" w:styleId="31">
    <w:name w:val="工贸表头"/>
    <w:qFormat/>
    <w:uiPriority w:val="0"/>
    <w:pPr>
      <w:widowControl w:val="0"/>
      <w:spacing w:line="500" w:lineRule="exact"/>
      <w:ind w:firstLine="0" w:firstLineChars="0"/>
      <w:jc w:val="center"/>
    </w:pPr>
    <w:rPr>
      <w:rFonts w:ascii="Times New Roman" w:hAnsi="Times New Roman" w:eastAsia="黑体" w:cs="Times New Roman"/>
      <w:kern w:val="2"/>
      <w:sz w:val="24"/>
      <w:szCs w:val="22"/>
      <w:lang w:val="en-US" w:eastAsia="zh-CN" w:bidi="ar-SA"/>
    </w:rPr>
  </w:style>
  <w:style w:type="paragraph" w:customStyle="1" w:styleId="32">
    <w:name w:val="+"/>
    <w:link w:val="33"/>
    <w:qFormat/>
    <w:uiPriority w:val="0"/>
    <w:pPr>
      <w:widowControl w:val="0"/>
      <w:adjustRightInd w:val="0"/>
      <w:snapToGrid w:val="0"/>
      <w:spacing w:line="360" w:lineRule="auto"/>
      <w:ind w:firstLine="420" w:firstLineChars="200"/>
      <w:jc w:val="left"/>
    </w:pPr>
    <w:rPr>
      <w:rFonts w:ascii="Times New Roman" w:hAnsi="Times New Roman" w:eastAsia="宋体" w:cs="Times New Roman"/>
      <w:kern w:val="0"/>
      <w:sz w:val="24"/>
      <w:szCs w:val="24"/>
      <w:lang w:val="en-US" w:eastAsia="zh-CN" w:bidi="ar-SA"/>
    </w:rPr>
  </w:style>
  <w:style w:type="character" w:customStyle="1" w:styleId="33">
    <w:name w:val="+ Char"/>
    <w:link w:val="32"/>
    <w:qFormat/>
    <w:uiPriority w:val="0"/>
    <w:rPr>
      <w:rFonts w:ascii="Times New Roman" w:hAnsi="Times New Roman" w:eastAsia="宋体" w:cs="Times New Roman"/>
      <w:kern w:val="0"/>
      <w:sz w:val="24"/>
      <w:szCs w:val="24"/>
      <w:lang w:val="en-US" w:eastAsia="zh-CN" w:bidi="ar-SA"/>
    </w:rPr>
  </w:style>
  <w:style w:type="paragraph" w:customStyle="1" w:styleId="34">
    <w:name w:val="BT"/>
    <w:qFormat/>
    <w:uiPriority w:val="0"/>
    <w:pPr>
      <w:widowControl w:val="0"/>
      <w:adjustRightInd w:val="0"/>
      <w:snapToGrid w:val="0"/>
      <w:jc w:val="center"/>
    </w:pPr>
    <w:rPr>
      <w:rFonts w:ascii="Times New Roman" w:hAnsi="Times New Roman" w:eastAsia="宋体" w:cs="Times New Roman"/>
      <w:b/>
      <w:kern w:val="0"/>
      <w:sz w:val="24"/>
      <w:szCs w:val="20"/>
      <w:lang w:val="en-US" w:eastAsia="zh-CN" w:bidi="ar-SA"/>
    </w:rPr>
  </w:style>
  <w:style w:type="paragraph" w:customStyle="1" w:styleId="35">
    <w:name w:val="Table Paragraph"/>
    <w:qFormat/>
    <w:uiPriority w:val="1"/>
    <w:pPr>
      <w:widowControl w:val="0"/>
      <w:autoSpaceDE w:val="0"/>
      <w:autoSpaceDN w:val="0"/>
      <w:adjustRightInd w:val="0"/>
      <w:spacing w:line="240" w:lineRule="auto"/>
      <w:ind w:firstLine="0" w:firstLineChars="0"/>
      <w:jc w:val="left"/>
    </w:pPr>
    <w:rPr>
      <w:rFonts w:ascii="Times New Roman" w:hAnsi="Times New Roman" w:eastAsia="宋体" w:cs="Times New Roman"/>
      <w:kern w:val="0"/>
      <w:sz w:val="24"/>
      <w:szCs w:val="24"/>
      <w:lang w:val="en-US" w:eastAsia="zh-CN" w:bidi="ar-SA"/>
    </w:rPr>
  </w:style>
  <w:style w:type="paragraph" w:customStyle="1" w:styleId="36">
    <w:name w:val="11111"/>
    <w:qFormat/>
    <w:uiPriority w:val="0"/>
    <w:pPr>
      <w:widowControl/>
      <w:spacing w:line="300" w:lineRule="exact"/>
      <w:ind w:firstLine="0" w:firstLineChars="0"/>
      <w:jc w:val="center"/>
    </w:pPr>
    <w:rPr>
      <w:rFonts w:ascii="Times New Roman" w:hAnsi="Times New Roman" w:eastAsia="宋体" w:cs="Times New Roman"/>
      <w:color w:val="000000"/>
      <w:kern w:val="0"/>
      <w:sz w:val="21"/>
      <w:szCs w:val="21"/>
      <w:lang w:val="en-US" w:eastAsia="zh-CN" w:bidi="ar-SA"/>
    </w:rPr>
  </w:style>
  <w:style w:type="paragraph" w:customStyle="1" w:styleId="37">
    <w:name w:val="表格"/>
    <w:next w:val="1"/>
    <w:qFormat/>
    <w:uiPriority w:val="0"/>
    <w:pPr>
      <w:widowControl w:val="0"/>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 w:type="table" w:customStyle="1" w:styleId="38">
    <w:name w:val="网格型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9">
    <w:name w:val="正文格式"/>
    <w:qFormat/>
    <w:uiPriority w:val="0"/>
    <w:pPr>
      <w:widowControl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40">
    <w:name w:val="正文（首行缩进两字） Char"/>
    <w:qFormat/>
    <w:uiPriority w:val="0"/>
    <w:rPr>
      <w:rFonts w:eastAsia="宋体"/>
      <w:kern w:val="2"/>
      <w:sz w:val="24"/>
      <w:lang w:val="en-US" w:eastAsia="zh-CN"/>
    </w:rPr>
  </w:style>
  <w:style w:type="paragraph" w:customStyle="1" w:styleId="41">
    <w:name w:val="acee正文"/>
    <w:qFormat/>
    <w:uiPriority w:val="0"/>
    <w:pPr>
      <w:widowControl w:val="0"/>
      <w:spacing w:line="480" w:lineRule="exact"/>
      <w:ind w:firstLine="640" w:firstLineChars="200"/>
      <w:jc w:val="both"/>
    </w:pPr>
    <w:rPr>
      <w:rFonts w:ascii="仿宋_GB2312" w:hAnsi="宋体" w:eastAsia="仿宋_GB2312" w:cs="Times New Roman"/>
      <w:kern w:val="2"/>
      <w:sz w:val="32"/>
      <w:szCs w:val="24"/>
      <w:lang w:val="en-US" w:eastAsia="zh-CN" w:bidi="ar-SA"/>
    </w:rPr>
  </w:style>
  <w:style w:type="paragraph" w:customStyle="1" w:styleId="42">
    <w:name w:val="报告书表内，5号，左"/>
    <w:qFormat/>
    <w:uiPriority w:val="0"/>
    <w:pPr>
      <w:widowControl/>
      <w:adjustRightInd w:val="0"/>
      <w:snapToGrid w:val="0"/>
      <w:spacing w:line="240" w:lineRule="auto"/>
      <w:jc w:val="center"/>
    </w:pPr>
    <w:rPr>
      <w:rFonts w:ascii="Calibri" w:hAnsi="Calibri" w:eastAsia="宋体" w:cs="宋体"/>
      <w:snapToGrid w:val="0"/>
      <w:color w:val="000000"/>
      <w:kern w:val="2"/>
      <w:sz w:val="21"/>
      <w:szCs w:val="21"/>
      <w:lang w:val="en-US" w:eastAsia="zh-CN" w:bidi="ar-SA"/>
    </w:rPr>
  </w:style>
  <w:style w:type="paragraph" w:customStyle="1" w:styleId="43">
    <w:name w:val="ctrl+~  正文"/>
    <w:qFormat/>
    <w:uiPriority w:val="0"/>
    <w:pPr>
      <w:widowControl w:val="0"/>
      <w:spacing w:line="480" w:lineRule="exact"/>
      <w:ind w:firstLine="480" w:firstLineChars="200"/>
      <w:jc w:val="both"/>
    </w:pPr>
    <w:rPr>
      <w:rFonts w:ascii="Times New Roman" w:hAnsi="Times New Roman" w:eastAsia="Times New Roman" w:cs="Times New Roman"/>
      <w:kern w:val="2"/>
      <w:sz w:val="21"/>
      <w:szCs w:val="24"/>
      <w:lang w:val="en-US" w:eastAsia="zh-CN" w:bidi="ar-SA"/>
    </w:rPr>
  </w:style>
  <w:style w:type="paragraph" w:customStyle="1" w:styleId="44">
    <w:name w:val="Default1"/>
    <w:qFormat/>
    <w:uiPriority w:val="99"/>
    <w:pPr>
      <w:widowControl w:val="0"/>
      <w:autoSpaceDE w:val="0"/>
      <w:autoSpaceDN w:val="0"/>
      <w:adjustRightInd w:val="0"/>
      <w:spacing w:line="360" w:lineRule="auto"/>
      <w:jc w:val="both"/>
    </w:pPr>
    <w:rPr>
      <w:rFonts w:ascii="宋体" w:hAnsi="Times New Roman" w:eastAsia="宋体" w:cs="宋体"/>
      <w:color w:val="000000"/>
      <w:sz w:val="24"/>
      <w:szCs w:val="24"/>
      <w:lang w:val="en-US" w:eastAsia="zh-CN" w:bidi="ar-SA"/>
    </w:rPr>
  </w:style>
  <w:style w:type="character" w:customStyle="1" w:styleId="45">
    <w:name w:val="NormalCharacter"/>
    <w:link w:val="1"/>
    <w:semiHidden/>
    <w:qFormat/>
    <w:uiPriority w:val="0"/>
    <w:rPr>
      <w:rFonts w:ascii="Calibri" w:hAnsi="Calibri" w:eastAsia="宋体" w:cs="Times New Roman"/>
      <w:kern w:val="2"/>
      <w:sz w:val="21"/>
      <w:szCs w:val="21"/>
      <w:lang w:val="en-US" w:eastAsia="zh-CN" w:bidi="ar-SA"/>
    </w:rPr>
  </w:style>
  <w:style w:type="paragraph" w:customStyle="1" w:styleId="46">
    <w:name w:val="reader-word-layer reader-word-s16-4"/>
    <w:qFormat/>
    <w:uiPriority w:val="0"/>
    <w:pPr>
      <w:widowControl/>
      <w:adjustRightInd w:val="0"/>
      <w:spacing w:before="100" w:beforeAutospacing="1" w:after="100" w:afterAutospacing="1" w:line="360" w:lineRule="atLeast"/>
      <w:jc w:val="left"/>
      <w:textAlignment w:val="baseline"/>
    </w:pPr>
    <w:rPr>
      <w:rFonts w:ascii="宋体" w:hAnsi="宋体" w:eastAsia="宋体" w:cs="宋体"/>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wmf"/><Relationship Id="rId24" Type="http://schemas.openxmlformats.org/officeDocument/2006/relationships/oleObject" Target="embeddings/oleObject3.bin"/><Relationship Id="rId23" Type="http://schemas.openxmlformats.org/officeDocument/2006/relationships/image" Target="media/image15.wmf"/><Relationship Id="rId22" Type="http://schemas.openxmlformats.org/officeDocument/2006/relationships/oleObject" Target="embeddings/oleObject2.bin"/><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emf"/><Relationship Id="rId12" Type="http://schemas.openxmlformats.org/officeDocument/2006/relationships/oleObject" Target="embeddings/oleObject1.bin"/><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34353</Words>
  <Characters>40659</Characters>
  <Lines>0</Lines>
  <Paragraphs>0</Paragraphs>
  <TotalTime>9</TotalTime>
  <ScaleCrop>false</ScaleCrop>
  <LinksUpToDate>false</LinksUpToDate>
  <CharactersWithSpaces>41188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2021-03-08T00:56:00Z</dcterms:created>
  <dc:creator>HP</dc:creator>
  <cp:lastModifiedBy>HP</cp:lastModifiedBy>
  <dcterms:modified xsi:type="dcterms:W3CDTF">2021-05-08T03:45:18Z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FBF4A7B1105F4354AFD310339FA3E2D4</vt:lpwstr>
  </property>
</Properties>
</file>