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r>
        <w:rPr>
          <w:rFonts w:hint="eastAsia" w:ascii="方正小标宋_GBK" w:hAnsi="方正小标宋_GBK" w:eastAsia="方正小标宋_GBK" w:cs="方正小标宋_GBK"/>
          <w:sz w:val="84"/>
          <w:szCs w:val="84"/>
          <w:lang w:eastAsia="zh-CN"/>
        </w:rPr>
        <w:t>永州市生态</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环境局新田分局</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永州市生态环境局新田分局</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本套报表金额单位转换时可能存在尾数误差。</w:t>
      </w:r>
      <w:r>
        <w:rPr>
          <w:rFonts w:hint="eastAsia" w:ascii="仿宋_GB2312" w:hAnsi="仿宋_GB2312" w:eastAsia="仿宋_GB2312" w:cs="仿宋_GB2312"/>
          <w:sz w:val="28"/>
          <w:szCs w:val="28"/>
          <w:lang w:eastAsia="zh-CN"/>
        </w:rPr>
        <w:t>）</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default" w:ascii="黑体" w:hAnsi="黑体" w:eastAsia="黑体" w:cs="黑体"/>
          <w:b w:val="0"/>
          <w:bCs/>
          <w:sz w:val="28"/>
          <w:szCs w:val="28"/>
          <w:lang w:val="en-US" w:eastAsia="zh-CN"/>
        </w:rPr>
      </w:pPr>
      <w:r>
        <w:rPr>
          <w:rFonts w:hint="eastAsia" w:hAnsi="黑体" w:cs="黑体"/>
          <w:b w:val="0"/>
          <w:bCs/>
          <w:sz w:val="28"/>
          <w:szCs w:val="28"/>
          <w:lang w:val="en-US" w:eastAsia="zh-CN"/>
        </w:rPr>
        <w:t>第五部分 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永州市生态环境局新田分局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4"/>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widowControl/>
        <w:spacing w:line="600" w:lineRule="exact"/>
        <w:ind w:firstLine="964" w:firstLineChars="300"/>
        <w:rPr>
          <w:rFonts w:hint="eastAsia" w:ascii="楷体_GB2312" w:hAnsi="楷体_GB2312" w:eastAsia="楷体_GB2312" w:cs="楷体_GB2312"/>
          <w:b/>
          <w:bCs w:val="0"/>
          <w:kern w:val="0"/>
          <w:sz w:val="32"/>
          <w:szCs w:val="32"/>
          <w:lang w:eastAsia="zh-CN"/>
        </w:rPr>
      </w:pPr>
      <w:r>
        <w:rPr>
          <w:rFonts w:hint="eastAsia" w:ascii="楷体_GB2312" w:hAnsi="楷体_GB2312" w:eastAsia="楷体_GB2312" w:cs="楷体_GB2312"/>
          <w:b/>
          <w:bCs w:val="0"/>
          <w:kern w:val="0"/>
          <w:sz w:val="32"/>
          <w:szCs w:val="32"/>
        </w:rPr>
        <w:t>（一）</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（1）</w:t>
      </w:r>
      <w:r>
        <w:rPr>
          <w:rFonts w:hint="eastAsia" w:ascii="楷体" w:hAnsi="楷体" w:eastAsia="楷体"/>
          <w:sz w:val="32"/>
          <w:szCs w:val="32"/>
        </w:rPr>
        <w:t>、贯彻执行国家、省和市有关生态环境的法律法规和政策，负责生态环境保护方面的制度建设。</w:t>
      </w:r>
      <w:r>
        <w:rPr>
          <w:rFonts w:hint="eastAsia" w:ascii="仿宋_GB2312" w:hAnsi="楷体" w:eastAsia="仿宋_GB2312"/>
          <w:sz w:val="32"/>
          <w:szCs w:val="32"/>
        </w:rPr>
        <w:t>会同同级有关部门制定辖区内生态环境规划、规范，并组织实施。会同同级有关部门编制并监督实施辖区内重点区域、流域、饮用水水源地生态环境规划和水功能区划。</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（2）</w:t>
      </w:r>
      <w:r>
        <w:rPr>
          <w:rFonts w:hint="eastAsia" w:ascii="楷体" w:hAnsi="楷体" w:eastAsia="楷体"/>
          <w:sz w:val="32"/>
          <w:szCs w:val="32"/>
        </w:rPr>
        <w:t>、统筹协调和监督管理生态环境保护工作。</w:t>
      </w:r>
      <w:r>
        <w:rPr>
          <w:rFonts w:hint="eastAsia" w:ascii="仿宋_GB2312" w:hAnsi="楷体" w:eastAsia="仿宋_GB2312"/>
          <w:sz w:val="32"/>
          <w:szCs w:val="32"/>
        </w:rPr>
        <w:t>组织协调辖区内环境污染事故和生态破坏事件的调查处理，指导协调辖区内突发生态环境事件的应急、预警工作，参与实施生态环境损害赔偿制度。</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（3）</w:t>
      </w:r>
      <w:r>
        <w:rPr>
          <w:rFonts w:hint="eastAsia" w:ascii="楷体" w:hAnsi="楷体" w:eastAsia="楷体"/>
          <w:sz w:val="32"/>
          <w:szCs w:val="32"/>
        </w:rPr>
        <w:t>、监督管理减排目标的落实。</w:t>
      </w:r>
      <w:r>
        <w:rPr>
          <w:rFonts w:hint="eastAsia" w:ascii="仿宋_GB2312" w:hAnsi="楷体" w:eastAsia="仿宋_GB2312"/>
          <w:sz w:val="32"/>
          <w:szCs w:val="32"/>
        </w:rPr>
        <w:t>根据国家和省、市核定的污染物减排指标，组织制定并监督实施本辖区内污染物排放总量控制计划及相关措施，监督实施排污许可制度，监督检</w:t>
      </w:r>
      <w:r>
        <w:rPr>
          <w:rFonts w:hint="eastAsia" w:ascii="宋体" w:hAnsi="宋体" w:cs="宋体"/>
          <w:sz w:val="32"/>
          <w:szCs w:val="32"/>
        </w:rPr>
        <w:t>査</w:t>
      </w:r>
      <w:r>
        <w:rPr>
          <w:rFonts w:hint="eastAsia" w:ascii="仿宋_GB2312" w:hAnsi="仿宋_GB2312" w:eastAsia="仿宋_GB2312" w:cs="仿宋_GB2312"/>
          <w:sz w:val="32"/>
          <w:szCs w:val="32"/>
        </w:rPr>
        <w:t>污染物减排任务完成情况，实施生态环境保护目标责</w:t>
      </w:r>
      <w:r>
        <w:rPr>
          <w:rFonts w:hint="eastAsia" w:ascii="仿宋_GB2312" w:hAnsi="楷体" w:eastAsia="仿宋_GB2312"/>
          <w:sz w:val="32"/>
          <w:szCs w:val="32"/>
        </w:rPr>
        <w:t>任制。</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（4）</w:t>
      </w:r>
      <w:r>
        <w:rPr>
          <w:rFonts w:hint="eastAsia" w:ascii="楷体" w:hAnsi="楷体" w:eastAsia="楷体"/>
          <w:sz w:val="32"/>
          <w:szCs w:val="32"/>
        </w:rPr>
        <w:t>、负责环境污染防治的监督管理。</w:t>
      </w:r>
      <w:r>
        <w:rPr>
          <w:rFonts w:hint="eastAsia" w:ascii="仿宋_GB2312" w:hAnsi="楷体" w:eastAsia="仿宋_GB2312"/>
          <w:sz w:val="32"/>
          <w:szCs w:val="32"/>
        </w:rPr>
        <w:t>组织拟订本辖区大气、水、土壤、噪声、光、恶臭、固体废物、化学品、机动车等的污染防治管理制度并监督实施。会同有关部门监督管理饮用水水源地生态环境保护工作，组织指导城乡生态环境综合整治工作，监督指导农业面源污染治理工作。监督指导区域大气环境保护工作，组织协调区域大气污染联防联控工作。</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（5）</w:t>
      </w:r>
      <w:r>
        <w:rPr>
          <w:rFonts w:hint="eastAsia" w:ascii="楷体" w:hAnsi="楷体" w:eastAsia="楷体"/>
          <w:sz w:val="32"/>
          <w:szCs w:val="32"/>
        </w:rPr>
        <w:t>、指导协调和监督生态保护修复工作。</w:t>
      </w:r>
      <w:r>
        <w:rPr>
          <w:rFonts w:hint="eastAsia" w:ascii="仿宋_GB2312" w:hAnsi="楷体" w:eastAsia="仿宋_GB2312"/>
          <w:sz w:val="32"/>
          <w:szCs w:val="32"/>
        </w:rPr>
        <w:t>监督管理对生态环境有影响的自然资源开发利用活动、生态环境建设和生态破坏恢复工作，以及监督野生动植物保护、湿地生态环境保护荒漠化防治等工作。指导协调和监督农村生态环境保护，监督生物技术环境安全，牵头生物物种(含遗传资源)工作，组织协调生物多样性保护工作，参与生态保护补偿工作。</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（6）</w:t>
      </w:r>
      <w:r>
        <w:rPr>
          <w:rFonts w:hint="eastAsia" w:ascii="楷体" w:hAnsi="楷体" w:eastAsia="楷体"/>
          <w:sz w:val="32"/>
          <w:szCs w:val="32"/>
        </w:rPr>
        <w:t>、负责核与辐射安全的监管工作。</w:t>
      </w:r>
      <w:r>
        <w:rPr>
          <w:rFonts w:hint="eastAsia" w:ascii="仿宋_GB2312" w:hAnsi="楷体" w:eastAsia="仿宋_GB2312"/>
          <w:sz w:val="32"/>
          <w:szCs w:val="32"/>
        </w:rPr>
        <w:t>参与核事故和辐射环境事故应急处理;监管核设施和放射源安全，监督管理核设施、核技术应用、电磁辐射、伴有放射性矿产资源开发利用中的污染防治;对核材料管制和民用核安全设备的设计、制造、安装及无损检验活动实施监督管理。</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（7）</w:t>
      </w:r>
      <w:r>
        <w:rPr>
          <w:rFonts w:hint="eastAsia" w:ascii="楷体" w:hAnsi="楷体" w:eastAsia="楷体"/>
          <w:sz w:val="32"/>
          <w:szCs w:val="32"/>
        </w:rPr>
        <w:t>、负责生态环境准入的监督管理。</w:t>
      </w:r>
      <w:r>
        <w:rPr>
          <w:rFonts w:hint="eastAsia" w:ascii="仿宋_GB2312" w:hAnsi="楷体" w:eastAsia="仿宋_GB2312"/>
          <w:sz w:val="32"/>
          <w:szCs w:val="32"/>
        </w:rPr>
        <w:t>组织实施生态环境准入清单。按规定审批或审查开发建设区域、规划、项目环境影响评价文件。</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8）</w:t>
      </w:r>
      <w:r>
        <w:rPr>
          <w:rFonts w:hint="eastAsia" w:ascii="楷体" w:hAnsi="楷体" w:eastAsia="楷体"/>
          <w:sz w:val="32"/>
          <w:szCs w:val="32"/>
        </w:rPr>
        <w:t>、负责生态环境监测工作。</w:t>
      </w:r>
      <w:r>
        <w:rPr>
          <w:rFonts w:hint="eastAsia" w:ascii="仿宋_GB2312" w:hAnsi="楷体" w:eastAsia="仿宋_GB2312"/>
          <w:sz w:val="32"/>
          <w:szCs w:val="32"/>
        </w:rPr>
        <w:t>负责辖区内生态环境质量监测、污染源监督性监测、温室气体减排监测、应急监测和执法监测。组织对生态环境质量状况进行调查评价、预警、预测，组织建设和管理生态环境监测网。统一发布辖区生态环境综合性报告和重大生态环境相关信息。承担生态环境信息化工作。</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（9</w:t>
      </w:r>
      <w:r>
        <w:rPr>
          <w:rFonts w:hint="eastAsia" w:ascii="楷体" w:hAnsi="楷体" w:eastAsia="楷体"/>
          <w:sz w:val="32"/>
          <w:szCs w:val="32"/>
        </w:rPr>
        <w:t>）、协调配合生态环境保护督察。</w:t>
      </w:r>
      <w:r>
        <w:rPr>
          <w:rFonts w:hint="eastAsia" w:ascii="仿宋_GB2312" w:hAnsi="楷体" w:eastAsia="仿宋_GB2312"/>
          <w:sz w:val="32"/>
          <w:szCs w:val="32"/>
        </w:rPr>
        <w:t>组织协调配合中央、省生态问题整改情况进行跟踪督办，对贯彻落实不到位、整改不力的提请问责。</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（10）</w:t>
      </w:r>
      <w:r>
        <w:rPr>
          <w:rFonts w:hint="eastAsia" w:ascii="楷体" w:hAnsi="楷体" w:eastAsia="楷体"/>
          <w:sz w:val="32"/>
          <w:szCs w:val="32"/>
        </w:rPr>
        <w:t>、组织指导和协调生态环境宣传教育工作。</w:t>
      </w:r>
      <w:r>
        <w:rPr>
          <w:rFonts w:hint="eastAsia" w:ascii="仿宋_GB2312" w:hAnsi="楷体" w:eastAsia="仿宋_GB2312"/>
          <w:sz w:val="32"/>
          <w:szCs w:val="32"/>
        </w:rPr>
        <w:t>推动社会组织和公众参与生态环境保护。开展生态环境科技工作，组织生态环境科学研究和技术工程示范，推动生态环境技术管理体系建设。</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（11）</w:t>
      </w:r>
      <w:r>
        <w:rPr>
          <w:rFonts w:hint="eastAsia" w:ascii="仿宋_GB2312" w:hAnsi="楷体" w:eastAsia="仿宋_GB2312"/>
          <w:sz w:val="32"/>
          <w:szCs w:val="32"/>
        </w:rPr>
        <w:t>、县生态环境保护综合行政执法局以本级生态环境部门的名义，统一负责辖区内生态环境保护综合行政执法，依法统一行使污染防治、生态保护、核与辐射安全的行政处罚权以及与行政处罚相关的行政检查、行政强制权等执法职能。除法律法规另有规定外，相关部门不再行使上述行政处罚权和行政强制权。</w:t>
      </w:r>
    </w:p>
    <w:p>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（12）</w:t>
      </w:r>
      <w:r>
        <w:rPr>
          <w:rFonts w:hint="eastAsia" w:ascii="仿宋_GB2312" w:hAnsi="楷体" w:eastAsia="仿宋_GB2312"/>
          <w:sz w:val="32"/>
          <w:szCs w:val="32"/>
        </w:rPr>
        <w:t>、完成市生态环境局交办的其他任务，协助所在县委、县政府开展生态环境保护工作，指导辖区所在地乡镇(街道)的生态环境保护工作。</w:t>
      </w:r>
    </w:p>
    <w:p>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pPr>
        <w:widowControl/>
        <w:spacing w:line="600" w:lineRule="exact"/>
        <w:ind w:firstLine="643" w:firstLineChars="200"/>
        <w:jc w:val="left"/>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（一）内设机构设置。</w:t>
      </w:r>
    </w:p>
    <w:p>
      <w:pPr>
        <w:widowControl/>
        <w:spacing w:line="600" w:lineRule="exact"/>
        <w:ind w:firstLine="640" w:firstLineChars="200"/>
        <w:jc w:val="left"/>
        <w:rPr>
          <w:rFonts w:eastAsia="仿宋_GB2312"/>
          <w:sz w:val="32"/>
          <w:szCs w:val="32"/>
        </w:rPr>
      </w:pPr>
      <w:r>
        <w:rPr>
          <w:rFonts w:hint="eastAsia" w:ascii="仿宋" w:eastAsia="仿宋"/>
          <w:sz w:val="32"/>
        </w:rPr>
        <w:t>永州市生态环境局新田分局共设置</w:t>
      </w:r>
      <w:r>
        <w:rPr>
          <w:rFonts w:hint="eastAsia" w:ascii="仿宋" w:eastAsia="仿宋"/>
          <w:sz w:val="32"/>
          <w:lang w:val="en-US" w:eastAsia="zh-CN"/>
        </w:rPr>
        <w:t>2</w:t>
      </w:r>
      <w:r>
        <w:rPr>
          <w:rFonts w:hint="eastAsia" w:ascii="仿宋" w:eastAsia="仿宋"/>
          <w:sz w:val="32"/>
        </w:rPr>
        <w:t>股1室</w:t>
      </w:r>
      <w:r>
        <w:rPr>
          <w:rFonts w:hint="eastAsia" w:ascii="仿宋" w:eastAsia="仿宋"/>
          <w:sz w:val="32"/>
          <w:lang w:val="en-US" w:eastAsia="zh-CN"/>
        </w:rPr>
        <w:t>2</w:t>
      </w:r>
      <w:r>
        <w:rPr>
          <w:rFonts w:hint="eastAsia" w:ascii="仿宋" w:eastAsia="仿宋"/>
          <w:sz w:val="32"/>
        </w:rPr>
        <w:t>站1队</w:t>
      </w:r>
      <w:r>
        <w:rPr>
          <w:rFonts w:hint="eastAsia" w:ascii="仿宋" w:eastAsia="仿宋"/>
          <w:sz w:val="32"/>
          <w:lang w:val="en-US" w:eastAsia="zh-CN"/>
        </w:rPr>
        <w:t>1中心</w:t>
      </w:r>
      <w:r>
        <w:rPr>
          <w:rFonts w:hint="eastAsia" w:ascii="仿宋" w:eastAsia="仿宋"/>
          <w:sz w:val="32"/>
        </w:rPr>
        <w:t>。分别是：</w:t>
      </w:r>
      <w:r>
        <w:rPr>
          <w:rFonts w:hint="eastAsia" w:ascii="仿宋" w:eastAsia="仿宋"/>
          <w:sz w:val="32"/>
          <w:lang w:eastAsia="zh-CN"/>
        </w:rPr>
        <w:t>环境评价与排放管理股、污染防治监管股、</w:t>
      </w:r>
      <w:r>
        <w:rPr>
          <w:rFonts w:hint="eastAsia" w:ascii="仿宋" w:eastAsia="仿宋"/>
          <w:sz w:val="32"/>
        </w:rPr>
        <w:t>办公室（含政工人事、财务</w:t>
      </w:r>
      <w:r>
        <w:rPr>
          <w:rFonts w:hint="eastAsia" w:ascii="仿宋" w:eastAsia="仿宋"/>
          <w:sz w:val="32"/>
          <w:lang w:eastAsia="zh-CN"/>
        </w:rPr>
        <w:t>、纪检</w:t>
      </w:r>
      <w:r>
        <w:rPr>
          <w:rFonts w:hint="eastAsia" w:ascii="仿宋" w:eastAsia="仿宋"/>
          <w:sz w:val="32"/>
        </w:rPr>
        <w:t>）、</w:t>
      </w:r>
      <w:r>
        <w:rPr>
          <w:rFonts w:hint="eastAsia" w:ascii="仿宋" w:eastAsia="仿宋"/>
          <w:sz w:val="32"/>
          <w:lang w:eastAsia="zh-CN"/>
        </w:rPr>
        <w:t>新田县生态环境保护综合行政执法大队</w:t>
      </w:r>
      <w:r>
        <w:rPr>
          <w:rFonts w:hint="eastAsia" w:ascii="仿宋" w:eastAsia="仿宋"/>
          <w:sz w:val="32"/>
        </w:rPr>
        <w:t>、</w:t>
      </w:r>
      <w:r>
        <w:rPr>
          <w:rFonts w:hint="eastAsia" w:ascii="仿宋" w:eastAsia="仿宋"/>
          <w:sz w:val="32"/>
          <w:lang w:eastAsia="zh-CN"/>
        </w:rPr>
        <w:t>永州市新田生态环境</w:t>
      </w:r>
      <w:r>
        <w:rPr>
          <w:rFonts w:hint="eastAsia" w:ascii="仿宋" w:eastAsia="仿宋"/>
          <w:sz w:val="32"/>
        </w:rPr>
        <w:t>监测站</w:t>
      </w:r>
      <w:r>
        <w:rPr>
          <w:rFonts w:hint="eastAsia" w:ascii="仿宋" w:eastAsia="仿宋"/>
          <w:sz w:val="32"/>
          <w:lang w:eastAsia="zh-CN"/>
        </w:rPr>
        <w:t>、新田县固体废物与辐射管理站、新田县生态事务中心，</w:t>
      </w:r>
      <w:r>
        <w:rPr>
          <w:rFonts w:hint="eastAsia" w:ascii="仿宋_GB2312" w:hAnsi="楷体" w:eastAsia="仿宋_GB2312"/>
          <w:sz w:val="32"/>
          <w:szCs w:val="32"/>
        </w:rPr>
        <w:t>202</w:t>
      </w:r>
      <w:r>
        <w:rPr>
          <w:rFonts w:hint="eastAsia" w:ascii="仿宋_GB2312" w:hAnsi="楷体" w:eastAsia="仿宋_GB2312"/>
          <w:sz w:val="32"/>
          <w:szCs w:val="32"/>
          <w:lang w:val="en-US" w:eastAsia="zh-CN"/>
        </w:rPr>
        <w:t>3</w:t>
      </w:r>
      <w:r>
        <w:rPr>
          <w:rFonts w:hint="eastAsia" w:ascii="仿宋_GB2312" w:hAnsi="楷体" w:eastAsia="仿宋_GB2312"/>
          <w:sz w:val="32"/>
          <w:szCs w:val="32"/>
        </w:rPr>
        <w:t>年度年初</w:t>
      </w:r>
      <w:r>
        <w:rPr>
          <w:rFonts w:hint="eastAsia" w:ascii="仿宋_GB2312" w:hAnsi="楷体" w:eastAsia="仿宋_GB2312"/>
          <w:sz w:val="32"/>
          <w:szCs w:val="32"/>
          <w:lang w:eastAsia="zh-CN"/>
        </w:rPr>
        <w:t>实有在职人数</w:t>
      </w:r>
      <w:r>
        <w:rPr>
          <w:rFonts w:hint="eastAsia" w:ascii="仿宋_GB2312" w:hAnsi="楷体" w:eastAsia="仿宋_GB2312"/>
          <w:sz w:val="32"/>
          <w:szCs w:val="32"/>
          <w:lang w:val="en-US" w:eastAsia="zh-CN"/>
        </w:rPr>
        <w:t>36</w:t>
      </w:r>
      <w:r>
        <w:rPr>
          <w:rFonts w:hint="eastAsia" w:ascii="仿宋_GB2312" w:hAnsi="楷体" w:eastAsia="仿宋_GB2312"/>
          <w:sz w:val="32"/>
          <w:szCs w:val="32"/>
        </w:rPr>
        <w:t>人，年末实有在职人数</w:t>
      </w:r>
      <w:r>
        <w:rPr>
          <w:rFonts w:hint="eastAsia" w:ascii="仿宋_GB2312" w:hAnsi="楷体" w:eastAsia="仿宋_GB2312"/>
          <w:sz w:val="32"/>
          <w:szCs w:val="32"/>
          <w:lang w:val="en-US" w:eastAsia="zh-CN"/>
        </w:rPr>
        <w:t>34</w:t>
      </w:r>
      <w:r>
        <w:rPr>
          <w:rFonts w:hint="eastAsia" w:ascii="仿宋_GB2312" w:hAnsi="楷体" w:eastAsia="仿宋_GB2312"/>
          <w:sz w:val="32"/>
          <w:szCs w:val="32"/>
        </w:rPr>
        <w:t>人</w:t>
      </w:r>
      <w:r>
        <w:rPr>
          <w:rFonts w:hint="eastAsia" w:ascii="仿宋" w:eastAsia="仿宋"/>
          <w:sz w:val="32"/>
        </w:rPr>
        <w:t>。</w:t>
      </w:r>
    </w:p>
    <w:p>
      <w:pPr>
        <w:ind w:firstLine="643" w:firstLineChars="200"/>
        <w:jc w:val="left"/>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（二）决算单位构成。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Times New Roman" w:eastAsia="仿宋" w:cs="Times New Roman"/>
          <w:sz w:val="32"/>
          <w:lang w:val="en-US" w:eastAsia="zh-CN"/>
        </w:rPr>
      </w:pPr>
      <w:r>
        <w:rPr>
          <w:rFonts w:hint="eastAsia" w:ascii="仿宋" w:eastAsia="仿宋"/>
          <w:sz w:val="32"/>
          <w:lang w:val="en-US" w:eastAsia="zh-CN"/>
        </w:rPr>
        <w:t xml:space="preserve">  永州市生态环境局新田分局2023年部门决算汇总公开单位构成包括永州市生态环境局新田分局本级，不包括其他下属</w:t>
      </w:r>
      <w:r>
        <w:rPr>
          <w:rFonts w:hint="eastAsia" w:ascii="仿宋" w:hAnsi="Times New Roman" w:eastAsia="仿宋" w:cs="Times New Roman"/>
          <w:sz w:val="32"/>
          <w:lang w:val="en-US" w:eastAsia="zh-CN"/>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Times New Roman" w:eastAsia="仿宋" w:cs="Times New Roman"/>
          <w:sz w:val="32"/>
          <w:lang w:val="en-US" w:eastAsia="zh-CN"/>
        </w:rPr>
      </w:pPr>
    </w:p>
    <w:p>
      <w:pPr>
        <w:pStyle w:val="3"/>
        <w:rPr>
          <w:rFonts w:hint="default" w:eastAsia="楷体_GB2312"/>
          <w:lang w:val="en-US" w:eastAsia="zh-CN"/>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pPr>
        <w:pStyle w:val="13"/>
        <w:jc w:val="center"/>
        <w:rPr>
          <w:rFonts w:hint="eastAsia" w:ascii="方正小标宋_GBK" w:hAnsi="方正小标宋_GBK" w:eastAsia="方正小标宋_GBK" w:cs="方正小标宋_GBK"/>
          <w:sz w:val="84"/>
          <w:szCs w:val="84"/>
        </w:rPr>
      </w:pPr>
    </w:p>
    <w:p>
      <w:pPr>
        <w:jc w:val="center"/>
        <w:rPr>
          <w:sz w:val="72"/>
          <w:szCs w:val="72"/>
        </w:rPr>
      </w:pPr>
    </w:p>
    <w:p>
      <w:pPr>
        <w:pStyle w:val="13"/>
        <w:jc w:val="both"/>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总计102</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239.66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2023年度减少了污染防治方面的项目支出</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1021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239.66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2023年度减少了污染防治方面的项目支出</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1021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509.78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49.93</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511.22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51.07</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1021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414.55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606.45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509.78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49.98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10.87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人员增资及社保调整增加了人员经费的收入。</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509.78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49.98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10.87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人员增资及社保调整增加了人员经费的支出。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ind w:firstLine="640" w:firstLineChars="200"/>
        <w:rPr>
          <w:rFonts w:hint="eastAsia" w:ascii="Times New Roman" w:hAnsi="Times New Roman" w:eastAsia="仿宋_GB2312"/>
          <w:b/>
          <w:bCs/>
          <w:color w:val="FF0000"/>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一般公共预算</w:t>
      </w:r>
      <w:r>
        <w:rPr>
          <w:rFonts w:hint="eastAsia" w:ascii="Times New Roman" w:hAnsi="Times New Roman" w:eastAsia="仿宋_GB2312"/>
          <w:sz w:val="32"/>
          <w:szCs w:val="32"/>
        </w:rPr>
        <w:t>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509.78</w:t>
      </w:r>
      <w:r>
        <w:rPr>
          <w:rFonts w:hint="eastAsia" w:ascii="Times New Roman" w:hAnsi="Times New Roman" w:eastAsia="仿宋_GB2312"/>
          <w:sz w:val="32"/>
          <w:szCs w:val="32"/>
        </w:rPr>
        <w:t>万元，</w:t>
      </w:r>
      <w:bookmarkStart w:id="0" w:name="OLE_LINK1"/>
      <w:r>
        <w:rPr>
          <w:rFonts w:hint="eastAsia" w:ascii="Times New Roman" w:hAnsi="Times New Roman" w:eastAsia="仿宋_GB2312"/>
          <w:sz w:val="32"/>
          <w:szCs w:val="32"/>
        </w:rPr>
        <w:t>主要用于以下方面</w:t>
      </w:r>
      <w:r>
        <w:rPr>
          <w:rFonts w:hint="eastAsia" w:ascii="Times New Roman" w:hAnsi="Times New Roman" w:eastAsia="仿宋_GB2312"/>
          <w:sz w:val="32"/>
          <w:szCs w:val="32"/>
          <w:lang w:eastAsia="zh-CN"/>
        </w:rPr>
        <w:t>：主要用于以下方面：</w:t>
      </w:r>
      <w:r>
        <w:rPr>
          <w:rFonts w:hint="default"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lang w:val="en-US" w:eastAsia="zh-CN"/>
        </w:rPr>
        <w:t>40.32</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7.9</w:t>
      </w:r>
      <w:r>
        <w:rPr>
          <w:rFonts w:hint="default"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18.69</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3.67</w:t>
      </w:r>
      <w:r>
        <w:rPr>
          <w:rFonts w:hint="default" w:ascii="仿宋_GB2312" w:hAnsi="仿宋_GB2312" w:eastAsia="仿宋_GB2312" w:cs="仿宋_GB2312"/>
          <w:b w:val="0"/>
          <w:bCs w:val="0"/>
          <w:sz w:val="32"/>
          <w:szCs w:val="32"/>
        </w:rPr>
        <w:t>%；节能环保支出</w:t>
      </w:r>
      <w:r>
        <w:rPr>
          <w:rFonts w:hint="eastAsia" w:ascii="仿宋_GB2312" w:hAnsi="仿宋_GB2312" w:eastAsia="仿宋_GB2312" w:cs="仿宋_GB2312"/>
          <w:b w:val="0"/>
          <w:bCs w:val="0"/>
          <w:sz w:val="32"/>
          <w:szCs w:val="32"/>
          <w:lang w:val="en-US" w:eastAsia="zh-CN"/>
        </w:rPr>
        <w:t>417.85</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81.97</w:t>
      </w:r>
      <w:r>
        <w:rPr>
          <w:rFonts w:hint="default"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32.92</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6.46</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bookmarkEnd w:id="0"/>
    <w:p>
      <w:pPr>
        <w:pStyle w:val="13"/>
        <w:keepNext w:val="0"/>
        <w:keepLines w:val="0"/>
        <w:pageBreakBefore w:val="0"/>
        <w:widowControl w:val="0"/>
        <w:numPr>
          <w:ilvl w:val="0"/>
          <w:numId w:val="1"/>
        </w:numPr>
        <w:kinsoku/>
        <w:wordWrap/>
        <w:overflowPunct/>
        <w:topLinePunct w:val="0"/>
        <w:bidi w:val="0"/>
        <w:snapToGrid/>
        <w:spacing w:line="600" w:lineRule="exact"/>
        <w:ind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509.78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49.93</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49.98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10.87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人员增资及社保调整增加了人员经费的支出。</w:t>
      </w: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财政拨款支出决算结构情况</w:t>
      </w:r>
    </w:p>
    <w:p>
      <w:pPr>
        <w:pStyle w:val="13"/>
        <w:ind w:firstLine="640" w:firstLineChars="200"/>
        <w:rPr>
          <w:rFonts w:hint="eastAsia" w:eastAsia="仿宋_GB2312" w:asciiTheme="minorEastAsia" w:hAnsiTheme="minorEastAsia"/>
          <w:b w:val="0"/>
          <w:bCs w:val="0"/>
          <w:color w:val="FF0000"/>
          <w:sz w:val="32"/>
          <w:szCs w:val="32"/>
          <w:lang w:val="en-US" w:eastAsia="zh-CN"/>
        </w:rPr>
      </w:pPr>
      <w:bookmarkStart w:id="1" w:name="OLE_LINK2"/>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509.78</w:t>
      </w:r>
      <w:r>
        <w:rPr>
          <w:rFonts w:hint="eastAsia" w:ascii="Times New Roman" w:hAnsi="Times New Roman" w:eastAsia="仿宋_GB2312"/>
          <w:sz w:val="32"/>
          <w:szCs w:val="32"/>
        </w:rPr>
        <w:t>万元，</w:t>
      </w:r>
      <w:bookmarkEnd w:id="1"/>
      <w:r>
        <w:rPr>
          <w:rFonts w:hint="eastAsia" w:ascii="仿宋_GB2312" w:hAnsi="仿宋_GB2312" w:eastAsia="仿宋_GB2312" w:cs="仿宋_GB2312"/>
          <w:b w:val="0"/>
          <w:bCs w:val="0"/>
          <w:sz w:val="32"/>
          <w:szCs w:val="32"/>
        </w:rPr>
        <w:t>主要用于以下方面：</w:t>
      </w:r>
      <w:r>
        <w:rPr>
          <w:rFonts w:hint="default"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40.32</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7.9</w:t>
      </w:r>
      <w:r>
        <w:rPr>
          <w:rFonts w:hint="default"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18.69</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3.67</w:t>
      </w:r>
      <w:r>
        <w:rPr>
          <w:rFonts w:hint="default" w:ascii="仿宋_GB2312" w:hAnsi="仿宋_GB2312" w:eastAsia="仿宋_GB2312" w:cs="仿宋_GB2312"/>
          <w:b w:val="0"/>
          <w:bCs w:val="0"/>
          <w:sz w:val="32"/>
          <w:szCs w:val="32"/>
        </w:rPr>
        <w:t>%；节能环保支出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417.85</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81.97</w:t>
      </w:r>
      <w:r>
        <w:rPr>
          <w:rFonts w:hint="default"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类</w:t>
      </w:r>
      <w:r>
        <w:rPr>
          <w:rFonts w:hint="eastAsia" w:ascii="仿宋_GB2312" w:hAnsi="仿宋_GB2312" w:eastAsia="仿宋_GB2312" w:cs="仿宋_GB2312"/>
          <w:b w:val="0"/>
          <w:bCs w:val="0"/>
          <w:sz w:val="32"/>
          <w:szCs w:val="32"/>
        </w:rPr>
        <w:t>）</w:t>
      </w:r>
      <w:bookmarkStart w:id="2" w:name="OLE_LINK5"/>
      <w:r>
        <w:rPr>
          <w:rFonts w:hint="eastAsia" w:ascii="仿宋_GB2312" w:hAnsi="仿宋_GB2312" w:eastAsia="仿宋_GB2312" w:cs="仿宋_GB2312"/>
          <w:b w:val="0"/>
          <w:bCs w:val="0"/>
          <w:sz w:val="32"/>
          <w:szCs w:val="32"/>
          <w:lang w:val="en-US" w:eastAsia="zh-CN"/>
        </w:rPr>
        <w:t>32.92</w:t>
      </w:r>
      <w:bookmarkEnd w:id="2"/>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6.46</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497.32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509.78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102.5</w:t>
      </w:r>
      <w:r>
        <w:rPr>
          <w:rFonts w:hint="eastAsia" w:ascii="Times New Roman" w:hAnsi="Times New Roman" w:eastAsia="仿宋_GB2312"/>
          <w:sz w:val="32"/>
          <w:szCs w:val="32"/>
        </w:rPr>
        <w:t>%，其中：</w:t>
      </w:r>
    </w:p>
    <w:p>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社会保障和就业支出（类）行政事业单位养老支出（款）机关事业单位职业年金缴费支出（项）。</w:t>
      </w:r>
    </w:p>
    <w:p>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107.95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年初预算数主要</w:t>
      </w:r>
      <w:r>
        <w:rPr>
          <w:rFonts w:hint="eastAsia" w:ascii="Times New Roman" w:hAnsi="Times New Roman" w:eastAsia="仿宋_GB2312"/>
          <w:sz w:val="32"/>
          <w:szCs w:val="32"/>
          <w:lang w:eastAsia="zh-CN"/>
        </w:rPr>
        <w:t>原因</w:t>
      </w:r>
      <w:r>
        <w:rPr>
          <w:rFonts w:hint="eastAsia" w:ascii="Times New Roman" w:hAnsi="Times New Roman" w:eastAsia="仿宋_GB2312"/>
          <w:sz w:val="32"/>
          <w:szCs w:val="32"/>
        </w:rPr>
        <w:t>是因为</w:t>
      </w:r>
      <w:r>
        <w:rPr>
          <w:rFonts w:hint="eastAsia" w:ascii="Times New Roman" w:hAnsi="Times New Roman" w:eastAsia="仿宋_GB2312"/>
          <w:sz w:val="32"/>
          <w:szCs w:val="32"/>
          <w:lang w:eastAsia="zh-CN"/>
        </w:rPr>
        <w:t>人员增资及社保调整。</w:t>
      </w:r>
    </w:p>
    <w:p>
      <w:pPr>
        <w:pStyle w:val="13"/>
        <w:numPr>
          <w:ilvl w:val="0"/>
          <w:numId w:val="0"/>
        </w:numPr>
        <w:ind w:firstLine="960" w:firstLineChars="3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卫生健康支出（类）行政事业单位医疗（款）行政单位医疗（项）。</w:t>
      </w:r>
    </w:p>
    <w:p>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20.31</w:t>
      </w:r>
      <w:r>
        <w:rPr>
          <w:rFonts w:hint="eastAsia" w:ascii="Times New Roman" w:hAnsi="Times New Roman" w:eastAsia="仿宋_GB2312"/>
          <w:sz w:val="32"/>
          <w:szCs w:val="32"/>
        </w:rPr>
        <w:t>万元，支出决算为</w:t>
      </w:r>
      <w:r>
        <w:rPr>
          <w:rFonts w:hint="eastAsia" w:ascii="仿宋_GB2312" w:hAnsi="仿宋_GB2312" w:eastAsia="仿宋_GB2312" w:cs="仿宋_GB2312"/>
          <w:b w:val="0"/>
          <w:bCs w:val="0"/>
          <w:sz w:val="32"/>
          <w:szCs w:val="32"/>
          <w:lang w:val="en-US" w:eastAsia="zh-CN"/>
        </w:rPr>
        <w:t>18.69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人员信息有变动，医疗保险基数减少。</w:t>
      </w:r>
    </w:p>
    <w:p>
      <w:pPr>
        <w:pStyle w:val="13"/>
        <w:numPr>
          <w:ilvl w:val="0"/>
          <w:numId w:val="2"/>
        </w:numPr>
        <w:ind w:firstLine="960" w:firstLineChars="3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节能环保支出（类）</w:t>
      </w:r>
      <w:r>
        <w:rPr>
          <w:rFonts w:hint="eastAsia" w:ascii="Times New Roman" w:hAnsi="Times New Roman" w:eastAsia="仿宋_GB2312"/>
          <w:sz w:val="32"/>
          <w:szCs w:val="32"/>
          <w:lang w:eastAsia="zh-CN"/>
        </w:rPr>
        <w:t>环境保护管理事务（款）行政运行（项）</w:t>
      </w:r>
    </w:p>
    <w:p>
      <w:pPr>
        <w:pStyle w:val="13"/>
        <w:ind w:firstLine="960" w:firstLineChars="3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年初预算数为</w:t>
      </w:r>
      <w:r>
        <w:rPr>
          <w:rFonts w:hint="eastAsia" w:ascii="Times New Roman" w:hAnsi="Times New Roman" w:eastAsia="仿宋_GB2312"/>
          <w:sz w:val="32"/>
          <w:szCs w:val="32"/>
          <w:lang w:val="en-US" w:eastAsia="zh-CN"/>
        </w:rPr>
        <w:t>325.16万元，支出决算为391.99万元，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120.55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决算数大于预算数的主要原因是：根据实际情况增加了业务费用的支出。</w:t>
      </w:r>
    </w:p>
    <w:p>
      <w:pPr>
        <w:pStyle w:val="13"/>
        <w:numPr>
          <w:ilvl w:val="0"/>
          <w:numId w:val="0"/>
        </w:numPr>
        <w:ind w:firstLine="960" w:firstLineChars="3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4、节能环保支出（类）</w:t>
      </w:r>
      <w:r>
        <w:rPr>
          <w:rFonts w:hint="eastAsia" w:ascii="Times New Roman" w:hAnsi="Times New Roman" w:eastAsia="仿宋_GB2312"/>
          <w:sz w:val="32"/>
          <w:szCs w:val="32"/>
          <w:lang w:eastAsia="zh-CN"/>
        </w:rPr>
        <w:t>环境保护管理事务（款）其他环境保护管理事务支出（项）。</w:t>
      </w:r>
    </w:p>
    <w:p>
      <w:pPr>
        <w:pStyle w:val="13"/>
        <w:ind w:firstLine="960" w:firstLineChars="3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年初预算数为</w:t>
      </w:r>
      <w:r>
        <w:rPr>
          <w:rFonts w:hint="eastAsia" w:ascii="Times New Roman" w:hAnsi="Times New Roman" w:eastAsia="仿宋_GB2312"/>
          <w:sz w:val="32"/>
          <w:szCs w:val="32"/>
          <w:lang w:val="en-US" w:eastAsia="zh-CN"/>
        </w:rPr>
        <w:t>86.50万元，支出决算为117.79万元，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决算数大于预算数的主要原因是：根据实际情况增加了业务费用的支出。</w:t>
      </w:r>
    </w:p>
    <w:p>
      <w:pPr>
        <w:pStyle w:val="13"/>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5、住房保障支出（类）住房改革支出（款）住房公积金（项）。</w:t>
      </w:r>
    </w:p>
    <w:p>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lang w:eastAsia="zh-CN"/>
        </w:rPr>
        <w:t>年初预算数为</w:t>
      </w:r>
      <w:r>
        <w:rPr>
          <w:rFonts w:hint="eastAsia" w:ascii="Times New Roman" w:hAnsi="Times New Roman" w:eastAsia="仿宋_GB2312"/>
          <w:sz w:val="32"/>
          <w:szCs w:val="32"/>
          <w:lang w:val="en-US" w:eastAsia="zh-CN"/>
        </w:rPr>
        <w:t>28.01万元，支出决算为</w:t>
      </w:r>
      <w:r>
        <w:rPr>
          <w:rFonts w:hint="eastAsia" w:ascii="仿宋_GB2312" w:hAnsi="仿宋_GB2312" w:eastAsia="仿宋_GB2312" w:cs="仿宋_GB2312"/>
          <w:b w:val="0"/>
          <w:bCs w:val="0"/>
          <w:sz w:val="32"/>
          <w:szCs w:val="32"/>
          <w:lang w:val="en-US" w:eastAsia="zh-CN"/>
        </w:rPr>
        <w:t>32.92</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117.52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决算数大于预算数的主要原因是：</w:t>
      </w:r>
      <w:r>
        <w:rPr>
          <w:rFonts w:hint="eastAsia" w:ascii="Times New Roman" w:hAnsi="Times New Roman" w:eastAsia="仿宋_GB2312"/>
          <w:sz w:val="32"/>
          <w:szCs w:val="32"/>
        </w:rPr>
        <w:t>因为</w:t>
      </w:r>
      <w:r>
        <w:rPr>
          <w:rFonts w:hint="eastAsia" w:ascii="Times New Roman" w:hAnsi="Times New Roman" w:eastAsia="仿宋_GB2312"/>
          <w:sz w:val="32"/>
          <w:szCs w:val="32"/>
          <w:lang w:eastAsia="zh-CN"/>
        </w:rPr>
        <w:t>人员增资及社保调整。</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391.99</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314.80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80.31</w:t>
      </w:r>
      <w:r>
        <w:rPr>
          <w:rFonts w:hint="eastAsia" w:ascii="Times New Roman" w:hAnsi="Times New Roman" w:eastAsia="仿宋_GB2312"/>
          <w:sz w:val="32"/>
          <w:szCs w:val="32"/>
        </w:rPr>
        <w:t>%,主要包括基本工资、津贴补贴、奖金、</w:t>
      </w:r>
      <w:r>
        <w:rPr>
          <w:rFonts w:hint="eastAsia" w:ascii="仿宋_GB2312" w:hAnsi="仿宋_GB2312" w:eastAsia="仿宋_GB2312" w:cs="仿宋_GB2312"/>
          <w:b w:val="0"/>
          <w:bCs w:val="0"/>
          <w:sz w:val="32"/>
          <w:szCs w:val="32"/>
          <w:lang w:eastAsia="zh-CN"/>
        </w:rPr>
        <w:t>绩效工资、机关事业单位基本养老保险缴费、职工基本医疗保险缴费、</w:t>
      </w:r>
      <w:r>
        <w:rPr>
          <w:rFonts w:hint="eastAsia" w:ascii="仿宋_GB2312" w:hAnsi="仿宋_GB2312" w:eastAsia="仿宋_GB2312" w:cs="仿宋_GB2312"/>
          <w:b w:val="0"/>
          <w:bCs w:val="0"/>
          <w:sz w:val="32"/>
          <w:szCs w:val="32"/>
          <w:lang w:val="en-US" w:eastAsia="zh-CN"/>
        </w:rPr>
        <w:t>其他社会保障费、住房公积金</w:t>
      </w:r>
      <w:r>
        <w:rPr>
          <w:rFonts w:hint="eastAsia" w:ascii="Times New Roman" w:hAnsi="Times New Roman" w:eastAsia="仿宋_GB2312"/>
          <w:sz w:val="32"/>
          <w:szCs w:val="32"/>
          <w:lang w:eastAsia="zh-CN"/>
        </w:rPr>
        <w:t>。</w:t>
      </w:r>
    </w:p>
    <w:p>
      <w:pPr>
        <w:pStyle w:val="13"/>
        <w:ind w:firstLine="643" w:firstLineChars="200"/>
        <w:rPr>
          <w:rFonts w:hint="eastAsia" w:asciiTheme="minorEastAsia" w:hAnsiTheme="minorEastAsia" w:eastAsiaTheme="minorEastAsia"/>
          <w:b w:val="0"/>
          <w:bCs w:val="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77.19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19.69</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eastAsia="zh-CN"/>
        </w:rPr>
        <w:t>邮电费、差旅费、维修（护）费、公务接待费、专用材料费、劳务费、工会经费、福利费、公务用车运行维护费、其他交通费、其他商品和服务支出</w:t>
      </w:r>
      <w:r>
        <w:rPr>
          <w:rFonts w:hint="eastAsia" w:ascii="Times New Roman" w:hAnsi="Times New Roman" w:eastAsia="仿宋_GB2312"/>
          <w:sz w:val="32"/>
          <w:szCs w:val="32"/>
        </w:rPr>
        <w:t>。</w:t>
      </w:r>
    </w:p>
    <w:p>
      <w:pPr>
        <w:pStyle w:val="13"/>
        <w:ind w:firstLine="640" w:firstLineChars="200"/>
        <w:rPr>
          <w:rFonts w:hint="eastAsia" w:asciiTheme="minorEastAsia" w:hAnsiTheme="minorEastAsia" w:eastAsiaTheme="minorEastAsia"/>
          <w:b w:val="0"/>
          <w:bCs w:val="0"/>
          <w:sz w:val="32"/>
          <w:szCs w:val="32"/>
        </w:rPr>
      </w:pPr>
    </w:p>
    <w:p>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bookmarkStart w:id="3" w:name="OLE_LINK6"/>
      <w:r>
        <w:rPr>
          <w:rFonts w:hint="eastAsia" w:ascii="Times New Roman" w:hAnsi="Times New Roman" w:eastAsia="仿宋_GB2312"/>
          <w:sz w:val="32"/>
          <w:szCs w:val="32"/>
        </w:rPr>
        <w:t>“三公”经费</w:t>
      </w:r>
      <w:bookmarkEnd w:id="3"/>
      <w:r>
        <w:rPr>
          <w:rFonts w:hint="eastAsia" w:ascii="Times New Roman" w:hAnsi="Times New Roman" w:eastAsia="仿宋_GB2312"/>
          <w:sz w:val="32"/>
          <w:szCs w:val="32"/>
        </w:rPr>
        <w:t>财政拨款支出预算为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10.94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99.45</w:t>
      </w:r>
      <w:r>
        <w:rPr>
          <w:rFonts w:hint="eastAsia" w:ascii="Times New Roman" w:hAnsi="Times New Roman" w:eastAsia="仿宋_GB2312"/>
          <w:sz w:val="32"/>
          <w:szCs w:val="32"/>
        </w:rPr>
        <w:t>%，决算数小于预算数的主要原因是</w:t>
      </w:r>
      <w:bookmarkStart w:id="4" w:name="OLE_LINK7"/>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压减开支</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严格控制</w:t>
      </w:r>
      <w:r>
        <w:rPr>
          <w:rFonts w:hint="eastAsia" w:ascii="Times New Roman" w:hAnsi="Times New Roman" w:eastAsia="仿宋_GB2312"/>
          <w:sz w:val="32"/>
          <w:szCs w:val="32"/>
        </w:rPr>
        <w:t>“三公”经费</w:t>
      </w:r>
      <w:r>
        <w:rPr>
          <w:rFonts w:hint="eastAsia" w:ascii="Times New Roman" w:hAnsi="Times New Roman" w:eastAsia="仿宋_GB2312"/>
          <w:sz w:val="32"/>
          <w:szCs w:val="32"/>
          <w:lang w:eastAsia="zh-CN"/>
        </w:rPr>
        <w:t>支出</w:t>
      </w:r>
      <w:bookmarkEnd w:id="4"/>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基本持平。</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bookmarkStart w:id="5" w:name="OLE_LINK8"/>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bookmarkEnd w:id="5"/>
      <w:r>
        <w:rPr>
          <w:rFonts w:hint="eastAsia" w:ascii="Times New Roman" w:hAnsi="Times New Roman" w:eastAsia="仿宋_GB2312"/>
          <w:sz w:val="32"/>
          <w:szCs w:val="32"/>
          <w:lang w:eastAsia="zh-CN"/>
        </w:rPr>
        <w:t>，主要原因是单位无出国</w:t>
      </w:r>
      <w:r>
        <w:rPr>
          <w:rFonts w:hint="eastAsia" w:ascii="Times New Roman" w:hAnsi="Times New Roman" w:eastAsia="仿宋_GB2312"/>
          <w:sz w:val="32"/>
          <w:szCs w:val="32"/>
          <w:lang w:val="en-US" w:eastAsia="zh-CN"/>
        </w:rPr>
        <w:t>(出境)事项。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压减开支</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严格控制</w:t>
      </w:r>
      <w:r>
        <w:rPr>
          <w:rFonts w:hint="eastAsia" w:ascii="Times New Roman" w:hAnsi="Times New Roman" w:eastAsia="仿宋_GB2312"/>
          <w:sz w:val="32"/>
          <w:szCs w:val="32"/>
        </w:rPr>
        <w:t>“三公”经费</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bookmarkStart w:id="6" w:name="OLE_LINK9"/>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bookmarkEnd w:id="6"/>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4.94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%。其中：</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b/>
          <w:bCs/>
          <w:color w:val="auto"/>
          <w:sz w:val="32"/>
          <w:szCs w:val="32"/>
          <w:lang w:val="en-US" w:eastAsia="zh-CN"/>
        </w:rPr>
        <w:t>，</w:t>
      </w:r>
      <w:r>
        <w:rPr>
          <w:rFonts w:hint="eastAsia" w:ascii="仿宋_GB2312" w:hAnsi="仿宋_GB2312" w:eastAsia="仿宋_GB2312" w:cs="仿宋_GB2312"/>
          <w:sz w:val="32"/>
          <w:szCs w:val="32"/>
          <w:lang w:val="en-US" w:eastAsia="zh-CN"/>
        </w:rPr>
        <w:t>2023年度我单位未开展因公出国（境）活动。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4.94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179</w:t>
      </w:r>
      <w:r>
        <w:rPr>
          <w:rFonts w:hint="eastAsia" w:ascii="Times New Roman" w:hAnsi="Times New Roman" w:eastAsia="仿宋_GB2312"/>
          <w:sz w:val="32"/>
          <w:szCs w:val="32"/>
        </w:rPr>
        <w:t>人次，主要是主要是</w:t>
      </w:r>
      <w:r>
        <w:rPr>
          <w:rFonts w:hint="eastAsia" w:ascii="Times New Roman" w:hAnsi="Times New Roman" w:eastAsia="仿宋_GB2312"/>
          <w:sz w:val="32"/>
          <w:szCs w:val="32"/>
          <w:lang w:eastAsia="zh-CN"/>
        </w:rPr>
        <w:t>环境质量检查考核以及污染防治攻坚战</w:t>
      </w:r>
      <w:r>
        <w:rPr>
          <w:rFonts w:hint="eastAsia" w:ascii="Times New Roman" w:hAnsi="Times New Roman" w:eastAsia="仿宋_GB2312"/>
          <w:sz w:val="32"/>
          <w:szCs w:val="32"/>
        </w:rPr>
        <w:t>发生的接待支出</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万元，主要是</w:t>
      </w:r>
      <w:r>
        <w:rPr>
          <w:rFonts w:hint="eastAsia" w:ascii="仿宋_GB2312" w:hAnsi="仿宋_GB2312" w:eastAsia="仿宋_GB2312" w:cs="仿宋_GB2312"/>
          <w:b w:val="0"/>
          <w:bCs w:val="0"/>
          <w:sz w:val="32"/>
          <w:szCs w:val="32"/>
        </w:rPr>
        <w:t>主要是</w:t>
      </w:r>
      <w:r>
        <w:rPr>
          <w:rFonts w:hint="eastAsia" w:ascii="仿宋_GB2312" w:hAnsi="仿宋_GB2312" w:eastAsia="仿宋_GB2312" w:cs="仿宋_GB2312"/>
          <w:b w:val="0"/>
          <w:bCs w:val="0"/>
          <w:color w:val="auto"/>
          <w:kern w:val="0"/>
          <w:sz w:val="32"/>
          <w:szCs w:val="32"/>
          <w:lang w:val="en-US" w:eastAsia="zh-CN" w:bidi="ar-SA"/>
        </w:rPr>
        <w:t>油费、车辆通行费、维护修理费等</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2023年度本单位无政府性基金收支。</w:t>
      </w:r>
    </w:p>
    <w:p>
      <w:pPr>
        <w:pStyle w:val="13"/>
        <w:ind w:firstLine="640" w:firstLineChars="200"/>
        <w:rPr>
          <w:rFonts w:ascii="Times New Roman" w:hAnsi="Times New Roman" w:eastAsia="仿宋_GB2312"/>
          <w:sz w:val="32"/>
          <w:szCs w:val="32"/>
        </w:rPr>
      </w:pP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77.19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比年初预算数减少</w:t>
      </w:r>
      <w:r>
        <w:rPr>
          <w:rFonts w:hint="eastAsia" w:ascii="Times New Roman" w:hAnsi="Times New Roman" w:eastAsia="仿宋_GB2312"/>
          <w:sz w:val="32"/>
          <w:szCs w:val="32"/>
          <w:lang w:val="en-US" w:eastAsia="zh-CN"/>
        </w:rPr>
        <w:t>3.29</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4.26</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压减开支</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严格控制机关运行</w:t>
      </w:r>
      <w:r>
        <w:rPr>
          <w:rFonts w:hint="eastAsia" w:ascii="Times New Roman" w:hAnsi="Times New Roman" w:eastAsia="仿宋_GB2312"/>
          <w:sz w:val="32"/>
          <w:szCs w:val="32"/>
        </w:rPr>
        <w:t>经费</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未举办</w:t>
      </w:r>
      <w:r>
        <w:rPr>
          <w:rFonts w:hint="eastAsia" w:ascii="Times New Roman" w:hAnsi="Times New Roman" w:eastAsia="仿宋_GB2312"/>
          <w:sz w:val="32"/>
          <w:szCs w:val="32"/>
        </w:rPr>
        <w:t>会议</w:t>
      </w:r>
      <w:r>
        <w:rPr>
          <w:rFonts w:hint="eastAsia" w:ascii="Times New Roman" w:hAnsi="Times New Roman" w:eastAsia="仿宋_GB2312"/>
          <w:sz w:val="32"/>
          <w:szCs w:val="32"/>
          <w:lang w:eastAsia="zh-CN"/>
        </w:rPr>
        <w:t>活动</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2023年度</w:t>
      </w:r>
      <w:r>
        <w:rPr>
          <w:rFonts w:hint="eastAsia" w:ascii="仿宋_GB2312" w:hAnsi="仿宋_GB2312" w:eastAsia="仿宋_GB2312" w:cs="仿宋_GB2312"/>
          <w:sz w:val="32"/>
          <w:szCs w:val="32"/>
          <w:lang w:eastAsia="zh-CN"/>
        </w:rPr>
        <w:t>未举办</w:t>
      </w:r>
      <w:r>
        <w:rPr>
          <w:rFonts w:hint="eastAsia" w:ascii="仿宋_GB2312" w:hAnsi="仿宋_GB2312" w:eastAsia="仿宋_GB2312" w:cs="仿宋_GB2312"/>
          <w:sz w:val="32"/>
          <w:szCs w:val="32"/>
        </w:rPr>
        <w:t>节庆、晚会、论坛、赛事活动</w:t>
      </w:r>
      <w:r>
        <w:rPr>
          <w:rFonts w:hint="eastAsia" w:ascii="仿宋_GB2312" w:hAnsi="仿宋_GB2312" w:eastAsia="仿宋_GB2312" w:cs="仿宋_GB2312"/>
          <w:sz w:val="32"/>
          <w:szCs w:val="32"/>
          <w:lang w:eastAsia="zh-CN"/>
        </w:rPr>
        <w:t>，开支</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311.7</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121.7</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148</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220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70.58</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万元，占授予中小企业合同总额的</w:t>
      </w:r>
      <w:r>
        <w:rPr>
          <w:rFonts w:hint="eastAsia" w:ascii="Times New Roman" w:hAnsi="Times New Roman" w:eastAsia="仿宋_GB2312"/>
          <w:sz w:val="32"/>
          <w:szCs w:val="32"/>
          <w:lang w:val="en-US" w:eastAsia="zh-CN"/>
        </w:rPr>
        <w:t>54.55</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55.32</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67.27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永州市生态环境局新田分局</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辆，其他用车主要是……；单位价值100万元以上设备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台（套）。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lang w:eastAsia="zh-CN"/>
        </w:rPr>
        <w:t>2023</w:t>
      </w:r>
      <w:r>
        <w:rPr>
          <w:rFonts w:hint="eastAsia" w:ascii="黑体" w:hAnsi="黑体" w:eastAsia="黑体" w:cs="黑体"/>
          <w:b w:val="0"/>
          <w:bCs/>
          <w:sz w:val="32"/>
          <w:szCs w:val="32"/>
        </w:rPr>
        <w:t>年度预算绩效情况的说明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根据预算绩效管理要求，我单位</w:t>
      </w:r>
      <w:r>
        <w:rPr>
          <w:rFonts w:hint="eastAsia" w:ascii="Times New Roman" w:hAnsi="Times New Roman" w:eastAsia="仿宋_GB2312" w:cs="黑体"/>
          <w:color w:val="000000"/>
          <w:kern w:val="0"/>
          <w:sz w:val="32"/>
          <w:szCs w:val="32"/>
          <w:lang w:val="en" w:eastAsia="zh-CN" w:bidi="ar-SA"/>
        </w:rPr>
        <w:t>参照一级预算单位管理模式编制预决算，</w:t>
      </w:r>
      <w:r>
        <w:rPr>
          <w:rFonts w:hint="eastAsia" w:ascii="Times New Roman" w:hAnsi="Times New Roman" w:eastAsia="仿宋_GB2312" w:cs="黑体"/>
          <w:color w:val="000000"/>
          <w:kern w:val="0"/>
          <w:sz w:val="32"/>
          <w:szCs w:val="32"/>
          <w:lang w:val="en-US" w:eastAsia="zh-CN" w:bidi="ar-SA"/>
        </w:rPr>
        <w:t>组织对2023年度市本级一般公共预算整体支出和项目支出全面开展绩效自评，本年一般公共预算支出总额的509.78万元，基本支出391.99万元，占一般公共预算支出总额的76.89%。项目支出117.79万元，占一般公共预算支出总额的23.11%。</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cs="黑体"/>
          <w:color w:val="000000"/>
          <w:kern w:val="0"/>
          <w:sz w:val="32"/>
          <w:szCs w:val="32"/>
          <w:lang w:val="en-US" w:eastAsia="zh-CN" w:bidi="ar-SA"/>
        </w:rPr>
        <w:t>2023年我局在工作中较好的完成了年度绩效目标,一是制定了目标责任分解工作机制，进一步明确固定资产管理各职能部门的职责和权限，建立统一要求、分级管理、各尽所能，各负其责的新机制。二是管理水平提升。严格贯彻实施省、市关于过“紧日子”的重要决策部署，严格控制“三公经费”公用经费支出和人员编制，“三公经费</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年初预算11万元，实际支出10.94万元，控制率99.45%，控制情况良好。三是履职效益提高，全市生态环境质量明显改善，生态环境监测执法能力明显提升，突出环境问题整改效果明显提升，污染防治攻坚战“夏季攻势”任务全面完成。</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p>
    <w:p>
      <w:pPr>
        <w:pStyle w:val="13"/>
        <w:keepNext w:val="0"/>
        <w:keepLines w:val="0"/>
        <w:pageBreakBefore w:val="0"/>
        <w:widowControl w:val="0"/>
        <w:kinsoku/>
        <w:wordWrap/>
        <w:overflowPunct/>
        <w:topLinePunct w:val="0"/>
        <w:bidi w:val="0"/>
        <w:snapToGrid/>
        <w:spacing w:line="60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pPr>
        <w:spacing w:line="560" w:lineRule="exact"/>
        <w:ind w:firstLine="643" w:firstLineChars="200"/>
        <w:rPr>
          <w:rFonts w:hint="eastAsia" w:ascii="Times New Roman" w:hAnsi="Times New Roman" w:eastAsia="仿宋_GB2312"/>
          <w:b/>
          <w:bCs/>
          <w:sz w:val="32"/>
          <w:szCs w:val="32"/>
        </w:rPr>
      </w:pPr>
      <w:r>
        <w:rPr>
          <w:rFonts w:hint="eastAsia" w:ascii="Times New Roman" w:hAnsi="Times New Roman" w:eastAsia="仿宋_GB2312"/>
          <w:b/>
          <w:bCs/>
          <w:sz w:val="32"/>
          <w:szCs w:val="32"/>
          <w:lang w:eastAsia="zh-CN"/>
        </w:rPr>
        <w:t>一、永州市生态环境局新田分局</w:t>
      </w:r>
      <w:r>
        <w:rPr>
          <w:rFonts w:hint="eastAsia" w:ascii="Times New Roman" w:hAnsi="Times New Roman" w:eastAsia="仿宋_GB2312"/>
          <w:b/>
          <w:bCs/>
          <w:sz w:val="32"/>
          <w:szCs w:val="32"/>
        </w:rPr>
        <w:t>支出的绩效目标完成情况</w:t>
      </w:r>
      <w:r>
        <w:rPr>
          <w:rFonts w:hint="eastAsia" w:ascii="Times New Roman" w:hAnsi="Times New Roman" w:eastAsia="仿宋_GB2312"/>
          <w:b/>
          <w:bCs/>
          <w:sz w:val="32"/>
          <w:szCs w:val="32"/>
          <w:lang w:eastAsia="zh-CN"/>
        </w:rPr>
        <w:t>及实</w:t>
      </w:r>
      <w:r>
        <w:rPr>
          <w:rFonts w:hint="eastAsia" w:ascii="Times New Roman" w:hAnsi="Times New Roman" w:eastAsia="仿宋_GB2312"/>
          <w:b/>
          <w:bCs/>
          <w:sz w:val="32"/>
          <w:szCs w:val="32"/>
        </w:rPr>
        <w:t>现产出和取得效益的情况</w:t>
      </w:r>
    </w:p>
    <w:p>
      <w:p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b/>
          <w:sz w:val="32"/>
          <w:szCs w:val="32"/>
        </w:rPr>
        <w:t>1.夏季攻势任务全面完成。</w:t>
      </w:r>
      <w:r>
        <w:rPr>
          <w:rFonts w:hint="eastAsia" w:ascii="仿宋_GB2312" w:eastAsia="仿宋_GB2312"/>
          <w:sz w:val="32"/>
          <w:szCs w:val="32"/>
        </w:rPr>
        <w:t>坚持问题导向，严格对标省市“夏季攻势”任务清单，倒排工期、挂图作战、强力攻坚，2023年省定11项和市定68项任务全面高质量完成。注重总结经验、挖掘亮点，先后上报了《“规定动作”不走样 “自选动作”有特色--农村千人以上饮用水水源地整治》等正面典型材料5篇。</w:t>
      </w:r>
    </w:p>
    <w:p>
      <w:pPr>
        <w:spacing w:line="560" w:lineRule="exact"/>
        <w:ind w:firstLine="643" w:firstLineChars="200"/>
        <w:rPr>
          <w:rFonts w:ascii="仿宋_GB2312" w:hAnsi="楷体" w:eastAsia="仿宋_GB2312" w:cs="楷体"/>
          <w:b/>
          <w:color w:val="000000" w:themeColor="text1"/>
          <w:kern w:val="0"/>
          <w:sz w:val="32"/>
          <w:szCs w:val="32"/>
          <w14:textFill>
            <w14:solidFill>
              <w14:schemeClr w14:val="tx1"/>
            </w14:solidFill>
          </w14:textFill>
        </w:rPr>
      </w:pPr>
      <w:r>
        <w:rPr>
          <w:rFonts w:hint="eastAsia" w:ascii="楷体_GB2312" w:eastAsia="楷体_GB2312"/>
          <w:b/>
          <w:sz w:val="32"/>
          <w:szCs w:val="32"/>
        </w:rPr>
        <w:t>2.解决一批突出环境问题。</w:t>
      </w:r>
      <w:r>
        <w:rPr>
          <w:rFonts w:hint="eastAsia" w:ascii="仿宋_GB2312" w:eastAsia="仿宋_GB2312"/>
          <w:sz w:val="32"/>
          <w:szCs w:val="32"/>
        </w:rPr>
        <w:t>统筹推进突出生态环境问题整改，2023年必须完成的5个和力争高质量提前完成的19个问题整改任务均已完成</w:t>
      </w:r>
      <w:r>
        <w:rPr>
          <w:rFonts w:hint="eastAsia" w:ascii="仿宋_GB2312" w:hAnsi="楷体" w:eastAsia="仿宋_GB2312" w:cs="楷体"/>
          <w:b/>
          <w:color w:val="000000" w:themeColor="text1"/>
          <w:kern w:val="0"/>
          <w:sz w:val="32"/>
          <w:szCs w:val="32"/>
          <w14:textFill>
            <w14:solidFill>
              <w14:schemeClr w14:val="tx1"/>
            </w14:solidFill>
          </w14:textFill>
        </w:rPr>
        <w:t>；</w:t>
      </w:r>
      <w:r>
        <w:rPr>
          <w:rFonts w:hint="eastAsia" w:ascii="仿宋_GB2312" w:eastAsia="仿宋_GB2312"/>
          <w:sz w:val="32"/>
          <w:szCs w:val="32"/>
        </w:rPr>
        <w:t>历次中央、省环保督察及信访件指出我县问题共97个，86项完成整改，11项达到时序进度，年度任务完成率达到100%。对历次中央、省环保督察指出问题开展了地毯式回头看，确保整改实效。5月在省生态环境厅组织召开湘南片区生态环境保护督察工作联席会议上，新田等2个县区作典型经验交流发言。</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3.有效消除环境风险隐患。</w:t>
      </w:r>
      <w:r>
        <w:rPr>
          <w:rFonts w:hint="eastAsia" w:ascii="仿宋_GB2312" w:eastAsia="仿宋_GB2312"/>
          <w:sz w:val="32"/>
          <w:szCs w:val="32"/>
        </w:rPr>
        <w:t>严防生态环境安全隐患，</w:t>
      </w:r>
      <w:r>
        <w:rPr>
          <w:rFonts w:hint="eastAsia" w:ascii="仿宋_GB2312" w:hAnsi="Calibri" w:eastAsia="仿宋_GB2312" w:cs="Times New Roman"/>
          <w:sz w:val="32"/>
          <w:szCs w:val="32"/>
        </w:rPr>
        <w:t>“利剑”行动共发现风险隐患56个</w:t>
      </w:r>
      <w:r>
        <w:rPr>
          <w:rFonts w:hint="eastAsia" w:ascii="仿宋_GB2312" w:eastAsia="仿宋_GB2312"/>
          <w:sz w:val="32"/>
          <w:szCs w:val="32"/>
        </w:rPr>
        <w:t>全部实现调级</w:t>
      </w:r>
      <w:r>
        <w:rPr>
          <w:rFonts w:hint="eastAsia" w:ascii="仿宋_GB2312" w:hAnsi="Calibri" w:eastAsia="仿宋_GB2312" w:cs="Times New Roman"/>
          <w:sz w:val="32"/>
          <w:szCs w:val="32"/>
        </w:rPr>
        <w:t>，</w:t>
      </w:r>
      <w:r>
        <w:rPr>
          <w:rFonts w:hint="eastAsia" w:ascii="仿宋_GB2312" w:eastAsia="仿宋_GB2312"/>
          <w:sz w:val="32"/>
          <w:szCs w:val="32"/>
        </w:rPr>
        <w:t>“一单五制”排查环境问题132个全部整改到位</w:t>
      </w:r>
      <w:r>
        <w:rPr>
          <w:rFonts w:hint="eastAsia" w:ascii="仿宋_GB2312" w:hAnsi="Calibri" w:eastAsia="仿宋_GB2312" w:cs="Times New Roman"/>
          <w:sz w:val="32"/>
          <w:szCs w:val="32"/>
        </w:rPr>
        <w:t>，全县未发生较大及以上突发环境事件</w:t>
      </w:r>
      <w:r>
        <w:rPr>
          <w:rFonts w:hint="eastAsia" w:ascii="仿宋_GB2312" w:eastAsia="仿宋_GB2312"/>
          <w:sz w:val="32"/>
          <w:szCs w:val="32"/>
        </w:rPr>
        <w:t>。保持环境执法高压态势，立案查处环境违法行为31起，处罚金额87.7万元，责令停产整治1家，行政拘留3人。按照确保群众满意原则，及时并有效处理人民群众身边水、气、噪声等环境信访投诉172起。</w:t>
      </w:r>
    </w:p>
    <w:p>
      <w:pPr>
        <w:spacing w:line="560" w:lineRule="exact"/>
        <w:ind w:firstLine="643" w:firstLineChars="200"/>
        <w:jc w:val="left"/>
        <w:rPr>
          <w:rFonts w:hint="eastAsia" w:ascii="仿宋_GB2312" w:hAnsi="Calibri" w:eastAsia="仿宋_GB2312" w:cs="Times New Roman"/>
          <w:sz w:val="32"/>
          <w:szCs w:val="32"/>
        </w:rPr>
      </w:pPr>
      <w:r>
        <w:rPr>
          <w:rFonts w:hint="eastAsia" w:ascii="楷体_GB2312" w:eastAsia="楷体_GB2312"/>
          <w:b/>
          <w:sz w:val="32"/>
          <w:szCs w:val="32"/>
        </w:rPr>
        <w:t>4.突出项目驱动环境治理。</w:t>
      </w:r>
      <w:r>
        <w:rPr>
          <w:rFonts w:hint="eastAsia" w:ascii="仿宋_GB2312" w:hAnsi="Calibri" w:eastAsia="仿宋_GB2312" w:cs="Times New Roman"/>
          <w:sz w:val="32"/>
          <w:szCs w:val="32"/>
        </w:rPr>
        <w:t>高效推进十大生态环保项目，生态修复及流域生态治理工程共4大类11个子项目，在建8个、资金待下达3个，合计完成工程投资2.768亿元，完成目标任务的177%，工程超时序进度且排名全市第一，2023年连续4季度获市政府督查通报表扬。全力开展重点领域环境治理，永州市新田县金陵水库饮用水源地保护区上游水环境治理与生态修复工程、永州市新田河及其支流水生态修复工程2个中央水污染防治专项资金项目，目前正在进行扫尾工作。</w:t>
      </w:r>
    </w:p>
    <w:p>
      <w:pPr>
        <w:spacing w:line="560" w:lineRule="exact"/>
        <w:ind w:firstLine="643" w:firstLineChars="200"/>
        <w:rPr>
          <w:rFonts w:hint="eastAsia" w:ascii="Times New Roman" w:hAnsi="Times New Roman" w:eastAsia="仿宋_GB2312"/>
          <w:b/>
          <w:bCs/>
          <w:sz w:val="32"/>
          <w:szCs w:val="32"/>
        </w:rPr>
      </w:pPr>
      <w:r>
        <w:rPr>
          <w:rFonts w:hint="eastAsia" w:ascii="Times New Roman" w:hAnsi="Times New Roman" w:eastAsia="仿宋_GB2312"/>
          <w:b/>
          <w:bCs/>
          <w:sz w:val="32"/>
          <w:szCs w:val="32"/>
          <w:lang w:eastAsia="zh-CN"/>
        </w:rPr>
        <w:t>二、</w:t>
      </w:r>
      <w:r>
        <w:rPr>
          <w:rFonts w:hint="eastAsia" w:ascii="Times New Roman" w:hAnsi="Times New Roman" w:eastAsia="仿宋_GB2312"/>
          <w:b/>
          <w:bCs/>
          <w:sz w:val="32"/>
          <w:szCs w:val="32"/>
        </w:rPr>
        <w:t>围绕部门（单位）职责、行业发展规划</w:t>
      </w:r>
    </w:p>
    <w:p>
      <w:pPr>
        <w:pBdr>
          <w:bottom w:val="single" w:color="FFFFFF" w:sz="4" w:space="21"/>
        </w:pBdr>
        <w:tabs>
          <w:tab w:val="left" w:pos="8050"/>
          <w:tab w:val="left" w:pos="8094"/>
        </w:tabs>
        <w:topLinePunct/>
        <w:spacing w:line="560" w:lineRule="exact"/>
        <w:ind w:firstLine="643"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b/>
          <w:bCs/>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将始终以习近平生态文明思想为指引，全面贯彻落实党的二十大精神，各级生态环境保护大会精神，持续聚焦打好“蓝天、碧水、净土”三大保卫战，推动新田生态环境质量持续改善，重点做好以下4个方面的工作。</w:t>
      </w:r>
    </w:p>
    <w:p>
      <w:pPr>
        <w:pBdr>
          <w:bottom w:val="single" w:color="FFFFFF" w:sz="4" w:space="21"/>
        </w:pBdr>
        <w:tabs>
          <w:tab w:val="left" w:pos="8050"/>
          <w:tab w:val="left" w:pos="8094"/>
        </w:tabs>
        <w:topLinePunct/>
        <w:spacing w:line="560" w:lineRule="exact"/>
        <w:ind w:firstLine="643" w:firstLineChars="200"/>
        <w:contextualSpacing/>
        <w:rPr>
          <w:rFonts w:ascii="仿宋_GB2312" w:hAnsi="仿宋_GB2312" w:eastAsia="仿宋_GB2312" w:cs="仿宋_GB2312"/>
          <w:sz w:val="32"/>
          <w:szCs w:val="32"/>
        </w:rPr>
      </w:pPr>
      <w:r>
        <w:rPr>
          <w:rFonts w:hint="eastAsia" w:ascii="楷体_GB2312" w:hAnsi="仿宋_GB2312" w:eastAsia="楷体_GB2312" w:cs="仿宋_GB2312"/>
          <w:b/>
          <w:sz w:val="32"/>
          <w:szCs w:val="32"/>
        </w:rPr>
        <w:t>1.持续深入打好污染防治攻坚战。</w:t>
      </w:r>
      <w:r>
        <w:rPr>
          <w:rFonts w:hint="eastAsia" w:ascii="Times New Roman" w:hAnsi="Times New Roman" w:eastAsia="仿宋_GB2312"/>
          <w:color w:val="000000"/>
          <w:sz w:val="32"/>
          <w:szCs w:val="32"/>
        </w:rPr>
        <w:t>持之以恒抓好水质提升工作</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紧盯城镇生活污水处理厂进水浓度提升，实施管网改造等工程，提高城</w:t>
      </w:r>
      <w:r>
        <w:rPr>
          <w:rFonts w:hint="eastAsia" w:ascii="Times New Roman" w:hAnsi="Times New Roman" w:eastAsia="仿宋_GB2312"/>
          <w:color w:val="000000"/>
          <w:sz w:val="32"/>
          <w:szCs w:val="32"/>
        </w:rPr>
        <w:t>区</w:t>
      </w:r>
      <w:r>
        <w:rPr>
          <w:rFonts w:ascii="Times New Roman" w:hAnsi="Times New Roman" w:eastAsia="仿宋_GB2312"/>
          <w:color w:val="000000"/>
          <w:sz w:val="32"/>
          <w:szCs w:val="32"/>
        </w:rPr>
        <w:t>生活污水收集率。</w:t>
      </w:r>
      <w:r>
        <w:rPr>
          <w:rFonts w:hint="eastAsia" w:ascii="Times New Roman" w:hAnsi="Times New Roman" w:eastAsia="仿宋_GB2312"/>
          <w:color w:val="000000"/>
          <w:sz w:val="32"/>
          <w:szCs w:val="32"/>
        </w:rPr>
        <w:t>推进</w:t>
      </w:r>
      <w:r>
        <w:rPr>
          <w:rFonts w:ascii="Times New Roman" w:hAnsi="Times New Roman" w:eastAsia="仿宋_GB2312"/>
          <w:color w:val="000000"/>
          <w:sz w:val="32"/>
          <w:szCs w:val="32"/>
        </w:rPr>
        <w:t>乡镇污水处理厂</w:t>
      </w:r>
      <w:r>
        <w:rPr>
          <w:rFonts w:hint="eastAsia" w:ascii="Times New Roman" w:hAnsi="Times New Roman" w:eastAsia="仿宋_GB2312"/>
          <w:color w:val="000000"/>
          <w:sz w:val="32"/>
          <w:szCs w:val="32"/>
        </w:rPr>
        <w:t>专业化运营</w:t>
      </w:r>
      <w:r>
        <w:rPr>
          <w:rFonts w:ascii="Times New Roman" w:hAnsi="Times New Roman" w:eastAsia="仿宋_GB2312"/>
          <w:color w:val="000000"/>
          <w:sz w:val="32"/>
          <w:szCs w:val="32"/>
        </w:rPr>
        <w:t>，保障污水处理厂的正常运行。加强畜禽养殖业污染治理，</w:t>
      </w:r>
      <w:r>
        <w:rPr>
          <w:rFonts w:hint="eastAsia" w:ascii="Times New Roman" w:hAnsi="Times New Roman" w:eastAsia="仿宋_GB2312"/>
          <w:color w:val="000000"/>
          <w:sz w:val="32"/>
          <w:szCs w:val="32"/>
        </w:rPr>
        <w:t>全面</w:t>
      </w:r>
      <w:r>
        <w:rPr>
          <w:rFonts w:ascii="Times New Roman" w:hAnsi="Times New Roman" w:eastAsia="仿宋_GB2312"/>
          <w:color w:val="000000"/>
          <w:sz w:val="32"/>
          <w:szCs w:val="32"/>
        </w:rPr>
        <w:t>开展牛蛙养殖专项整治，</w:t>
      </w:r>
      <w:r>
        <w:rPr>
          <w:rFonts w:hint="eastAsia" w:ascii="Times New Roman" w:hAnsi="Times New Roman" w:eastAsia="仿宋_GB2312"/>
          <w:color w:val="000000"/>
          <w:sz w:val="32"/>
          <w:szCs w:val="32"/>
        </w:rPr>
        <w:t>鼓励合法养殖、打击违法违规</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深入</w:t>
      </w:r>
      <w:r>
        <w:rPr>
          <w:rFonts w:hint="eastAsia" w:ascii="仿宋_GB2312" w:eastAsia="仿宋_GB2312"/>
          <w:sz w:val="32"/>
          <w:szCs w:val="32"/>
        </w:rPr>
        <w:t>开展入河排污口专项排查整治，持续推进饮用水源环境问题整治，重点推动沿河两岸农村生活污水治理。</w:t>
      </w:r>
      <w:r>
        <w:rPr>
          <w:rFonts w:hint="eastAsia" w:ascii="仿宋_GB2312" w:eastAsia="仿宋_GB2312"/>
          <w:b/>
          <w:sz w:val="32"/>
          <w:szCs w:val="32"/>
        </w:rPr>
        <w:t>坚定不移推进大气污染防治。</w:t>
      </w:r>
      <w:r>
        <w:rPr>
          <w:rFonts w:hint="eastAsia" w:ascii="仿宋_GB2312" w:eastAsia="仿宋_GB2312"/>
          <w:sz w:val="32"/>
          <w:szCs w:val="32"/>
        </w:rPr>
        <w:t>坚持源头防控、系统治理，以采石、制砖、石灰、水泥等为重点行业，以柴油货车、露天焚烧秸秆、餐饮油烟、城市扬尘等为重点领域，以细颗粒物（PM2.5）等为重点因子，以特护期为重点时段，以县城为重点区域，深入开展“守护蓝天”行动</w:t>
      </w:r>
      <w:r>
        <w:rPr>
          <w:rFonts w:hint="eastAsia" w:ascii="Times New Roman" w:hAnsi="Times New Roman" w:eastAsia="仿宋_GB2312"/>
          <w:color w:val="000000"/>
          <w:sz w:val="32"/>
          <w:szCs w:val="32"/>
        </w:rPr>
        <w:t>，力争空气质</w:t>
      </w:r>
      <w:r>
        <w:rPr>
          <w:rFonts w:hint="eastAsia" w:ascii="仿宋_GB2312" w:eastAsia="仿宋_GB2312"/>
          <w:sz w:val="32"/>
          <w:szCs w:val="32"/>
        </w:rPr>
        <w:t>量稳中有升。</w:t>
      </w:r>
      <w:bookmarkStart w:id="7" w:name="dttl"/>
      <w:r>
        <w:rPr>
          <w:rFonts w:ascii="仿宋_GB2312" w:eastAsia="仿宋_GB2312"/>
          <w:b/>
          <w:sz w:val="32"/>
          <w:szCs w:val="32"/>
        </w:rPr>
        <w:fldChar w:fldCharType="begin"/>
      </w:r>
      <w:r>
        <w:rPr>
          <w:rFonts w:ascii="仿宋_GB2312" w:eastAsia="仿宋_GB2312"/>
          <w:b/>
          <w:sz w:val="32"/>
          <w:szCs w:val="32"/>
        </w:rPr>
        <w:instrText xml:space="preserve"> HYPERLINK "https://www.sogou.com/link?url=LeoKdSZoUyBC-W9k-_3Dg4LpwHTYbMavshWfmMSZAoQzsL_whtuHgA.." \t "_blank" </w:instrText>
      </w:r>
      <w:r>
        <w:rPr>
          <w:rFonts w:ascii="仿宋_GB2312" w:eastAsia="仿宋_GB2312"/>
          <w:b/>
          <w:sz w:val="32"/>
          <w:szCs w:val="32"/>
        </w:rPr>
        <w:fldChar w:fldCharType="separate"/>
      </w:r>
      <w:r>
        <w:rPr>
          <w:rFonts w:hint="eastAsia" w:ascii="仿宋_GB2312" w:eastAsia="仿宋_GB2312"/>
          <w:b/>
          <w:sz w:val="32"/>
          <w:szCs w:val="32"/>
        </w:rPr>
        <w:t>全力以赴保障</w:t>
      </w:r>
      <w:r>
        <w:rPr>
          <w:rFonts w:ascii="仿宋_GB2312" w:eastAsia="仿宋_GB2312"/>
          <w:b/>
          <w:sz w:val="32"/>
          <w:szCs w:val="32"/>
        </w:rPr>
        <w:t>土壤环境安全</w:t>
      </w:r>
      <w:r>
        <w:rPr>
          <w:rFonts w:ascii="仿宋_GB2312" w:eastAsia="仿宋_GB2312"/>
          <w:b/>
          <w:sz w:val="32"/>
          <w:szCs w:val="32"/>
        </w:rPr>
        <w:fldChar w:fldCharType="end"/>
      </w:r>
      <w:bookmarkEnd w:id="7"/>
      <w:r>
        <w:rPr>
          <w:rFonts w:hint="eastAsia" w:ascii="仿宋_GB2312" w:eastAsia="仿宋_GB2312"/>
          <w:b/>
          <w:sz w:val="32"/>
          <w:szCs w:val="32"/>
        </w:rPr>
        <w:t>。</w:t>
      </w:r>
      <w:r>
        <w:rPr>
          <w:rFonts w:hint="eastAsia" w:ascii="仿宋_GB2312" w:hAnsi="仿宋_GB2312" w:eastAsia="仿宋_GB2312" w:cs="仿宋_GB2312"/>
          <w:sz w:val="32"/>
          <w:szCs w:val="32"/>
        </w:rPr>
        <w:t>加强重点建设用地土壤环境监督管理，落实联动监管机制，确保建设用地土壤环境安全。加大重金属污染排查防控力度，保持重金属污染“零”的记录。加强固废危废监管，进一步落实申报登记制度，严厉打击非法转运、倾倒固废行为。强力推进农村生活污水治理，以项目建设带动提高农村生活污水治理水平。</w:t>
      </w:r>
    </w:p>
    <w:p>
      <w:pPr>
        <w:pBdr>
          <w:bottom w:val="single" w:color="FFFFFF" w:sz="4" w:space="21"/>
        </w:pBdr>
        <w:tabs>
          <w:tab w:val="left" w:pos="8050"/>
          <w:tab w:val="left" w:pos="8094"/>
        </w:tabs>
        <w:topLinePunct/>
        <w:spacing w:line="560" w:lineRule="exact"/>
        <w:ind w:firstLine="643"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sz w:val="32"/>
          <w:szCs w:val="32"/>
        </w:rPr>
        <w:t>2.大力开展生态环境保护项目工作。</w:t>
      </w:r>
      <w:r>
        <w:rPr>
          <w:rFonts w:hint="eastAsia" w:ascii="仿宋_GB2312" w:hAnsi="仿宋_GB2312" w:eastAsia="仿宋_GB2312" w:cs="仿宋_GB2312"/>
          <w:sz w:val="32"/>
          <w:szCs w:val="32"/>
        </w:rPr>
        <w:t>将解决突出环境问题作为项目包装储备的着力点，以农村生活污水治理、饮用水源保护、流域生态修复等群众关注度高的事项为重点，扎实推进环保项目工作</w:t>
      </w:r>
      <w:r>
        <w:rPr>
          <w:rFonts w:hint="eastAsia" w:ascii="仿宋_GB2312" w:eastAsia="仿宋_GB2312"/>
          <w:sz w:val="32"/>
          <w:szCs w:val="32"/>
        </w:rPr>
        <w:t>。认真谋划并推进2024年十大生态环保项目-新田县生态环境质量综合提升工程，总投资17亿，争取年内完成工程投资4.5亿元。</w:t>
      </w:r>
      <w:r>
        <w:rPr>
          <w:rFonts w:hint="eastAsia" w:ascii="仿宋_GB2312" w:hAnsi="仿宋_GB2312" w:eastAsia="仿宋_GB2312" w:cs="仿宋_GB2312"/>
          <w:sz w:val="32"/>
          <w:szCs w:val="32"/>
        </w:rPr>
        <w:t>全力申报并开展新田县受污染耕地安全利用项目、南岭山地森林及生物多样性生态功能区—新田县农村集中式生活污水处理设施及配套管网建设工程等项目，目前已下达中央资金2900万元。</w:t>
      </w:r>
    </w:p>
    <w:p>
      <w:pPr>
        <w:pBdr>
          <w:bottom w:val="single" w:color="FFFFFF" w:sz="4" w:space="21"/>
        </w:pBdr>
        <w:tabs>
          <w:tab w:val="left" w:pos="8050"/>
          <w:tab w:val="left" w:pos="8094"/>
        </w:tabs>
        <w:topLinePunct/>
        <w:spacing w:line="560" w:lineRule="exact"/>
        <w:ind w:firstLine="643"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sz w:val="32"/>
          <w:szCs w:val="32"/>
        </w:rPr>
        <w:t>3.扎实推进突出生态环境问题整改。</w:t>
      </w:r>
      <w:r>
        <w:rPr>
          <w:rFonts w:hint="eastAsia" w:ascii="仿宋_GB2312" w:eastAsia="仿宋_GB2312"/>
          <w:b/>
          <w:sz w:val="32"/>
          <w:szCs w:val="32"/>
        </w:rPr>
        <w:t>一是</w:t>
      </w:r>
      <w:r>
        <w:rPr>
          <w:rFonts w:hint="eastAsia" w:ascii="仿宋_GB2312" w:eastAsia="仿宋_GB2312"/>
          <w:sz w:val="32"/>
          <w:szCs w:val="32"/>
        </w:rPr>
        <w:t>积极回应群众关切，及时、有效处理各类环境信访问题。</w:t>
      </w:r>
      <w:r>
        <w:rPr>
          <w:rFonts w:hint="eastAsia" w:ascii="仿宋_GB2312" w:eastAsia="仿宋_GB2312"/>
          <w:b/>
          <w:sz w:val="32"/>
          <w:szCs w:val="32"/>
        </w:rPr>
        <w:t>二是</w:t>
      </w:r>
      <w:r>
        <w:rPr>
          <w:rFonts w:hint="eastAsia" w:ascii="仿宋_GB2312" w:eastAsia="仿宋_GB2312"/>
          <w:sz w:val="32"/>
          <w:szCs w:val="32"/>
        </w:rPr>
        <w:t>围绕重复投诉、超期办结、群众满意度不高的问题开展整改。</w:t>
      </w:r>
      <w:r>
        <w:rPr>
          <w:rFonts w:hint="eastAsia" w:ascii="仿宋_GB2312" w:eastAsia="仿宋_GB2312"/>
          <w:b/>
          <w:sz w:val="32"/>
          <w:szCs w:val="32"/>
        </w:rPr>
        <w:t>三是</w:t>
      </w:r>
      <w:r>
        <w:rPr>
          <w:rFonts w:hint="eastAsia" w:ascii="仿宋_GB2312" w:eastAsia="仿宋_GB2312"/>
          <w:sz w:val="32"/>
          <w:szCs w:val="32"/>
        </w:rPr>
        <w:t>认真开展“未督先查”，做好迎接新一轮环保督察准备工作。对照历次中央、省环保督察整改方案，梳理出今年必须完成的任务，逐个倒排工期，确保按期销号。全面开展环保督察指出问题、省市警示片披露问题整改“回头看”，严防问题反弹，巩固整改成效。全面排查整治风险隐患，及时化解矛盾纠纷，推动生态环境问题“去存量、控增量、防变量”。</w:t>
      </w:r>
    </w:p>
    <w:p>
      <w:pPr>
        <w:keepNext w:val="0"/>
        <w:keepLines w:val="0"/>
        <w:pageBreakBefore w:val="0"/>
        <w:widowControl w:val="0"/>
        <w:pBdr>
          <w:bottom w:val="single" w:color="FFFFFF" w:sz="4" w:space="21"/>
        </w:pBdr>
        <w:tabs>
          <w:tab w:val="left" w:pos="8050"/>
          <w:tab w:val="left" w:pos="8094"/>
        </w:tabs>
        <w:kinsoku/>
        <w:wordWrap/>
        <w:overflowPunct/>
        <w:topLinePunct/>
        <w:autoSpaceDE/>
        <w:autoSpaceDN/>
        <w:bidi w:val="0"/>
        <w:adjustRightInd/>
        <w:snapToGrid/>
        <w:spacing w:line="540" w:lineRule="exact"/>
        <w:ind w:firstLine="643" w:firstLineChars="200"/>
        <w:contextualSpacing/>
        <w:textAlignment w:val="auto"/>
        <w:rPr>
          <w:rFonts w:hint="eastAsia" w:ascii="仿宋_GB2312" w:eastAsia="仿宋_GB2312"/>
          <w:sz w:val="32"/>
          <w:szCs w:val="32"/>
        </w:rPr>
      </w:pPr>
      <w:r>
        <w:rPr>
          <w:rFonts w:hint="eastAsia" w:ascii="楷体_GB2312" w:hAnsi="仿宋_GB2312" w:eastAsia="楷体_GB2312" w:cs="仿宋_GB2312"/>
          <w:b/>
          <w:sz w:val="32"/>
          <w:szCs w:val="32"/>
        </w:rPr>
        <w:t>4.</w:t>
      </w:r>
      <w:r>
        <w:rPr>
          <w:rFonts w:ascii="楷体_GB2312" w:hAnsi="仿宋_GB2312" w:eastAsia="楷体_GB2312" w:cs="仿宋_GB2312"/>
          <w:b/>
          <w:sz w:val="32"/>
          <w:szCs w:val="32"/>
        </w:rPr>
        <w:t>全力争取省政府真抓实干督查激励。</w:t>
      </w:r>
      <w:r>
        <w:rPr>
          <w:rFonts w:hint="eastAsia" w:ascii="仿宋_GB2312" w:eastAsia="仿宋_GB2312"/>
          <w:sz w:val="32"/>
          <w:szCs w:val="32"/>
        </w:rPr>
        <w:t>持续</w:t>
      </w:r>
      <w:r>
        <w:rPr>
          <w:rFonts w:ascii="仿宋_GB2312" w:eastAsia="仿宋_GB2312"/>
          <w:sz w:val="32"/>
          <w:szCs w:val="32"/>
        </w:rPr>
        <w:t>将争取真抓实干督查激励转化为推动全</w:t>
      </w:r>
      <w:r>
        <w:rPr>
          <w:rFonts w:hint="eastAsia" w:ascii="仿宋_GB2312" w:eastAsia="仿宋_GB2312"/>
          <w:sz w:val="32"/>
          <w:szCs w:val="32"/>
        </w:rPr>
        <w:t>县生态文明建设</w:t>
      </w:r>
      <w:r>
        <w:rPr>
          <w:rFonts w:ascii="仿宋_GB2312" w:eastAsia="仿宋_GB2312"/>
          <w:sz w:val="32"/>
          <w:szCs w:val="32"/>
        </w:rPr>
        <w:t>的重要抓手，进一步落细落实。</w:t>
      </w:r>
      <w:r>
        <w:rPr>
          <w:rFonts w:hint="eastAsia" w:ascii="仿宋_GB2312" w:eastAsia="仿宋_GB2312"/>
          <w:sz w:val="32"/>
          <w:szCs w:val="32"/>
        </w:rPr>
        <w:t>今年，我局将</w:t>
      </w:r>
      <w:r>
        <w:rPr>
          <w:rFonts w:ascii="仿宋_GB2312" w:eastAsia="仿宋_GB2312"/>
          <w:sz w:val="32"/>
          <w:szCs w:val="32"/>
        </w:rPr>
        <w:t>把</w:t>
      </w:r>
      <w:r>
        <w:rPr>
          <w:rFonts w:hint="eastAsia" w:ascii="仿宋_GB2312" w:eastAsia="仿宋_GB2312"/>
          <w:sz w:val="32"/>
          <w:szCs w:val="32"/>
        </w:rPr>
        <w:t>污染防治攻坚战“夏季攻势”作为</w:t>
      </w:r>
      <w:r>
        <w:rPr>
          <w:rFonts w:ascii="仿宋_GB2312" w:eastAsia="仿宋_GB2312"/>
          <w:sz w:val="32"/>
          <w:szCs w:val="32"/>
        </w:rPr>
        <w:t>争取真抓实干</w:t>
      </w:r>
      <w:r>
        <w:rPr>
          <w:rFonts w:hint="eastAsia" w:ascii="仿宋_GB2312" w:eastAsia="仿宋_GB2312"/>
          <w:sz w:val="32"/>
          <w:szCs w:val="32"/>
        </w:rPr>
        <w:t>的主攻方向，</w:t>
      </w:r>
      <w:r>
        <w:rPr>
          <w:rFonts w:hint="eastAsia" w:ascii="仿宋_GB2312" w:eastAsia="仿宋_GB2312"/>
          <w:b/>
          <w:sz w:val="32"/>
          <w:szCs w:val="32"/>
        </w:rPr>
        <w:t>一是</w:t>
      </w:r>
      <w:r>
        <w:rPr>
          <w:rFonts w:hint="eastAsia" w:ascii="仿宋_GB2312" w:eastAsia="仿宋_GB2312"/>
          <w:sz w:val="32"/>
          <w:szCs w:val="32"/>
        </w:rPr>
        <w:t>超前谋划，结合当前工作实际，全面谋划目标任务，</w:t>
      </w:r>
      <w:r>
        <w:rPr>
          <w:rFonts w:hint="eastAsia" w:ascii="仿宋_GB2312" w:hAnsi="仿宋_GB2312" w:eastAsia="仿宋_GB2312" w:cs="仿宋_GB2312"/>
          <w:sz w:val="32"/>
          <w:szCs w:val="32"/>
        </w:rPr>
        <w:t>确保省定任务量在80个以上；</w:t>
      </w:r>
      <w:r>
        <w:rPr>
          <w:rFonts w:hint="eastAsia" w:ascii="仿宋_GB2312" w:eastAsia="仿宋_GB2312"/>
          <w:b/>
          <w:sz w:val="32"/>
          <w:szCs w:val="32"/>
        </w:rPr>
        <w:t>二是</w:t>
      </w:r>
      <w:r>
        <w:rPr>
          <w:rFonts w:hint="eastAsia" w:ascii="仿宋_GB2312" w:hAnsi="仿宋_GB2312" w:eastAsia="仿宋_GB2312" w:cs="仿宋_GB2312"/>
          <w:sz w:val="32"/>
          <w:szCs w:val="32"/>
        </w:rPr>
        <w:t>及早部署，提前梳理全县任务，交办至相关部门开展工作，打好工作提前量，并将完成期限在市定目标上全面提前1-3个月不等</w:t>
      </w:r>
      <w:r>
        <w:rPr>
          <w:rFonts w:hint="eastAsia" w:ascii="仿宋_GB2312" w:eastAsia="仿宋_GB2312"/>
          <w:sz w:val="32"/>
          <w:szCs w:val="32"/>
        </w:rPr>
        <w:t>；</w:t>
      </w:r>
      <w:r>
        <w:rPr>
          <w:rFonts w:hint="eastAsia" w:ascii="仿宋_GB2312" w:eastAsia="仿宋_GB2312"/>
          <w:b/>
          <w:sz w:val="32"/>
          <w:szCs w:val="32"/>
        </w:rPr>
        <w:t>三是</w:t>
      </w:r>
      <w:r>
        <w:rPr>
          <w:rFonts w:hint="eastAsia" w:ascii="仿宋_GB2312" w:eastAsia="仿宋_GB2312"/>
          <w:sz w:val="32"/>
          <w:szCs w:val="32"/>
        </w:rPr>
        <w:t>狠抓落实，始终坚持问题导向</w:t>
      </w:r>
      <w:r>
        <w:rPr>
          <w:rFonts w:hint="eastAsia" w:ascii="仿宋_GB2312" w:hAnsi="仿宋_GB2312" w:eastAsia="仿宋_GB2312" w:cs="仿宋_GB2312"/>
          <w:sz w:val="32"/>
          <w:szCs w:val="32"/>
        </w:rPr>
        <w:t>，倒排任务工期、加快节奏推进，强化调度督导、提高质量标准，</w:t>
      </w:r>
      <w:r>
        <w:rPr>
          <w:rFonts w:hint="eastAsia" w:ascii="仿宋_GB2312" w:hAnsi="仿宋_GB2312" w:eastAsia="仿宋_GB2312" w:cs="仿宋_GB2312"/>
          <w:sz w:val="32"/>
          <w:szCs w:val="40"/>
        </w:rPr>
        <w:t>确保任务</w:t>
      </w:r>
      <w:r>
        <w:rPr>
          <w:rFonts w:hint="eastAsia" w:ascii="仿宋_GB2312" w:eastAsia="仿宋_GB2312"/>
          <w:sz w:val="32"/>
          <w:szCs w:val="32"/>
        </w:rPr>
        <w:t>按期顺利交账，争取工作走在前列。</w:t>
      </w:r>
    </w:p>
    <w:p>
      <w:pPr>
        <w:pStyle w:val="3"/>
        <w:rPr>
          <w:rFonts w:hint="default" w:eastAsia="仿宋_GB2312"/>
          <w:lang w:val="en-US" w:eastAsia="zh-CN"/>
        </w:rPr>
      </w:pPr>
    </w:p>
    <w:p>
      <w:pPr>
        <w:pStyle w:val="3"/>
        <w:rPr>
          <w:rFonts w:hint="eastAsia"/>
        </w:rPr>
      </w:pPr>
    </w:p>
    <w:p>
      <w:pPr>
        <w:pStyle w:val="13"/>
        <w:keepNext w:val="0"/>
        <w:keepLines w:val="0"/>
        <w:pageBreakBefore w:val="0"/>
        <w:widowControl w:val="0"/>
        <w:numPr>
          <w:ilvl w:val="0"/>
          <w:numId w:val="4"/>
        </w:numPr>
        <w:kinsoku/>
        <w:wordWrap/>
        <w:overflowPunct/>
        <w:topLinePunct w:val="0"/>
        <w:bidi w:val="0"/>
        <w:snapToGrid/>
        <w:spacing w:line="600" w:lineRule="exact"/>
        <w:ind w:left="741" w:leftChars="200" w:hanging="321" w:hangingChars="100"/>
        <w:jc w:val="left"/>
        <w:textAlignment w:val="auto"/>
        <w:rPr>
          <w:rFonts w:hint="eastAsia" w:ascii="仿宋_GB2312" w:hAnsi="仿宋_GB2312" w:eastAsia="仿宋_GB2312" w:cs="仿宋_GB2312"/>
          <w:sz w:val="32"/>
          <w:szCs w:val="32"/>
        </w:rPr>
      </w:pPr>
      <w:r>
        <w:rPr>
          <w:rFonts w:hint="eastAsia" w:ascii="Times New Roman" w:hAnsi="Times New Roman" w:eastAsia="仿宋_GB2312"/>
          <w:b/>
          <w:bCs/>
          <w:sz w:val="32"/>
          <w:szCs w:val="32"/>
        </w:rPr>
        <w:t>以预算资金管理为主线，总结部门（单位）资产管理和开展业务情况</w:t>
      </w:r>
      <w:r>
        <w:rPr>
          <w:rFonts w:hint="eastAsia" w:ascii="Times New Roman" w:hAnsi="Times New Roman" w:eastAsia="仿宋_GB2312"/>
          <w:sz w:val="32"/>
          <w:szCs w:val="32"/>
          <w:lang w:eastAsia="zh-CN"/>
        </w:rPr>
        <w:t>：</w:t>
      </w:r>
      <w:bookmarkStart w:id="8" w:name="OLE_LINK16"/>
    </w:p>
    <w:p>
      <w:pPr>
        <w:pStyle w:val="13"/>
        <w:keepNext w:val="0"/>
        <w:keepLines w:val="0"/>
        <w:pageBreakBefore w:val="0"/>
        <w:widowControl w:val="0"/>
        <w:numPr>
          <w:ilvl w:val="0"/>
          <w:numId w:val="0"/>
        </w:numPr>
        <w:kinsoku/>
        <w:wordWrap/>
        <w:overflowPunct/>
        <w:topLinePunct w:val="0"/>
        <w:bidi w:val="0"/>
        <w:snapToGrid/>
        <w:spacing w:line="600" w:lineRule="exact"/>
        <w:ind w:leftChars="100"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为加强和规范行政事业单位及其事业单位所办企业国有资产管理，维</w:t>
      </w:r>
    </w:p>
    <w:p>
      <w:pPr>
        <w:pStyle w:val="13"/>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eastAsia" w:ascii="Times New Roman" w:hAnsi="Times New Roman" w:eastAsia="仿宋_GB2312"/>
          <w:b/>
          <w:bCs/>
          <w:sz w:val="32"/>
          <w:szCs w:val="32"/>
          <w:lang w:val="en-US" w:eastAsia="zh-CN"/>
        </w:rPr>
      </w:pPr>
      <w:r>
        <w:rPr>
          <w:rFonts w:hint="eastAsia" w:ascii="仿宋_GB2312" w:hAnsi="仿宋_GB2312" w:eastAsia="仿宋_GB2312" w:cs="仿宋_GB2312"/>
          <w:sz w:val="32"/>
          <w:szCs w:val="32"/>
        </w:rPr>
        <w:t>护国有资产安全完整，确保国有资产合理配置和有效利用</w:t>
      </w:r>
      <w:r>
        <w:rPr>
          <w:rFonts w:hint="eastAsia" w:ascii="仿宋_GB2312" w:hAnsi="仿宋_GB2312" w:eastAsia="仿宋_GB2312" w:cs="仿宋_GB2312"/>
          <w:sz w:val="32"/>
          <w:szCs w:val="32"/>
          <w:lang w:eastAsia="zh-CN"/>
        </w:rPr>
        <w:t>，严格资产预算管理，成立资产管理领导小组，并有专人对资产进行管理，做到账账相符，账实相符，但资产管理的质量还有待提高</w:t>
      </w:r>
      <w:bookmarkEnd w:id="8"/>
      <w:r>
        <w:rPr>
          <w:rFonts w:hint="eastAsia" w:ascii="仿宋_GB2312" w:hAnsi="仿宋_GB2312" w:eastAsia="仿宋_GB2312" w:cs="仿宋_GB2312"/>
          <w:sz w:val="32"/>
          <w:szCs w:val="32"/>
          <w:lang w:eastAsia="zh-CN"/>
        </w:rPr>
        <w:t>。</w:t>
      </w:r>
    </w:p>
    <w:p>
      <w:pPr>
        <w:numPr>
          <w:ilvl w:val="0"/>
          <w:numId w:val="4"/>
        </w:numPr>
        <w:spacing w:line="560" w:lineRule="exact"/>
        <w:ind w:left="741" w:leftChars="200" w:hanging="321" w:hangingChars="100"/>
        <w:rPr>
          <w:rFonts w:hint="eastAsia" w:ascii="Times New Roman" w:hAnsi="Times New Roman" w:eastAsia="仿宋_GB2312"/>
          <w:b/>
          <w:bCs/>
          <w:sz w:val="32"/>
          <w:szCs w:val="32"/>
        </w:rPr>
      </w:pPr>
      <w:r>
        <w:rPr>
          <w:rFonts w:hint="eastAsia" w:ascii="Times New Roman" w:hAnsi="Times New Roman" w:eastAsia="仿宋_GB2312"/>
          <w:b/>
          <w:bCs/>
          <w:sz w:val="32"/>
          <w:szCs w:val="32"/>
        </w:rPr>
        <w:t>从运行成本、管理效率、履职效能、社会效应、可持续发展能力和服务对象满意度等方面，衡量部门（单位）整体及核心业务实施效果</w:t>
      </w:r>
    </w:p>
    <w:p>
      <w:pPr>
        <w:numPr>
          <w:ilvl w:val="0"/>
          <w:numId w:val="5"/>
        </w:numPr>
        <w:spacing w:line="560" w:lineRule="exact"/>
        <w:ind w:leftChars="100"/>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运行成本方面</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预算管理：202</w:t>
      </w:r>
      <w:r>
        <w:rPr>
          <w:rFonts w:hint="eastAsia" w:eastAsia="仿宋_GB2312" w:cs="Times New Roman"/>
          <w:b w:val="0"/>
          <w:color w:val="000000"/>
          <w:kern w:val="2"/>
          <w:sz w:val="32"/>
          <w:szCs w:val="32"/>
          <w:lang w:val="en-US" w:eastAsia="zh-CN" w:bidi="ar-SA"/>
        </w:rPr>
        <w:t>3</w:t>
      </w:r>
      <w:r>
        <w:rPr>
          <w:rFonts w:hint="eastAsia" w:ascii="Times New Roman" w:hAnsi="Times New Roman" w:eastAsia="仿宋_GB2312" w:cs="Times New Roman"/>
          <w:b w:val="0"/>
          <w:color w:val="000000"/>
          <w:kern w:val="2"/>
          <w:sz w:val="32"/>
          <w:szCs w:val="32"/>
          <w:lang w:val="en-US" w:eastAsia="zh-CN" w:bidi="ar-SA"/>
        </w:rPr>
        <w:t>年年初一般公共预算</w:t>
      </w:r>
      <w:r>
        <w:rPr>
          <w:rFonts w:hint="eastAsia" w:eastAsia="仿宋_GB2312" w:cs="Times New Roman"/>
          <w:b w:val="0"/>
          <w:color w:val="000000"/>
          <w:kern w:val="2"/>
          <w:sz w:val="32"/>
          <w:szCs w:val="32"/>
          <w:lang w:val="en-US" w:eastAsia="zh-CN" w:bidi="ar-SA"/>
        </w:rPr>
        <w:t>497.32万元</w:t>
      </w:r>
      <w:r>
        <w:rPr>
          <w:rFonts w:hint="eastAsia" w:ascii="Times New Roman" w:hAnsi="Times New Roman" w:eastAsia="仿宋_GB2312" w:cs="Times New Roman"/>
          <w:b w:val="0"/>
          <w:color w:val="000000"/>
          <w:kern w:val="2"/>
          <w:sz w:val="32"/>
          <w:szCs w:val="32"/>
          <w:lang w:val="en-US" w:eastAsia="zh-CN" w:bidi="ar-SA"/>
        </w:rPr>
        <w:t>,年中预算</w:t>
      </w:r>
      <w:r>
        <w:rPr>
          <w:rFonts w:hint="eastAsia" w:eastAsia="仿宋_GB2312" w:cs="Times New Roman"/>
          <w:b w:val="0"/>
          <w:color w:val="000000"/>
          <w:kern w:val="2"/>
          <w:sz w:val="32"/>
          <w:szCs w:val="32"/>
          <w:lang w:val="en-US" w:eastAsia="zh-CN" w:bidi="ar-SA"/>
        </w:rPr>
        <w:t>增加12.46</w:t>
      </w:r>
      <w:r>
        <w:rPr>
          <w:rFonts w:hint="eastAsia" w:ascii="Times New Roman" w:hAnsi="Times New Roman" w:eastAsia="仿宋_GB2312" w:cs="Times New Roman"/>
          <w:b w:val="0"/>
          <w:color w:val="000000"/>
          <w:kern w:val="2"/>
          <w:sz w:val="32"/>
          <w:szCs w:val="32"/>
          <w:lang w:val="en-US" w:eastAsia="zh-CN" w:bidi="ar-SA"/>
        </w:rPr>
        <w:t>万元,预算变动率</w:t>
      </w:r>
      <w:r>
        <w:rPr>
          <w:rFonts w:hint="eastAsia" w:eastAsia="仿宋_GB2312" w:cs="Times New Roman"/>
          <w:b w:val="0"/>
          <w:color w:val="000000"/>
          <w:kern w:val="2"/>
          <w:sz w:val="32"/>
          <w:szCs w:val="32"/>
          <w:lang w:val="en-US" w:eastAsia="zh-CN" w:bidi="ar-SA"/>
        </w:rPr>
        <w:t>2.5</w:t>
      </w:r>
      <w:r>
        <w:rPr>
          <w:rFonts w:hint="eastAsia" w:ascii="Times New Roman" w:hAnsi="Times New Roman" w:eastAsia="仿宋_GB2312" w:cs="Times New Roman"/>
          <w:b w:val="0"/>
          <w:color w:val="000000"/>
          <w:kern w:val="2"/>
          <w:sz w:val="32"/>
          <w:szCs w:val="32"/>
          <w:lang w:val="en-US" w:eastAsia="zh-CN" w:bidi="ar-SA"/>
        </w:rPr>
        <w:t>%,预算执行率</w:t>
      </w:r>
      <w:r>
        <w:rPr>
          <w:rFonts w:hint="eastAsia" w:eastAsia="仿宋_GB2312" w:cs="Times New Roman"/>
          <w:b w:val="0"/>
          <w:color w:val="000000"/>
          <w:kern w:val="2"/>
          <w:sz w:val="32"/>
          <w:szCs w:val="32"/>
          <w:lang w:val="en-US" w:eastAsia="zh-CN" w:bidi="ar-SA"/>
        </w:rPr>
        <w:t>97.56</w:t>
      </w:r>
      <w:r>
        <w:rPr>
          <w:rFonts w:hint="eastAsia" w:ascii="Times New Roman" w:hAnsi="Times New Roman" w:eastAsia="仿宋_GB2312" w:cs="Times New Roman"/>
          <w:b w:val="0"/>
          <w:color w:val="000000"/>
          <w:kern w:val="2"/>
          <w:sz w:val="32"/>
          <w:szCs w:val="32"/>
          <w:lang w:val="en-US" w:eastAsia="zh-CN" w:bidi="ar-SA"/>
        </w:rPr>
        <w:t>%，执法办案经费和基本监测经费成本控制较好，预算执行率100%。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391.99</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314.80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80.31</w:t>
      </w:r>
      <w:r>
        <w:rPr>
          <w:rFonts w:hint="eastAsia" w:ascii="Times New Roman" w:hAnsi="Times New Roman" w:eastAsia="仿宋_GB2312"/>
          <w:sz w:val="32"/>
          <w:szCs w:val="32"/>
        </w:rPr>
        <w:t>%,主要包括基本工资、津贴补贴、奖金、</w:t>
      </w:r>
      <w:r>
        <w:rPr>
          <w:rFonts w:hint="eastAsia" w:ascii="仿宋_GB2312" w:hAnsi="仿宋_GB2312" w:eastAsia="仿宋_GB2312" w:cs="仿宋_GB2312"/>
          <w:b w:val="0"/>
          <w:bCs w:val="0"/>
          <w:sz w:val="32"/>
          <w:szCs w:val="32"/>
          <w:lang w:eastAsia="zh-CN"/>
        </w:rPr>
        <w:t>绩效工资、机关事业单位基本养老保险缴费、职工基本医疗保险缴费、</w:t>
      </w:r>
      <w:r>
        <w:rPr>
          <w:rFonts w:hint="eastAsia" w:ascii="仿宋_GB2312" w:hAnsi="仿宋_GB2312" w:eastAsia="仿宋_GB2312" w:cs="仿宋_GB2312"/>
          <w:b w:val="0"/>
          <w:bCs w:val="0"/>
          <w:sz w:val="32"/>
          <w:szCs w:val="32"/>
          <w:lang w:val="en-US" w:eastAsia="zh-CN"/>
        </w:rPr>
        <w:t>其他社会保障费、住房公积金</w:t>
      </w:r>
      <w:r>
        <w:rPr>
          <w:rFonts w:hint="eastAsia" w:ascii="Times New Roman" w:hAnsi="Times New Roman" w:eastAsia="仿宋_GB2312"/>
          <w:sz w:val="32"/>
          <w:szCs w:val="32"/>
          <w:lang w:eastAsia="zh-CN"/>
        </w:rPr>
        <w:t>。</w:t>
      </w:r>
    </w:p>
    <w:p>
      <w:pPr>
        <w:pStyle w:val="13"/>
        <w:ind w:firstLine="643" w:firstLineChars="200"/>
        <w:rPr>
          <w:rFonts w:hint="eastAsia" w:asciiTheme="minorEastAsia" w:hAnsiTheme="minorEastAsia" w:eastAsiaTheme="minorEastAsia"/>
          <w:b w:val="0"/>
          <w:bCs w:val="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77.19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19.69</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eastAsia="zh-CN"/>
        </w:rPr>
        <w:t>邮电费、差旅费、维修（护）费、公务接待费、专用材料费、劳务费、工会经费、福利费、公务用车运行维护费、其他交通费、其他商品和服务支出</w:t>
      </w:r>
      <w:r>
        <w:rPr>
          <w:rFonts w:hint="eastAsia" w:ascii="Times New Roman" w:hAnsi="Times New Roman" w:eastAsia="仿宋_GB2312"/>
          <w:sz w:val="32"/>
          <w:szCs w:val="32"/>
        </w:rPr>
        <w:t>。</w:t>
      </w:r>
    </w:p>
    <w:p>
      <w:pPr>
        <w:numPr>
          <w:ilvl w:val="0"/>
          <w:numId w:val="0"/>
        </w:numPr>
        <w:spacing w:line="560" w:lineRule="exact"/>
        <w:ind w:firstLine="960" w:firstLineChars="300"/>
        <w:rPr>
          <w:rFonts w:hint="default" w:ascii="Times New Roman" w:hAnsi="Times New Roman" w:eastAsia="仿宋_GB2312" w:cs="Times New Roman"/>
          <w:b w:val="0"/>
          <w:color w:val="000000"/>
          <w:kern w:val="2"/>
          <w:sz w:val="32"/>
          <w:szCs w:val="32"/>
          <w:lang w:val="en-US" w:eastAsia="zh-CN" w:bidi="ar-SA"/>
        </w:rPr>
      </w:pPr>
    </w:p>
    <w:p>
      <w:pPr>
        <w:pStyle w:val="3"/>
        <w:pageBreakBefore w:val="0"/>
        <w:numPr>
          <w:ilvl w:val="0"/>
          <w:numId w:val="0"/>
        </w:numPr>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Times New Roman" w:hAnsi="Times New Roman" w:eastAsia="仿宋_GB2312" w:cs="Times New Roman"/>
          <w:b/>
          <w:bCs/>
          <w:color w:val="000000"/>
          <w:kern w:val="2"/>
          <w:sz w:val="32"/>
          <w:szCs w:val="32"/>
          <w:lang w:val="en-US" w:eastAsia="zh-CN" w:bidi="ar-SA"/>
        </w:rPr>
      </w:pPr>
      <w:bookmarkStart w:id="9" w:name="OLE_LINK10"/>
      <w:r>
        <w:rPr>
          <w:rFonts w:hint="eastAsia" w:ascii="Times New Roman" w:hAnsi="Times New Roman" w:eastAsia="仿宋_GB2312" w:cs="Times New Roman"/>
          <w:b/>
          <w:bCs/>
          <w:color w:val="000000"/>
          <w:kern w:val="2"/>
          <w:sz w:val="32"/>
          <w:szCs w:val="32"/>
          <w:lang w:val="en-US" w:eastAsia="zh-CN" w:bidi="ar-SA"/>
        </w:rPr>
        <w:t>（二）履职效能方面</w:t>
      </w:r>
      <w:bookmarkEnd w:id="9"/>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bookmarkStart w:id="10" w:name="OLE_LINK12"/>
      <w:r>
        <w:rPr>
          <w:rFonts w:hint="eastAsia" w:ascii="Times New Roman" w:hAnsi="Times New Roman" w:eastAsia="仿宋_GB2312" w:cs="Times New Roman"/>
          <w:b w:val="0"/>
          <w:color w:val="000000"/>
          <w:kern w:val="2"/>
          <w:sz w:val="32"/>
          <w:szCs w:val="32"/>
          <w:lang w:val="en-US" w:eastAsia="zh-CN" w:bidi="ar-SA"/>
        </w:rPr>
        <w:t>202</w:t>
      </w:r>
      <w:r>
        <w:rPr>
          <w:rFonts w:hint="eastAsia" w:eastAsia="仿宋_GB2312" w:cs="Times New Roman"/>
          <w:b w:val="0"/>
          <w:color w:val="000000"/>
          <w:kern w:val="2"/>
          <w:sz w:val="32"/>
          <w:szCs w:val="32"/>
          <w:lang w:val="en-US" w:eastAsia="zh-CN" w:bidi="ar-SA"/>
        </w:rPr>
        <w:t>3</w:t>
      </w:r>
      <w:r>
        <w:rPr>
          <w:rFonts w:hint="eastAsia" w:ascii="Times New Roman" w:hAnsi="Times New Roman" w:eastAsia="仿宋_GB2312" w:cs="Times New Roman"/>
          <w:b w:val="0"/>
          <w:color w:val="000000"/>
          <w:kern w:val="2"/>
          <w:sz w:val="32"/>
          <w:szCs w:val="32"/>
          <w:lang w:val="en-US" w:eastAsia="zh-CN" w:bidi="ar-SA"/>
        </w:rPr>
        <w:t>年我局依据国家法律法规、单位职责职能、社会经济发展的总体规划设定了年度整体工作目标，目标设定充分考虑了我市的实际情况，除个别目标设置不够细化外，基本符合要求；制定了目标责任分解工作机制，进一步明确固定资产管理各职能部门的职责和权限，建立统一要求、分级管理、各尽所能，各负其责的新机制。修订并完善了202</w:t>
      </w:r>
      <w:r>
        <w:rPr>
          <w:rFonts w:hint="eastAsia" w:eastAsia="仿宋_GB2312" w:cs="Times New Roman"/>
          <w:b w:val="0"/>
          <w:color w:val="000000"/>
          <w:kern w:val="2"/>
          <w:sz w:val="32"/>
          <w:szCs w:val="32"/>
          <w:lang w:val="en-US" w:eastAsia="zh-CN" w:bidi="ar-SA"/>
        </w:rPr>
        <w:t>3</w:t>
      </w:r>
      <w:r>
        <w:rPr>
          <w:rFonts w:hint="eastAsia" w:ascii="Times New Roman" w:hAnsi="Times New Roman" w:eastAsia="仿宋_GB2312" w:cs="Times New Roman"/>
          <w:b w:val="0"/>
          <w:color w:val="000000"/>
          <w:kern w:val="2"/>
          <w:sz w:val="32"/>
          <w:szCs w:val="32"/>
          <w:lang w:val="en-US" w:eastAsia="zh-CN" w:bidi="ar-SA"/>
        </w:rPr>
        <w:t>年内部控制制度，对管理工作起到了一定的支撑作用。</w:t>
      </w:r>
    </w:p>
    <w:bookmarkEnd w:id="10"/>
    <w:p>
      <w:pPr>
        <w:pStyle w:val="3"/>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（三）管理效率方面</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成本控制: 我局严格贯彻实施省、市关于过“紧日子”的重要决策部署，严格控制“三公经费”公用经费</w:t>
      </w:r>
      <w:r>
        <w:rPr>
          <w:rFonts w:hint="eastAsia" w:ascii="Times New Roman" w:hAnsi="Times New Roman" w:eastAsia="仿宋_GB2312" w:cs="Times New Roman"/>
          <w:b w:val="0"/>
          <w:color w:val="000000"/>
          <w:kern w:val="2"/>
          <w:sz w:val="32"/>
          <w:szCs w:val="32"/>
          <w:highlight w:val="none"/>
          <w:lang w:val="en-US" w:eastAsia="zh-CN" w:bidi="ar-SA"/>
        </w:rPr>
        <w:t>支出和人员编制，“三公经费”年初预算</w:t>
      </w:r>
      <w:r>
        <w:rPr>
          <w:rFonts w:hint="eastAsia" w:eastAsia="仿宋_GB2312" w:cs="Times New Roman"/>
          <w:b w:val="0"/>
          <w:color w:val="000000"/>
          <w:kern w:val="2"/>
          <w:sz w:val="32"/>
          <w:szCs w:val="32"/>
          <w:highlight w:val="none"/>
          <w:lang w:val="en-US" w:eastAsia="zh-CN" w:bidi="ar-SA"/>
        </w:rPr>
        <w:t>11</w:t>
      </w:r>
      <w:r>
        <w:rPr>
          <w:rFonts w:hint="eastAsia" w:ascii="Times New Roman" w:hAnsi="Times New Roman" w:eastAsia="仿宋_GB2312" w:cs="Times New Roman"/>
          <w:b w:val="0"/>
          <w:color w:val="000000"/>
          <w:kern w:val="2"/>
          <w:sz w:val="32"/>
          <w:szCs w:val="32"/>
          <w:highlight w:val="none"/>
          <w:lang w:val="en-US" w:eastAsia="zh-CN" w:bidi="ar-SA"/>
        </w:rPr>
        <w:t>万元，实际支出</w:t>
      </w:r>
      <w:r>
        <w:rPr>
          <w:rFonts w:hint="eastAsia" w:eastAsia="仿宋_GB2312" w:cs="Times New Roman"/>
          <w:b w:val="0"/>
          <w:color w:val="000000"/>
          <w:kern w:val="2"/>
          <w:sz w:val="32"/>
          <w:szCs w:val="32"/>
          <w:highlight w:val="none"/>
          <w:lang w:val="en-US" w:eastAsia="zh-CN" w:bidi="ar-SA"/>
        </w:rPr>
        <w:t>10.9</w:t>
      </w:r>
      <w:r>
        <w:rPr>
          <w:rFonts w:hint="eastAsia" w:ascii="Times New Roman" w:hAnsi="Times New Roman" w:eastAsia="仿宋_GB2312" w:cs="Times New Roman"/>
          <w:b w:val="0"/>
          <w:color w:val="000000"/>
          <w:kern w:val="2"/>
          <w:sz w:val="32"/>
          <w:szCs w:val="32"/>
          <w:highlight w:val="none"/>
          <w:lang w:val="en-US" w:eastAsia="zh-CN" w:bidi="ar-SA"/>
        </w:rPr>
        <w:t>1万元，控制率</w:t>
      </w:r>
      <w:r>
        <w:rPr>
          <w:rFonts w:hint="eastAsia" w:eastAsia="仿宋_GB2312" w:cs="Times New Roman"/>
          <w:b w:val="0"/>
          <w:color w:val="000000"/>
          <w:kern w:val="2"/>
          <w:sz w:val="32"/>
          <w:szCs w:val="32"/>
          <w:highlight w:val="none"/>
          <w:lang w:val="en-US" w:eastAsia="zh-CN" w:bidi="ar-SA"/>
        </w:rPr>
        <w:t>99.45</w:t>
      </w:r>
      <w:r>
        <w:rPr>
          <w:rFonts w:hint="eastAsia" w:ascii="Times New Roman" w:hAnsi="Times New Roman" w:eastAsia="仿宋_GB2312" w:cs="Times New Roman"/>
          <w:b w:val="0"/>
          <w:color w:val="000000"/>
          <w:kern w:val="2"/>
          <w:sz w:val="32"/>
          <w:szCs w:val="32"/>
          <w:highlight w:val="none"/>
          <w:lang w:val="en-US" w:eastAsia="zh-CN" w:bidi="ar-SA"/>
        </w:rPr>
        <w:t>%，控制情况良好</w:t>
      </w:r>
      <w:r>
        <w:rPr>
          <w:rFonts w:hint="eastAsia" w:ascii="Times New Roman" w:hAnsi="Times New Roman" w:eastAsia="仿宋_GB2312" w:cs="Times New Roman"/>
          <w:b w:val="0"/>
          <w:color w:val="000000"/>
          <w:kern w:val="2"/>
          <w:sz w:val="32"/>
          <w:szCs w:val="32"/>
          <w:lang w:val="en-US" w:eastAsia="zh-CN" w:bidi="ar-SA"/>
        </w:rPr>
        <w:t>。</w:t>
      </w:r>
    </w:p>
    <w:p>
      <w:pPr>
        <w:pStyle w:val="3"/>
        <w:pageBreakBefore w:val="0"/>
        <w:numPr>
          <w:ilvl w:val="0"/>
          <w:numId w:val="6"/>
        </w:numPr>
        <w:kinsoku/>
        <w:wordWrap/>
        <w:overflowPunct/>
        <w:topLinePunct w:val="0"/>
        <w:autoSpaceDE/>
        <w:autoSpaceDN/>
        <w:bidi w:val="0"/>
        <w:adjustRightInd/>
        <w:spacing w:before="321" w:beforeLines="50" w:beforeAutospacing="0" w:after="321" w:afterLines="50" w:afterAutospacing="0" w:line="460" w:lineRule="exact"/>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履职效益方面</w:t>
      </w:r>
    </w:p>
    <w:p>
      <w:pPr>
        <w:pStyle w:val="2"/>
        <w:numPr>
          <w:ilvl w:val="0"/>
          <w:numId w:val="0"/>
        </w:numPr>
        <w:shd w:val="clear" w:color="auto" w:fill="FFFFFF"/>
        <w:ind w:firstLine="640" w:firstLineChars="200"/>
        <w:jc w:val="both"/>
        <w:rPr>
          <w:rFonts w:hint="default" w:ascii="仿宋_GB2312" w:hAnsi="Calibri" w:eastAsia="仿宋_GB2312" w:cs="Times New Roman"/>
          <w:sz w:val="32"/>
          <w:szCs w:val="32"/>
          <w:lang w:val="en-US" w:eastAsia="zh-CN"/>
        </w:rPr>
      </w:pPr>
      <w:r>
        <w:rPr>
          <w:rFonts w:hint="eastAsia" w:ascii="Times New Roman" w:eastAsia="仿宋_GB2312" w:cs="Times New Roman"/>
          <w:b w:val="0"/>
          <w:bCs w:val="0"/>
          <w:color w:val="000000"/>
          <w:kern w:val="2"/>
          <w:sz w:val="32"/>
          <w:szCs w:val="32"/>
          <w:lang w:val="en-US" w:eastAsia="zh-CN" w:bidi="ar-SA"/>
        </w:rPr>
        <w:t>1、执法办案方面：</w:t>
      </w:r>
      <w:r>
        <w:rPr>
          <w:rFonts w:hint="eastAsia" w:ascii="Times New Roman" w:hAnsi="Times New Roman" w:eastAsia="仿宋_GB2312" w:cs="Times New Roman"/>
          <w:b w:val="0"/>
          <w:bCs w:val="0"/>
          <w:color w:val="000000"/>
          <w:kern w:val="2"/>
          <w:sz w:val="32"/>
          <w:szCs w:val="32"/>
          <w:lang w:val="en-US" w:eastAsia="zh-CN" w:bidi="ar-SA"/>
        </w:rPr>
        <w:t>202</w:t>
      </w:r>
      <w:r>
        <w:rPr>
          <w:rFonts w:hint="eastAsia" w:ascii="Times New Roman"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年以来，全县共查处环境违法案件其中行政处罚</w:t>
      </w:r>
      <w:r>
        <w:rPr>
          <w:rFonts w:hint="eastAsia" w:ascii="Times New Roman" w:eastAsia="仿宋_GB2312" w:cs="Times New Roman"/>
          <w:b w:val="0"/>
          <w:bCs w:val="0"/>
          <w:color w:val="000000"/>
          <w:kern w:val="2"/>
          <w:sz w:val="32"/>
          <w:szCs w:val="32"/>
          <w:lang w:val="en-US" w:eastAsia="zh-CN" w:bidi="ar-SA"/>
        </w:rPr>
        <w:t>31</w:t>
      </w:r>
      <w:r>
        <w:rPr>
          <w:rFonts w:hint="eastAsia" w:ascii="Times New Roman" w:hAnsi="Times New Roman" w:eastAsia="仿宋_GB2312" w:cs="Times New Roman"/>
          <w:b w:val="0"/>
          <w:bCs w:val="0"/>
          <w:color w:val="000000"/>
          <w:kern w:val="2"/>
          <w:sz w:val="32"/>
          <w:szCs w:val="32"/>
          <w:lang w:val="en-US" w:eastAsia="zh-CN" w:bidi="ar-SA"/>
        </w:rPr>
        <w:t>件，</w:t>
      </w:r>
      <w:r>
        <w:rPr>
          <w:rFonts w:hint="eastAsia" w:ascii="Times New Roman" w:eastAsia="仿宋_GB2312" w:cs="Times New Roman"/>
          <w:b w:val="0"/>
          <w:bCs w:val="0"/>
          <w:color w:val="000000"/>
          <w:kern w:val="2"/>
          <w:sz w:val="32"/>
          <w:szCs w:val="32"/>
          <w:lang w:val="en-US" w:eastAsia="zh-CN" w:bidi="ar-SA"/>
        </w:rPr>
        <w:t>1-11月</w:t>
      </w:r>
      <w:r>
        <w:rPr>
          <w:rFonts w:hint="eastAsia" w:ascii="Times New Roman" w:hAnsi="Times New Roman" w:eastAsia="仿宋_GB2312" w:cs="Times New Roman"/>
          <w:b w:val="0"/>
          <w:bCs w:val="0"/>
          <w:color w:val="000000"/>
          <w:kern w:val="2"/>
          <w:sz w:val="32"/>
          <w:szCs w:val="32"/>
          <w:lang w:val="en-US" w:eastAsia="zh-CN" w:bidi="ar-SA"/>
        </w:rPr>
        <w:t>罚</w:t>
      </w:r>
      <w:r>
        <w:rPr>
          <w:rFonts w:hint="eastAsia" w:ascii="Times New Roman" w:eastAsia="仿宋_GB2312" w:cs="Times New Roman"/>
          <w:b w:val="0"/>
          <w:bCs w:val="0"/>
          <w:color w:val="000000"/>
          <w:kern w:val="2"/>
          <w:sz w:val="32"/>
          <w:szCs w:val="32"/>
          <w:lang w:val="en-US" w:eastAsia="zh-CN" w:bidi="ar-SA"/>
        </w:rPr>
        <w:t>没收入76.7</w:t>
      </w:r>
      <w:r>
        <w:rPr>
          <w:rFonts w:hint="eastAsia" w:ascii="Times New Roman" w:hAnsi="Times New Roman" w:eastAsia="仿宋_GB2312" w:cs="Times New Roman"/>
          <w:b w:val="0"/>
          <w:bCs w:val="0"/>
          <w:color w:val="000000"/>
          <w:kern w:val="2"/>
          <w:sz w:val="32"/>
          <w:szCs w:val="32"/>
          <w:lang w:val="en-US" w:eastAsia="zh-CN" w:bidi="ar-SA"/>
        </w:rPr>
        <w:t>万元。办理涉及查封扣押、限产限停、移送适用行政拘留、移送刑事拘留等环境违法典型案件3起，其中行政拘留移送公安机关案件3件。聚焦生态环境执法主责主业，开展蓝天、碧水、净土保卫战等，实行监督执法正面清单制度，全县共有8家企业纳入正面清单。开展在线监控设施、涉固体废物等各类专项行动和水泥砖瓦行业整治，在线监控弄虚作假行为专项打击等，严厉打击环境违法犯罪行为，保持生态环境执法高压态势</w:t>
      </w:r>
      <w:r>
        <w:rPr>
          <w:rFonts w:hint="eastAsia" w:ascii="Times New Roman" w:eastAsia="仿宋_GB2312" w:cs="Times New Roman"/>
          <w:b w:val="0"/>
          <w:bCs w:val="0"/>
          <w:color w:val="000000"/>
          <w:kern w:val="2"/>
          <w:sz w:val="32"/>
          <w:szCs w:val="32"/>
          <w:lang w:val="en-US" w:eastAsia="zh-CN" w:bidi="ar-SA"/>
        </w:rPr>
        <w:t>。</w:t>
      </w:r>
    </w:p>
    <w:p>
      <w:pPr>
        <w:spacing w:line="560" w:lineRule="exact"/>
        <w:ind w:firstLine="640" w:firstLineChars="200"/>
        <w:rPr>
          <w:rFonts w:hint="eastAsia" w:ascii="仿宋_GB2312" w:eastAsia="仿宋_GB2312"/>
          <w:sz w:val="32"/>
          <w:szCs w:val="32"/>
        </w:rPr>
      </w:pPr>
      <w:r>
        <w:rPr>
          <w:rFonts w:hint="eastAsia" w:ascii="仿宋_GB2312" w:hAnsi="Calibri" w:eastAsia="仿宋_GB2312" w:cs="Times New Roman"/>
          <w:sz w:val="32"/>
          <w:szCs w:val="32"/>
          <w:lang w:val="en-US" w:eastAsia="zh-CN"/>
        </w:rPr>
        <w:t>2、</w:t>
      </w:r>
      <w:r>
        <w:rPr>
          <w:rFonts w:hint="eastAsia" w:ascii="仿宋_GB2312" w:eastAsia="仿宋_GB2312"/>
          <w:sz w:val="32"/>
          <w:szCs w:val="32"/>
        </w:rPr>
        <w:t>2023年我县空气质量继续保持国家二级标准，综合指数2.77，同比改善0.7%，PM2.5浓度维持在30微克/立方米以下，优良率95.6%，同比改善4.1%，未出现重度污染天气。地表水考核断面水质均达到Ⅱ类及以上标准，水质达标率100%，同比改善排名全市第1、全省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3，省控断面水质综合指数及改善幅度荣获省人民政府真抓实干表扬。完成重点监管单位土壤污染隐患排查“回头看”，重点建设用地安全利用得到有效保障，受污染耕地安全利用率达到91%以上。</w:t>
      </w:r>
    </w:p>
    <w:p>
      <w:pPr>
        <w:pStyle w:val="3"/>
        <w:pageBreakBefore w:val="0"/>
        <w:numPr>
          <w:ilvl w:val="0"/>
          <w:numId w:val="0"/>
        </w:numPr>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lang w:val="en-US" w:eastAsia="zh-CN"/>
        </w:rPr>
      </w:pP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五</w:t>
      </w: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社会效应</w:t>
      </w:r>
    </w:p>
    <w:p>
      <w:pPr>
        <w:ind w:firstLine="640" w:firstLineChars="200"/>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我县生态环境执法工作以优化执法方式为重心，完善执法机制、规范执法行为、提升守法水平，全面提高生态环境执法效能，切实改善生态环境质量，保障人民群众环境权益，保护</w:t>
      </w:r>
      <w:r>
        <w:rPr>
          <w:rFonts w:hint="eastAsia" w:eastAsia="仿宋_GB2312" w:cs="Times New Roman"/>
          <w:b w:val="0"/>
          <w:color w:val="000000"/>
          <w:kern w:val="2"/>
          <w:sz w:val="32"/>
          <w:szCs w:val="32"/>
          <w:lang w:val="en-US" w:eastAsia="zh-CN" w:bidi="ar-SA"/>
        </w:rPr>
        <w:t>了</w:t>
      </w:r>
      <w:r>
        <w:rPr>
          <w:rFonts w:hint="eastAsia" w:ascii="Times New Roman" w:hAnsi="Times New Roman" w:eastAsia="仿宋_GB2312" w:cs="Times New Roman"/>
          <w:b w:val="0"/>
          <w:color w:val="000000"/>
          <w:kern w:val="2"/>
          <w:sz w:val="32"/>
          <w:szCs w:val="32"/>
          <w:lang w:val="en-US" w:eastAsia="zh-CN" w:bidi="ar-SA"/>
        </w:rPr>
        <w:t>当地群众健康。</w:t>
      </w:r>
      <w:r>
        <w:rPr>
          <w:rFonts w:hint="eastAsia" w:eastAsia="仿宋_GB2312" w:cs="Times New Roman"/>
          <w:b w:val="0"/>
          <w:color w:val="000000"/>
          <w:kern w:val="2"/>
          <w:sz w:val="32"/>
          <w:szCs w:val="32"/>
          <w:lang w:val="en-US" w:eastAsia="zh-CN" w:bidi="ar-SA"/>
        </w:rPr>
        <w:t>同时，环境保护的宣传和引领增强了公</w:t>
      </w:r>
      <w:r>
        <w:rPr>
          <w:rFonts w:hint="eastAsia" w:ascii="Times New Roman" w:hAnsi="Times New Roman" w:eastAsia="仿宋_GB2312" w:cs="Times New Roman"/>
          <w:b w:val="0"/>
          <w:color w:val="000000"/>
          <w:kern w:val="2"/>
          <w:sz w:val="32"/>
          <w:szCs w:val="32"/>
          <w:lang w:val="en-US" w:eastAsia="zh-CN" w:bidi="ar-SA"/>
        </w:rPr>
        <w:t>民节约水资源的意识，使</w:t>
      </w:r>
      <w:r>
        <w:rPr>
          <w:rFonts w:hint="eastAsia" w:eastAsia="仿宋_GB2312" w:cs="Times New Roman"/>
          <w:b w:val="0"/>
          <w:color w:val="000000"/>
          <w:kern w:val="2"/>
          <w:sz w:val="32"/>
          <w:szCs w:val="32"/>
          <w:lang w:val="en-US" w:eastAsia="zh-CN" w:bidi="ar-SA"/>
        </w:rPr>
        <w:t>公</w:t>
      </w:r>
      <w:r>
        <w:rPr>
          <w:rFonts w:hint="eastAsia" w:ascii="Times New Roman" w:hAnsi="Times New Roman" w:eastAsia="仿宋_GB2312" w:cs="Times New Roman"/>
          <w:b w:val="0"/>
          <w:color w:val="000000"/>
          <w:kern w:val="2"/>
          <w:sz w:val="32"/>
          <w:szCs w:val="32"/>
          <w:lang w:val="en-US" w:eastAsia="zh-CN" w:bidi="ar-SA"/>
        </w:rPr>
        <w:t>民传统的生产、生活方式和价值观向环境友好、资源节约的生态化方向转变。</w:t>
      </w:r>
    </w:p>
    <w:p>
      <w:pPr>
        <w:rPr>
          <w:rFonts w:hint="eastAsia" w:ascii="Times New Roman" w:hAnsi="Times New Roman" w:eastAsia="仿宋_GB2312" w:cs="Times New Roman"/>
          <w:b/>
          <w:bCs/>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（六）</w:t>
      </w:r>
      <w:r>
        <w:rPr>
          <w:rFonts w:hint="eastAsia" w:ascii="Times New Roman" w:hAnsi="Times New Roman" w:eastAsia="仿宋_GB2312" w:cs="Times New Roman"/>
          <w:b/>
          <w:bCs/>
          <w:color w:val="000000"/>
          <w:kern w:val="2"/>
          <w:sz w:val="32"/>
          <w:szCs w:val="32"/>
          <w:lang w:val="en-US" w:eastAsia="zh-CN" w:bidi="ar-SA"/>
        </w:rPr>
        <w:t>可持续发展能力</w:t>
      </w:r>
    </w:p>
    <w:p>
      <w:pPr>
        <w:ind w:firstLine="640" w:firstLineChars="200"/>
        <w:rPr>
          <w:rFonts w:hint="eastAsia"/>
          <w:lang w:val="en-US" w:eastAsia="zh-CN"/>
        </w:rPr>
      </w:pPr>
      <w:r>
        <w:rPr>
          <w:rFonts w:hint="eastAsia" w:eastAsia="仿宋_GB2312" w:cs="Times New Roman"/>
          <w:b w:val="0"/>
          <w:color w:val="000000"/>
          <w:kern w:val="2"/>
          <w:sz w:val="32"/>
          <w:szCs w:val="32"/>
          <w:lang w:val="en-US" w:eastAsia="zh-CN" w:bidi="ar-SA"/>
        </w:rPr>
        <w:t>2023年，我局生态环境保护工作的实施</w:t>
      </w:r>
      <w:r>
        <w:rPr>
          <w:rFonts w:hint="eastAsia" w:ascii="Times New Roman" w:hAnsi="Times New Roman" w:eastAsia="仿宋_GB2312" w:cs="Times New Roman"/>
          <w:b w:val="0"/>
          <w:color w:val="000000"/>
          <w:kern w:val="2"/>
          <w:sz w:val="32"/>
          <w:szCs w:val="32"/>
          <w:lang w:val="en-US" w:eastAsia="zh-CN" w:bidi="ar-SA"/>
        </w:rPr>
        <w:t>改善</w:t>
      </w:r>
      <w:r>
        <w:rPr>
          <w:rFonts w:hint="eastAsia" w:eastAsia="仿宋_GB2312" w:cs="Times New Roman"/>
          <w:b w:val="0"/>
          <w:color w:val="000000"/>
          <w:kern w:val="2"/>
          <w:sz w:val="32"/>
          <w:szCs w:val="32"/>
          <w:lang w:val="en-US" w:eastAsia="zh-CN" w:bidi="ar-SA"/>
        </w:rPr>
        <w:t>我县的</w:t>
      </w:r>
      <w:r>
        <w:rPr>
          <w:rFonts w:hint="eastAsia" w:ascii="Times New Roman" w:hAnsi="Times New Roman" w:eastAsia="仿宋_GB2312" w:cs="Times New Roman"/>
          <w:b w:val="0"/>
          <w:color w:val="000000"/>
          <w:kern w:val="2"/>
          <w:sz w:val="32"/>
          <w:szCs w:val="32"/>
          <w:lang w:val="en-US" w:eastAsia="zh-CN" w:bidi="ar-SA"/>
        </w:rPr>
        <w:t>生态环境</w:t>
      </w:r>
      <w:r>
        <w:rPr>
          <w:rFonts w:hint="eastAsia" w:eastAsia="仿宋_GB2312"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维护</w:t>
      </w:r>
      <w:r>
        <w:rPr>
          <w:rFonts w:hint="eastAsia" w:eastAsia="仿宋_GB2312" w:cs="Times New Roman"/>
          <w:b w:val="0"/>
          <w:color w:val="000000"/>
          <w:kern w:val="2"/>
          <w:sz w:val="32"/>
          <w:szCs w:val="32"/>
          <w:lang w:val="en-US" w:eastAsia="zh-CN" w:bidi="ar-SA"/>
        </w:rPr>
        <w:t>和</w:t>
      </w:r>
      <w:r>
        <w:rPr>
          <w:rFonts w:hint="eastAsia" w:ascii="Times New Roman" w:hAnsi="Times New Roman" w:eastAsia="仿宋_GB2312" w:cs="Times New Roman"/>
          <w:b w:val="0"/>
          <w:color w:val="000000"/>
          <w:kern w:val="2"/>
          <w:sz w:val="32"/>
          <w:szCs w:val="32"/>
          <w:lang w:val="en-US" w:eastAsia="zh-CN" w:bidi="ar-SA"/>
        </w:rPr>
        <w:t>促进</w:t>
      </w:r>
      <w:r>
        <w:rPr>
          <w:rFonts w:hint="eastAsia" w:eastAsia="仿宋_GB2312" w:cs="Times New Roman"/>
          <w:b w:val="0"/>
          <w:color w:val="000000"/>
          <w:kern w:val="2"/>
          <w:sz w:val="32"/>
          <w:szCs w:val="32"/>
          <w:lang w:val="en-US" w:eastAsia="zh-CN" w:bidi="ar-SA"/>
        </w:rPr>
        <w:t>了我县</w:t>
      </w:r>
      <w:r>
        <w:rPr>
          <w:rFonts w:hint="eastAsia" w:ascii="Times New Roman" w:hAnsi="Times New Roman" w:eastAsia="仿宋_GB2312" w:cs="Times New Roman"/>
          <w:b w:val="0"/>
          <w:color w:val="000000"/>
          <w:kern w:val="2"/>
          <w:sz w:val="32"/>
          <w:szCs w:val="32"/>
          <w:lang w:val="en-US" w:eastAsia="zh-CN" w:bidi="ar-SA"/>
        </w:rPr>
        <w:t>生物多样性。</w:t>
      </w:r>
      <w:r>
        <w:rPr>
          <w:rFonts w:hint="eastAsia" w:eastAsia="仿宋_GB2312" w:cs="Times New Roman"/>
          <w:b w:val="0"/>
          <w:color w:val="000000"/>
          <w:kern w:val="2"/>
          <w:sz w:val="32"/>
          <w:szCs w:val="32"/>
          <w:lang w:val="en-US" w:eastAsia="zh-CN" w:bidi="ar-SA"/>
        </w:rPr>
        <w:t>同时，</w:t>
      </w:r>
      <w:r>
        <w:rPr>
          <w:rFonts w:hint="eastAsia" w:ascii="Times New Roman" w:hAnsi="Times New Roman" w:eastAsia="仿宋_GB2312" w:cs="Times New Roman"/>
          <w:b w:val="0"/>
          <w:color w:val="000000"/>
          <w:kern w:val="2"/>
          <w:sz w:val="32"/>
          <w:szCs w:val="32"/>
          <w:lang w:val="en-US" w:eastAsia="zh-CN" w:bidi="ar-SA"/>
        </w:rPr>
        <w:t>改善生态环境有助于减少温室气体排放量</w:t>
      </w:r>
      <w:r>
        <w:rPr>
          <w:rFonts w:hint="eastAsia" w:eastAsia="仿宋_GB2312" w:cs="Times New Roman"/>
          <w:b w:val="0"/>
          <w:color w:val="000000"/>
          <w:kern w:val="2"/>
          <w:sz w:val="32"/>
          <w:szCs w:val="32"/>
          <w:lang w:val="en-US" w:eastAsia="zh-CN" w:bidi="ar-SA"/>
        </w:rPr>
        <w:t>，保证了我县居民</w:t>
      </w:r>
      <w:r>
        <w:rPr>
          <w:rFonts w:hint="eastAsia" w:ascii="Times New Roman" w:hAnsi="Times New Roman" w:eastAsia="仿宋_GB2312" w:cs="Times New Roman"/>
          <w:b w:val="0"/>
          <w:color w:val="000000"/>
          <w:kern w:val="2"/>
          <w:sz w:val="32"/>
          <w:szCs w:val="32"/>
          <w:lang w:val="en-US" w:eastAsia="zh-CN" w:bidi="ar-SA"/>
        </w:rPr>
        <w:t>健康水平</w:t>
      </w:r>
      <w:r>
        <w:rPr>
          <w:rFonts w:hint="eastAsia" w:eastAsia="仿宋_GB2312" w:cs="Times New Roman"/>
          <w:b w:val="0"/>
          <w:color w:val="000000"/>
          <w:kern w:val="2"/>
          <w:sz w:val="32"/>
          <w:szCs w:val="32"/>
          <w:lang w:val="en-US" w:eastAsia="zh-CN" w:bidi="ar-SA"/>
        </w:rPr>
        <w:t>，提升群众的日常生活质量</w:t>
      </w:r>
      <w:r>
        <w:rPr>
          <w:rFonts w:hint="eastAsia" w:ascii="Times New Roman" w:hAnsi="Times New Roman" w:eastAsia="仿宋_GB2312" w:cs="Times New Roman"/>
          <w:b w:val="0"/>
          <w:color w:val="000000"/>
          <w:kern w:val="2"/>
          <w:sz w:val="32"/>
          <w:szCs w:val="32"/>
          <w:lang w:val="en-US" w:eastAsia="zh-CN" w:bidi="ar-SA"/>
        </w:rPr>
        <w:t>。</w:t>
      </w:r>
    </w:p>
    <w:p>
      <w:pPr>
        <w:rPr>
          <w:rFonts w:hint="eastAsia"/>
          <w:lang w:val="en-US" w:eastAsia="zh-CN"/>
        </w:rPr>
      </w:pPr>
    </w:p>
    <w:p>
      <w:pPr>
        <w:pStyle w:val="3"/>
        <w:pageBreakBefore w:val="0"/>
        <w:numPr>
          <w:ilvl w:val="0"/>
          <w:numId w:val="0"/>
        </w:numPr>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七</w:t>
      </w: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服务对象满意度</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5"/>
        <w:jc w:val="left"/>
        <w:textAlignment w:val="auto"/>
        <w:rPr>
          <w:rFonts w:hint="default"/>
          <w:lang w:val="en-US"/>
        </w:rPr>
      </w:pPr>
      <w:r>
        <w:rPr>
          <w:rFonts w:hint="eastAsia" w:eastAsia="仿宋_GB2312"/>
          <w:b w:val="0"/>
          <w:bCs w:val="0"/>
          <w:color w:val="000000"/>
          <w:sz w:val="32"/>
          <w:szCs w:val="32"/>
          <w:lang w:val="en-US" w:eastAsia="zh-CN"/>
        </w:rPr>
        <w:t>各项工作均取得服务对象的良好评价。</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321" w:firstLineChars="1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ind w:firstLine="640" w:firstLineChars="200"/>
        <w:rPr>
          <w:rFonts w:hint="eastAsia" w:eastAsia="仿宋_GB2312" w:cs="Times New Roman"/>
          <w:b w:val="0"/>
          <w:color w:val="000000"/>
          <w:kern w:val="2"/>
          <w:sz w:val="32"/>
          <w:szCs w:val="32"/>
          <w:lang w:val="en-US" w:eastAsia="zh-CN" w:bidi="ar-SA"/>
        </w:rPr>
      </w:pPr>
      <w:r>
        <w:rPr>
          <w:rFonts w:hint="eastAsia" w:eastAsia="仿宋_GB2312" w:cs="Times New Roman"/>
          <w:b w:val="0"/>
          <w:color w:val="000000"/>
          <w:kern w:val="2"/>
          <w:sz w:val="32"/>
          <w:szCs w:val="32"/>
          <w:lang w:val="en-US" w:eastAsia="zh-CN" w:bidi="ar-SA"/>
        </w:rPr>
        <w:t>1、预算支出、预算管理能力有待加强。</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 w:val="32"/>
          <w:szCs w:val="32"/>
          <w:lang w:eastAsia="zh-CN"/>
        </w:rPr>
      </w:pPr>
      <w:r>
        <w:rPr>
          <w:rFonts w:hint="eastAsia" w:ascii="楷体" w:hAnsi="楷体" w:eastAsia="楷体" w:cs="楷体"/>
          <w:b w:val="0"/>
          <w:bCs/>
          <w:color w:val="000000"/>
          <w:kern w:val="0"/>
          <w:sz w:val="32"/>
          <w:szCs w:val="32"/>
          <w:lang w:val="en-US" w:eastAsia="zh-CN" w:bidi="ar-SA"/>
        </w:rPr>
        <w:t>2、</w:t>
      </w:r>
      <w:r>
        <w:rPr>
          <w:rFonts w:hint="eastAsia" w:ascii="仿宋_GB2312" w:hAnsi="仿宋" w:eastAsia="仿宋_GB2312"/>
          <w:sz w:val="32"/>
          <w:szCs w:val="32"/>
        </w:rPr>
        <w:t>执法</w:t>
      </w:r>
      <w:r>
        <w:rPr>
          <w:rFonts w:hint="eastAsia" w:ascii="仿宋_GB2312" w:hAnsi="仿宋" w:eastAsia="仿宋_GB2312"/>
          <w:sz w:val="32"/>
          <w:szCs w:val="32"/>
          <w:lang w:eastAsia="zh-CN"/>
        </w:rPr>
        <w:t>办案</w:t>
      </w:r>
      <w:r>
        <w:rPr>
          <w:rFonts w:hint="eastAsia" w:ascii="仿宋_GB2312" w:hAnsi="仿宋" w:eastAsia="仿宋_GB2312"/>
          <w:sz w:val="32"/>
          <w:szCs w:val="32"/>
        </w:rPr>
        <w:t>人手不足，面临着人少事多的现象，</w:t>
      </w:r>
      <w:r>
        <w:rPr>
          <w:rFonts w:hint="eastAsia" w:ascii="仿宋_GB2312" w:hAnsi="仿宋" w:eastAsia="仿宋_GB2312"/>
          <w:sz w:val="32"/>
          <w:szCs w:val="32"/>
          <w:lang w:eastAsia="zh-CN"/>
        </w:rPr>
        <w:t>导致对一些违法行为难以实现全面排查。</w:t>
      </w:r>
    </w:p>
    <w:p>
      <w:pPr>
        <w:ind w:firstLine="640" w:firstLineChars="200"/>
        <w:rPr>
          <w:rFonts w:hint="eastAsia" w:eastAsia="仿宋_GB2312" w:cs="Times New Roman"/>
          <w:b w:val="0"/>
          <w:color w:val="000000"/>
          <w:kern w:val="2"/>
          <w:sz w:val="32"/>
          <w:szCs w:val="32"/>
          <w:lang w:val="en-US" w:eastAsia="zh-CN" w:bidi="ar-SA"/>
        </w:rPr>
      </w:pPr>
      <w:r>
        <w:rPr>
          <w:rFonts w:hint="eastAsia" w:eastAsia="仿宋_GB2312" w:cs="Times New Roman"/>
          <w:b w:val="0"/>
          <w:color w:val="000000"/>
          <w:kern w:val="2"/>
          <w:sz w:val="32"/>
          <w:szCs w:val="32"/>
          <w:lang w:val="en-US" w:eastAsia="zh-CN" w:bidi="ar-SA"/>
        </w:rPr>
        <w:t>3、资产管理质量有待提高，对资产管理要进行学习培训，进一步细化管理。</w:t>
      </w:r>
    </w:p>
    <w:p>
      <w:pPr>
        <w:pStyle w:val="13"/>
        <w:ind w:firstLine="640" w:firstLineChars="200"/>
        <w:jc w:val="both"/>
        <w:rPr>
          <w:sz w:val="72"/>
          <w:szCs w:val="72"/>
        </w:rPr>
      </w:pPr>
      <w:r>
        <w:rPr>
          <w:rFonts w:hint="eastAsia" w:ascii="仿宋" w:hAnsi="仿宋" w:eastAsia="仿宋" w:cs="仿宋"/>
          <w:sz w:val="32"/>
          <w:szCs w:val="32"/>
          <w:lang w:val="en-US" w:eastAsia="zh-CN"/>
        </w:rPr>
        <w:t>4、固定资产的管理存在一定的问题,无专人管理，未定期盘点。</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pStyle w:val="13"/>
        <w:jc w:val="center"/>
        <w:rPr>
          <w:rFonts w:hint="eastAsia" w:ascii="Times New Roman" w:hAnsi="Times New Roman" w:eastAsia="仿宋_GB2312"/>
          <w:sz w:val="32"/>
          <w:szCs w:val="32"/>
          <w:lang w:val="en-US"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永州市生态环境局新田分局</w:t>
      </w:r>
      <w:r>
        <w:rPr>
          <w:rFonts w:hint="eastAsia" w:ascii="方正小标宋简体" w:hAnsi="方正小标宋简体" w:eastAsia="方正小标宋简体" w:cs="方正小标宋简体"/>
          <w:sz w:val="44"/>
          <w:szCs w:val="44"/>
        </w:rPr>
        <w:t>2023年度整体支出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1920" w:firstLineChars="600"/>
        <w:rPr>
          <w:rFonts w:eastAsia="仿宋_GB2312"/>
          <w:sz w:val="32"/>
          <w:szCs w:val="32"/>
          <w:u w:val="single"/>
        </w:rPr>
      </w:pPr>
      <w:r>
        <w:rPr>
          <w:rFonts w:eastAsia="仿宋_GB2312"/>
          <w:sz w:val="32"/>
          <w:szCs w:val="32"/>
        </w:rPr>
        <w:t>单位名称：</w:t>
      </w:r>
      <w:r>
        <w:rPr>
          <w:rFonts w:hint="eastAsia" w:eastAsia="仿宋_GB2312"/>
          <w:sz w:val="32"/>
          <w:szCs w:val="32"/>
          <w:u w:val="single"/>
          <w:lang w:eastAsia="zh-CN"/>
        </w:rPr>
        <w:t>永州市生态环境局新田分局（盖章</w:t>
      </w:r>
      <w:r>
        <w:rPr>
          <w:rFonts w:eastAsia="仿宋_GB2312"/>
          <w:sz w:val="32"/>
          <w:szCs w:val="32"/>
          <w:u w:val="single"/>
        </w:rPr>
        <w:t>）</w:t>
      </w:r>
    </w:p>
    <w:p>
      <w:pPr>
        <w:jc w:val="center"/>
        <w:rPr>
          <w:rFonts w:hint="eastAsia" w:eastAsia="楷体_GB2312"/>
          <w:sz w:val="32"/>
          <w:szCs w:val="32"/>
          <w:lang w:val="en-US" w:eastAsia="zh-CN"/>
        </w:rPr>
      </w:pPr>
    </w:p>
    <w:p>
      <w:pPr>
        <w:jc w:val="center"/>
        <w:rPr>
          <w:rFonts w:hint="default" w:eastAsia="黑体"/>
          <w:sz w:val="32"/>
          <w:szCs w:val="32"/>
          <w:lang w:val="en-US" w:eastAsia="zh-CN"/>
        </w:rPr>
      </w:pPr>
      <w:r>
        <w:rPr>
          <w:rFonts w:hint="eastAsia" w:eastAsia="楷体_GB2312"/>
          <w:sz w:val="32"/>
          <w:szCs w:val="32"/>
          <w:lang w:val="en-US" w:eastAsia="zh-CN"/>
        </w:rPr>
        <w:t>2024年4月29日</w:t>
      </w:r>
    </w:p>
    <w:p>
      <w:pPr>
        <w:jc w:val="center"/>
        <w:rPr>
          <w:rFonts w:eastAsia="仿宋_GB2312"/>
          <w:sz w:val="32"/>
          <w:szCs w:val="32"/>
        </w:rPr>
      </w:pPr>
      <w:r>
        <w:rPr>
          <w:rFonts w:eastAsia="仿宋_GB2312"/>
          <w:sz w:val="32"/>
          <w:szCs w:val="32"/>
        </w:rPr>
        <w:t>（此页为封面）</w:t>
      </w:r>
    </w:p>
    <w:p>
      <w:pPr>
        <w:numPr>
          <w:ilvl w:val="0"/>
          <w:numId w:val="0"/>
        </w:numPr>
        <w:spacing w:line="57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pPr>
        <w:widowControl w:val="0"/>
        <w:shd w:val="clear" w:color="auto" w:fill="FFFFFF"/>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（一）部门（单位）职能职责、机构编制、人员构成等。</w:t>
      </w:r>
    </w:p>
    <w:p>
      <w:pPr>
        <w:pageBreakBefore w:val="0"/>
        <w:widowControl/>
        <w:kinsoku/>
        <w:wordWrap/>
        <w:overflowPunct/>
        <w:topLinePunct w:val="0"/>
        <w:autoSpaceDE/>
        <w:autoSpaceDN/>
        <w:bidi w:val="0"/>
        <w:adjustRightInd/>
        <w:spacing w:before="321" w:beforeLines="50" w:beforeAutospacing="0" w:after="321" w:afterLines="50" w:afterAutospacing="0" w:line="460" w:lineRule="exact"/>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1、职能职责</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（1）</w:t>
      </w:r>
      <w:r>
        <w:rPr>
          <w:rFonts w:hint="eastAsia" w:ascii="楷体" w:hAnsi="楷体" w:eastAsia="楷体"/>
          <w:sz w:val="32"/>
          <w:szCs w:val="32"/>
        </w:rPr>
        <w:t>、贯彻执行国家、省和市有关生态环境的法律法规和政策，负责生态环境保护方面的制度建设。</w:t>
      </w:r>
      <w:r>
        <w:rPr>
          <w:rFonts w:hint="eastAsia" w:ascii="仿宋_GB2312" w:hAnsi="楷体" w:eastAsia="仿宋_GB2312"/>
          <w:sz w:val="32"/>
          <w:szCs w:val="32"/>
        </w:rPr>
        <w:t>会同同级有关部门制定辖区内生态环境规划、规范，并组织实施。会同同级有关部门编制并监督实施辖区内重点区域、流域、饮用水水源地生态环境规划和水功能区划。</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（2）</w:t>
      </w:r>
      <w:r>
        <w:rPr>
          <w:rFonts w:hint="eastAsia" w:ascii="楷体" w:hAnsi="楷体" w:eastAsia="楷体"/>
          <w:sz w:val="32"/>
          <w:szCs w:val="32"/>
        </w:rPr>
        <w:t>、统筹协调和监督管理生态环境保护工作。</w:t>
      </w:r>
      <w:r>
        <w:rPr>
          <w:rFonts w:hint="eastAsia" w:ascii="仿宋_GB2312" w:hAnsi="楷体" w:eastAsia="仿宋_GB2312"/>
          <w:sz w:val="32"/>
          <w:szCs w:val="32"/>
        </w:rPr>
        <w:t>组织协调辖区内环境污染事故和生态破坏事件的调查处理，指导协调辖区内突发生态环境事件的应急、预警工作，参与实施生态环境损害赔偿制度。</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（3）</w:t>
      </w:r>
      <w:r>
        <w:rPr>
          <w:rFonts w:hint="eastAsia" w:ascii="楷体" w:hAnsi="楷体" w:eastAsia="楷体"/>
          <w:sz w:val="32"/>
          <w:szCs w:val="32"/>
        </w:rPr>
        <w:t>、监督管理减排目标的落实。</w:t>
      </w:r>
      <w:r>
        <w:rPr>
          <w:rFonts w:hint="eastAsia" w:ascii="仿宋_GB2312" w:hAnsi="楷体" w:eastAsia="仿宋_GB2312"/>
          <w:sz w:val="32"/>
          <w:szCs w:val="32"/>
        </w:rPr>
        <w:t>根据国家和省、市核定的污染物减排指标，组织制定并监督实施本辖区内污染物排放总量控制计划及相关措施，监督实施排污许可制度，监督检</w:t>
      </w:r>
      <w:r>
        <w:rPr>
          <w:rFonts w:hint="eastAsia" w:ascii="宋体" w:hAnsi="宋体" w:cs="宋体"/>
          <w:sz w:val="32"/>
          <w:szCs w:val="32"/>
        </w:rPr>
        <w:t>査</w:t>
      </w:r>
      <w:r>
        <w:rPr>
          <w:rFonts w:hint="eastAsia" w:ascii="仿宋_GB2312" w:hAnsi="仿宋_GB2312" w:eastAsia="仿宋_GB2312" w:cs="仿宋_GB2312"/>
          <w:sz w:val="32"/>
          <w:szCs w:val="32"/>
        </w:rPr>
        <w:t>污染物减排任务完成情况，实施生态环境保护目标责</w:t>
      </w:r>
      <w:r>
        <w:rPr>
          <w:rFonts w:hint="eastAsia" w:ascii="仿宋_GB2312" w:hAnsi="楷体" w:eastAsia="仿宋_GB2312"/>
          <w:sz w:val="32"/>
          <w:szCs w:val="32"/>
        </w:rPr>
        <w:t>任制。</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（4）</w:t>
      </w:r>
      <w:r>
        <w:rPr>
          <w:rFonts w:hint="eastAsia" w:ascii="楷体" w:hAnsi="楷体" w:eastAsia="楷体"/>
          <w:sz w:val="32"/>
          <w:szCs w:val="32"/>
        </w:rPr>
        <w:t>、负责环境污染防治的监督管理。</w:t>
      </w:r>
      <w:r>
        <w:rPr>
          <w:rFonts w:hint="eastAsia" w:ascii="仿宋_GB2312" w:hAnsi="楷体" w:eastAsia="仿宋_GB2312"/>
          <w:sz w:val="32"/>
          <w:szCs w:val="32"/>
        </w:rPr>
        <w:t>组织拟订本辖区大气、水、土壤、噪声、光、恶臭、固体废物、化学品、机动车等的污染防治管理制度并监督实施。会同有关部门监督管理饮用水水源地生态环境保护工作，组织指导城乡生态环境综合整治工作，监督指导农业面源污染治理工作。监督指导区域大气环境保护工作，组织协调区域大气污染联防联控工作。</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（5）</w:t>
      </w:r>
      <w:r>
        <w:rPr>
          <w:rFonts w:hint="eastAsia" w:ascii="楷体" w:hAnsi="楷体" w:eastAsia="楷体"/>
          <w:sz w:val="32"/>
          <w:szCs w:val="32"/>
        </w:rPr>
        <w:t>、指导协调和监督生态保护修复工作。</w:t>
      </w:r>
      <w:r>
        <w:rPr>
          <w:rFonts w:hint="eastAsia" w:ascii="仿宋_GB2312" w:hAnsi="楷体" w:eastAsia="仿宋_GB2312"/>
          <w:sz w:val="32"/>
          <w:szCs w:val="32"/>
        </w:rPr>
        <w:t>监督管理对生态环境有影响的自然资源开发利用活动、生态环境建设和生态破坏恢复工作，以及监督野生动植物保护、湿地生态环境保护荒漠化防治等工作。指导协调和监督农村生态环境保护，监督生物技术环境安全，牵头生物物种(含遗传资源)工作，组织协调生物多样性保护工作，参与生态保护补偿工作。</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（6）</w:t>
      </w:r>
      <w:r>
        <w:rPr>
          <w:rFonts w:hint="eastAsia" w:ascii="楷体" w:hAnsi="楷体" w:eastAsia="楷体"/>
          <w:sz w:val="32"/>
          <w:szCs w:val="32"/>
        </w:rPr>
        <w:t>、负责核与辐射安全的监管工作。</w:t>
      </w:r>
      <w:r>
        <w:rPr>
          <w:rFonts w:hint="eastAsia" w:ascii="仿宋_GB2312" w:hAnsi="楷体" w:eastAsia="仿宋_GB2312"/>
          <w:sz w:val="32"/>
          <w:szCs w:val="32"/>
        </w:rPr>
        <w:t>参与核事故和辐射环境事故应急处理;监管核设施和放射源安全，监督管理核设施、核技术应用、电磁辐射、伴有放射性矿产资源开发利用中的污染防治;对核材料管制和民用核安全设备的设计、制造、安装及无损检验活动实施监督管理。</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（7）</w:t>
      </w:r>
      <w:r>
        <w:rPr>
          <w:rFonts w:hint="eastAsia" w:ascii="楷体" w:hAnsi="楷体" w:eastAsia="楷体"/>
          <w:sz w:val="32"/>
          <w:szCs w:val="32"/>
        </w:rPr>
        <w:t>、负责生态环境准入的监督管理。</w:t>
      </w:r>
      <w:r>
        <w:rPr>
          <w:rFonts w:hint="eastAsia" w:ascii="仿宋_GB2312" w:hAnsi="楷体" w:eastAsia="仿宋_GB2312"/>
          <w:sz w:val="32"/>
          <w:szCs w:val="32"/>
        </w:rPr>
        <w:t>组织实施生态环境准入清单。按规定审批或审查开发建设区域、规划、项目环境影响评价文件。</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8）</w:t>
      </w:r>
      <w:r>
        <w:rPr>
          <w:rFonts w:hint="eastAsia" w:ascii="楷体" w:hAnsi="楷体" w:eastAsia="楷体"/>
          <w:sz w:val="32"/>
          <w:szCs w:val="32"/>
        </w:rPr>
        <w:t>、负责生态环境监测工作。</w:t>
      </w:r>
      <w:r>
        <w:rPr>
          <w:rFonts w:hint="eastAsia" w:ascii="仿宋_GB2312" w:hAnsi="楷体" w:eastAsia="仿宋_GB2312"/>
          <w:sz w:val="32"/>
          <w:szCs w:val="32"/>
        </w:rPr>
        <w:t>负责辖区内生态环境质量监测、污染源监督性监测、温室气体减排监测、应急监测和执法监测。组织对生态环境质量状况进行调查评价、预警、预测，组织建设和管理生态环境监测网。统一发布辖区生态环境综合性报告和重大生态环境相关信息。承担生态环境信息化工作。</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（9</w:t>
      </w:r>
      <w:r>
        <w:rPr>
          <w:rFonts w:hint="eastAsia" w:ascii="楷体" w:hAnsi="楷体" w:eastAsia="楷体"/>
          <w:sz w:val="32"/>
          <w:szCs w:val="32"/>
        </w:rPr>
        <w:t>）、协调配合生态环境保护督察。</w:t>
      </w:r>
      <w:r>
        <w:rPr>
          <w:rFonts w:hint="eastAsia" w:ascii="仿宋_GB2312" w:hAnsi="楷体" w:eastAsia="仿宋_GB2312"/>
          <w:sz w:val="32"/>
          <w:szCs w:val="32"/>
        </w:rPr>
        <w:t>组织协调配合中央、省生态问题整改情况进行跟踪督办，对贯彻落实不到位、整改不力的提请问责。</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（10）</w:t>
      </w:r>
      <w:r>
        <w:rPr>
          <w:rFonts w:hint="eastAsia" w:ascii="楷体" w:hAnsi="楷体" w:eastAsia="楷体"/>
          <w:sz w:val="32"/>
          <w:szCs w:val="32"/>
        </w:rPr>
        <w:t>、组织指导和协调生态环境宣传教育工作。</w:t>
      </w:r>
      <w:r>
        <w:rPr>
          <w:rFonts w:hint="eastAsia" w:ascii="仿宋_GB2312" w:hAnsi="楷体" w:eastAsia="仿宋_GB2312"/>
          <w:sz w:val="32"/>
          <w:szCs w:val="32"/>
        </w:rPr>
        <w:t>推动社会组织和公众参与生态环境保护。开展生态环境科技工作，组织生态环境科学研究和技术工程示范，推动生态环境技术管理体系建设。</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（11）</w:t>
      </w:r>
      <w:r>
        <w:rPr>
          <w:rFonts w:hint="eastAsia" w:ascii="仿宋_GB2312" w:hAnsi="楷体" w:eastAsia="仿宋_GB2312"/>
          <w:sz w:val="32"/>
          <w:szCs w:val="32"/>
        </w:rPr>
        <w:t>、县生态环境保护综合行政执法局以本级生态环境部门的名义，统一负责辖区内生态环境保护综合行政执法，依法统一行使污染防治、生态保护、核与辐射安全的行政处罚权以及与行政处罚相关的行政检查、行政强制权等执法职能。除法律法规另有规定外，相关部门不再行使上述行政处罚权和行政强制权。</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（12）</w:t>
      </w:r>
      <w:r>
        <w:rPr>
          <w:rFonts w:hint="eastAsia" w:ascii="仿宋_GB2312" w:hAnsi="楷体" w:eastAsia="仿宋_GB2312"/>
          <w:sz w:val="32"/>
          <w:szCs w:val="32"/>
        </w:rPr>
        <w:t>、完成市生态环境局交办的其他任务，协助所在县委、县政府开展生态环境保护工作，指导辖区所在地乡镇(街道)的生态环境保护工作。</w:t>
      </w:r>
    </w:p>
    <w:p>
      <w:pPr>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仿宋_GB2312" w:hAnsi="楷体" w:eastAsia="仿宋_GB2312"/>
          <w:sz w:val="32"/>
          <w:szCs w:val="32"/>
        </w:rPr>
      </w:pPr>
      <w:r>
        <w:rPr>
          <w:rFonts w:eastAsia="仿宋_GB2312"/>
          <w:sz w:val="32"/>
          <w:szCs w:val="32"/>
        </w:rPr>
        <w:t>2</w:t>
      </w:r>
      <w:r>
        <w:rPr>
          <w:rFonts w:hint="eastAsia" w:ascii="宋体" w:hAnsi="宋体" w:eastAsia="宋体" w:cs="宋体"/>
          <w:b/>
          <w:bCs/>
          <w:sz w:val="32"/>
          <w:szCs w:val="32"/>
        </w:rPr>
        <w:t>、机构设置</w:t>
      </w:r>
    </w:p>
    <w:p>
      <w:pPr>
        <w:pageBreakBefore w:val="0"/>
        <w:widowControl/>
        <w:kinsoku/>
        <w:wordWrap/>
        <w:overflowPunct/>
        <w:topLinePunct w:val="0"/>
        <w:autoSpaceDE/>
        <w:autoSpaceDN/>
        <w:bidi w:val="0"/>
        <w:adjustRightInd/>
        <w:spacing w:before="321" w:beforeLines="50" w:beforeAutospacing="0" w:after="321" w:afterLines="50" w:afterAutospacing="0" w:line="460" w:lineRule="exact"/>
        <w:jc w:val="left"/>
        <w:textAlignment w:val="auto"/>
        <w:rPr>
          <w:rFonts w:hint="eastAsia" w:ascii="仿宋_GB2312" w:hAnsi="楷体"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ascii="仿宋_GB2312" w:hAnsi="楷体" w:eastAsia="仿宋_GB2312"/>
          <w:sz w:val="32"/>
          <w:szCs w:val="32"/>
        </w:rPr>
        <w:t>永州市生态环境局新田分局共设置</w:t>
      </w:r>
      <w:r>
        <w:rPr>
          <w:rFonts w:hint="eastAsia" w:ascii="仿宋_GB2312" w:hAnsi="楷体" w:eastAsia="仿宋_GB2312"/>
          <w:sz w:val="32"/>
          <w:szCs w:val="32"/>
          <w:lang w:val="en-US" w:eastAsia="zh-CN"/>
        </w:rPr>
        <w:t>2</w:t>
      </w:r>
      <w:r>
        <w:rPr>
          <w:rFonts w:hint="eastAsia" w:ascii="仿宋_GB2312" w:hAnsi="楷体" w:eastAsia="仿宋_GB2312"/>
          <w:sz w:val="32"/>
          <w:szCs w:val="32"/>
        </w:rPr>
        <w:t>股1室</w:t>
      </w:r>
      <w:r>
        <w:rPr>
          <w:rFonts w:hint="eastAsia" w:ascii="仿宋_GB2312" w:hAnsi="楷体" w:eastAsia="仿宋_GB2312"/>
          <w:sz w:val="32"/>
          <w:szCs w:val="32"/>
          <w:lang w:val="en-US" w:eastAsia="zh-CN"/>
        </w:rPr>
        <w:t>2</w:t>
      </w:r>
      <w:r>
        <w:rPr>
          <w:rFonts w:hint="eastAsia" w:ascii="仿宋_GB2312" w:hAnsi="楷体" w:eastAsia="仿宋_GB2312"/>
          <w:sz w:val="32"/>
          <w:szCs w:val="32"/>
        </w:rPr>
        <w:t>站1队</w:t>
      </w:r>
      <w:r>
        <w:rPr>
          <w:rFonts w:hint="eastAsia" w:ascii="仿宋_GB2312" w:hAnsi="楷体" w:eastAsia="仿宋_GB2312"/>
          <w:sz w:val="32"/>
          <w:szCs w:val="32"/>
          <w:lang w:val="en-US" w:eastAsia="zh-CN"/>
        </w:rPr>
        <w:t>1中心</w:t>
      </w:r>
      <w:r>
        <w:rPr>
          <w:rFonts w:hint="eastAsia" w:ascii="仿宋_GB2312" w:hAnsi="楷体" w:eastAsia="仿宋_GB2312"/>
          <w:sz w:val="32"/>
          <w:szCs w:val="32"/>
        </w:rPr>
        <w:t>。分别是：</w:t>
      </w:r>
      <w:r>
        <w:rPr>
          <w:rFonts w:hint="eastAsia" w:ascii="仿宋_GB2312" w:hAnsi="楷体" w:eastAsia="仿宋_GB2312"/>
          <w:sz w:val="32"/>
          <w:szCs w:val="32"/>
          <w:lang w:eastAsia="zh-CN"/>
        </w:rPr>
        <w:t>环境评价与排放管理股、污染防治监管股、</w:t>
      </w:r>
      <w:r>
        <w:rPr>
          <w:rFonts w:hint="eastAsia" w:ascii="仿宋_GB2312" w:hAnsi="楷体" w:eastAsia="仿宋_GB2312"/>
          <w:sz w:val="32"/>
          <w:szCs w:val="32"/>
        </w:rPr>
        <w:t>办公室（含政工人事、财务</w:t>
      </w:r>
      <w:r>
        <w:rPr>
          <w:rFonts w:hint="eastAsia" w:ascii="仿宋_GB2312" w:hAnsi="楷体" w:eastAsia="仿宋_GB2312"/>
          <w:sz w:val="32"/>
          <w:szCs w:val="32"/>
          <w:lang w:eastAsia="zh-CN"/>
        </w:rPr>
        <w:t>、纪检</w:t>
      </w:r>
      <w:r>
        <w:rPr>
          <w:rFonts w:hint="eastAsia" w:ascii="仿宋_GB2312" w:hAnsi="楷体" w:eastAsia="仿宋_GB2312"/>
          <w:sz w:val="32"/>
          <w:szCs w:val="32"/>
        </w:rPr>
        <w:t>）、</w:t>
      </w:r>
      <w:r>
        <w:rPr>
          <w:rFonts w:hint="eastAsia" w:ascii="仿宋_GB2312" w:hAnsi="楷体" w:eastAsia="仿宋_GB2312"/>
          <w:sz w:val="32"/>
          <w:szCs w:val="32"/>
          <w:lang w:eastAsia="zh-CN"/>
        </w:rPr>
        <w:t>新田县生态环境保护综合行政执法大队</w:t>
      </w:r>
      <w:r>
        <w:rPr>
          <w:rFonts w:hint="eastAsia" w:ascii="仿宋_GB2312" w:hAnsi="楷体" w:eastAsia="仿宋_GB2312"/>
          <w:sz w:val="32"/>
          <w:szCs w:val="32"/>
        </w:rPr>
        <w:t>、</w:t>
      </w:r>
      <w:r>
        <w:rPr>
          <w:rFonts w:hint="eastAsia" w:ascii="仿宋_GB2312" w:hAnsi="楷体" w:eastAsia="仿宋_GB2312"/>
          <w:sz w:val="32"/>
          <w:szCs w:val="32"/>
          <w:lang w:eastAsia="zh-CN"/>
        </w:rPr>
        <w:t>永州市新田生态环境</w:t>
      </w:r>
      <w:r>
        <w:rPr>
          <w:rFonts w:hint="eastAsia" w:ascii="仿宋_GB2312" w:hAnsi="楷体" w:eastAsia="仿宋_GB2312"/>
          <w:sz w:val="32"/>
          <w:szCs w:val="32"/>
        </w:rPr>
        <w:t>监测站</w:t>
      </w:r>
      <w:r>
        <w:rPr>
          <w:rFonts w:hint="eastAsia" w:ascii="仿宋_GB2312" w:hAnsi="楷体" w:eastAsia="仿宋_GB2312"/>
          <w:sz w:val="32"/>
          <w:szCs w:val="32"/>
          <w:lang w:eastAsia="zh-CN"/>
        </w:rPr>
        <w:t>、新田县固体废物与辐射管理站、新田县生态事务中心</w:t>
      </w:r>
      <w:r>
        <w:rPr>
          <w:rFonts w:hint="eastAsia" w:ascii="仿宋_GB2312" w:hAnsi="楷体" w:eastAsia="仿宋_GB2312"/>
          <w:sz w:val="32"/>
          <w:szCs w:val="32"/>
        </w:rPr>
        <w:t>。</w:t>
      </w:r>
    </w:p>
    <w:p>
      <w:pPr>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人员构成</w:t>
      </w:r>
    </w:p>
    <w:p>
      <w:pPr>
        <w:widowControl/>
        <w:ind w:firstLine="640" w:firstLineChars="200"/>
        <w:jc w:val="left"/>
        <w:rPr>
          <w:rFonts w:hint="default"/>
          <w:lang w:val="en-US" w:eastAsia="zh-CN"/>
        </w:rPr>
      </w:pPr>
      <w:r>
        <w:rPr>
          <w:rFonts w:hint="eastAsia" w:ascii="仿宋_GB2312" w:hAnsi="楷体" w:eastAsia="仿宋_GB2312"/>
          <w:sz w:val="32"/>
          <w:szCs w:val="32"/>
          <w:lang w:val="en-US" w:eastAsia="zh-CN"/>
        </w:rPr>
        <w:t>截止2023年12月31日，市编办核定我局行政及参照公务员管理人员编制6个，事业编制41个，机关工勤编制1个，</w:t>
      </w:r>
      <w:r>
        <w:rPr>
          <w:rFonts w:hint="eastAsia" w:ascii="仿宋_GB2312" w:hAnsi="楷体" w:eastAsia="仿宋_GB2312"/>
          <w:sz w:val="32"/>
          <w:szCs w:val="32"/>
        </w:rPr>
        <w:t>202</w:t>
      </w:r>
      <w:r>
        <w:rPr>
          <w:rFonts w:hint="eastAsia" w:ascii="仿宋_GB2312" w:hAnsi="楷体" w:eastAsia="仿宋_GB2312"/>
          <w:sz w:val="32"/>
          <w:szCs w:val="32"/>
          <w:lang w:val="en-US" w:eastAsia="zh-CN"/>
        </w:rPr>
        <w:t>3</w:t>
      </w:r>
      <w:r>
        <w:rPr>
          <w:rFonts w:hint="eastAsia" w:ascii="仿宋_GB2312" w:hAnsi="楷体" w:eastAsia="仿宋_GB2312"/>
          <w:sz w:val="32"/>
          <w:szCs w:val="32"/>
        </w:rPr>
        <w:t>年度年初</w:t>
      </w:r>
      <w:r>
        <w:rPr>
          <w:rFonts w:hint="eastAsia" w:ascii="仿宋_GB2312" w:hAnsi="楷体" w:eastAsia="仿宋_GB2312"/>
          <w:sz w:val="32"/>
          <w:szCs w:val="32"/>
          <w:lang w:eastAsia="zh-CN"/>
        </w:rPr>
        <w:t>实有在职人数</w:t>
      </w:r>
      <w:r>
        <w:rPr>
          <w:rFonts w:hint="eastAsia" w:ascii="仿宋_GB2312" w:hAnsi="楷体" w:eastAsia="仿宋_GB2312"/>
          <w:sz w:val="32"/>
          <w:szCs w:val="32"/>
          <w:lang w:val="en-US" w:eastAsia="zh-CN"/>
        </w:rPr>
        <w:t>36</w:t>
      </w:r>
      <w:r>
        <w:rPr>
          <w:rFonts w:hint="eastAsia" w:ascii="仿宋_GB2312" w:hAnsi="楷体" w:eastAsia="仿宋_GB2312"/>
          <w:sz w:val="32"/>
          <w:szCs w:val="32"/>
        </w:rPr>
        <w:t>人，年末实有在职人数</w:t>
      </w:r>
      <w:r>
        <w:rPr>
          <w:rFonts w:hint="eastAsia" w:ascii="仿宋_GB2312" w:hAnsi="楷体" w:eastAsia="仿宋_GB2312"/>
          <w:sz w:val="32"/>
          <w:szCs w:val="32"/>
          <w:lang w:val="en-US" w:eastAsia="zh-CN"/>
        </w:rPr>
        <w:t>34</w:t>
      </w:r>
      <w:r>
        <w:rPr>
          <w:rFonts w:hint="eastAsia" w:ascii="仿宋_GB2312" w:hAnsi="楷体" w:eastAsia="仿宋_GB2312"/>
          <w:sz w:val="32"/>
          <w:szCs w:val="32"/>
        </w:rPr>
        <w:t>人</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行政及参照公务员管理人员19人，事业人员15人），我局下属机构新田县生态环境保护综合行政执法大队为参公管理单位，该单位人员包括事业工勤人员在内全部待遇参公管理，共19人。本年人员增加0人（均为公开招聘人员</w:t>
      </w:r>
      <w:r>
        <w:rPr>
          <w:rFonts w:hint="eastAsia" w:ascii="仿宋_GB2312" w:hAnsi="楷体" w:eastAsia="仿宋_GB2312"/>
          <w:sz w:val="32"/>
          <w:szCs w:val="32"/>
          <w:lang w:eastAsia="zh-CN"/>
        </w:rPr>
        <w:t>），减少</w:t>
      </w:r>
      <w:r>
        <w:rPr>
          <w:rFonts w:hint="eastAsia" w:ascii="仿宋_GB2312" w:hAnsi="楷体" w:eastAsia="仿宋_GB2312"/>
          <w:sz w:val="32"/>
          <w:szCs w:val="32"/>
          <w:lang w:val="en-US" w:eastAsia="zh-CN"/>
        </w:rPr>
        <w:t>2人</w:t>
      </w:r>
      <w:r>
        <w:rPr>
          <w:rFonts w:hint="eastAsia" w:ascii="仿宋" w:hAnsi="仿宋" w:eastAsia="仿宋" w:cs="仿宋"/>
          <w:kern w:val="0"/>
          <w:sz w:val="32"/>
          <w:szCs w:val="32"/>
          <w:lang w:val="en-US" w:eastAsia="zh-CN"/>
        </w:rPr>
        <w:t>（其中：调出至市级单位的事业人员1人，退休1人），本年人员实际减少2人</w:t>
      </w:r>
      <w:r>
        <w:rPr>
          <w:rFonts w:hint="eastAsia" w:ascii="仿宋" w:hAnsi="仿宋" w:eastAsia="仿宋" w:cs="仿宋"/>
          <w:kern w:val="0"/>
          <w:sz w:val="32"/>
          <w:szCs w:val="32"/>
        </w:rPr>
        <w:t>。</w:t>
      </w:r>
    </w:p>
    <w:p>
      <w:pPr>
        <w:widowControl w:val="0"/>
        <w:shd w:val="clear" w:color="auto" w:fill="FFFFFF"/>
        <w:spacing w:line="570" w:lineRule="exact"/>
        <w:ind w:firstLine="640" w:firstLineChars="200"/>
        <w:rPr>
          <w:rFonts w:hint="eastAsia" w:ascii="仿宋_GB2312" w:eastAsia="仿宋_GB2312"/>
          <w:sz w:val="32"/>
          <w:szCs w:val="32"/>
        </w:rPr>
      </w:pPr>
    </w:p>
    <w:p>
      <w:pPr>
        <w:numPr>
          <w:ilvl w:val="0"/>
          <w:numId w:val="8"/>
        </w:numPr>
        <w:spacing w:line="570" w:lineRule="exact"/>
        <w:ind w:firstLine="640" w:firstLineChars="200"/>
        <w:rPr>
          <w:rFonts w:hint="eastAsia" w:eastAsia="仿宋_GB2312"/>
          <w:color w:val="000000"/>
          <w:sz w:val="32"/>
          <w:szCs w:val="32"/>
        </w:rPr>
      </w:pPr>
      <w:r>
        <w:rPr>
          <w:rFonts w:hint="eastAsia" w:ascii="仿宋_GB2312" w:eastAsia="仿宋_GB2312"/>
          <w:sz w:val="32"/>
          <w:szCs w:val="32"/>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default" w:eastAsia="宋体"/>
          <w:lang w:val="en-US" w:eastAsia="zh-CN"/>
        </w:rPr>
      </w:pPr>
      <w:r>
        <w:rPr>
          <w:rFonts w:hint="eastAsia"/>
          <w:lang w:val="en-US" w:eastAsia="zh-CN"/>
        </w:rPr>
        <w:t xml:space="preserve">   </w:t>
      </w:r>
      <w:r>
        <w:rPr>
          <w:rFonts w:hint="eastAsia" w:ascii="仿宋_GB2312" w:hAnsi="楷体" w:eastAsia="仿宋_GB2312"/>
          <w:sz w:val="32"/>
          <w:szCs w:val="32"/>
          <w:lang w:val="en-US" w:eastAsia="zh-CN"/>
        </w:rPr>
        <w:t>2023年度整体支出1021万元。部门基本支出为414.55万元，项目支出为606.44万元。项目支出中，执法办案经费69.52万元、基本监测经费支出50.76万元及排污权有偿使用收来支出6.51万元共计117.79万元来源为一般公共预算财政拨款收入；其他项目支出488.65万元的经费来源为其他收入，主要是县财政资金拨款。2023年度部门整体支出中，卫生健康支出18.69万元、节能环保支出929.07万元、住房保障支出32.92万元、社会保障支出40.32万元。2023年“三公”经费预算数为11万元，其中，公务接待费5万元，公务用车购置及运行费6万元（其中，公务用车购置费0万元，公务用车运行费6万元），因公出国（境）费0万元。2023年“三公”经费决算数为10.94万元，其中公务接待费4.94万元，公务用车购置及运行费6万元（其中，公务用车购置费0万元，公务用车运行费6万元），因公出国（境）费0万元。公务用车购置量为0，公务用车保有量为1辆。无因公出国（境）团组数及人数。国内公务接待批次46个，国内公务接待人数179人。</w:t>
      </w:r>
    </w:p>
    <w:p>
      <w:pPr>
        <w:pStyle w:val="14"/>
        <w:spacing w:line="57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4"/>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（一）基本支出情况</w:t>
      </w:r>
    </w:p>
    <w:p>
      <w:pPr>
        <w:widowControl/>
        <w:ind w:firstLine="640" w:firstLineChars="200"/>
        <w:jc w:val="left"/>
        <w:rPr>
          <w:rFonts w:ascii="Times New Roman" w:hAnsi="Times New Roman" w:eastAsia="仿宋_GB2312"/>
          <w:sz w:val="32"/>
          <w:szCs w:val="32"/>
        </w:rPr>
      </w:pPr>
      <w:r>
        <w:rPr>
          <w:rFonts w:hint="eastAsia" w:ascii="仿宋_GB2312" w:hAnsi="楷体" w:eastAsia="仿宋_GB2312"/>
          <w:sz w:val="32"/>
          <w:szCs w:val="32"/>
          <w:lang w:val="en-US" w:eastAsia="zh-CN"/>
        </w:rPr>
        <w:t>2023年度基本支出391.99万元，占一般公共预算支出的76.89%，其中工资福利经费支出314.8万元，占基本支出80.31%，其中基本工资141.43万元，津贴补贴39.99万元，奖金7.19万元，绩效工资33.96万元，养老保险费40.32万元，职工基本医疗保险费18.69万元，其他社会保障缴费0.29万元，住房公积金32.92万元；2023年度行政运行经费77.19万元，占总支出19.69%，其中办公费8万元，印刷费7.02万元、咨询费2万元，邮电费4.34万元，差旅费8.72万元，维修费3万元，公务接待费4.94万元，专用材料费2.01万元，劳务费3.64万元，工会经费5.71万元，福利费1.5万元，公车运行费6万元，其他交通费15.79万元，其他商品服务支出4.51万元。</w:t>
      </w:r>
    </w:p>
    <w:p>
      <w:pPr>
        <w:pStyle w:val="14"/>
        <w:numPr>
          <w:ilvl w:val="0"/>
          <w:numId w:val="8"/>
        </w:numPr>
        <w:spacing w:line="57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项目支出情况</w:t>
      </w:r>
    </w:p>
    <w:p>
      <w:pPr>
        <w:pageBreakBefore w:val="0"/>
        <w:kinsoku/>
        <w:wordWrap/>
        <w:overflowPunct/>
        <w:topLinePunct w:val="0"/>
        <w:autoSpaceDE/>
        <w:autoSpaceDN/>
        <w:bidi w:val="0"/>
        <w:adjustRightInd/>
        <w:snapToGrid w:val="0"/>
        <w:spacing w:before="321" w:beforeLines="50" w:beforeAutospacing="0" w:after="321" w:afterLines="50" w:afterAutospacing="0" w:line="460" w:lineRule="exact"/>
        <w:ind w:firstLine="640" w:firstLineChars="200"/>
        <w:textAlignment w:val="auto"/>
        <w:rPr>
          <w:rFonts w:ascii="Times New Roman" w:hAnsi="Times New Roman" w:eastAsia="仿宋_GB2312"/>
          <w:sz w:val="32"/>
          <w:szCs w:val="32"/>
        </w:rPr>
      </w:pPr>
      <w:r>
        <w:rPr>
          <w:rFonts w:hint="eastAsia" w:ascii="仿宋_GB2312" w:hAnsi="楷体" w:eastAsia="仿宋_GB2312"/>
          <w:sz w:val="32"/>
          <w:szCs w:val="32"/>
          <w:lang w:val="en-US" w:eastAsia="zh-CN"/>
        </w:rPr>
        <w:t>2023年度项目支出117.79万元，占一般公共预算总支出的23.11%，其中：1、执法办案经费支出60.52万元，主要用于主要用于开展企业日常环境监管，严肃查处环境违法行为，各类专项执法办案等方面的支出；2、基本监测经费支出50.76万元，主要用于监测站日常运行维护支出，其中资本性支出为14万元，主要是其他交通工具的购置费用14万元万元；3、排污权有偿使用收入的支出6.51万元，主要用于规范企业排污行为，约束企业达标排放，下企业进行检查宣传等方面的支出，保障生态环境质量。</w:t>
      </w:r>
    </w:p>
    <w:p>
      <w:pPr>
        <w:pStyle w:val="14"/>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pPr>
        <w:pStyle w:val="14"/>
        <w:spacing w:line="570" w:lineRule="exact"/>
        <w:ind w:firstLine="64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pPr>
        <w:pStyle w:val="14"/>
        <w:numPr>
          <w:ilvl w:val="0"/>
          <w:numId w:val="9"/>
        </w:numPr>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pPr>
        <w:pStyle w:val="14"/>
        <w:numPr>
          <w:ilvl w:val="0"/>
          <w:numId w:val="0"/>
        </w:numPr>
        <w:spacing w:line="57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pPr>
        <w:pStyle w:val="14"/>
        <w:numPr>
          <w:ilvl w:val="0"/>
          <w:numId w:val="9"/>
        </w:numPr>
        <w:spacing w:line="570" w:lineRule="exact"/>
        <w:ind w:left="0" w:leftChars="0" w:firstLine="640" w:firstLineChars="200"/>
        <w:jc w:val="both"/>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pPr>
        <w:pStyle w:val="14"/>
        <w:numPr>
          <w:ilvl w:val="0"/>
          <w:numId w:val="0"/>
        </w:numPr>
        <w:spacing w:line="570" w:lineRule="exact"/>
        <w:ind w:leftChars="200" w:firstLine="320" w:firstLineChars="10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pPr>
        <w:spacing w:line="570" w:lineRule="exact"/>
        <w:ind w:firstLine="640" w:firstLineChars="200"/>
        <w:jc w:val="both"/>
        <w:rPr>
          <w:rFonts w:eastAsia="黑体"/>
          <w:sz w:val="32"/>
          <w:szCs w:val="32"/>
        </w:rPr>
      </w:pPr>
      <w:r>
        <w:rPr>
          <w:rFonts w:eastAsia="黑体"/>
          <w:sz w:val="32"/>
          <w:szCs w:val="32"/>
        </w:rPr>
        <w:t>六、部门整体支出绩效情况</w:t>
      </w:r>
    </w:p>
    <w:p>
      <w:pPr>
        <w:pStyle w:val="2"/>
        <w:numPr>
          <w:ilvl w:val="0"/>
          <w:numId w:val="0"/>
        </w:numPr>
        <w:shd w:val="clear" w:color="auto" w:fill="FFFFFF"/>
        <w:ind w:left="630" w:leftChars="0"/>
        <w:jc w:val="both"/>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我局支出绩效目标完成情况、产出及效益</w:t>
      </w:r>
      <w:r>
        <w:rPr>
          <w:rFonts w:hint="eastAsia" w:ascii="Times New Roman" w:eastAsia="仿宋_GB2312" w:cs="Times New Roman"/>
          <w:b w:val="0"/>
          <w:bCs w:val="0"/>
          <w:color w:val="000000"/>
          <w:kern w:val="0"/>
          <w:sz w:val="32"/>
          <w:szCs w:val="32"/>
          <w:lang w:val="en-US" w:eastAsia="zh-CN" w:bidi="ar-SA"/>
        </w:rPr>
        <w:t>如下</w:t>
      </w:r>
      <w:r>
        <w:rPr>
          <w:rFonts w:hint="eastAsia" w:ascii="Times New Roman" w:hAnsi="Times New Roman" w:eastAsia="仿宋_GB2312" w:cs="Times New Roman"/>
          <w:b w:val="0"/>
          <w:bCs w:val="0"/>
          <w:color w:val="000000"/>
          <w:kern w:val="0"/>
          <w:sz w:val="32"/>
          <w:szCs w:val="32"/>
          <w:lang w:val="en-US" w:eastAsia="zh-CN" w:bidi="ar-SA"/>
        </w:rPr>
        <w:t>：</w:t>
      </w:r>
    </w:p>
    <w:p>
      <w:pPr>
        <w:pStyle w:val="2"/>
        <w:keepNext w:val="0"/>
        <w:keepLines w:val="0"/>
        <w:pageBreakBefore w:val="0"/>
        <w:widowControl/>
        <w:numPr>
          <w:ilvl w:val="0"/>
          <w:numId w:val="10"/>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执法办案方面：2023年度项目收入为52.14万元，来源于地方非同级财政拨款收入。对2017年来历次中央、省环保督察指出的近100个问题开展了地毯式回头看，确保问题不反弹、整改见实效。统筹推进突出生态环境问题整改，2023年必须完成的5个和力争高质量提前完成的19个问题整改任务均已完成；历次中央、省环保督察及信访件指出我县问题共97个，86项完成整改，11项达到时序进度，年度任务完成率达到100%。5月在省生态环境厅组织召开湘南片区生态环境保护督察工作联席会议上，新田等2个县区作典型经验交流发言。二是防范风险，严守生态安全底线。持续推进“利剑”行动及“一单五制”工作落实，“利剑”行动共发现风险隐患56个全部实现调级，“一单五制”排查环境问题132个全部整改到位，全县未发生较大及以上突发环境事件。</w:t>
      </w:r>
    </w:p>
    <w:p>
      <w:pPr>
        <w:pStyle w:val="2"/>
        <w:keepNext w:val="0"/>
        <w:keepLines w:val="0"/>
        <w:pageBreakBefore w:val="0"/>
        <w:widowControl/>
        <w:numPr>
          <w:ilvl w:val="0"/>
          <w:numId w:val="10"/>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基本监测方面：服务于县区河流水质、饮用水源地水质常规监测以及环境执法监测，掌握我县水环境质量状况和企业排污情况，为各项考核和监察执法提供规范、有效的环境质量监测数据。完成集中式饮用水源监测次数17次，千吨万人饮用水源地监测次数34次，经费购置生态环境保护监测技术装备作业用车工具车一辆。</w:t>
      </w:r>
    </w:p>
    <w:p>
      <w:pPr>
        <w:pStyle w:val="2"/>
        <w:keepNext w:val="0"/>
        <w:keepLines w:val="0"/>
        <w:pageBreakBefore w:val="0"/>
        <w:widowControl/>
        <w:numPr>
          <w:ilvl w:val="0"/>
          <w:numId w:val="10"/>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环保突出问题整治专项：2023年度项目收入为52.14万元，来源于地方非同级财政拨款收入。对2017年来历次中央、省环保督察指出的近100个问题开展了地毯式回头看，确保问题不反弹、整改见实效。统筹推进突出生态环境问题整改，2023年必须完成的5个和力争高质量提前完成的19个问题整改任务均已完成；历次中央、省环保督察及信访件指出我县问题共97个，86项完成整改，11项达到时序进度，年度任务完成率达到100%。5月在省生态环境厅组织召开湘南片区生态环境保护督察工作联席会议上，新田等2个县区作典型经验交流发言。二是防范风险，严守生态安全底线。持续推进“利剑”行动及“一单五制”工作落实，“利剑”行动共发现风险隐患56个全部实现调级，“一单五制”排查环境问题132个全部整改到位，全县未发生较大及以上突发环境事件。</w:t>
      </w:r>
    </w:p>
    <w:p>
      <w:pPr>
        <w:pStyle w:val="2"/>
        <w:keepNext w:val="0"/>
        <w:keepLines w:val="0"/>
        <w:pageBreakBefore w:val="0"/>
        <w:widowControl/>
        <w:numPr>
          <w:ilvl w:val="0"/>
          <w:numId w:val="10"/>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环境质量监测服务方面：通过委托第三方检测机构开展新田县环境质量检测，动态掌握了县域环境质量情况，为相关环境保护工作提供了强有力的技术支撑；保护了人类健康、保护环境，合理使用自然资源，制订环境法规、标准、规划等服务。对全县3处地表水断面、饮用水源地、重点污染源、万人千吨饮用水源地、农村环境等项目的实施提供技术支撑。</w:t>
      </w:r>
    </w:p>
    <w:p>
      <w:pPr>
        <w:pStyle w:val="2"/>
        <w:keepNext w:val="0"/>
        <w:keepLines w:val="0"/>
        <w:pageBreakBefore w:val="0"/>
        <w:widowControl/>
        <w:numPr>
          <w:ilvl w:val="0"/>
          <w:numId w:val="10"/>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大气质量服务外包：深入贯彻落实省、市大气污染治理专项行动，成立工作专班，出台工作方案，压紧压实责任，深入推进大气污染防治九大攻坚行动。持续实施石化、人造板、家具涂装等重点行业治理，完成2家企业VOCs治理。完成了160辆柴油货车路检路查任务和80台非道路移动机械尾气监测任务，在全市率先达成目标。对辖区内涉气企业进行专项排查整治及帮扶指导，共执法检查涉工业炉窑、锅炉企业122次，发现并整改到位问题8个；涉VOCs重点行业企业132次，发现并整改到位问题9个。2023年新田空气质量继续保持国家二级标准，综合指数2.77，同比改善0.7%，PM2.5浓度维持在30微克/立方米以下，优良率95.6%，同比改善4.1%，未出现重度污染天气。</w:t>
      </w:r>
    </w:p>
    <w:p>
      <w:pPr>
        <w:pStyle w:val="2"/>
        <w:keepNext w:val="0"/>
        <w:keepLines w:val="0"/>
        <w:pageBreakBefore w:val="0"/>
        <w:widowControl/>
        <w:numPr>
          <w:ilvl w:val="0"/>
          <w:numId w:val="10"/>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农村生活污水治理项目：2023年新田县农村污水治理项目总投资336.16万，完成了新隆镇佃湾村、侯桥村、神桥村、陶岭镇合福坊村、刘何村等5个村农村生活污水治理任务；持续开展重点行业企业用地检查，强化重点建设用地安全利用监管，按要求完成2个优先监管地块的管控任务；严格落实2023年受污染耕地安全利用任务，严格分类管理，建立管理清单，受污染耕地安全利用率达91%。该项目的建设解决了9000余人左右的生活污水无序排放问题，通过该项工程改善农村生活用水条件和人居环境，提高农村生活质量。</w:t>
      </w:r>
    </w:p>
    <w:p>
      <w:pPr>
        <w:pStyle w:val="2"/>
        <w:keepNext w:val="0"/>
        <w:keepLines w:val="0"/>
        <w:pageBreakBefore w:val="0"/>
        <w:widowControl/>
        <w:numPr>
          <w:ilvl w:val="0"/>
          <w:numId w:val="10"/>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排污权有偿使用收入安排的支出：2023年度收入为6.51万，含上年结转资金1.09万元，全年支出为6.51万元。全力服务稳住经济大局。实行排污许可证一站式发放，将环评审批纳入一站式服务管理内容。严格实施“三线一单”工作，严把环境准入关口，从源头把好守护生态环境的第一道“关卡”，为区域规划环评、项目环评审批提供硬约束。2023年共受理环境影响审批项目21件，其中实施告知承诺制审批项目2个，退回不符合准入清单项目0个。为园区调区扩区、空间规划、产业政策、项目发展提供了“绿色标尺”， 为园区高标准高质量发展注入“绿色能量”。2023年度收取排污权有偿使用费9.0986万元。</w:t>
      </w:r>
    </w:p>
    <w:p>
      <w:pPr>
        <w:pStyle w:val="2"/>
        <w:keepNext w:val="0"/>
        <w:keepLines w:val="0"/>
        <w:pageBreakBefore w:val="0"/>
        <w:widowControl/>
        <w:numPr>
          <w:ilvl w:val="0"/>
          <w:numId w:val="10"/>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新田县区行政管理事务：2023年，新田县水环境质量获省政府真抓实干督查激励表扬，获评2023年度全市污染防治攻坚战优秀等次，排全市第二名，斩获水环境质量、突出环境问题整改优秀县区奖。生态环境质量显著改善，空气质量综合指数同比改善0.7%，环境空气优良率同比提升4.1%；地表水考核断面水质达标率100%，同比改善排名全市第1、全省第3；土壤环境总体安全，未发生土壤污染事故。突出环境问题整改年度任务完成达到100%，在省生态环境厅组织召开湘南片区生态环境保护督察工作联席会议上作典型经验交流发言。十大生态环保项目合计完成工程投资2.768亿元，连续4个季度获市政府督查通报表扬。污染防治攻坚战“2023夏季攻势”79项任务全面完成，“利剑”行动56个生态环境风险隐患有效管控，“一单五制”排查132个生态环境问题全部整改到位，生态环境安全实现“三个不发生”。</w:t>
      </w:r>
    </w:p>
    <w:p>
      <w:pPr>
        <w:pStyle w:val="2"/>
        <w:keepNext w:val="0"/>
        <w:keepLines w:val="0"/>
        <w:pageBreakBefore w:val="0"/>
        <w:widowControl/>
        <w:numPr>
          <w:ilvl w:val="0"/>
          <w:numId w:val="10"/>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新田县区生态环境保护宣传：突出意识形态领域主体责任，压实意识形态工作责任制，牢牢掌握意识形态工作的领导权和主动权，充分发挥生态环境主管部门意识形态引领作用。2023年全年共开展12次理论学习中心组学习、组织支部集中学习24次。我局先后发表新闻信息50余篇，持续开展防范重大生态环境风险隐患“利剑”行动新闻宣传，发动全县各级各部门共发表新闻信息141篇，有效地宣传了我县的生态环境保护工作，做好了正向引导。六五世界环境日期间，开展系列环境保护宣传活动，加强环境保护宣传，引导动员全社会参与生态文明建设、践行绿色生产生活方式。</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202</w:t>
      </w:r>
      <w:r>
        <w:rPr>
          <w:rFonts w:hint="eastAsia" w:eastAsia="仿宋_GB2312" w:cs="Times New Roman"/>
          <w:b w:val="0"/>
          <w:color w:val="000000"/>
          <w:kern w:val="2"/>
          <w:sz w:val="32"/>
          <w:szCs w:val="32"/>
          <w:lang w:val="en-US" w:eastAsia="zh-CN" w:bidi="ar-SA"/>
        </w:rPr>
        <w:t>3</w:t>
      </w:r>
      <w:r>
        <w:rPr>
          <w:rFonts w:hint="eastAsia" w:ascii="Times New Roman" w:hAnsi="Times New Roman" w:eastAsia="仿宋_GB2312" w:cs="Times New Roman"/>
          <w:b w:val="0"/>
          <w:color w:val="000000"/>
          <w:kern w:val="2"/>
          <w:sz w:val="32"/>
          <w:szCs w:val="32"/>
          <w:lang w:val="en-US" w:eastAsia="zh-CN" w:bidi="ar-SA"/>
        </w:rPr>
        <w:t>年我局在工作中较好的完成了年度绩效目标,绩效评价主要从履职效能、管理效率、履职效益</w:t>
      </w:r>
      <w:r>
        <w:rPr>
          <w:rFonts w:hint="eastAsia" w:eastAsia="仿宋_GB2312" w:cs="Times New Roman"/>
          <w:b w:val="0"/>
          <w:color w:val="000000"/>
          <w:kern w:val="2"/>
          <w:sz w:val="32"/>
          <w:szCs w:val="32"/>
          <w:lang w:val="en-US" w:eastAsia="zh-CN" w:bidi="ar-SA"/>
        </w:rPr>
        <w:t>、社会效应、可持续发展能力和服务对象满意度六</w:t>
      </w:r>
      <w:r>
        <w:rPr>
          <w:rFonts w:hint="eastAsia" w:ascii="Times New Roman" w:hAnsi="Times New Roman" w:eastAsia="仿宋_GB2312" w:cs="Times New Roman"/>
          <w:b w:val="0"/>
          <w:color w:val="000000"/>
          <w:kern w:val="2"/>
          <w:sz w:val="32"/>
          <w:szCs w:val="32"/>
          <w:lang w:val="en-US" w:eastAsia="zh-CN" w:bidi="ar-SA"/>
        </w:rPr>
        <w:t>个方面对年度工作进行了综合分析评价,具体情况如下:</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（一）履职效能方面</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202</w:t>
      </w:r>
      <w:r>
        <w:rPr>
          <w:rFonts w:hint="eastAsia" w:eastAsia="仿宋_GB2312" w:cs="Times New Roman"/>
          <w:b w:val="0"/>
          <w:color w:val="000000"/>
          <w:kern w:val="2"/>
          <w:sz w:val="32"/>
          <w:szCs w:val="32"/>
          <w:lang w:val="en-US" w:eastAsia="zh-CN" w:bidi="ar-SA"/>
        </w:rPr>
        <w:t>3</w:t>
      </w:r>
      <w:r>
        <w:rPr>
          <w:rFonts w:hint="eastAsia" w:ascii="Times New Roman" w:hAnsi="Times New Roman" w:eastAsia="仿宋_GB2312" w:cs="Times New Roman"/>
          <w:b w:val="0"/>
          <w:color w:val="000000"/>
          <w:kern w:val="2"/>
          <w:sz w:val="32"/>
          <w:szCs w:val="32"/>
          <w:lang w:val="en-US" w:eastAsia="zh-CN" w:bidi="ar-SA"/>
        </w:rPr>
        <w:t>年我局依据国家法律法规、单位职责职能、社会经济发展的总体规划设定了年度整体工作目标，目标设定充分考虑了我市的实际情况，除个别目标设置不够细化外，基本符合要求；制定了目标责任分解工作机制，进一步明确固定资产管理各职能部门的职责和权限，建立统一要求、分级管理、各尽所能，各负其责的新机制。修订并完善了202</w:t>
      </w:r>
      <w:r>
        <w:rPr>
          <w:rFonts w:hint="eastAsia" w:eastAsia="仿宋_GB2312" w:cs="Times New Roman"/>
          <w:b w:val="0"/>
          <w:color w:val="000000"/>
          <w:kern w:val="2"/>
          <w:sz w:val="32"/>
          <w:szCs w:val="32"/>
          <w:lang w:val="en-US" w:eastAsia="zh-CN" w:bidi="ar-SA"/>
        </w:rPr>
        <w:t>3</w:t>
      </w:r>
      <w:r>
        <w:rPr>
          <w:rFonts w:hint="eastAsia" w:ascii="Times New Roman" w:hAnsi="Times New Roman" w:eastAsia="仿宋_GB2312" w:cs="Times New Roman"/>
          <w:b w:val="0"/>
          <w:color w:val="000000"/>
          <w:kern w:val="2"/>
          <w:sz w:val="32"/>
          <w:szCs w:val="32"/>
          <w:lang w:val="en-US" w:eastAsia="zh-CN" w:bidi="ar-SA"/>
        </w:rPr>
        <w:t>年内部控制制度，对管理工作起到了一定的支撑作用。</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（二）管理效率方面</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预算管理：202</w:t>
      </w:r>
      <w:r>
        <w:rPr>
          <w:rFonts w:hint="eastAsia" w:eastAsia="仿宋_GB2312" w:cs="Times New Roman"/>
          <w:b w:val="0"/>
          <w:color w:val="000000"/>
          <w:kern w:val="2"/>
          <w:sz w:val="32"/>
          <w:szCs w:val="32"/>
          <w:lang w:val="en-US" w:eastAsia="zh-CN" w:bidi="ar-SA"/>
        </w:rPr>
        <w:t>3</w:t>
      </w:r>
      <w:r>
        <w:rPr>
          <w:rFonts w:hint="eastAsia" w:ascii="Times New Roman" w:hAnsi="Times New Roman" w:eastAsia="仿宋_GB2312" w:cs="Times New Roman"/>
          <w:b w:val="0"/>
          <w:color w:val="000000"/>
          <w:kern w:val="2"/>
          <w:sz w:val="32"/>
          <w:szCs w:val="32"/>
          <w:lang w:val="en-US" w:eastAsia="zh-CN" w:bidi="ar-SA"/>
        </w:rPr>
        <w:t>年年初一般公共预算万元</w:t>
      </w:r>
      <w:r>
        <w:rPr>
          <w:rFonts w:hint="eastAsia" w:eastAsia="仿宋_GB2312" w:cs="Times New Roman"/>
          <w:b w:val="0"/>
          <w:color w:val="000000"/>
          <w:kern w:val="2"/>
          <w:sz w:val="32"/>
          <w:szCs w:val="32"/>
          <w:lang w:val="en-US" w:eastAsia="zh-CN" w:bidi="ar-SA"/>
        </w:rPr>
        <w:t>497.32万元</w:t>
      </w:r>
      <w:r>
        <w:rPr>
          <w:rFonts w:hint="eastAsia" w:ascii="Times New Roman" w:hAnsi="Times New Roman" w:eastAsia="仿宋_GB2312" w:cs="Times New Roman"/>
          <w:b w:val="0"/>
          <w:color w:val="000000"/>
          <w:kern w:val="2"/>
          <w:sz w:val="32"/>
          <w:szCs w:val="32"/>
          <w:lang w:val="en-US" w:eastAsia="zh-CN" w:bidi="ar-SA"/>
        </w:rPr>
        <w:t>,年中预算</w:t>
      </w:r>
      <w:r>
        <w:rPr>
          <w:rFonts w:hint="eastAsia" w:eastAsia="仿宋_GB2312" w:cs="Times New Roman"/>
          <w:b w:val="0"/>
          <w:color w:val="000000"/>
          <w:kern w:val="2"/>
          <w:sz w:val="32"/>
          <w:szCs w:val="32"/>
          <w:lang w:val="en-US" w:eastAsia="zh-CN" w:bidi="ar-SA"/>
        </w:rPr>
        <w:t>增加12.46</w:t>
      </w:r>
      <w:r>
        <w:rPr>
          <w:rFonts w:hint="eastAsia" w:ascii="Times New Roman" w:hAnsi="Times New Roman" w:eastAsia="仿宋_GB2312" w:cs="Times New Roman"/>
          <w:b w:val="0"/>
          <w:color w:val="000000"/>
          <w:kern w:val="2"/>
          <w:sz w:val="32"/>
          <w:szCs w:val="32"/>
          <w:lang w:val="en-US" w:eastAsia="zh-CN" w:bidi="ar-SA"/>
        </w:rPr>
        <w:t>万元,预算变动率</w:t>
      </w:r>
      <w:r>
        <w:rPr>
          <w:rFonts w:hint="eastAsia" w:eastAsia="仿宋_GB2312" w:cs="Times New Roman"/>
          <w:b w:val="0"/>
          <w:color w:val="000000"/>
          <w:kern w:val="2"/>
          <w:sz w:val="32"/>
          <w:szCs w:val="32"/>
          <w:lang w:val="en-US" w:eastAsia="zh-CN" w:bidi="ar-SA"/>
        </w:rPr>
        <w:t>2.5</w:t>
      </w:r>
      <w:r>
        <w:rPr>
          <w:rFonts w:hint="eastAsia" w:ascii="Times New Roman" w:hAnsi="Times New Roman" w:eastAsia="仿宋_GB2312" w:cs="Times New Roman"/>
          <w:b w:val="0"/>
          <w:color w:val="000000"/>
          <w:kern w:val="2"/>
          <w:sz w:val="32"/>
          <w:szCs w:val="32"/>
          <w:lang w:val="en-US" w:eastAsia="zh-CN" w:bidi="ar-SA"/>
        </w:rPr>
        <w:t>%,指标值</w:t>
      </w:r>
      <w:r>
        <w:rPr>
          <w:rFonts w:hint="eastAsia" w:eastAsia="仿宋_GB2312" w:cs="Times New Roman"/>
          <w:b w:val="0"/>
          <w:color w:val="000000"/>
          <w:kern w:val="2"/>
          <w:sz w:val="32"/>
          <w:szCs w:val="32"/>
          <w:lang w:val="en-US" w:eastAsia="zh-CN" w:bidi="ar-SA"/>
        </w:rPr>
        <w:t>增加</w:t>
      </w:r>
      <w:r>
        <w:rPr>
          <w:rFonts w:hint="eastAsia" w:ascii="Times New Roman" w:hAnsi="Times New Roman" w:eastAsia="仿宋_GB2312" w:cs="Times New Roman"/>
          <w:b w:val="0"/>
          <w:color w:val="000000"/>
          <w:kern w:val="2"/>
          <w:sz w:val="32"/>
          <w:szCs w:val="32"/>
          <w:lang w:val="en-US" w:eastAsia="zh-CN" w:bidi="ar-SA"/>
        </w:rPr>
        <w:t>的主要原因为</w:t>
      </w:r>
      <w:r>
        <w:rPr>
          <w:rFonts w:hint="eastAsia" w:eastAsia="仿宋_GB2312" w:cs="Times New Roman"/>
          <w:b w:val="0"/>
          <w:color w:val="000000"/>
          <w:kern w:val="2"/>
          <w:sz w:val="32"/>
          <w:szCs w:val="32"/>
          <w:lang w:val="en-US" w:eastAsia="zh-CN" w:bidi="ar-SA"/>
        </w:rPr>
        <w:t>是人员经费增加，社保费用和住房公积金的支出相应增加</w:t>
      </w:r>
      <w:r>
        <w:rPr>
          <w:rFonts w:hint="eastAsia" w:ascii="Times New Roman" w:hAnsi="Times New Roman" w:eastAsia="仿宋_GB2312" w:cs="Times New Roman"/>
          <w:b w:val="0"/>
          <w:color w:val="000000"/>
          <w:kern w:val="2"/>
          <w:sz w:val="32"/>
          <w:szCs w:val="32"/>
          <w:lang w:val="en-US" w:eastAsia="zh-CN" w:bidi="ar-SA"/>
        </w:rPr>
        <w:t>,本年政府采购预算总额</w:t>
      </w:r>
      <w:r>
        <w:rPr>
          <w:rFonts w:hint="eastAsia" w:eastAsia="仿宋_GB2312" w:cs="Times New Roman"/>
          <w:b w:val="0"/>
          <w:color w:val="000000"/>
          <w:kern w:val="2"/>
          <w:sz w:val="32"/>
          <w:szCs w:val="32"/>
          <w:lang w:val="en-US" w:eastAsia="zh-CN" w:bidi="ar-SA"/>
        </w:rPr>
        <w:t>0</w:t>
      </w:r>
      <w:r>
        <w:rPr>
          <w:rFonts w:hint="eastAsia" w:ascii="Times New Roman" w:hAnsi="Times New Roman" w:eastAsia="仿宋_GB2312" w:cs="Times New Roman"/>
          <w:b w:val="0"/>
          <w:color w:val="000000"/>
          <w:kern w:val="2"/>
          <w:sz w:val="32"/>
          <w:szCs w:val="32"/>
          <w:lang w:val="en-US" w:eastAsia="zh-CN" w:bidi="ar-SA"/>
        </w:rPr>
        <w:t>万元,实际采购金额</w:t>
      </w:r>
      <w:r>
        <w:rPr>
          <w:rFonts w:hint="eastAsia" w:eastAsia="仿宋_GB2312" w:cs="Times New Roman"/>
          <w:b w:val="0"/>
          <w:color w:val="000000"/>
          <w:kern w:val="2"/>
          <w:sz w:val="32"/>
          <w:szCs w:val="32"/>
          <w:lang w:val="en-US" w:eastAsia="zh-CN" w:bidi="ar-SA"/>
        </w:rPr>
        <w:t>311.7</w:t>
      </w:r>
      <w:r>
        <w:rPr>
          <w:rFonts w:hint="eastAsia" w:ascii="Times New Roman" w:hAnsi="Times New Roman" w:eastAsia="仿宋_GB2312" w:cs="Times New Roman"/>
          <w:b w:val="0"/>
          <w:color w:val="000000"/>
          <w:kern w:val="2"/>
          <w:sz w:val="32"/>
          <w:szCs w:val="32"/>
          <w:lang w:val="en-US" w:eastAsia="zh-CN" w:bidi="ar-SA"/>
        </w:rPr>
        <w:t>万元,政府采购执行率</w:t>
      </w:r>
      <w:r>
        <w:rPr>
          <w:rFonts w:hint="eastAsia" w:eastAsia="仿宋_GB2312" w:cs="Times New Roman"/>
          <w:b w:val="0"/>
          <w:color w:val="000000"/>
          <w:kern w:val="2"/>
          <w:sz w:val="32"/>
          <w:szCs w:val="32"/>
          <w:lang w:val="en-US" w:eastAsia="zh-CN" w:bidi="ar-SA"/>
        </w:rPr>
        <w:t>100</w:t>
      </w:r>
      <w:r>
        <w:rPr>
          <w:rFonts w:hint="eastAsia" w:ascii="Times New Roman" w:hAnsi="Times New Roman" w:eastAsia="仿宋_GB2312" w:cs="Times New Roman"/>
          <w:b w:val="0"/>
          <w:color w:val="000000"/>
          <w:kern w:val="2"/>
          <w:sz w:val="32"/>
          <w:szCs w:val="32"/>
          <w:lang w:val="en-US" w:eastAsia="zh-CN" w:bidi="ar-SA"/>
        </w:rPr>
        <w:t>%。</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成本控制: 我局严格贯彻实施省、市关于过“紧日子”的重要决策部署，严格控制“三公经费”公用经费</w:t>
      </w:r>
      <w:r>
        <w:rPr>
          <w:rFonts w:hint="eastAsia" w:ascii="Times New Roman" w:hAnsi="Times New Roman" w:eastAsia="仿宋_GB2312" w:cs="Times New Roman"/>
          <w:b w:val="0"/>
          <w:color w:val="000000"/>
          <w:kern w:val="2"/>
          <w:sz w:val="32"/>
          <w:szCs w:val="32"/>
          <w:highlight w:val="none"/>
          <w:lang w:val="en-US" w:eastAsia="zh-CN" w:bidi="ar-SA"/>
        </w:rPr>
        <w:t>支出和人员编制，“三公经费”年初预算</w:t>
      </w:r>
      <w:r>
        <w:rPr>
          <w:rFonts w:hint="eastAsia" w:eastAsia="仿宋_GB2312" w:cs="Times New Roman"/>
          <w:b w:val="0"/>
          <w:color w:val="000000"/>
          <w:kern w:val="2"/>
          <w:sz w:val="32"/>
          <w:szCs w:val="32"/>
          <w:highlight w:val="none"/>
          <w:lang w:val="en-US" w:eastAsia="zh-CN" w:bidi="ar-SA"/>
        </w:rPr>
        <w:t>11</w:t>
      </w:r>
      <w:r>
        <w:rPr>
          <w:rFonts w:hint="eastAsia" w:ascii="Times New Roman" w:hAnsi="Times New Roman" w:eastAsia="仿宋_GB2312" w:cs="Times New Roman"/>
          <w:b w:val="0"/>
          <w:color w:val="000000"/>
          <w:kern w:val="2"/>
          <w:sz w:val="32"/>
          <w:szCs w:val="32"/>
          <w:highlight w:val="none"/>
          <w:lang w:val="en-US" w:eastAsia="zh-CN" w:bidi="ar-SA"/>
        </w:rPr>
        <w:t>万元，实际支出</w:t>
      </w:r>
      <w:r>
        <w:rPr>
          <w:rFonts w:hint="eastAsia" w:eastAsia="仿宋_GB2312" w:cs="Times New Roman"/>
          <w:b w:val="0"/>
          <w:color w:val="000000"/>
          <w:kern w:val="2"/>
          <w:sz w:val="32"/>
          <w:szCs w:val="32"/>
          <w:highlight w:val="none"/>
          <w:lang w:val="en-US" w:eastAsia="zh-CN" w:bidi="ar-SA"/>
        </w:rPr>
        <w:t>10.94</w:t>
      </w:r>
      <w:r>
        <w:rPr>
          <w:rFonts w:hint="eastAsia" w:ascii="Times New Roman" w:hAnsi="Times New Roman" w:eastAsia="仿宋_GB2312" w:cs="Times New Roman"/>
          <w:b w:val="0"/>
          <w:color w:val="000000"/>
          <w:kern w:val="2"/>
          <w:sz w:val="32"/>
          <w:szCs w:val="32"/>
          <w:highlight w:val="none"/>
          <w:lang w:val="en-US" w:eastAsia="zh-CN" w:bidi="ar-SA"/>
        </w:rPr>
        <w:t>万元，控制率</w:t>
      </w:r>
      <w:r>
        <w:rPr>
          <w:rFonts w:hint="eastAsia" w:eastAsia="仿宋_GB2312" w:cs="Times New Roman"/>
          <w:b w:val="0"/>
          <w:color w:val="000000"/>
          <w:kern w:val="2"/>
          <w:sz w:val="32"/>
          <w:szCs w:val="32"/>
          <w:highlight w:val="none"/>
          <w:lang w:val="en-US" w:eastAsia="zh-CN" w:bidi="ar-SA"/>
        </w:rPr>
        <w:t>99.45</w:t>
      </w:r>
      <w:r>
        <w:rPr>
          <w:rFonts w:hint="eastAsia" w:ascii="Times New Roman" w:hAnsi="Times New Roman" w:eastAsia="仿宋_GB2312" w:cs="Times New Roman"/>
          <w:b w:val="0"/>
          <w:color w:val="000000"/>
          <w:kern w:val="2"/>
          <w:sz w:val="32"/>
          <w:szCs w:val="32"/>
          <w:highlight w:val="none"/>
          <w:lang w:val="en-US" w:eastAsia="zh-CN" w:bidi="ar-SA"/>
        </w:rPr>
        <w:t>%，控制情况良好</w:t>
      </w:r>
      <w:r>
        <w:rPr>
          <w:rFonts w:hint="eastAsia" w:ascii="Times New Roman" w:hAnsi="Times New Roman" w:eastAsia="仿宋_GB2312" w:cs="Times New Roman"/>
          <w:b w:val="0"/>
          <w:color w:val="000000"/>
          <w:kern w:val="2"/>
          <w:sz w:val="32"/>
          <w:szCs w:val="32"/>
          <w:lang w:val="en-US" w:eastAsia="zh-CN" w:bidi="ar-SA"/>
        </w:rPr>
        <w:t>。</w:t>
      </w:r>
    </w:p>
    <w:p>
      <w:pPr>
        <w:pStyle w:val="3"/>
        <w:pageBreakBefore w:val="0"/>
        <w:numPr>
          <w:ilvl w:val="0"/>
          <w:numId w:val="0"/>
        </w:numPr>
        <w:kinsoku/>
        <w:wordWrap/>
        <w:overflowPunct/>
        <w:topLinePunct w:val="0"/>
        <w:autoSpaceDE/>
        <w:autoSpaceDN/>
        <w:bidi w:val="0"/>
        <w:adjustRightInd/>
        <w:spacing w:before="321" w:beforeLines="50" w:beforeAutospacing="0" w:after="321" w:afterLines="50" w:afterAutospacing="0" w:line="460" w:lineRule="exact"/>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三</w:t>
      </w:r>
      <w:r>
        <w:rPr>
          <w:rFonts w:hint="eastAsia" w:ascii="Times New Roman" w:hAnsi="Times New Roman" w:eastAsia="仿宋_GB2312" w:cs="Times New Roman"/>
          <w:b/>
          <w:bCs/>
          <w:color w:val="000000"/>
          <w:kern w:val="2"/>
          <w:sz w:val="32"/>
          <w:szCs w:val="32"/>
          <w:lang w:val="en-US" w:eastAsia="zh-CN" w:bidi="ar-SA"/>
        </w:rPr>
        <w:t>）履职效益方面</w:t>
      </w:r>
    </w:p>
    <w:p>
      <w:pPr>
        <w:pStyle w:val="3"/>
        <w:keepNext/>
        <w:keepLines/>
        <w:pageBreakBefore w:val="0"/>
        <w:widowControl w:val="0"/>
        <w:numPr>
          <w:ilvl w:val="0"/>
          <w:numId w:val="0"/>
        </w:numPr>
        <w:kinsoku/>
        <w:wordWrap/>
        <w:overflowPunct/>
        <w:topLinePunct w:val="0"/>
        <w:autoSpaceDE/>
        <w:autoSpaceDN/>
        <w:bidi w:val="0"/>
        <w:adjustRightInd/>
        <w:snapToGrid/>
        <w:spacing w:before="321" w:beforeLines="50" w:beforeAutospacing="0" w:after="321" w:afterLines="50" w:afterAutospacing="0" w:line="460" w:lineRule="exact"/>
        <w:ind w:firstLine="640" w:firstLineChars="200"/>
        <w:textAlignment w:val="auto"/>
        <w:rPr>
          <w:rFonts w:eastAsia="仿宋_GB2312"/>
          <w:color w:val="000000"/>
          <w:sz w:val="32"/>
          <w:szCs w:val="32"/>
        </w:rPr>
      </w:pPr>
      <w:r>
        <w:rPr>
          <w:rFonts w:hint="eastAsia" w:eastAsia="仿宋_GB2312" w:cs="Times New Roman"/>
          <w:b w:val="0"/>
          <w:color w:val="000000"/>
          <w:kern w:val="2"/>
          <w:sz w:val="32"/>
          <w:szCs w:val="32"/>
          <w:lang w:val="en-US" w:eastAsia="zh-CN" w:bidi="ar-SA"/>
        </w:rPr>
        <w:t>1、</w:t>
      </w:r>
      <w:r>
        <w:rPr>
          <w:rFonts w:hint="eastAsia" w:ascii="Times New Roman" w:hAnsi="Times New Roman" w:eastAsia="仿宋_GB2312" w:cs="Times New Roman"/>
          <w:b w:val="0"/>
          <w:color w:val="000000"/>
          <w:kern w:val="2"/>
          <w:sz w:val="32"/>
          <w:szCs w:val="32"/>
          <w:lang w:val="en-US" w:eastAsia="zh-CN" w:bidi="ar-SA"/>
        </w:rPr>
        <w:t>全市生态环境质量明显改善。202</w:t>
      </w:r>
      <w:r>
        <w:rPr>
          <w:rFonts w:hint="eastAsia" w:eastAsia="仿宋_GB2312" w:cs="Times New Roman"/>
          <w:b w:val="0"/>
          <w:color w:val="000000"/>
          <w:kern w:val="2"/>
          <w:sz w:val="32"/>
          <w:szCs w:val="32"/>
          <w:lang w:val="en-US" w:eastAsia="zh-CN" w:bidi="ar-SA"/>
        </w:rPr>
        <w:t>3</w:t>
      </w:r>
      <w:r>
        <w:rPr>
          <w:rFonts w:hint="eastAsia" w:ascii="Times New Roman" w:hAnsi="Times New Roman" w:eastAsia="仿宋_GB2312" w:cs="Times New Roman"/>
          <w:b w:val="0"/>
          <w:color w:val="000000"/>
          <w:kern w:val="2"/>
          <w:sz w:val="32"/>
          <w:szCs w:val="32"/>
          <w:lang w:val="en-US" w:eastAsia="zh-CN" w:bidi="ar-SA"/>
        </w:rPr>
        <w:t>年1-12月，我县空气质量综合指数排全市第名，改善幅度排全市第名。PM2.5同比改善6.7%，PM10同比改善4.8%。3个地表水考核断面均达到相应考核标准，其中金陵水库达到I类，大历县村和纱帽岭村达到Ⅱ类。土壤环境总体安全，未发生土壤污染事故。</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5"/>
        <w:jc w:val="left"/>
        <w:textAlignment w:val="auto"/>
        <w:outlineLvl w:val="0"/>
        <w:rPr>
          <w:rFonts w:eastAsia="黑体"/>
          <w:sz w:val="32"/>
          <w:szCs w:val="32"/>
        </w:rPr>
      </w:pPr>
      <w:r>
        <w:rPr>
          <w:rFonts w:eastAsia="黑体"/>
          <w:sz w:val="32"/>
          <w:szCs w:val="32"/>
        </w:rPr>
        <w:t>七、存在的问题及</w:t>
      </w:r>
      <w:r>
        <w:rPr>
          <w:rFonts w:eastAsia="黑体"/>
          <w:b w:val="0"/>
          <w:bCs w:val="0"/>
          <w:sz w:val="32"/>
          <w:szCs w:val="32"/>
        </w:rPr>
        <w:t>原因分析</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5"/>
        <w:jc w:val="left"/>
        <w:textAlignment w:val="auto"/>
        <w:rPr>
          <w:rFonts w:eastAsia="仿宋_GB2312"/>
          <w:color w:val="000000"/>
          <w:sz w:val="32"/>
          <w:szCs w:val="32"/>
        </w:rPr>
      </w:pPr>
      <w:r>
        <w:rPr>
          <w:rFonts w:eastAsia="仿宋_GB2312"/>
          <w:color w:val="000000"/>
          <w:sz w:val="32"/>
          <w:szCs w:val="32"/>
          <w:lang w:val="en-US" w:eastAsia="zh-CN"/>
        </w:rPr>
        <w:t>⑴预算</w:t>
      </w:r>
      <w:r>
        <w:rPr>
          <w:rFonts w:eastAsia="仿宋_GB2312"/>
          <w:b w:val="0"/>
          <w:bCs w:val="0"/>
          <w:color w:val="000000"/>
          <w:sz w:val="32"/>
          <w:szCs w:val="32"/>
          <w:lang w:val="en-US" w:eastAsia="zh-CN"/>
        </w:rPr>
        <w:t>支出</w:t>
      </w:r>
      <w:r>
        <w:rPr>
          <w:rFonts w:eastAsia="仿宋_GB2312"/>
          <w:color w:val="000000"/>
          <w:sz w:val="32"/>
          <w:szCs w:val="32"/>
          <w:lang w:val="en-US" w:eastAsia="zh-CN"/>
        </w:rPr>
        <w:t>、预算管理能力有待加强。</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320" w:firstLineChars="100"/>
        <w:jc w:val="left"/>
        <w:textAlignment w:val="auto"/>
        <w:rPr>
          <w:rFonts w:eastAsia="仿宋_GB2312"/>
          <w:color w:val="000000"/>
          <w:sz w:val="32"/>
          <w:szCs w:val="32"/>
        </w:rPr>
      </w:pPr>
      <w:r>
        <w:rPr>
          <w:rFonts w:eastAsia="仿宋_GB2312"/>
          <w:color w:val="000000"/>
          <w:sz w:val="32"/>
          <w:szCs w:val="32"/>
          <w:lang w:val="en-US" w:eastAsia="zh-CN"/>
        </w:rPr>
        <w:t>　⑵资产管理质量有待提高</w:t>
      </w:r>
      <w:r>
        <w:rPr>
          <w:rFonts w:hint="eastAsia" w:eastAsia="仿宋_GB2312"/>
          <w:color w:val="000000"/>
          <w:sz w:val="32"/>
          <w:szCs w:val="32"/>
          <w:lang w:val="en-US" w:eastAsia="zh-CN"/>
        </w:rPr>
        <w:t>，希望有专人负责资产管理。</w:t>
      </w:r>
    </w:p>
    <w:p>
      <w:pPr>
        <w:pageBreakBefore w:val="0"/>
        <w:numPr>
          <w:ilvl w:val="0"/>
          <w:numId w:val="11"/>
        </w:numPr>
        <w:kinsoku/>
        <w:wordWrap/>
        <w:overflowPunct/>
        <w:topLinePunct w:val="0"/>
        <w:autoSpaceDE/>
        <w:autoSpaceDN/>
        <w:bidi w:val="0"/>
        <w:adjustRightInd/>
        <w:spacing w:before="321" w:beforeLines="50" w:beforeAutospacing="0" w:after="321" w:afterLines="50" w:afterAutospacing="0" w:line="460" w:lineRule="exact"/>
        <w:ind w:firstLine="640" w:firstLineChars="200"/>
        <w:jc w:val="left"/>
        <w:textAlignment w:val="auto"/>
        <w:outlineLvl w:val="0"/>
        <w:rPr>
          <w:rFonts w:eastAsia="黑体"/>
          <w:sz w:val="32"/>
          <w:szCs w:val="32"/>
        </w:rPr>
      </w:pPr>
      <w:r>
        <w:rPr>
          <w:rFonts w:eastAsia="黑体"/>
          <w:sz w:val="32"/>
          <w:szCs w:val="32"/>
        </w:rPr>
        <w:t>下一步改进措施</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jc w:val="left"/>
        <w:textAlignment w:val="auto"/>
        <w:rPr>
          <w:rFonts w:eastAsia="仿宋_GB2312"/>
          <w:color w:val="000000"/>
          <w:sz w:val="32"/>
          <w:szCs w:val="32"/>
          <w:lang w:val="en-US" w:eastAsia="zh-CN"/>
        </w:rPr>
      </w:pPr>
      <w:r>
        <w:rPr>
          <w:rFonts w:eastAsia="仿宋_GB2312"/>
          <w:color w:val="000000"/>
          <w:sz w:val="32"/>
          <w:szCs w:val="32"/>
          <w:lang w:val="en-US" w:eastAsia="zh-CN"/>
        </w:rPr>
        <w:t>⑴严格按照《中华人民共和国预算法》和《政府会计制度》加强对预算收入和支出的管理，不得擅自改变预算支出的用途。</w:t>
      </w:r>
    </w:p>
    <w:p>
      <w:pPr>
        <w:keepNext w:val="0"/>
        <w:keepLines w:val="0"/>
        <w:pageBreakBefore w:val="0"/>
        <w:widowControl/>
        <w:suppressLineNumbers w:val="0"/>
        <w:kinsoku/>
        <w:wordWrap/>
        <w:overflowPunct/>
        <w:topLinePunct w:val="0"/>
        <w:autoSpaceDE/>
        <w:autoSpaceDN/>
        <w:bidi w:val="0"/>
        <w:adjustRightInd/>
        <w:spacing w:before="321" w:beforeLines="50" w:beforeAutospacing="0" w:after="321" w:afterLines="50" w:afterAutospacing="0" w:line="460" w:lineRule="exact"/>
        <w:ind w:left="0" w:right="0"/>
        <w:jc w:val="left"/>
        <w:textAlignment w:val="auto"/>
      </w:pPr>
      <w:r>
        <w:rPr>
          <w:rFonts w:hint="eastAsia"/>
          <w:lang w:val="en-US" w:eastAsia="zh-CN"/>
        </w:rPr>
        <w:t xml:space="preserve">  </w:t>
      </w:r>
      <w:r>
        <w:rPr>
          <w:rFonts w:eastAsia="仿宋_GB2312"/>
          <w:color w:val="000000"/>
          <w:sz w:val="32"/>
          <w:szCs w:val="32"/>
          <w:lang w:val="en-US" w:eastAsia="zh-CN"/>
        </w:rPr>
        <w:t>　⑵严格按照《</w:t>
      </w:r>
      <w:r>
        <w:rPr>
          <w:rFonts w:hint="eastAsia" w:eastAsia="仿宋_GB2312"/>
          <w:color w:val="000000"/>
          <w:sz w:val="32"/>
          <w:szCs w:val="32"/>
          <w:lang w:val="en-US" w:eastAsia="zh-CN"/>
        </w:rPr>
        <w:t>永州</w:t>
      </w:r>
      <w:r>
        <w:rPr>
          <w:rFonts w:eastAsia="仿宋_GB2312"/>
          <w:color w:val="000000"/>
          <w:sz w:val="32"/>
          <w:szCs w:val="32"/>
          <w:lang w:val="en-US" w:eastAsia="zh-CN"/>
        </w:rPr>
        <w:t>市行政事业单位资产管理办法》进行资产采购、划拨、处置，定期或不定期进行资产核查，确保资产账实相符。</w:t>
      </w:r>
    </w:p>
    <w:p>
      <w:pPr>
        <w:pageBreakBefore w:val="0"/>
        <w:numPr>
          <w:ilvl w:val="0"/>
          <w:numId w:val="11"/>
        </w:numPr>
        <w:kinsoku/>
        <w:wordWrap/>
        <w:overflowPunct/>
        <w:topLinePunct w:val="0"/>
        <w:autoSpaceDE/>
        <w:autoSpaceDN/>
        <w:bidi w:val="0"/>
        <w:adjustRightInd/>
        <w:spacing w:before="321" w:beforeLines="50" w:beforeAutospacing="0" w:after="321" w:afterLines="50" w:afterAutospacing="0" w:line="460" w:lineRule="exact"/>
        <w:ind w:left="0" w:leftChars="0" w:firstLine="640" w:firstLineChars="200"/>
        <w:jc w:val="left"/>
        <w:textAlignment w:val="auto"/>
        <w:outlineLvl w:val="0"/>
        <w:rPr>
          <w:rFonts w:eastAsia="黑体"/>
          <w:sz w:val="32"/>
          <w:szCs w:val="32"/>
        </w:rPr>
      </w:pPr>
      <w:r>
        <w:rPr>
          <w:rFonts w:eastAsia="黑体"/>
          <w:sz w:val="32"/>
          <w:szCs w:val="32"/>
        </w:rPr>
        <w:t>部门整体支出绩效自评结果拟应用和公开情况</w:t>
      </w:r>
    </w:p>
    <w:p>
      <w:pPr>
        <w:keepNext w:val="0"/>
        <w:keepLines w:val="0"/>
        <w:pageBreakBefore w:val="0"/>
        <w:widowControl/>
        <w:suppressLineNumbers w:val="0"/>
        <w:kinsoku/>
        <w:wordWrap/>
        <w:overflowPunct/>
        <w:topLinePunct w:val="0"/>
        <w:autoSpaceDE/>
        <w:autoSpaceDN/>
        <w:bidi w:val="0"/>
        <w:adjustRightInd/>
        <w:spacing w:before="321" w:beforeLines="50" w:beforeAutospacing="0" w:after="321" w:afterLines="50" w:afterAutospacing="0" w:line="460" w:lineRule="exact"/>
        <w:ind w:left="0" w:right="0" w:firstLine="640" w:firstLineChars="200"/>
        <w:jc w:val="left"/>
        <w:textAlignment w:val="auto"/>
      </w:pPr>
      <w:r>
        <w:rPr>
          <w:rFonts w:eastAsia="仿宋_GB2312"/>
          <w:color w:val="000000"/>
          <w:sz w:val="32"/>
          <w:szCs w:val="32"/>
          <w:lang w:val="en-US" w:eastAsia="zh-CN"/>
        </w:rPr>
        <w:t>将绩效自评报告及评分表在单位网站进行公开，接受社会监督。</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jc w:val="left"/>
        <w:textAlignment w:val="auto"/>
        <w:rPr>
          <w:rFonts w:eastAsia="黑体"/>
          <w:sz w:val="32"/>
          <w:szCs w:val="32"/>
        </w:rPr>
      </w:pPr>
      <w:r>
        <w:rPr>
          <w:rFonts w:eastAsia="黑体"/>
          <w:sz w:val="32"/>
          <w:szCs w:val="32"/>
        </w:rPr>
        <w:t>其他需要说明的情况</w:t>
      </w:r>
      <w:r>
        <w:rPr>
          <w:rFonts w:hint="eastAsia" w:eastAsia="黑体"/>
          <w:sz w:val="32"/>
          <w:szCs w:val="32"/>
          <w:lang w:eastAsia="zh-CN"/>
        </w:rPr>
        <w:t>：无</w:t>
      </w: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spacing w:after="240" w:afterLines="100" w:line="520" w:lineRule="exact"/>
        <w:jc w:val="center"/>
        <w:rPr>
          <w:rFonts w:hint="eastAsia" w:ascii="方正小标宋简体" w:eastAsia="方正小标宋简体"/>
          <w:w w:val="99"/>
          <w:sz w:val="44"/>
          <w:szCs w:val="44"/>
        </w:rPr>
      </w:pPr>
      <w:r>
        <w:rPr>
          <w:rFonts w:hint="eastAsia" w:ascii="方正小标宋简体" w:eastAsia="方正小标宋简体"/>
          <w:w w:val="99"/>
          <w:sz w:val="44"/>
          <w:szCs w:val="44"/>
        </w:rPr>
        <w:t>2023年度部门整体支出绩效评价基础数据表</w:t>
      </w:r>
    </w:p>
    <w:tbl>
      <w:tblPr>
        <w:tblStyle w:val="9"/>
        <w:tblW w:w="103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84"/>
        <w:gridCol w:w="1205"/>
        <w:gridCol w:w="641"/>
        <w:gridCol w:w="1144"/>
        <w:gridCol w:w="1078"/>
        <w:gridCol w:w="1095"/>
        <w:gridCol w:w="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vMerge w:val="restart"/>
            <w:noWrap w:val="0"/>
            <w:vAlign w:val="center"/>
          </w:tcPr>
          <w:p>
            <w:pPr>
              <w:jc w:val="center"/>
              <w:rPr>
                <w:rFonts w:eastAsia="仿宋_GB2312"/>
                <w:sz w:val="20"/>
                <w:szCs w:val="20"/>
              </w:rPr>
            </w:pPr>
            <w:r>
              <w:rPr>
                <w:rFonts w:eastAsia="仿宋_GB2312"/>
                <w:sz w:val="20"/>
                <w:szCs w:val="20"/>
              </w:rPr>
              <w:t>财政供养人员情况（人）</w:t>
            </w:r>
          </w:p>
        </w:tc>
        <w:tc>
          <w:tcPr>
            <w:tcW w:w="1846" w:type="dxa"/>
            <w:gridSpan w:val="2"/>
            <w:noWrap w:val="0"/>
            <w:vAlign w:val="center"/>
          </w:tcPr>
          <w:p>
            <w:pPr>
              <w:jc w:val="center"/>
              <w:rPr>
                <w:rFonts w:eastAsia="仿宋_GB2312"/>
                <w:b/>
                <w:bCs/>
                <w:sz w:val="20"/>
                <w:szCs w:val="20"/>
              </w:rPr>
            </w:pPr>
            <w:r>
              <w:rPr>
                <w:rFonts w:eastAsia="仿宋_GB2312"/>
                <w:b/>
                <w:bCs/>
                <w:sz w:val="20"/>
                <w:szCs w:val="20"/>
              </w:rPr>
              <w:t>编制数</w:t>
            </w:r>
          </w:p>
        </w:tc>
        <w:tc>
          <w:tcPr>
            <w:tcW w:w="2222" w:type="dxa"/>
            <w:gridSpan w:val="2"/>
            <w:noWrap w:val="0"/>
            <w:vAlign w:val="center"/>
          </w:tcPr>
          <w:p>
            <w:pPr>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年实际在职人数</w:t>
            </w:r>
          </w:p>
        </w:tc>
        <w:tc>
          <w:tcPr>
            <w:tcW w:w="1890" w:type="dxa"/>
            <w:gridSpan w:val="2"/>
            <w:noWrap w:val="0"/>
            <w:vAlign w:val="center"/>
          </w:tcPr>
          <w:p>
            <w:pPr>
              <w:jc w:val="center"/>
              <w:rPr>
                <w:rFonts w:eastAsia="仿宋_GB2312"/>
                <w:b/>
                <w:bCs/>
                <w:sz w:val="20"/>
                <w:szCs w:val="20"/>
              </w:rPr>
            </w:pPr>
            <w:r>
              <w:rPr>
                <w:rFonts w:eastAsia="仿宋_GB2312"/>
                <w:b/>
                <w:bCs/>
                <w:sz w:val="20"/>
                <w:szCs w:val="20"/>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4384" w:type="dxa"/>
            <w:vMerge w:val="continue"/>
            <w:noWrap w:val="0"/>
            <w:vAlign w:val="center"/>
          </w:tcPr>
          <w:p>
            <w:pPr>
              <w:jc w:val="left"/>
              <w:rPr>
                <w:rFonts w:eastAsia="仿宋_GB2312"/>
                <w:sz w:val="20"/>
                <w:szCs w:val="20"/>
              </w:rPr>
            </w:pPr>
          </w:p>
        </w:tc>
        <w:tc>
          <w:tcPr>
            <w:tcW w:w="1846" w:type="dxa"/>
            <w:gridSpan w:val="2"/>
            <w:noWrap w:val="0"/>
            <w:vAlign w:val="center"/>
          </w:tcPr>
          <w:p>
            <w:pPr>
              <w:jc w:val="center"/>
              <w:rPr>
                <w:rFonts w:hint="default" w:eastAsia="仿宋_GB2312"/>
                <w:sz w:val="20"/>
                <w:szCs w:val="20"/>
                <w:lang w:val="en-US" w:eastAsia="zh-CN"/>
              </w:rPr>
            </w:pPr>
            <w:r>
              <w:rPr>
                <w:rFonts w:eastAsia="仿宋_GB2312"/>
                <w:sz w:val="20"/>
                <w:szCs w:val="20"/>
              </w:rPr>
              <w:t>　</w:t>
            </w:r>
            <w:r>
              <w:rPr>
                <w:rFonts w:hint="eastAsia" w:eastAsia="仿宋_GB2312"/>
                <w:sz w:val="20"/>
                <w:szCs w:val="20"/>
                <w:lang w:val="en-US" w:eastAsia="zh-CN"/>
              </w:rPr>
              <w:t>48</w:t>
            </w:r>
          </w:p>
        </w:tc>
        <w:tc>
          <w:tcPr>
            <w:tcW w:w="2222" w:type="dxa"/>
            <w:gridSpan w:val="2"/>
            <w:noWrap w:val="0"/>
            <w:vAlign w:val="center"/>
          </w:tcPr>
          <w:p>
            <w:pPr>
              <w:jc w:val="center"/>
              <w:rPr>
                <w:rFonts w:hint="default" w:eastAsia="仿宋_GB2312"/>
                <w:sz w:val="20"/>
                <w:szCs w:val="20"/>
                <w:lang w:val="en-US" w:eastAsia="zh-CN"/>
              </w:rPr>
            </w:pPr>
            <w:r>
              <w:rPr>
                <w:rFonts w:eastAsia="仿宋_GB2312"/>
                <w:sz w:val="20"/>
                <w:szCs w:val="20"/>
              </w:rPr>
              <w:t>　</w:t>
            </w:r>
            <w:r>
              <w:rPr>
                <w:rFonts w:hint="eastAsia" w:eastAsia="仿宋_GB2312"/>
                <w:sz w:val="20"/>
                <w:szCs w:val="20"/>
                <w:lang w:val="en-US" w:eastAsia="zh-CN"/>
              </w:rPr>
              <w:t>34</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70.83%</w:t>
            </w: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jc w:val="center"/>
              <w:rPr>
                <w:rFonts w:eastAsia="仿宋_GB2312"/>
                <w:sz w:val="20"/>
                <w:szCs w:val="20"/>
              </w:rPr>
            </w:pPr>
            <w:r>
              <w:rPr>
                <w:rFonts w:eastAsia="仿宋_GB2312"/>
                <w:sz w:val="20"/>
                <w:szCs w:val="20"/>
              </w:rPr>
              <w:t>经费控制情况（万元）</w:t>
            </w:r>
          </w:p>
        </w:tc>
        <w:tc>
          <w:tcPr>
            <w:tcW w:w="1846" w:type="dxa"/>
            <w:gridSpan w:val="2"/>
            <w:noWrap w:val="0"/>
            <w:vAlign w:val="center"/>
          </w:tcPr>
          <w:p>
            <w:pPr>
              <w:jc w:val="center"/>
              <w:rPr>
                <w:rFonts w:eastAsia="仿宋_GB2312"/>
                <w:b/>
                <w:bCs/>
                <w:sz w:val="20"/>
                <w:szCs w:val="20"/>
              </w:rPr>
            </w:pPr>
            <w:r>
              <w:rPr>
                <w:rFonts w:eastAsia="仿宋_GB2312"/>
                <w:b/>
                <w:bCs/>
                <w:sz w:val="20"/>
                <w:szCs w:val="20"/>
              </w:rPr>
              <w:t>202</w:t>
            </w:r>
            <w:r>
              <w:rPr>
                <w:rFonts w:hint="eastAsia" w:eastAsia="仿宋_GB2312"/>
                <w:b/>
                <w:bCs/>
                <w:sz w:val="20"/>
                <w:szCs w:val="20"/>
              </w:rPr>
              <w:t>2</w:t>
            </w:r>
            <w:r>
              <w:rPr>
                <w:rFonts w:eastAsia="仿宋_GB2312"/>
                <w:b/>
                <w:bCs/>
                <w:sz w:val="20"/>
                <w:szCs w:val="20"/>
              </w:rPr>
              <w:t>年决算数</w:t>
            </w:r>
          </w:p>
        </w:tc>
        <w:tc>
          <w:tcPr>
            <w:tcW w:w="2222" w:type="dxa"/>
            <w:gridSpan w:val="2"/>
            <w:noWrap w:val="0"/>
            <w:vAlign w:val="center"/>
          </w:tcPr>
          <w:p>
            <w:pPr>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年预算数</w:t>
            </w:r>
          </w:p>
        </w:tc>
        <w:tc>
          <w:tcPr>
            <w:tcW w:w="1890" w:type="dxa"/>
            <w:gridSpan w:val="2"/>
            <w:noWrap w:val="0"/>
            <w:vAlign w:val="center"/>
          </w:tcPr>
          <w:p>
            <w:pPr>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jc w:val="center"/>
              <w:rPr>
                <w:rFonts w:hint="eastAsia" w:eastAsia="仿宋_GB2312"/>
                <w:sz w:val="20"/>
                <w:szCs w:val="20"/>
              </w:rPr>
            </w:pPr>
            <w:r>
              <w:rPr>
                <w:rFonts w:hint="eastAsia" w:eastAsia="仿宋_GB2312"/>
                <w:sz w:val="20"/>
                <w:szCs w:val="20"/>
              </w:rPr>
              <w:t>一、部门基本支出</w:t>
            </w:r>
          </w:p>
        </w:tc>
        <w:tc>
          <w:tcPr>
            <w:tcW w:w="1846"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491.82</w:t>
            </w:r>
          </w:p>
        </w:tc>
        <w:tc>
          <w:tcPr>
            <w:tcW w:w="2222"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414.55</w:t>
            </w:r>
          </w:p>
        </w:tc>
        <w:tc>
          <w:tcPr>
            <w:tcW w:w="1890"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414.55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rPr>
                <w:rFonts w:hint="eastAsia" w:eastAsia="仿宋_GB2312"/>
                <w:sz w:val="20"/>
                <w:szCs w:val="20"/>
              </w:rPr>
            </w:pPr>
            <w:r>
              <w:rPr>
                <w:rFonts w:hint="eastAsia" w:eastAsia="仿宋_GB2312"/>
                <w:sz w:val="20"/>
                <w:szCs w:val="20"/>
              </w:rPr>
              <w:t>其中：</w:t>
            </w:r>
            <w:r>
              <w:rPr>
                <w:rFonts w:eastAsia="仿宋_GB2312"/>
                <w:sz w:val="20"/>
                <w:szCs w:val="20"/>
              </w:rPr>
              <w:t>公用经费</w:t>
            </w:r>
          </w:p>
        </w:tc>
        <w:tc>
          <w:tcPr>
            <w:tcW w:w="1846"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67.95</w:t>
            </w:r>
          </w:p>
        </w:tc>
        <w:tc>
          <w:tcPr>
            <w:tcW w:w="2222"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77.19</w:t>
            </w:r>
          </w:p>
        </w:tc>
        <w:tc>
          <w:tcPr>
            <w:tcW w:w="1890"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77.19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600" w:firstLineChars="300"/>
              <w:jc w:val="left"/>
              <w:rPr>
                <w:rFonts w:eastAsia="仿宋_GB2312"/>
                <w:sz w:val="20"/>
                <w:szCs w:val="20"/>
              </w:rPr>
            </w:pPr>
            <w:r>
              <w:rPr>
                <w:rFonts w:eastAsia="仿宋_GB2312"/>
                <w:sz w:val="20"/>
                <w:szCs w:val="20"/>
              </w:rPr>
              <w:t>其中：办公费</w:t>
            </w:r>
          </w:p>
        </w:tc>
        <w:tc>
          <w:tcPr>
            <w:tcW w:w="1846" w:type="dxa"/>
            <w:gridSpan w:val="2"/>
            <w:noWrap w:val="0"/>
            <w:vAlign w:val="center"/>
          </w:tcPr>
          <w:p>
            <w:pPr>
              <w:jc w:val="center"/>
              <w:rPr>
                <w:rFonts w:eastAsia="仿宋_GB2312"/>
                <w:sz w:val="20"/>
                <w:szCs w:val="20"/>
              </w:rPr>
            </w:pPr>
            <w:r>
              <w:rPr>
                <w:rFonts w:hint="eastAsia" w:eastAsia="仿宋_GB2312"/>
                <w:sz w:val="20"/>
                <w:szCs w:val="20"/>
                <w:lang w:val="en-US" w:eastAsia="zh-CN"/>
              </w:rPr>
              <w:t>10.47</w:t>
            </w:r>
          </w:p>
        </w:tc>
        <w:tc>
          <w:tcPr>
            <w:tcW w:w="2222" w:type="dxa"/>
            <w:gridSpan w:val="2"/>
            <w:noWrap w:val="0"/>
            <w:vAlign w:val="center"/>
          </w:tcPr>
          <w:p>
            <w:pPr>
              <w:jc w:val="center"/>
              <w:rPr>
                <w:rFonts w:eastAsia="仿宋_GB2312"/>
                <w:sz w:val="20"/>
                <w:szCs w:val="20"/>
              </w:rPr>
            </w:pPr>
            <w:r>
              <w:rPr>
                <w:rFonts w:hint="eastAsia" w:eastAsia="仿宋_GB2312"/>
                <w:sz w:val="20"/>
                <w:szCs w:val="20"/>
                <w:lang w:val="en-US" w:eastAsia="zh-CN"/>
              </w:rPr>
              <w:t>8</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600" w:firstLineChars="300"/>
              <w:jc w:val="left"/>
              <w:rPr>
                <w:rFonts w:eastAsia="仿宋_GB2312"/>
                <w:sz w:val="20"/>
                <w:szCs w:val="20"/>
              </w:rPr>
            </w:pPr>
            <w:r>
              <w:rPr>
                <w:rFonts w:eastAsia="仿宋_GB2312"/>
                <w:sz w:val="20"/>
                <w:szCs w:val="20"/>
              </w:rPr>
              <w:t>水费、电费、差旅费</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3.97</w:t>
            </w:r>
          </w:p>
        </w:tc>
        <w:tc>
          <w:tcPr>
            <w:tcW w:w="2222" w:type="dxa"/>
            <w:gridSpan w:val="2"/>
            <w:noWrap w:val="0"/>
            <w:vAlign w:val="center"/>
          </w:tcPr>
          <w:p>
            <w:pPr>
              <w:jc w:val="center"/>
              <w:rPr>
                <w:rFonts w:eastAsia="仿宋_GB2312"/>
                <w:sz w:val="20"/>
                <w:szCs w:val="20"/>
              </w:rPr>
            </w:pPr>
            <w:r>
              <w:rPr>
                <w:rFonts w:hint="eastAsia" w:eastAsia="仿宋_GB2312"/>
                <w:sz w:val="20"/>
                <w:szCs w:val="20"/>
                <w:lang w:val="en-US" w:eastAsia="zh-CN"/>
              </w:rPr>
              <w:t>8.8</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8.71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600" w:firstLineChars="300"/>
              <w:jc w:val="left"/>
              <w:rPr>
                <w:rFonts w:eastAsia="仿宋_GB2312"/>
                <w:sz w:val="20"/>
                <w:szCs w:val="20"/>
              </w:rPr>
            </w:pPr>
            <w:r>
              <w:rPr>
                <w:rFonts w:eastAsia="仿宋_GB2312"/>
                <w:sz w:val="20"/>
                <w:szCs w:val="20"/>
              </w:rPr>
              <w:t>会议费、培训费</w:t>
            </w:r>
          </w:p>
        </w:tc>
        <w:tc>
          <w:tcPr>
            <w:tcW w:w="1846" w:type="dxa"/>
            <w:gridSpan w:val="2"/>
            <w:noWrap w:val="0"/>
            <w:vAlign w:val="center"/>
          </w:tcPr>
          <w:p>
            <w:pPr>
              <w:jc w:val="center"/>
              <w:rPr>
                <w:rFonts w:eastAsia="仿宋_GB2312"/>
                <w:sz w:val="20"/>
                <w:szCs w:val="20"/>
              </w:rPr>
            </w:pPr>
            <w:r>
              <w:rPr>
                <w:rFonts w:hint="eastAsia" w:eastAsia="仿宋_GB2312"/>
                <w:sz w:val="20"/>
                <w:szCs w:val="20"/>
                <w:lang w:val="en-US" w:eastAsia="zh-CN"/>
              </w:rPr>
              <w:t>0.68</w:t>
            </w:r>
          </w:p>
        </w:tc>
        <w:tc>
          <w:tcPr>
            <w:tcW w:w="2222"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1890"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600" w:firstLineChars="300"/>
              <w:jc w:val="left"/>
              <w:rPr>
                <w:rFonts w:eastAsia="仿宋_GB2312"/>
                <w:sz w:val="20"/>
                <w:szCs w:val="20"/>
              </w:rPr>
            </w:pPr>
            <w:r>
              <w:rPr>
                <w:rFonts w:eastAsia="仿宋_GB2312"/>
                <w:sz w:val="20"/>
                <w:szCs w:val="20"/>
              </w:rPr>
              <w:t>三公经费</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10.91</w:t>
            </w:r>
          </w:p>
        </w:tc>
        <w:tc>
          <w:tcPr>
            <w:tcW w:w="2222" w:type="dxa"/>
            <w:gridSpan w:val="2"/>
            <w:noWrap w:val="0"/>
            <w:vAlign w:val="center"/>
          </w:tcPr>
          <w:p>
            <w:pPr>
              <w:jc w:val="center"/>
              <w:rPr>
                <w:rFonts w:eastAsia="仿宋_GB2312"/>
                <w:sz w:val="20"/>
                <w:szCs w:val="20"/>
              </w:rPr>
            </w:pPr>
            <w:r>
              <w:rPr>
                <w:rFonts w:hint="eastAsia" w:eastAsia="仿宋_GB2312"/>
                <w:sz w:val="20"/>
                <w:szCs w:val="20"/>
                <w:lang w:val="en-US" w:eastAsia="zh-CN"/>
              </w:rPr>
              <w:t>11</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10.94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600" w:firstLineChars="300"/>
              <w:jc w:val="left"/>
              <w:rPr>
                <w:rFonts w:eastAsia="仿宋_GB2312"/>
                <w:sz w:val="20"/>
                <w:szCs w:val="20"/>
              </w:rPr>
            </w:pPr>
            <w:r>
              <w:rPr>
                <w:rFonts w:eastAsia="仿宋_GB2312"/>
                <w:sz w:val="20"/>
                <w:szCs w:val="20"/>
              </w:rPr>
              <w:t>1</w:t>
            </w:r>
            <w:r>
              <w:rPr>
                <w:rFonts w:hint="eastAsia" w:eastAsia="仿宋_GB2312"/>
                <w:sz w:val="20"/>
                <w:szCs w:val="20"/>
              </w:rPr>
              <w:t>.</w:t>
            </w:r>
            <w:r>
              <w:rPr>
                <w:rFonts w:eastAsia="仿宋_GB2312"/>
                <w:sz w:val="20"/>
                <w:szCs w:val="20"/>
              </w:rPr>
              <w:t>公务用车购置和维护经费</w:t>
            </w:r>
          </w:p>
        </w:tc>
        <w:tc>
          <w:tcPr>
            <w:tcW w:w="1846"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6</w:t>
            </w:r>
          </w:p>
        </w:tc>
        <w:tc>
          <w:tcPr>
            <w:tcW w:w="2222" w:type="dxa"/>
            <w:gridSpan w:val="2"/>
            <w:noWrap w:val="0"/>
            <w:vAlign w:val="center"/>
          </w:tcPr>
          <w:p>
            <w:pPr>
              <w:jc w:val="center"/>
              <w:rPr>
                <w:rFonts w:eastAsia="仿宋_GB2312"/>
                <w:sz w:val="20"/>
                <w:szCs w:val="20"/>
              </w:rPr>
            </w:pPr>
            <w:r>
              <w:rPr>
                <w:rFonts w:hint="eastAsia" w:eastAsia="仿宋_GB2312"/>
                <w:sz w:val="20"/>
                <w:szCs w:val="20"/>
                <w:lang w:val="en-US" w:eastAsia="zh-CN"/>
              </w:rPr>
              <w:t>6</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600" w:firstLineChars="300"/>
              <w:jc w:val="left"/>
              <w:rPr>
                <w:rFonts w:eastAsia="仿宋_GB2312"/>
                <w:sz w:val="20"/>
                <w:szCs w:val="20"/>
              </w:rPr>
            </w:pPr>
            <w:r>
              <w:rPr>
                <w:rFonts w:eastAsia="仿宋_GB2312"/>
                <w:sz w:val="20"/>
                <w:szCs w:val="20"/>
              </w:rPr>
              <w:t>其中：公车购置</w:t>
            </w:r>
          </w:p>
        </w:tc>
        <w:tc>
          <w:tcPr>
            <w:tcW w:w="1846"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2222"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1890"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jc w:val="left"/>
              <w:rPr>
                <w:rFonts w:eastAsia="仿宋_GB2312"/>
                <w:sz w:val="20"/>
                <w:szCs w:val="20"/>
              </w:rPr>
            </w:pPr>
            <w:r>
              <w:rPr>
                <w:rFonts w:eastAsia="仿宋_GB2312"/>
                <w:sz w:val="20"/>
                <w:szCs w:val="20"/>
              </w:rPr>
              <w:t xml:space="preserve">      </w:t>
            </w:r>
            <w:r>
              <w:rPr>
                <w:rFonts w:hint="eastAsia" w:eastAsia="仿宋_GB2312"/>
                <w:sz w:val="20"/>
                <w:szCs w:val="20"/>
              </w:rPr>
              <w:t xml:space="preserve">      </w:t>
            </w:r>
            <w:r>
              <w:rPr>
                <w:rFonts w:eastAsia="仿宋_GB2312"/>
                <w:sz w:val="20"/>
                <w:szCs w:val="20"/>
              </w:rPr>
              <w:t>公车运行维护</w:t>
            </w:r>
          </w:p>
        </w:tc>
        <w:tc>
          <w:tcPr>
            <w:tcW w:w="1846" w:type="dxa"/>
            <w:gridSpan w:val="2"/>
            <w:noWrap w:val="0"/>
            <w:vAlign w:val="center"/>
          </w:tcPr>
          <w:p>
            <w:pPr>
              <w:jc w:val="center"/>
              <w:rPr>
                <w:rFonts w:eastAsia="仿宋_GB2312"/>
                <w:sz w:val="20"/>
                <w:szCs w:val="20"/>
              </w:rPr>
            </w:pPr>
            <w:r>
              <w:rPr>
                <w:rFonts w:hint="eastAsia" w:eastAsia="仿宋_GB2312"/>
                <w:sz w:val="20"/>
                <w:szCs w:val="20"/>
                <w:lang w:val="en-US" w:eastAsia="zh-CN"/>
              </w:rPr>
              <w:t>6</w:t>
            </w:r>
          </w:p>
        </w:tc>
        <w:tc>
          <w:tcPr>
            <w:tcW w:w="2222" w:type="dxa"/>
            <w:gridSpan w:val="2"/>
            <w:noWrap w:val="0"/>
            <w:vAlign w:val="center"/>
          </w:tcPr>
          <w:p>
            <w:pPr>
              <w:jc w:val="center"/>
              <w:rPr>
                <w:rFonts w:eastAsia="仿宋_GB2312"/>
                <w:sz w:val="20"/>
                <w:szCs w:val="20"/>
              </w:rPr>
            </w:pPr>
            <w:r>
              <w:rPr>
                <w:rFonts w:hint="eastAsia" w:eastAsia="仿宋_GB2312"/>
                <w:sz w:val="20"/>
                <w:szCs w:val="20"/>
                <w:lang w:val="en-US" w:eastAsia="zh-CN"/>
              </w:rPr>
              <w:t>6</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jc w:val="left"/>
              <w:rPr>
                <w:rFonts w:eastAsia="仿宋_GB2312"/>
                <w:sz w:val="20"/>
                <w:szCs w:val="20"/>
              </w:rPr>
            </w:pPr>
            <w:r>
              <w:rPr>
                <w:rFonts w:eastAsia="仿宋_GB2312"/>
                <w:sz w:val="20"/>
                <w:szCs w:val="20"/>
              </w:rPr>
              <w:t xml:space="preserve">  </w:t>
            </w:r>
            <w:r>
              <w:rPr>
                <w:rFonts w:hint="eastAsia" w:eastAsia="仿宋_GB2312"/>
                <w:sz w:val="20"/>
                <w:szCs w:val="20"/>
              </w:rPr>
              <w:t xml:space="preserve">    </w:t>
            </w:r>
            <w:r>
              <w:rPr>
                <w:rFonts w:eastAsia="仿宋_GB2312"/>
                <w:sz w:val="20"/>
                <w:szCs w:val="20"/>
              </w:rPr>
              <w:t>2</w:t>
            </w:r>
            <w:r>
              <w:rPr>
                <w:rFonts w:hint="eastAsia" w:eastAsia="仿宋_GB2312"/>
                <w:sz w:val="20"/>
                <w:szCs w:val="20"/>
              </w:rPr>
              <w:t>.</w:t>
            </w:r>
            <w:r>
              <w:rPr>
                <w:rFonts w:eastAsia="仿宋_GB2312"/>
                <w:sz w:val="20"/>
                <w:szCs w:val="20"/>
              </w:rPr>
              <w:t>出国经费</w:t>
            </w:r>
          </w:p>
        </w:tc>
        <w:tc>
          <w:tcPr>
            <w:tcW w:w="1846"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2222"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1890"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jc w:val="left"/>
              <w:rPr>
                <w:rFonts w:eastAsia="仿宋_GB2312"/>
                <w:sz w:val="20"/>
                <w:szCs w:val="20"/>
              </w:rPr>
            </w:pPr>
            <w:r>
              <w:rPr>
                <w:rFonts w:eastAsia="仿宋_GB2312"/>
                <w:sz w:val="20"/>
                <w:szCs w:val="20"/>
              </w:rPr>
              <w:t xml:space="preserve"> </w:t>
            </w:r>
            <w:r>
              <w:rPr>
                <w:rFonts w:hint="eastAsia" w:eastAsia="仿宋_GB2312"/>
                <w:sz w:val="20"/>
                <w:szCs w:val="20"/>
              </w:rPr>
              <w:t xml:space="preserve">    </w:t>
            </w:r>
            <w:r>
              <w:rPr>
                <w:rFonts w:eastAsia="仿宋_GB2312"/>
                <w:sz w:val="20"/>
                <w:szCs w:val="20"/>
              </w:rPr>
              <w:t xml:space="preserve"> 3</w:t>
            </w:r>
            <w:r>
              <w:rPr>
                <w:rFonts w:hint="eastAsia" w:eastAsia="仿宋_GB2312"/>
                <w:sz w:val="20"/>
                <w:szCs w:val="20"/>
              </w:rPr>
              <w:t>.</w:t>
            </w:r>
            <w:r>
              <w:rPr>
                <w:rFonts w:eastAsia="仿宋_GB2312"/>
                <w:sz w:val="20"/>
                <w:szCs w:val="20"/>
              </w:rPr>
              <w:t>公务接待</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4.91</w:t>
            </w:r>
          </w:p>
        </w:tc>
        <w:tc>
          <w:tcPr>
            <w:tcW w:w="2222"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5</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4.94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800" w:firstLineChars="400"/>
              <w:jc w:val="left"/>
              <w:rPr>
                <w:rFonts w:hint="eastAsia" w:eastAsia="仿宋_GB2312"/>
                <w:sz w:val="20"/>
                <w:szCs w:val="20"/>
              </w:rPr>
            </w:pPr>
            <w:r>
              <w:rPr>
                <w:rFonts w:hint="eastAsia" w:eastAsia="仿宋_GB2312"/>
                <w:sz w:val="20"/>
                <w:szCs w:val="20"/>
              </w:rPr>
              <w:t>二、</w:t>
            </w:r>
            <w:r>
              <w:rPr>
                <w:rFonts w:eastAsia="仿宋_GB2312"/>
                <w:sz w:val="20"/>
                <w:szCs w:val="20"/>
              </w:rPr>
              <w:t>项目支出</w:t>
            </w:r>
            <w:r>
              <w:rPr>
                <w:rFonts w:hint="eastAsia" w:eastAsia="仿宋_GB2312"/>
                <w:sz w:val="20"/>
                <w:szCs w:val="20"/>
              </w:rPr>
              <w:t>小计</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768.84</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606.44</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606.44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jc w:val="left"/>
              <w:rPr>
                <w:rFonts w:eastAsia="仿宋_GB2312"/>
                <w:sz w:val="20"/>
                <w:szCs w:val="20"/>
              </w:rPr>
            </w:pPr>
            <w:r>
              <w:rPr>
                <w:rFonts w:eastAsia="仿宋_GB2312"/>
                <w:sz w:val="20"/>
                <w:szCs w:val="20"/>
              </w:rPr>
              <w:t xml:space="preserve">  1</w:t>
            </w:r>
            <w:r>
              <w:rPr>
                <w:rFonts w:hint="eastAsia" w:eastAsia="仿宋_GB2312"/>
                <w:sz w:val="20"/>
                <w:szCs w:val="20"/>
              </w:rPr>
              <w:t>.永州市生态环境局新田分局</w:t>
            </w:r>
            <w:r>
              <w:rPr>
                <w:rFonts w:hint="eastAsia" w:eastAsia="仿宋_GB2312"/>
                <w:sz w:val="20"/>
                <w:szCs w:val="20"/>
                <w:lang w:eastAsia="zh-CN"/>
              </w:rPr>
              <w:t>执法办案经费</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36.86</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60.52</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60.52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200" w:firstLineChars="100"/>
              <w:jc w:val="both"/>
              <w:rPr>
                <w:rFonts w:eastAsia="仿宋_GB2312"/>
                <w:sz w:val="20"/>
                <w:szCs w:val="20"/>
              </w:rPr>
            </w:pPr>
            <w:r>
              <w:rPr>
                <w:rFonts w:hint="eastAsia" w:ascii="Times New Roman" w:hAnsi="Times New Roman" w:eastAsia="仿宋_GB2312" w:cs="Times New Roman"/>
                <w:sz w:val="20"/>
                <w:szCs w:val="20"/>
                <w:lang w:val="en-US" w:eastAsia="zh-CN"/>
              </w:rPr>
              <w:t>2.永州市生态环境局新田分局</w:t>
            </w:r>
            <w:r>
              <w:rPr>
                <w:rFonts w:hint="eastAsia" w:ascii="Times New Roman" w:hAnsi="Times New Roman" w:eastAsia="仿宋_GB2312" w:cs="Times New Roman"/>
                <w:sz w:val="20"/>
                <w:szCs w:val="20"/>
                <w:lang w:eastAsia="zh-CN"/>
              </w:rPr>
              <w:t>基本监测经费</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27.7</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50.76</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50.76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200" w:firstLineChars="100"/>
              <w:jc w:val="left"/>
              <w:rPr>
                <w:rFonts w:hint="eastAsia" w:eastAsia="仿宋_GB2312"/>
                <w:sz w:val="20"/>
                <w:szCs w:val="20"/>
                <w:lang w:eastAsia="zh-CN"/>
              </w:rPr>
            </w:pPr>
            <w:r>
              <w:rPr>
                <w:rFonts w:hint="eastAsia" w:eastAsia="仿宋_GB2312"/>
                <w:sz w:val="20"/>
                <w:szCs w:val="20"/>
                <w:lang w:val="en-US" w:eastAsia="zh-CN"/>
              </w:rPr>
              <w:t>3</w:t>
            </w:r>
            <w:r>
              <w:rPr>
                <w:rFonts w:hint="eastAsia" w:eastAsia="仿宋_GB2312"/>
                <w:sz w:val="20"/>
                <w:szCs w:val="20"/>
              </w:rPr>
              <w:t>.</w:t>
            </w:r>
            <w:r>
              <w:rPr>
                <w:rFonts w:hint="eastAsia" w:eastAsia="仿宋_GB2312"/>
                <w:sz w:val="20"/>
                <w:szCs w:val="20"/>
                <w:lang w:eastAsia="zh-CN"/>
              </w:rPr>
              <w:t>排污权有偿使用收入的支出</w:t>
            </w:r>
          </w:p>
        </w:tc>
        <w:tc>
          <w:tcPr>
            <w:tcW w:w="1846"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2222" w:type="dxa"/>
            <w:gridSpan w:val="2"/>
            <w:noWrap w:val="0"/>
            <w:vAlign w:val="center"/>
          </w:tcPr>
          <w:p>
            <w:pPr>
              <w:jc w:val="center"/>
              <w:rPr>
                <w:rFonts w:eastAsia="仿宋_GB2312"/>
                <w:sz w:val="20"/>
                <w:szCs w:val="20"/>
              </w:rPr>
            </w:pPr>
            <w:r>
              <w:rPr>
                <w:rFonts w:hint="eastAsia" w:eastAsia="仿宋_GB2312"/>
                <w:sz w:val="20"/>
                <w:szCs w:val="20"/>
                <w:lang w:val="en-US" w:eastAsia="zh-CN"/>
              </w:rPr>
              <w:t>6.51</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6.51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200" w:firstLineChars="100"/>
              <w:jc w:val="both"/>
              <w:rPr>
                <w:rFonts w:eastAsia="仿宋_GB2312"/>
                <w:sz w:val="20"/>
                <w:szCs w:val="20"/>
              </w:rPr>
            </w:pPr>
            <w:r>
              <w:rPr>
                <w:rFonts w:hint="eastAsia" w:eastAsia="仿宋_GB2312"/>
                <w:sz w:val="20"/>
                <w:szCs w:val="20"/>
                <w:lang w:val="en-US" w:eastAsia="zh-CN"/>
              </w:rPr>
              <w:t>4.</w:t>
            </w:r>
            <w:r>
              <w:rPr>
                <w:rFonts w:hint="eastAsia" w:eastAsia="仿宋_GB2312"/>
                <w:sz w:val="20"/>
                <w:szCs w:val="20"/>
                <w:lang w:eastAsia="zh-CN"/>
              </w:rPr>
              <w:t>农村生活污水治理</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423.2</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336.16</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336.16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jc w:val="left"/>
              <w:rPr>
                <w:rFonts w:eastAsia="仿宋_GB2312"/>
                <w:sz w:val="20"/>
                <w:szCs w:val="20"/>
              </w:rPr>
            </w:pPr>
            <w:r>
              <w:rPr>
                <w:rFonts w:eastAsia="仿宋_GB2312"/>
                <w:sz w:val="20"/>
                <w:szCs w:val="20"/>
              </w:rPr>
              <w:t xml:space="preserve">  </w:t>
            </w:r>
            <w:r>
              <w:rPr>
                <w:rFonts w:hint="eastAsia" w:eastAsia="仿宋_GB2312"/>
                <w:sz w:val="20"/>
                <w:szCs w:val="20"/>
                <w:lang w:val="en-US" w:eastAsia="zh-CN"/>
              </w:rPr>
              <w:t>5</w:t>
            </w:r>
            <w:r>
              <w:rPr>
                <w:rFonts w:hint="eastAsia" w:eastAsia="仿宋_GB2312"/>
                <w:sz w:val="20"/>
                <w:szCs w:val="20"/>
              </w:rPr>
              <w:t>.永州市生态环境局新田分局</w:t>
            </w:r>
            <w:r>
              <w:rPr>
                <w:rFonts w:hint="eastAsia" w:eastAsia="仿宋_GB2312"/>
                <w:sz w:val="20"/>
                <w:szCs w:val="20"/>
                <w:lang w:val="en-US" w:eastAsia="zh-CN"/>
              </w:rPr>
              <w:t>环保督察支出</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47.30</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52.14</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52.14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384" w:type="dxa"/>
            <w:noWrap w:val="0"/>
            <w:vAlign w:val="center"/>
          </w:tcPr>
          <w:p>
            <w:pPr>
              <w:ind w:firstLine="200" w:firstLineChars="100"/>
              <w:jc w:val="both"/>
              <w:rPr>
                <w:rFonts w:hint="default" w:eastAsia="仿宋_GB2312"/>
                <w:sz w:val="20"/>
                <w:szCs w:val="20"/>
                <w:lang w:val="en-US" w:eastAsia="zh-CN"/>
              </w:rPr>
            </w:pPr>
            <w:r>
              <w:rPr>
                <w:rFonts w:hint="eastAsia" w:eastAsia="仿宋_GB2312"/>
                <w:sz w:val="20"/>
                <w:szCs w:val="20"/>
                <w:lang w:val="en-US" w:eastAsia="zh-CN"/>
              </w:rPr>
              <w:t>6.环境质量监测服务外包</w:t>
            </w:r>
          </w:p>
        </w:tc>
        <w:tc>
          <w:tcPr>
            <w:tcW w:w="1846"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2222" w:type="dxa"/>
            <w:gridSpan w:val="2"/>
            <w:noWrap w:val="0"/>
            <w:vAlign w:val="center"/>
          </w:tcPr>
          <w:p>
            <w:pPr>
              <w:jc w:val="center"/>
              <w:rPr>
                <w:rFonts w:hint="default"/>
                <w:lang w:val="en-US" w:eastAsia="zh-CN"/>
              </w:rPr>
            </w:pPr>
            <w:r>
              <w:rPr>
                <w:rFonts w:hint="eastAsia"/>
                <w:lang w:val="en-US" w:eastAsia="zh-CN"/>
              </w:rPr>
              <w:t>34.13</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34.13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200" w:firstLineChars="100"/>
              <w:jc w:val="both"/>
              <w:rPr>
                <w:rFonts w:hint="eastAsia" w:eastAsia="仿宋_GB2312"/>
                <w:sz w:val="20"/>
                <w:szCs w:val="20"/>
                <w:lang w:val="en-US" w:eastAsia="zh-CN"/>
              </w:rPr>
            </w:pPr>
            <w:r>
              <w:rPr>
                <w:rFonts w:hint="eastAsia" w:eastAsia="仿宋_GB2312"/>
                <w:sz w:val="20"/>
                <w:szCs w:val="20"/>
                <w:lang w:val="en-US" w:eastAsia="zh-CN"/>
              </w:rPr>
              <w:t>7.大气质量服务外包</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45.75</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32.1</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32.1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200" w:firstLineChars="100"/>
              <w:jc w:val="both"/>
              <w:rPr>
                <w:rFonts w:hint="default" w:eastAsia="仿宋_GB2312"/>
                <w:sz w:val="20"/>
                <w:szCs w:val="20"/>
                <w:lang w:val="en-US" w:eastAsia="zh-CN"/>
              </w:rPr>
            </w:pPr>
            <w:r>
              <w:rPr>
                <w:rFonts w:hint="eastAsia" w:eastAsia="仿宋_GB2312"/>
                <w:sz w:val="20"/>
                <w:szCs w:val="20"/>
                <w:lang w:val="en-US" w:eastAsia="zh-CN"/>
              </w:rPr>
              <w:t>8.新田县区生态环境保护宣传</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0</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16.62</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16.62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ind w:firstLine="200" w:firstLineChars="100"/>
              <w:jc w:val="both"/>
              <w:rPr>
                <w:rFonts w:hint="eastAsia" w:eastAsia="仿宋_GB2312"/>
                <w:sz w:val="20"/>
                <w:szCs w:val="20"/>
                <w:lang w:val="en-US" w:eastAsia="zh-CN"/>
              </w:rPr>
            </w:pPr>
            <w:r>
              <w:rPr>
                <w:rFonts w:hint="eastAsia" w:eastAsia="仿宋_GB2312"/>
                <w:sz w:val="20"/>
                <w:szCs w:val="20"/>
                <w:lang w:val="en-US" w:eastAsia="zh-CN"/>
              </w:rPr>
              <w:t>9.新田县区行政管理事务</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188.03</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17.5</w:t>
            </w:r>
          </w:p>
        </w:tc>
        <w:tc>
          <w:tcPr>
            <w:tcW w:w="1890" w:type="dxa"/>
            <w:gridSpan w:val="2"/>
            <w:noWrap w:val="0"/>
            <w:vAlign w:val="center"/>
          </w:tcPr>
          <w:p>
            <w:pPr>
              <w:jc w:val="center"/>
              <w:rPr>
                <w:rFonts w:hint="default"/>
                <w:lang w:val="en-US" w:eastAsia="zh-CN"/>
              </w:rPr>
            </w:pPr>
            <w:r>
              <w:rPr>
                <w:rFonts w:hint="eastAsia"/>
                <w:lang w:val="en-US" w:eastAsia="zh-CN"/>
              </w:rPr>
              <w:t>17.5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jc w:val="left"/>
              <w:rPr>
                <w:rFonts w:eastAsia="仿宋_GB2312"/>
                <w:sz w:val="20"/>
                <w:szCs w:val="20"/>
              </w:rPr>
            </w:pPr>
            <w:r>
              <w:rPr>
                <w:rFonts w:eastAsia="仿宋_GB2312"/>
                <w:sz w:val="20"/>
                <w:szCs w:val="20"/>
              </w:rPr>
              <w:t>政府采购金额</w:t>
            </w:r>
          </w:p>
        </w:tc>
        <w:tc>
          <w:tcPr>
            <w:tcW w:w="1846" w:type="dxa"/>
            <w:gridSpan w:val="2"/>
            <w:noWrap w:val="0"/>
            <w:vAlign w:val="center"/>
          </w:tcPr>
          <w:p>
            <w:pPr>
              <w:jc w:val="center"/>
              <w:rPr>
                <w:rFonts w:eastAsia="仿宋_GB2312"/>
                <w:sz w:val="20"/>
                <w:szCs w:val="20"/>
              </w:rPr>
            </w:pPr>
            <w:r>
              <w:rPr>
                <w:rFonts w:eastAsia="仿宋_GB2312"/>
                <w:sz w:val="20"/>
                <w:szCs w:val="20"/>
              </w:rPr>
              <w:t>——</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311.7</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311.7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384" w:type="dxa"/>
            <w:noWrap w:val="0"/>
            <w:vAlign w:val="center"/>
          </w:tcPr>
          <w:p>
            <w:pPr>
              <w:jc w:val="left"/>
              <w:rPr>
                <w:rFonts w:eastAsia="仿宋_GB2312"/>
                <w:sz w:val="20"/>
                <w:szCs w:val="20"/>
              </w:rPr>
            </w:pPr>
            <w:r>
              <w:rPr>
                <w:rFonts w:eastAsia="仿宋_GB2312"/>
                <w:sz w:val="20"/>
                <w:szCs w:val="20"/>
              </w:rPr>
              <w:t xml:space="preserve">部门基本支出预算调整 </w:t>
            </w:r>
          </w:p>
        </w:tc>
        <w:tc>
          <w:tcPr>
            <w:tcW w:w="1846" w:type="dxa"/>
            <w:gridSpan w:val="2"/>
            <w:noWrap w:val="0"/>
            <w:vAlign w:val="center"/>
          </w:tcPr>
          <w:p>
            <w:pPr>
              <w:jc w:val="center"/>
              <w:rPr>
                <w:rFonts w:eastAsia="仿宋_GB2312"/>
                <w:sz w:val="20"/>
                <w:szCs w:val="20"/>
              </w:rPr>
            </w:pPr>
            <w:r>
              <w:rPr>
                <w:rFonts w:eastAsia="仿宋_GB2312"/>
                <w:sz w:val="20"/>
                <w:szCs w:val="20"/>
              </w:rPr>
              <w:t>——</w:t>
            </w:r>
          </w:p>
        </w:tc>
        <w:tc>
          <w:tcPr>
            <w:tcW w:w="2222"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1890" w:type="dxa"/>
            <w:gridSpan w:val="2"/>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4384" w:type="dxa"/>
            <w:vMerge w:val="restart"/>
            <w:noWrap w:val="0"/>
            <w:vAlign w:val="center"/>
          </w:tcPr>
          <w:p>
            <w:pPr>
              <w:jc w:val="center"/>
              <w:rPr>
                <w:rFonts w:eastAsia="仿宋_GB2312"/>
                <w:sz w:val="20"/>
                <w:szCs w:val="20"/>
              </w:rPr>
            </w:pPr>
            <w:r>
              <w:rPr>
                <w:rFonts w:eastAsia="仿宋_GB2312"/>
                <w:sz w:val="20"/>
                <w:szCs w:val="20"/>
              </w:rPr>
              <w:t>楼堂馆所控制情况</w:t>
            </w:r>
          </w:p>
          <w:p>
            <w:pPr>
              <w:jc w:val="center"/>
              <w:rPr>
                <w:rFonts w:eastAsia="仿宋_GB2312"/>
                <w:sz w:val="20"/>
                <w:szCs w:val="20"/>
              </w:rPr>
            </w:pPr>
            <w:r>
              <w:rPr>
                <w:rFonts w:eastAsia="仿宋_GB2312"/>
                <w:sz w:val="20"/>
                <w:szCs w:val="20"/>
              </w:rPr>
              <w:t>（202</w:t>
            </w:r>
            <w:r>
              <w:rPr>
                <w:rFonts w:hint="eastAsia" w:eastAsia="仿宋_GB2312"/>
                <w:sz w:val="20"/>
                <w:szCs w:val="20"/>
              </w:rPr>
              <w:t>3</w:t>
            </w:r>
            <w:r>
              <w:rPr>
                <w:rFonts w:eastAsia="仿宋_GB2312"/>
                <w:sz w:val="20"/>
                <w:szCs w:val="20"/>
              </w:rPr>
              <w:t>年完工项目）</w:t>
            </w:r>
          </w:p>
        </w:tc>
        <w:tc>
          <w:tcPr>
            <w:tcW w:w="1205" w:type="dxa"/>
            <w:noWrap w:val="0"/>
            <w:vAlign w:val="center"/>
          </w:tcPr>
          <w:p>
            <w:pPr>
              <w:spacing w:line="240" w:lineRule="exact"/>
              <w:jc w:val="center"/>
              <w:rPr>
                <w:rFonts w:eastAsia="仿宋_GB2312"/>
                <w:bCs/>
                <w:sz w:val="20"/>
                <w:szCs w:val="20"/>
              </w:rPr>
            </w:pPr>
            <w:r>
              <w:rPr>
                <w:rFonts w:eastAsia="仿宋_GB2312"/>
                <w:bCs/>
                <w:sz w:val="20"/>
                <w:szCs w:val="20"/>
              </w:rPr>
              <w:t>批复规模</w:t>
            </w:r>
          </w:p>
          <w:p>
            <w:pPr>
              <w:spacing w:line="240" w:lineRule="exact"/>
              <w:jc w:val="center"/>
              <w:rPr>
                <w:rFonts w:eastAsia="仿宋_GB2312"/>
                <w:sz w:val="20"/>
                <w:szCs w:val="20"/>
              </w:rPr>
            </w:pPr>
            <w:r>
              <w:rPr>
                <w:rFonts w:eastAsia="仿宋_GB2312"/>
                <w:bCs/>
                <w:sz w:val="20"/>
                <w:szCs w:val="20"/>
              </w:rPr>
              <w:t>（</w:t>
            </w:r>
            <w:r>
              <w:rPr>
                <w:bCs/>
                <w:sz w:val="20"/>
                <w:szCs w:val="20"/>
              </w:rPr>
              <w:t>㎡</w:t>
            </w:r>
            <w:r>
              <w:rPr>
                <w:rFonts w:eastAsia="仿宋_GB2312"/>
                <w:bCs/>
                <w:sz w:val="20"/>
                <w:szCs w:val="20"/>
              </w:rPr>
              <w:t>）</w:t>
            </w:r>
          </w:p>
        </w:tc>
        <w:tc>
          <w:tcPr>
            <w:tcW w:w="641" w:type="dxa"/>
            <w:noWrap w:val="0"/>
            <w:vAlign w:val="center"/>
          </w:tcPr>
          <w:p>
            <w:pPr>
              <w:spacing w:line="240" w:lineRule="exact"/>
              <w:jc w:val="center"/>
            </w:pPr>
            <w:r>
              <w:rPr>
                <w:rFonts w:eastAsia="仿宋_GB2312"/>
                <w:bCs/>
                <w:sz w:val="20"/>
                <w:szCs w:val="20"/>
              </w:rPr>
              <w:t>实际规模（</w:t>
            </w:r>
            <w:r>
              <w:rPr>
                <w:bCs/>
                <w:sz w:val="20"/>
                <w:szCs w:val="20"/>
              </w:rPr>
              <w:t>㎡</w:t>
            </w:r>
            <w:r>
              <w:rPr>
                <w:rFonts w:eastAsia="仿宋_GB2312"/>
                <w:bCs/>
                <w:sz w:val="20"/>
                <w:szCs w:val="20"/>
              </w:rPr>
              <w:t>）</w:t>
            </w:r>
          </w:p>
        </w:tc>
        <w:tc>
          <w:tcPr>
            <w:tcW w:w="1144" w:type="dxa"/>
            <w:noWrap w:val="0"/>
            <w:vAlign w:val="center"/>
          </w:tcPr>
          <w:p>
            <w:pPr>
              <w:spacing w:line="240" w:lineRule="exact"/>
              <w:jc w:val="center"/>
              <w:rPr>
                <w:rFonts w:eastAsia="仿宋_GB2312"/>
                <w:sz w:val="20"/>
                <w:szCs w:val="20"/>
              </w:rPr>
            </w:pPr>
            <w:r>
              <w:rPr>
                <w:rFonts w:eastAsia="仿宋_GB2312"/>
                <w:bCs/>
                <w:sz w:val="20"/>
                <w:szCs w:val="20"/>
              </w:rPr>
              <w:t>规模控制率</w:t>
            </w:r>
          </w:p>
        </w:tc>
        <w:tc>
          <w:tcPr>
            <w:tcW w:w="1078" w:type="dxa"/>
            <w:noWrap w:val="0"/>
            <w:vAlign w:val="center"/>
          </w:tcPr>
          <w:p>
            <w:pPr>
              <w:spacing w:line="240" w:lineRule="exact"/>
              <w:jc w:val="center"/>
            </w:pPr>
            <w:r>
              <w:rPr>
                <w:rFonts w:eastAsia="仿宋_GB2312"/>
                <w:bCs/>
                <w:sz w:val="20"/>
                <w:szCs w:val="20"/>
              </w:rPr>
              <w:t>预算投资（万元）</w:t>
            </w:r>
          </w:p>
        </w:tc>
        <w:tc>
          <w:tcPr>
            <w:tcW w:w="1095" w:type="dxa"/>
            <w:noWrap w:val="0"/>
            <w:vAlign w:val="center"/>
          </w:tcPr>
          <w:p>
            <w:pPr>
              <w:spacing w:line="240" w:lineRule="exact"/>
              <w:jc w:val="center"/>
              <w:rPr>
                <w:rFonts w:eastAsia="仿宋_GB2312"/>
                <w:sz w:val="20"/>
                <w:szCs w:val="20"/>
              </w:rPr>
            </w:pPr>
            <w:r>
              <w:rPr>
                <w:rFonts w:eastAsia="仿宋_GB2312"/>
                <w:bCs/>
                <w:sz w:val="20"/>
                <w:szCs w:val="20"/>
              </w:rPr>
              <w:t>实际投资（万元）</w:t>
            </w:r>
          </w:p>
        </w:tc>
        <w:tc>
          <w:tcPr>
            <w:tcW w:w="795" w:type="dxa"/>
            <w:noWrap w:val="0"/>
            <w:vAlign w:val="center"/>
          </w:tcPr>
          <w:p>
            <w:pPr>
              <w:spacing w:line="240" w:lineRule="exact"/>
              <w:jc w:val="center"/>
            </w:pPr>
            <w:r>
              <w:rPr>
                <w:rFonts w:eastAsia="仿宋_GB2312"/>
                <w:bCs/>
                <w:sz w:val="20"/>
                <w:szCs w:val="20"/>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4384" w:type="dxa"/>
            <w:vMerge w:val="continue"/>
            <w:noWrap w:val="0"/>
            <w:vAlign w:val="center"/>
          </w:tcPr>
          <w:p>
            <w:pPr>
              <w:jc w:val="left"/>
              <w:rPr>
                <w:rFonts w:eastAsia="仿宋_GB2312"/>
                <w:sz w:val="20"/>
                <w:szCs w:val="20"/>
              </w:rPr>
            </w:pPr>
          </w:p>
        </w:tc>
        <w:tc>
          <w:tcPr>
            <w:tcW w:w="1205" w:type="dxa"/>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641" w:type="dxa"/>
            <w:noWrap w:val="0"/>
            <w:vAlign w:val="center"/>
          </w:tcPr>
          <w:p>
            <w:pPr>
              <w:jc w:val="center"/>
              <w:rPr>
                <w:rFonts w:hint="eastAsia" w:eastAsia="仿宋_GB2312"/>
                <w:lang w:val="en-US" w:eastAsia="zh-CN"/>
              </w:rPr>
            </w:pPr>
            <w:r>
              <w:rPr>
                <w:rFonts w:hint="eastAsia" w:eastAsia="仿宋_GB2312"/>
                <w:sz w:val="20"/>
                <w:szCs w:val="20"/>
                <w:lang w:val="en-US" w:eastAsia="zh-CN"/>
              </w:rPr>
              <w:t>0</w:t>
            </w:r>
          </w:p>
        </w:tc>
        <w:tc>
          <w:tcPr>
            <w:tcW w:w="1144" w:type="dxa"/>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1078" w:type="dxa"/>
            <w:noWrap w:val="0"/>
            <w:vAlign w:val="center"/>
          </w:tcPr>
          <w:p>
            <w:pPr>
              <w:jc w:val="center"/>
              <w:rPr>
                <w:rFonts w:hint="eastAsia" w:eastAsia="仿宋_GB2312"/>
                <w:lang w:val="en-US" w:eastAsia="zh-CN"/>
              </w:rPr>
            </w:pPr>
            <w:r>
              <w:rPr>
                <w:rFonts w:hint="eastAsia" w:eastAsia="仿宋_GB2312"/>
                <w:sz w:val="20"/>
                <w:szCs w:val="20"/>
                <w:lang w:val="en-US" w:eastAsia="zh-CN"/>
              </w:rPr>
              <w:t>0</w:t>
            </w:r>
          </w:p>
        </w:tc>
        <w:tc>
          <w:tcPr>
            <w:tcW w:w="1095" w:type="dxa"/>
            <w:noWrap w:val="0"/>
            <w:vAlign w:val="center"/>
          </w:tcPr>
          <w:p>
            <w:pPr>
              <w:jc w:val="center"/>
              <w:rPr>
                <w:rFonts w:hint="eastAsia" w:eastAsia="仿宋_GB2312"/>
                <w:sz w:val="20"/>
                <w:szCs w:val="20"/>
                <w:lang w:val="en-US" w:eastAsia="zh-CN"/>
              </w:rPr>
            </w:pPr>
            <w:r>
              <w:rPr>
                <w:rFonts w:hint="eastAsia" w:eastAsia="仿宋_GB2312"/>
                <w:sz w:val="20"/>
                <w:szCs w:val="20"/>
                <w:lang w:val="en-US" w:eastAsia="zh-CN"/>
              </w:rPr>
              <w:t>0</w:t>
            </w:r>
          </w:p>
        </w:tc>
        <w:tc>
          <w:tcPr>
            <w:tcW w:w="795" w:type="dxa"/>
            <w:noWrap w:val="0"/>
            <w:vAlign w:val="center"/>
          </w:tcPr>
          <w:p>
            <w:pPr>
              <w:jc w:val="center"/>
              <w:rPr>
                <w:rFonts w:hint="eastAsia" w:eastAsia="仿宋_GB2312"/>
                <w:lang w:val="en-US" w:eastAsia="zh-CN"/>
              </w:rPr>
            </w:pPr>
            <w:r>
              <w:rPr>
                <w:rFonts w:hint="eastAsia" w:eastAsia="仿宋_GB2312"/>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84" w:type="dxa"/>
            <w:noWrap w:val="0"/>
            <w:vAlign w:val="center"/>
          </w:tcPr>
          <w:p>
            <w:pPr>
              <w:jc w:val="center"/>
              <w:rPr>
                <w:rFonts w:eastAsia="仿宋_GB2312"/>
                <w:sz w:val="20"/>
                <w:szCs w:val="20"/>
              </w:rPr>
            </w:pPr>
            <w:r>
              <w:rPr>
                <w:rFonts w:eastAsia="仿宋_GB2312"/>
                <w:sz w:val="20"/>
                <w:szCs w:val="20"/>
              </w:rPr>
              <w:t>厉行节约保障措施</w:t>
            </w:r>
          </w:p>
        </w:tc>
        <w:tc>
          <w:tcPr>
            <w:tcW w:w="5958" w:type="dxa"/>
            <w:gridSpan w:val="6"/>
            <w:noWrap w:val="0"/>
            <w:vAlign w:val="center"/>
          </w:tcPr>
          <w:p>
            <w:pPr>
              <w:jc w:val="left"/>
              <w:rPr>
                <w:rFonts w:eastAsia="仿宋_GB2312"/>
                <w:sz w:val="20"/>
                <w:szCs w:val="20"/>
              </w:rPr>
            </w:pPr>
            <w:r>
              <w:rPr>
                <w:rFonts w:hint="eastAsia" w:eastAsia="仿宋_GB2312"/>
                <w:sz w:val="20"/>
                <w:szCs w:val="20"/>
              </w:rPr>
              <w:t>严格控制预算经费，层层把关，压缩经费.控制“三公”</w:t>
            </w:r>
            <w:r>
              <w:rPr>
                <w:rFonts w:hint="eastAsia" w:eastAsia="仿宋_GB2312"/>
                <w:sz w:val="20"/>
                <w:szCs w:val="20"/>
                <w:lang w:eastAsia="zh-CN"/>
              </w:rPr>
              <w:t>经费</w:t>
            </w:r>
            <w:r>
              <w:rPr>
                <w:rFonts w:hint="eastAsia" w:eastAsia="仿宋_GB2312"/>
                <w:sz w:val="20"/>
                <w:szCs w:val="20"/>
              </w:rPr>
              <w:t>的支出，严格按照永财行【2021】2号文件精神执行。一、精简会议活动经费。二、严格控制办公设备和设施的建设和购置。三、严格执行公务接待相关规定。</w:t>
            </w:r>
            <w:r>
              <w:rPr>
                <w:rFonts w:eastAsia="仿宋_GB2312"/>
                <w:sz w:val="20"/>
                <w:szCs w:val="20"/>
              </w:rPr>
              <w:t>　</w:t>
            </w:r>
          </w:p>
        </w:tc>
      </w:tr>
    </w:tbl>
    <w:p>
      <w:pPr>
        <w:spacing w:line="100" w:lineRule="exact"/>
        <w:jc w:val="left"/>
        <w:rPr>
          <w:rFonts w:eastAsia="仿宋_GB2312"/>
          <w:sz w:val="22"/>
        </w:rPr>
      </w:pPr>
    </w:p>
    <w:p>
      <w:pPr>
        <w:jc w:val="left"/>
        <w:rPr>
          <w:rFonts w:eastAsia="仿宋_GB2312"/>
          <w:sz w:val="22"/>
        </w:rPr>
      </w:pPr>
      <w:r>
        <w:rPr>
          <w:rFonts w:eastAsia="仿宋_GB2312"/>
          <w:sz w:val="22"/>
        </w:rPr>
        <w:t>说明：“项目支出”需要填报基本支出以外的所有项目支出情况，“公用经费”填报基本支出中的一般商品和服务支出。</w:t>
      </w:r>
    </w:p>
    <w:p>
      <w:pPr>
        <w:spacing w:line="100" w:lineRule="exact"/>
        <w:jc w:val="left"/>
        <w:rPr>
          <w:rFonts w:eastAsia="仿宋_GB2312"/>
          <w:sz w:val="22"/>
        </w:rPr>
      </w:pPr>
    </w:p>
    <w:p>
      <w:pPr>
        <w:spacing w:after="240" w:afterLines="100"/>
        <w:jc w:val="left"/>
        <w:rPr>
          <w:rFonts w:hint="eastAsia" w:ascii="黑体" w:hAnsi="黑体" w:eastAsia="黑体" w:cs="黑体"/>
          <w:sz w:val="32"/>
          <w:szCs w:val="3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r>
        <w:rPr>
          <w:rFonts w:eastAsia="仿宋_GB2312"/>
          <w:sz w:val="22"/>
        </w:rPr>
        <w:br w:type="page"/>
      </w:r>
    </w:p>
    <w:p>
      <w:pPr>
        <w:spacing w:after="240" w:afterLines="100" w:line="600" w:lineRule="exact"/>
        <w:jc w:val="center"/>
        <w:rPr>
          <w:rFonts w:ascii="方正小标宋简体" w:eastAsia="方正小标宋简体"/>
          <w:sz w:val="44"/>
          <w:szCs w:val="44"/>
        </w:rPr>
      </w:pPr>
      <w:r>
        <w:rPr>
          <w:rFonts w:ascii="方正小标宋简体" w:eastAsia="方正小标宋简体"/>
          <w:sz w:val="44"/>
          <w:szCs w:val="44"/>
        </w:rPr>
        <w:t>20</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3</w:t>
      </w:r>
      <w:r>
        <w:rPr>
          <w:rFonts w:ascii="方正小标宋简体" w:eastAsia="方正小标宋简体"/>
          <w:sz w:val="44"/>
          <w:szCs w:val="44"/>
        </w:rPr>
        <w:t>年度部门整体支出绩效自评表</w:t>
      </w:r>
    </w:p>
    <w:tbl>
      <w:tblPr>
        <w:tblStyle w:val="9"/>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90"/>
        <w:gridCol w:w="1220"/>
        <w:gridCol w:w="930"/>
        <w:gridCol w:w="1146"/>
        <w:gridCol w:w="251"/>
        <w:gridCol w:w="1053"/>
        <w:gridCol w:w="1520"/>
        <w:gridCol w:w="494"/>
        <w:gridCol w:w="56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69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市级预算部门名称</w:t>
            </w:r>
          </w:p>
        </w:tc>
        <w:tc>
          <w:tcPr>
            <w:tcW w:w="8621" w:type="dxa"/>
            <w:gridSpan w:val="9"/>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eastAsia="zh-CN"/>
              </w:rPr>
              <w:t>永州市生态环境局新田分局</w:t>
            </w: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690"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年度预</w:t>
            </w:r>
          </w:p>
          <w:p>
            <w:pPr>
              <w:spacing w:line="240" w:lineRule="exact"/>
              <w:jc w:val="center"/>
              <w:rPr>
                <w:rFonts w:eastAsia="仿宋_GB2312"/>
                <w:color w:val="000000"/>
                <w:sz w:val="20"/>
                <w:szCs w:val="20"/>
              </w:rPr>
            </w:pPr>
            <w:r>
              <w:rPr>
                <w:rFonts w:eastAsia="仿宋_GB2312"/>
                <w:color w:val="000000"/>
                <w:sz w:val="20"/>
                <w:szCs w:val="20"/>
              </w:rPr>
              <w:t>算申请</w:t>
            </w:r>
          </w:p>
          <w:p>
            <w:pPr>
              <w:spacing w:line="240" w:lineRule="exact"/>
              <w:jc w:val="center"/>
              <w:rPr>
                <w:rFonts w:eastAsia="仿宋_GB2312"/>
                <w:color w:val="000000"/>
                <w:sz w:val="20"/>
                <w:szCs w:val="20"/>
              </w:rPr>
            </w:pPr>
            <w:r>
              <w:rPr>
                <w:rFonts w:eastAsia="仿宋_GB2312"/>
                <w:color w:val="000000"/>
                <w:sz w:val="20"/>
                <w:szCs w:val="20"/>
              </w:rPr>
              <w:t>（万元）</w:t>
            </w:r>
          </w:p>
        </w:tc>
        <w:tc>
          <w:tcPr>
            <w:tcW w:w="2150" w:type="dxa"/>
            <w:gridSpan w:val="2"/>
            <w:noWrap w:val="0"/>
            <w:vAlign w:val="center"/>
          </w:tcPr>
          <w:p>
            <w:pPr>
              <w:spacing w:line="240" w:lineRule="exact"/>
              <w:jc w:val="center"/>
              <w:rPr>
                <w:rFonts w:eastAsia="仿宋_GB2312"/>
                <w:sz w:val="20"/>
                <w:szCs w:val="20"/>
              </w:rPr>
            </w:pPr>
          </w:p>
        </w:tc>
        <w:tc>
          <w:tcPr>
            <w:tcW w:w="1146" w:type="dxa"/>
            <w:noWrap w:val="0"/>
            <w:vAlign w:val="center"/>
          </w:tcPr>
          <w:p>
            <w:pPr>
              <w:spacing w:line="240" w:lineRule="exact"/>
              <w:jc w:val="center"/>
              <w:rPr>
                <w:rFonts w:eastAsia="仿宋_GB2312"/>
                <w:sz w:val="20"/>
                <w:szCs w:val="20"/>
              </w:rPr>
            </w:pPr>
            <w:r>
              <w:rPr>
                <w:rFonts w:eastAsia="仿宋_GB2312"/>
                <w:sz w:val="20"/>
                <w:szCs w:val="20"/>
              </w:rPr>
              <w:t>年初预算数</w:t>
            </w:r>
          </w:p>
        </w:tc>
        <w:tc>
          <w:tcPr>
            <w:tcW w:w="1304" w:type="dxa"/>
            <w:gridSpan w:val="2"/>
            <w:noWrap w:val="0"/>
            <w:vAlign w:val="center"/>
          </w:tcPr>
          <w:p>
            <w:pPr>
              <w:spacing w:line="240" w:lineRule="exact"/>
              <w:jc w:val="center"/>
              <w:rPr>
                <w:rFonts w:eastAsia="仿宋_GB2312"/>
                <w:sz w:val="20"/>
                <w:szCs w:val="20"/>
              </w:rPr>
            </w:pPr>
            <w:r>
              <w:rPr>
                <w:rFonts w:eastAsia="仿宋_GB2312"/>
                <w:sz w:val="20"/>
                <w:szCs w:val="20"/>
              </w:rPr>
              <w:t>全年预算数</w:t>
            </w:r>
          </w:p>
        </w:tc>
        <w:tc>
          <w:tcPr>
            <w:tcW w:w="1520" w:type="dxa"/>
            <w:noWrap w:val="0"/>
            <w:vAlign w:val="center"/>
          </w:tcPr>
          <w:p>
            <w:pPr>
              <w:spacing w:line="240" w:lineRule="exact"/>
              <w:jc w:val="center"/>
              <w:rPr>
                <w:rFonts w:eastAsia="仿宋_GB2312"/>
                <w:sz w:val="20"/>
                <w:szCs w:val="20"/>
              </w:rPr>
            </w:pPr>
            <w:r>
              <w:rPr>
                <w:rFonts w:eastAsia="仿宋_GB2312"/>
                <w:sz w:val="20"/>
                <w:szCs w:val="20"/>
              </w:rPr>
              <w:t>全年执行数</w:t>
            </w:r>
          </w:p>
        </w:tc>
        <w:tc>
          <w:tcPr>
            <w:tcW w:w="494" w:type="dxa"/>
            <w:noWrap w:val="0"/>
            <w:vAlign w:val="center"/>
          </w:tcPr>
          <w:p>
            <w:pPr>
              <w:spacing w:line="240" w:lineRule="exact"/>
              <w:jc w:val="center"/>
              <w:rPr>
                <w:rFonts w:eastAsia="仿宋_GB2312"/>
                <w:sz w:val="20"/>
                <w:szCs w:val="20"/>
              </w:rPr>
            </w:pPr>
            <w:r>
              <w:rPr>
                <w:rFonts w:eastAsia="仿宋_GB2312"/>
                <w:sz w:val="20"/>
                <w:szCs w:val="20"/>
              </w:rPr>
              <w:t>分值</w:t>
            </w:r>
          </w:p>
        </w:tc>
        <w:tc>
          <w:tcPr>
            <w:tcW w:w="564" w:type="dxa"/>
            <w:noWrap w:val="0"/>
            <w:vAlign w:val="center"/>
          </w:tcPr>
          <w:p>
            <w:pPr>
              <w:spacing w:line="240" w:lineRule="exact"/>
              <w:jc w:val="center"/>
              <w:rPr>
                <w:rFonts w:eastAsia="仿宋_GB2312"/>
                <w:sz w:val="20"/>
                <w:szCs w:val="20"/>
              </w:rPr>
            </w:pPr>
            <w:r>
              <w:rPr>
                <w:rFonts w:eastAsia="仿宋_GB2312"/>
                <w:sz w:val="20"/>
                <w:szCs w:val="20"/>
              </w:rPr>
              <w:t>执行率</w:t>
            </w:r>
          </w:p>
        </w:tc>
        <w:tc>
          <w:tcPr>
            <w:tcW w:w="1443" w:type="dxa"/>
            <w:noWrap w:val="0"/>
            <w:vAlign w:val="center"/>
          </w:tcPr>
          <w:p>
            <w:pPr>
              <w:spacing w:line="240" w:lineRule="exact"/>
              <w:jc w:val="center"/>
              <w:rPr>
                <w:rFonts w:eastAsia="仿宋_GB2312"/>
                <w:sz w:val="20"/>
                <w:szCs w:val="20"/>
              </w:rPr>
            </w:pPr>
            <w:r>
              <w:rPr>
                <w:rFonts w:eastAsia="仿宋_GB2312"/>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center"/>
              <w:rPr>
                <w:rFonts w:eastAsia="仿宋_GB2312"/>
                <w:color w:val="000000"/>
                <w:sz w:val="20"/>
                <w:szCs w:val="20"/>
              </w:rPr>
            </w:pPr>
          </w:p>
        </w:tc>
        <w:tc>
          <w:tcPr>
            <w:tcW w:w="2150" w:type="dxa"/>
            <w:gridSpan w:val="2"/>
            <w:noWrap w:val="0"/>
            <w:vAlign w:val="center"/>
          </w:tcPr>
          <w:p>
            <w:pPr>
              <w:spacing w:line="240" w:lineRule="exact"/>
              <w:jc w:val="center"/>
              <w:rPr>
                <w:rFonts w:eastAsia="仿宋_GB2312"/>
                <w:sz w:val="20"/>
                <w:szCs w:val="20"/>
              </w:rPr>
            </w:pPr>
            <w:r>
              <w:rPr>
                <w:rFonts w:eastAsia="仿宋_GB2312"/>
                <w:color w:val="000000"/>
                <w:sz w:val="20"/>
                <w:szCs w:val="20"/>
              </w:rPr>
              <w:t>年度资金总额</w:t>
            </w:r>
          </w:p>
        </w:tc>
        <w:tc>
          <w:tcPr>
            <w:tcW w:w="1146"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1008.32</w:t>
            </w:r>
          </w:p>
        </w:tc>
        <w:tc>
          <w:tcPr>
            <w:tcW w:w="1304" w:type="dxa"/>
            <w:gridSpan w:val="2"/>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1021</w:t>
            </w:r>
          </w:p>
        </w:tc>
        <w:tc>
          <w:tcPr>
            <w:tcW w:w="1520"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1021</w:t>
            </w:r>
          </w:p>
        </w:tc>
        <w:tc>
          <w:tcPr>
            <w:tcW w:w="494" w:type="dxa"/>
            <w:noWrap w:val="0"/>
            <w:vAlign w:val="center"/>
          </w:tcPr>
          <w:p>
            <w:pPr>
              <w:spacing w:line="240" w:lineRule="exact"/>
              <w:jc w:val="center"/>
              <w:rPr>
                <w:rFonts w:eastAsia="仿宋_GB2312"/>
                <w:sz w:val="20"/>
                <w:szCs w:val="20"/>
              </w:rPr>
            </w:pPr>
            <w:r>
              <w:rPr>
                <w:rFonts w:eastAsia="仿宋_GB2312"/>
                <w:sz w:val="20"/>
                <w:szCs w:val="20"/>
              </w:rPr>
              <w:t>10</w:t>
            </w:r>
          </w:p>
        </w:tc>
        <w:tc>
          <w:tcPr>
            <w:tcW w:w="564"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100</w:t>
            </w:r>
          </w:p>
        </w:tc>
        <w:tc>
          <w:tcPr>
            <w:tcW w:w="1443"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center"/>
              <w:rPr>
                <w:rFonts w:eastAsia="仿宋_GB2312"/>
                <w:color w:val="000000"/>
                <w:sz w:val="20"/>
                <w:szCs w:val="20"/>
              </w:rPr>
            </w:pPr>
          </w:p>
        </w:tc>
        <w:tc>
          <w:tcPr>
            <w:tcW w:w="4600" w:type="dxa"/>
            <w:gridSpan w:val="5"/>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按收入性质分：</w:t>
            </w:r>
            <w:r>
              <w:rPr>
                <w:rFonts w:hint="eastAsia" w:eastAsia="仿宋_GB2312"/>
                <w:color w:val="000000"/>
                <w:sz w:val="20"/>
                <w:szCs w:val="20"/>
                <w:lang w:val="en-US" w:eastAsia="zh-CN"/>
              </w:rPr>
              <w:t>1021</w:t>
            </w:r>
          </w:p>
        </w:tc>
        <w:tc>
          <w:tcPr>
            <w:tcW w:w="4021" w:type="dxa"/>
            <w:gridSpan w:val="4"/>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按支出性质分：</w:t>
            </w:r>
            <w:r>
              <w:rPr>
                <w:rFonts w:hint="eastAsia" w:eastAsia="仿宋_GB2312"/>
                <w:color w:val="000000"/>
                <w:sz w:val="20"/>
                <w:szCs w:val="20"/>
                <w:lang w:val="en-US" w:eastAsia="zh-CN"/>
              </w:rPr>
              <w:t>1021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center"/>
              <w:rPr>
                <w:rFonts w:eastAsia="仿宋_GB2312"/>
                <w:color w:val="000000"/>
                <w:sz w:val="20"/>
                <w:szCs w:val="20"/>
              </w:rPr>
            </w:pPr>
          </w:p>
        </w:tc>
        <w:tc>
          <w:tcPr>
            <w:tcW w:w="4600" w:type="dxa"/>
            <w:gridSpan w:val="5"/>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xml:space="preserve">  其中：  一般公共预算：</w:t>
            </w:r>
            <w:r>
              <w:rPr>
                <w:rFonts w:hint="eastAsia" w:eastAsia="仿宋_GB2312"/>
                <w:color w:val="000000"/>
                <w:sz w:val="20"/>
                <w:szCs w:val="20"/>
                <w:lang w:val="en-US" w:eastAsia="zh-CN"/>
              </w:rPr>
              <w:t>509.78</w:t>
            </w:r>
          </w:p>
        </w:tc>
        <w:tc>
          <w:tcPr>
            <w:tcW w:w="4021" w:type="dxa"/>
            <w:gridSpan w:val="4"/>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其中：基本支出：</w:t>
            </w:r>
            <w:r>
              <w:rPr>
                <w:rFonts w:hint="eastAsia" w:eastAsia="仿宋_GB2312"/>
                <w:color w:val="000000"/>
                <w:sz w:val="20"/>
                <w:szCs w:val="20"/>
                <w:lang w:val="en-US" w:eastAsia="zh-CN"/>
              </w:rPr>
              <w:t>414.56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center"/>
              <w:rPr>
                <w:rFonts w:eastAsia="仿宋_GB2312"/>
                <w:color w:val="000000"/>
                <w:sz w:val="20"/>
                <w:szCs w:val="20"/>
              </w:rPr>
            </w:pPr>
          </w:p>
        </w:tc>
        <w:tc>
          <w:tcPr>
            <w:tcW w:w="4600" w:type="dxa"/>
            <w:gridSpan w:val="5"/>
            <w:noWrap w:val="0"/>
            <w:vAlign w:val="center"/>
          </w:tcPr>
          <w:p>
            <w:pPr>
              <w:spacing w:line="240" w:lineRule="exact"/>
              <w:ind w:firstLine="800" w:firstLineChars="400"/>
              <w:jc w:val="left"/>
              <w:rPr>
                <w:rFonts w:hint="eastAsia" w:eastAsia="仿宋_GB2312"/>
                <w:color w:val="000000"/>
                <w:sz w:val="20"/>
                <w:szCs w:val="20"/>
                <w:lang w:val="en-US" w:eastAsia="zh-CN"/>
              </w:rPr>
            </w:pPr>
            <w:r>
              <w:rPr>
                <w:rFonts w:eastAsia="仿宋_GB2312"/>
                <w:color w:val="000000"/>
                <w:sz w:val="20"/>
                <w:szCs w:val="20"/>
              </w:rPr>
              <w:t>政府性基金拨款：</w:t>
            </w:r>
            <w:r>
              <w:rPr>
                <w:rFonts w:hint="eastAsia" w:eastAsia="仿宋_GB2312"/>
                <w:color w:val="000000"/>
                <w:sz w:val="20"/>
                <w:szCs w:val="20"/>
                <w:lang w:val="en-US" w:eastAsia="zh-CN"/>
              </w:rPr>
              <w:t>0</w:t>
            </w:r>
          </w:p>
        </w:tc>
        <w:tc>
          <w:tcPr>
            <w:tcW w:w="4021" w:type="dxa"/>
            <w:gridSpan w:val="4"/>
            <w:noWrap w:val="0"/>
            <w:vAlign w:val="center"/>
          </w:tcPr>
          <w:p>
            <w:pPr>
              <w:spacing w:line="240" w:lineRule="exact"/>
              <w:ind w:firstLine="600" w:firstLineChars="300"/>
              <w:jc w:val="left"/>
              <w:rPr>
                <w:rFonts w:hint="default" w:eastAsia="仿宋_GB2312"/>
                <w:color w:val="000000"/>
                <w:sz w:val="20"/>
                <w:szCs w:val="20"/>
                <w:lang w:val="en-US" w:eastAsia="zh-CN"/>
              </w:rPr>
            </w:pPr>
            <w:r>
              <w:rPr>
                <w:rFonts w:eastAsia="仿宋_GB2312"/>
                <w:color w:val="000000"/>
                <w:sz w:val="20"/>
                <w:szCs w:val="20"/>
              </w:rPr>
              <w:t>项目支出：</w:t>
            </w:r>
            <w:r>
              <w:rPr>
                <w:rFonts w:hint="eastAsia" w:eastAsia="仿宋_GB2312"/>
                <w:color w:val="000000"/>
                <w:sz w:val="20"/>
                <w:szCs w:val="20"/>
                <w:lang w:val="en-US" w:eastAsia="zh-CN"/>
              </w:rPr>
              <w:t>606.44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center"/>
              <w:rPr>
                <w:rFonts w:eastAsia="仿宋_GB2312"/>
                <w:color w:val="000000"/>
                <w:sz w:val="20"/>
                <w:szCs w:val="20"/>
              </w:rPr>
            </w:pPr>
          </w:p>
        </w:tc>
        <w:tc>
          <w:tcPr>
            <w:tcW w:w="4600" w:type="dxa"/>
            <w:gridSpan w:val="5"/>
            <w:noWrap w:val="0"/>
            <w:vAlign w:val="center"/>
          </w:tcPr>
          <w:p>
            <w:pPr>
              <w:spacing w:line="240" w:lineRule="exact"/>
              <w:jc w:val="left"/>
              <w:rPr>
                <w:rFonts w:hint="eastAsia" w:eastAsia="仿宋_GB2312"/>
                <w:color w:val="000000"/>
                <w:sz w:val="20"/>
                <w:szCs w:val="20"/>
                <w:lang w:val="en-US" w:eastAsia="zh-CN"/>
              </w:rPr>
            </w:pPr>
            <w:r>
              <w:rPr>
                <w:rFonts w:eastAsia="仿宋_GB2312"/>
                <w:color w:val="000000"/>
                <w:sz w:val="20"/>
                <w:szCs w:val="20"/>
              </w:rPr>
              <w:t>纳入专户管理的非税收入拨款：</w:t>
            </w:r>
            <w:r>
              <w:rPr>
                <w:rFonts w:hint="eastAsia" w:eastAsia="仿宋_GB2312"/>
                <w:color w:val="000000"/>
                <w:sz w:val="20"/>
                <w:szCs w:val="20"/>
                <w:lang w:val="en-US" w:eastAsia="zh-CN"/>
              </w:rPr>
              <w:t>0</w:t>
            </w:r>
          </w:p>
        </w:tc>
        <w:tc>
          <w:tcPr>
            <w:tcW w:w="4021" w:type="dxa"/>
            <w:gridSpan w:val="4"/>
            <w:noWrap w:val="0"/>
            <w:vAlign w:val="center"/>
          </w:tcPr>
          <w:p>
            <w:pPr>
              <w:spacing w:line="240" w:lineRule="exact"/>
              <w:jc w:val="left"/>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center"/>
              <w:rPr>
                <w:rFonts w:eastAsia="仿宋_GB2312"/>
                <w:color w:val="000000"/>
                <w:sz w:val="20"/>
                <w:szCs w:val="20"/>
              </w:rPr>
            </w:pPr>
          </w:p>
        </w:tc>
        <w:tc>
          <w:tcPr>
            <w:tcW w:w="4600" w:type="dxa"/>
            <w:gridSpan w:val="5"/>
            <w:noWrap w:val="0"/>
            <w:vAlign w:val="center"/>
          </w:tcPr>
          <w:p>
            <w:pPr>
              <w:spacing w:line="240" w:lineRule="exact"/>
              <w:ind w:firstLine="1400" w:firstLineChars="700"/>
              <w:jc w:val="left"/>
              <w:rPr>
                <w:rFonts w:hint="default" w:eastAsia="仿宋_GB2312"/>
                <w:color w:val="000000"/>
                <w:sz w:val="20"/>
                <w:szCs w:val="20"/>
                <w:lang w:val="en-US" w:eastAsia="zh-CN"/>
              </w:rPr>
            </w:pPr>
            <w:r>
              <w:rPr>
                <w:rFonts w:eastAsia="仿宋_GB2312"/>
                <w:color w:val="000000"/>
                <w:sz w:val="20"/>
                <w:szCs w:val="20"/>
              </w:rPr>
              <w:t>其他资金：</w:t>
            </w:r>
            <w:r>
              <w:rPr>
                <w:rFonts w:hint="eastAsia" w:eastAsia="仿宋_GB2312"/>
                <w:color w:val="000000"/>
                <w:sz w:val="20"/>
                <w:szCs w:val="20"/>
                <w:lang w:val="en-US" w:eastAsia="zh-CN"/>
              </w:rPr>
              <w:t>511.22</w:t>
            </w:r>
          </w:p>
        </w:tc>
        <w:tc>
          <w:tcPr>
            <w:tcW w:w="4021" w:type="dxa"/>
            <w:gridSpan w:val="4"/>
            <w:noWrap w:val="0"/>
            <w:vAlign w:val="center"/>
          </w:tcPr>
          <w:p>
            <w:pPr>
              <w:spacing w:line="240" w:lineRule="exact"/>
              <w:jc w:val="left"/>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690"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年度总体目标</w:t>
            </w:r>
          </w:p>
        </w:tc>
        <w:tc>
          <w:tcPr>
            <w:tcW w:w="4600" w:type="dxa"/>
            <w:gridSpan w:val="5"/>
            <w:noWrap w:val="0"/>
            <w:vAlign w:val="center"/>
          </w:tcPr>
          <w:p>
            <w:pPr>
              <w:spacing w:line="240" w:lineRule="exact"/>
              <w:jc w:val="center"/>
              <w:rPr>
                <w:rFonts w:eastAsia="仿宋_GB2312"/>
                <w:color w:val="000000"/>
                <w:sz w:val="20"/>
                <w:szCs w:val="20"/>
              </w:rPr>
            </w:pPr>
            <w:r>
              <w:rPr>
                <w:rFonts w:eastAsia="仿宋_GB2312"/>
                <w:color w:val="000000"/>
                <w:sz w:val="20"/>
                <w:szCs w:val="20"/>
              </w:rPr>
              <w:t>预期目标</w:t>
            </w:r>
          </w:p>
        </w:tc>
        <w:tc>
          <w:tcPr>
            <w:tcW w:w="4021" w:type="dxa"/>
            <w:gridSpan w:val="4"/>
            <w:noWrap w:val="0"/>
            <w:vAlign w:val="center"/>
          </w:tcPr>
          <w:p>
            <w:pPr>
              <w:spacing w:line="240" w:lineRule="exact"/>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2" w:hRule="atLeast"/>
          <w:jc w:val="center"/>
        </w:trPr>
        <w:tc>
          <w:tcPr>
            <w:tcW w:w="690" w:type="dxa"/>
            <w:vMerge w:val="continue"/>
            <w:noWrap w:val="0"/>
            <w:vAlign w:val="center"/>
          </w:tcPr>
          <w:p>
            <w:pPr>
              <w:spacing w:line="240" w:lineRule="exact"/>
              <w:jc w:val="center"/>
              <w:rPr>
                <w:rFonts w:eastAsia="仿宋_GB2312"/>
                <w:color w:val="000000"/>
                <w:sz w:val="20"/>
                <w:szCs w:val="20"/>
              </w:rPr>
            </w:pPr>
          </w:p>
        </w:tc>
        <w:tc>
          <w:tcPr>
            <w:tcW w:w="4600" w:type="dxa"/>
            <w:gridSpan w:val="5"/>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深入打好污染防治攻坚战。抓好突出环境问题。整改优化执法工作，助力稳经济大盘。保障环保机关的正常运转，严格预算执行。严格环境监管执法，环境质量监测。一、加强大气、水、土壤污染防治，切实抓好节能减排，改善环境质量问题，持续推进污染防治攻坚战；二、强化环评审批，严格环境准入，确保建设项目依法依规落实落地；三、加强生态文明建设，切实加强生态保护与修复；四、加强环境监管，查出环境违法行为，组织开展专项环境执法检查和环保专项行动；五、做好环境质量监测、确保环境监测数据真实有效，加强大气、水、土壤勿让防治和监测分析，为环境管理和预警提供基础数据；六、加强环境执法监测、为环境监管执法提供数据保障。</w:t>
            </w:r>
          </w:p>
        </w:tc>
        <w:tc>
          <w:tcPr>
            <w:tcW w:w="4021" w:type="dxa"/>
            <w:gridSpan w:val="4"/>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2023年，新田县水环境质量获省政府真抓实干督查激励表扬，获评2023年度全市污染防治攻坚战优秀等次，排全市第二名，斩获水环境质量、突出环境问题整改优秀县区奖。</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生态环境质量显著改善，空气质量综合指数同比改善0.7%，环境空气优良率同比提升4.1%；地表水考核断面水质达标率100%，同比改善排名全市第1、全省第3；土壤环境总体安全，未发生土壤污染事故。突出环境问题整改年度任务完成达到100%，在省生态环境厅组织召开湘南片区生态环境保护督察工作联席会议上作典型经验交流发言。十大生态环保项目合计完成工程投资2.768亿元，连续4个季度获市政府督查通报表扬。污染防治攻坚战“2023夏季攻势”79项任务全面完成，“利剑”行动56个生态环境风险隐患有效管控，“一单五制”排查132个生态环境问题全部整改到位，生态环境安全实现“三个不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690"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绩</w:t>
            </w:r>
          </w:p>
          <w:p>
            <w:pPr>
              <w:spacing w:line="240" w:lineRule="exact"/>
              <w:jc w:val="center"/>
              <w:rPr>
                <w:rFonts w:eastAsia="仿宋_GB2312"/>
                <w:color w:val="000000"/>
                <w:sz w:val="20"/>
                <w:szCs w:val="20"/>
              </w:rPr>
            </w:pPr>
            <w:r>
              <w:rPr>
                <w:rFonts w:eastAsia="仿宋_GB2312"/>
                <w:color w:val="000000"/>
                <w:sz w:val="20"/>
                <w:szCs w:val="20"/>
              </w:rPr>
              <w:t>效</w:t>
            </w:r>
          </w:p>
          <w:p>
            <w:pPr>
              <w:spacing w:line="240" w:lineRule="exact"/>
              <w:jc w:val="center"/>
              <w:rPr>
                <w:rFonts w:eastAsia="仿宋_GB2312"/>
                <w:color w:val="000000"/>
                <w:sz w:val="20"/>
                <w:szCs w:val="20"/>
              </w:rPr>
            </w:pPr>
            <w:r>
              <w:rPr>
                <w:rFonts w:eastAsia="仿宋_GB2312"/>
                <w:color w:val="000000"/>
                <w:sz w:val="20"/>
                <w:szCs w:val="20"/>
              </w:rPr>
              <w:t>指</w:t>
            </w:r>
          </w:p>
          <w:p>
            <w:pPr>
              <w:spacing w:line="240" w:lineRule="exact"/>
              <w:jc w:val="center"/>
              <w:rPr>
                <w:rFonts w:eastAsia="仿宋_GB2312"/>
                <w:color w:val="000000"/>
                <w:sz w:val="20"/>
                <w:szCs w:val="20"/>
              </w:rPr>
            </w:pPr>
            <w:r>
              <w:rPr>
                <w:rFonts w:eastAsia="仿宋_GB2312"/>
                <w:color w:val="000000"/>
                <w:sz w:val="20"/>
                <w:szCs w:val="20"/>
              </w:rPr>
              <w:t>标</w:t>
            </w:r>
          </w:p>
          <w:p>
            <w:pPr>
              <w:spacing w:line="240" w:lineRule="exact"/>
              <w:jc w:val="center"/>
              <w:rPr>
                <w:rFonts w:eastAsia="仿宋_GB2312"/>
                <w:color w:val="000000"/>
                <w:sz w:val="20"/>
                <w:szCs w:val="20"/>
              </w:rPr>
            </w:pPr>
          </w:p>
        </w:tc>
        <w:tc>
          <w:tcPr>
            <w:tcW w:w="122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一级指标</w:t>
            </w:r>
          </w:p>
        </w:tc>
        <w:tc>
          <w:tcPr>
            <w:tcW w:w="93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二级指标</w:t>
            </w:r>
          </w:p>
        </w:tc>
        <w:tc>
          <w:tcPr>
            <w:tcW w:w="1397" w:type="dxa"/>
            <w:gridSpan w:val="2"/>
            <w:noWrap w:val="0"/>
            <w:vAlign w:val="center"/>
          </w:tcPr>
          <w:p>
            <w:pPr>
              <w:spacing w:line="240" w:lineRule="exact"/>
              <w:jc w:val="center"/>
              <w:rPr>
                <w:rFonts w:eastAsia="仿宋_GB2312"/>
                <w:color w:val="000000"/>
                <w:sz w:val="20"/>
                <w:szCs w:val="20"/>
              </w:rPr>
            </w:pPr>
            <w:r>
              <w:rPr>
                <w:rFonts w:eastAsia="仿宋_GB2312"/>
                <w:color w:val="000000"/>
                <w:sz w:val="20"/>
                <w:szCs w:val="20"/>
              </w:rPr>
              <w:t>三级指标</w:t>
            </w:r>
          </w:p>
        </w:tc>
        <w:tc>
          <w:tcPr>
            <w:tcW w:w="1053"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年度指标值</w:t>
            </w:r>
          </w:p>
        </w:tc>
        <w:tc>
          <w:tcPr>
            <w:tcW w:w="152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实际完成值</w:t>
            </w:r>
          </w:p>
        </w:tc>
        <w:tc>
          <w:tcPr>
            <w:tcW w:w="494"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分值</w:t>
            </w:r>
          </w:p>
        </w:tc>
        <w:tc>
          <w:tcPr>
            <w:tcW w:w="564"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得分</w:t>
            </w:r>
          </w:p>
        </w:tc>
        <w:tc>
          <w:tcPr>
            <w:tcW w:w="1443"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restart"/>
            <w:noWrap w:val="0"/>
            <w:vAlign w:val="center"/>
          </w:tcPr>
          <w:p>
            <w:pPr>
              <w:spacing w:line="240" w:lineRule="exact"/>
              <w:jc w:val="center"/>
              <w:rPr>
                <w:rFonts w:eastAsia="仿宋_GB2312"/>
                <w:color w:val="000000"/>
                <w:sz w:val="18"/>
                <w:szCs w:val="18"/>
              </w:rPr>
            </w:pPr>
            <w:r>
              <w:rPr>
                <w:rFonts w:eastAsia="仿宋_GB2312"/>
                <w:color w:val="000000"/>
                <w:sz w:val="18"/>
                <w:szCs w:val="18"/>
              </w:rPr>
              <w:t>产出指标</w:t>
            </w:r>
          </w:p>
          <w:p>
            <w:pPr>
              <w:spacing w:line="240" w:lineRule="exact"/>
              <w:jc w:val="center"/>
              <w:rPr>
                <w:rFonts w:eastAsia="仿宋_GB2312"/>
                <w:color w:val="000000"/>
                <w:sz w:val="20"/>
                <w:szCs w:val="20"/>
              </w:rPr>
            </w:pPr>
            <w:r>
              <w:rPr>
                <w:rFonts w:eastAsia="仿宋_GB2312"/>
                <w:color w:val="000000"/>
                <w:sz w:val="18"/>
                <w:szCs w:val="18"/>
              </w:rPr>
              <w:t>(50分)</w:t>
            </w:r>
          </w:p>
        </w:tc>
        <w:tc>
          <w:tcPr>
            <w:tcW w:w="9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r>
              <w:rPr>
                <w:rFonts w:hint="eastAsia" w:ascii="Times New Roman" w:hAnsi="Times New Roman" w:eastAsia="仿宋_GB2312" w:cs="Times New Roman"/>
                <w:color w:val="000000"/>
                <w:sz w:val="18"/>
                <w:szCs w:val="18"/>
                <w:lang w:eastAsia="zh-CN"/>
              </w:rPr>
              <w:t>重点工作任务完成</w:t>
            </w: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企业监察次数</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一般企业1年2次，重点企业1季度一次</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一般企业1年2次，重点企业1季度一次</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3</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3</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专题宣传活动</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2次</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2次</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3</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3</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排污许可证登记</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完成258家</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完成258家</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2</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2</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18"/>
                <w:szCs w:val="18"/>
                <w:lang w:eastAsia="zh-CN"/>
              </w:rPr>
            </w:pPr>
            <w:r>
              <w:rPr>
                <w:rFonts w:hint="eastAsia" w:ascii="仿宋" w:hAnsi="仿宋" w:eastAsia="仿宋" w:cs="仿宋"/>
                <w:i w:val="0"/>
                <w:color w:val="000000"/>
                <w:kern w:val="0"/>
                <w:sz w:val="20"/>
                <w:szCs w:val="20"/>
                <w:u w:val="none"/>
                <w:lang w:val="en-US" w:eastAsia="zh-CN" w:bidi="ar"/>
              </w:rPr>
              <w:t>特防期大气污染巡查</w:t>
            </w:r>
          </w:p>
        </w:tc>
        <w:tc>
          <w:tcPr>
            <w:tcW w:w="1053"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18"/>
                <w:szCs w:val="18"/>
                <w:lang w:eastAsia="zh-CN"/>
              </w:rPr>
            </w:pPr>
            <w:r>
              <w:rPr>
                <w:rFonts w:hint="default" w:ascii="仿宋_GB2312" w:hAnsi="宋体" w:eastAsia="仿宋_GB2312" w:cs="仿宋_GB2312"/>
                <w:i w:val="0"/>
                <w:color w:val="000000"/>
                <w:kern w:val="0"/>
                <w:sz w:val="20"/>
                <w:szCs w:val="20"/>
                <w:u w:val="none"/>
                <w:lang w:val="en-US" w:eastAsia="zh-CN" w:bidi="ar"/>
              </w:rPr>
              <w:t>每日≥3个工地企业</w:t>
            </w:r>
          </w:p>
        </w:tc>
        <w:tc>
          <w:tcPr>
            <w:tcW w:w="152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18"/>
                <w:szCs w:val="18"/>
                <w:lang w:eastAsia="zh-CN"/>
              </w:rPr>
            </w:pPr>
            <w:r>
              <w:rPr>
                <w:rFonts w:hint="default" w:ascii="仿宋_GB2312" w:hAnsi="宋体" w:eastAsia="仿宋_GB2312" w:cs="仿宋_GB2312"/>
                <w:i w:val="0"/>
                <w:color w:val="000000"/>
                <w:kern w:val="0"/>
                <w:sz w:val="20"/>
                <w:szCs w:val="20"/>
                <w:u w:val="none"/>
                <w:lang w:val="en-US" w:eastAsia="zh-CN" w:bidi="ar"/>
              </w:rPr>
              <w:t>每日≥3个工地企业</w:t>
            </w:r>
          </w:p>
        </w:tc>
        <w:tc>
          <w:tcPr>
            <w:tcW w:w="494"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sz w:val="21"/>
                <w:szCs w:val="21"/>
                <w:lang w:val="en-US" w:eastAsia="zh-CN"/>
              </w:rPr>
            </w:pPr>
            <w:r>
              <w:rPr>
                <w:rFonts w:hint="default" w:ascii="仿宋_GB2312" w:hAnsi="宋体" w:eastAsia="仿宋_GB2312" w:cs="仿宋_GB2312"/>
                <w:i w:val="0"/>
                <w:color w:val="000000"/>
                <w:kern w:val="0"/>
                <w:sz w:val="20"/>
                <w:szCs w:val="20"/>
                <w:u w:val="none"/>
                <w:lang w:val="en-US" w:eastAsia="zh-CN" w:bidi="ar"/>
              </w:rPr>
              <w:t>3</w:t>
            </w:r>
          </w:p>
        </w:tc>
        <w:tc>
          <w:tcPr>
            <w:tcW w:w="564"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sz w:val="21"/>
                <w:szCs w:val="21"/>
                <w:lang w:val="en-US" w:eastAsia="zh-CN"/>
              </w:rPr>
            </w:pPr>
            <w:r>
              <w:rPr>
                <w:rFonts w:hint="default" w:ascii="仿宋_GB2312" w:hAnsi="宋体" w:eastAsia="仿宋_GB2312" w:cs="仿宋_GB2312"/>
                <w:i w:val="0"/>
                <w:color w:val="000000"/>
                <w:kern w:val="0"/>
                <w:sz w:val="20"/>
                <w:szCs w:val="20"/>
                <w:u w:val="none"/>
                <w:lang w:val="en-US" w:eastAsia="zh-CN" w:bidi="ar"/>
              </w:rPr>
              <w:t>3</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r>
              <w:rPr>
                <w:rFonts w:hint="eastAsia" w:ascii="Times New Roman" w:hAnsi="Times New Roman" w:eastAsia="仿宋_GB2312" w:cs="Times New Roman"/>
                <w:color w:val="000000"/>
                <w:sz w:val="18"/>
                <w:szCs w:val="18"/>
                <w:lang w:eastAsia="zh-CN"/>
              </w:rPr>
              <w:t>履职目标实现</w:t>
            </w: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行政村农村生活污水处理治理率</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≥80%</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81.3%</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2</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2</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环保宣传县区范围覆盖率</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≥90%</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92.4%</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3</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3</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完成省市规定工作任务时间</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2022年12月31日前</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2022年12月31日前</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9</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9</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控制在预算范围内</w:t>
            </w:r>
          </w:p>
        </w:tc>
        <w:tc>
          <w:tcPr>
            <w:tcW w:w="1053"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控制在预算范围内</w:t>
            </w:r>
          </w:p>
        </w:tc>
        <w:tc>
          <w:tcPr>
            <w:tcW w:w="152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控制在预算范围内</w:t>
            </w:r>
          </w:p>
        </w:tc>
        <w:tc>
          <w:tcPr>
            <w:tcW w:w="49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20</w:t>
            </w:r>
          </w:p>
        </w:tc>
        <w:tc>
          <w:tcPr>
            <w:tcW w:w="56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20</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信访投诉件回复效率</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限期办结</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按时完成</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5</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5</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restart"/>
            <w:noWrap w:val="0"/>
            <w:vAlign w:val="center"/>
          </w:tcPr>
          <w:p>
            <w:pPr>
              <w:spacing w:line="240" w:lineRule="exact"/>
              <w:jc w:val="left"/>
              <w:rPr>
                <w:rFonts w:eastAsia="仿宋_GB2312"/>
                <w:color w:val="000000"/>
                <w:sz w:val="18"/>
                <w:szCs w:val="18"/>
              </w:rPr>
            </w:pPr>
            <w:r>
              <w:rPr>
                <w:rFonts w:eastAsia="仿宋_GB2312"/>
                <w:color w:val="000000"/>
                <w:sz w:val="18"/>
                <w:szCs w:val="18"/>
              </w:rPr>
              <w:t>效益指标</w:t>
            </w:r>
          </w:p>
          <w:p>
            <w:pPr>
              <w:spacing w:line="240" w:lineRule="exact"/>
              <w:jc w:val="left"/>
              <w:rPr>
                <w:rFonts w:eastAsia="仿宋_GB2312"/>
                <w:color w:val="000000"/>
                <w:sz w:val="18"/>
                <w:szCs w:val="18"/>
              </w:rPr>
            </w:pPr>
            <w:r>
              <w:rPr>
                <w:rFonts w:eastAsia="仿宋_GB2312"/>
                <w:color w:val="000000"/>
                <w:sz w:val="18"/>
                <w:szCs w:val="18"/>
              </w:rPr>
              <w:t>（</w:t>
            </w:r>
            <w:r>
              <w:rPr>
                <w:rFonts w:eastAsia="仿宋_GB2312"/>
                <w:color w:val="000000"/>
                <w:sz w:val="18"/>
                <w:szCs w:val="18"/>
                <w:lang w:val="en"/>
              </w:rPr>
              <w:t>4</w:t>
            </w:r>
            <w:r>
              <w:rPr>
                <w:rFonts w:eastAsia="仿宋_GB2312"/>
                <w:color w:val="000000"/>
                <w:sz w:val="18"/>
                <w:szCs w:val="18"/>
              </w:rPr>
              <w:t>0分）</w:t>
            </w:r>
          </w:p>
          <w:p>
            <w:pPr>
              <w:spacing w:line="240" w:lineRule="exact"/>
              <w:jc w:val="left"/>
              <w:rPr>
                <w:rFonts w:eastAsia="仿宋_GB2312"/>
                <w:color w:val="000000"/>
                <w:sz w:val="18"/>
                <w:szCs w:val="18"/>
              </w:rPr>
            </w:pPr>
            <w:r>
              <w:rPr>
                <w:rFonts w:eastAsia="仿宋_GB2312"/>
                <w:color w:val="000000"/>
                <w:sz w:val="18"/>
                <w:szCs w:val="18"/>
              </w:rPr>
              <w:t>　</w:t>
            </w:r>
          </w:p>
          <w:p>
            <w:pPr>
              <w:spacing w:line="240" w:lineRule="exact"/>
              <w:jc w:val="center"/>
              <w:rPr>
                <w:rFonts w:eastAsia="仿宋_GB2312"/>
                <w:color w:val="000000"/>
                <w:sz w:val="20"/>
                <w:szCs w:val="20"/>
              </w:rPr>
            </w:pPr>
          </w:p>
        </w:tc>
        <w:tc>
          <w:tcPr>
            <w:tcW w:w="9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履职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效益</w:t>
            </w:r>
          </w:p>
          <w:p>
            <w:pPr>
              <w:keepNext w:val="0"/>
              <w:keepLines w:val="0"/>
              <w:widowControl/>
              <w:suppressLineNumbers w:val="0"/>
              <w:jc w:val="center"/>
              <w:textAlignment w:val="center"/>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促进经济发展</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推动污染物排污权有偿使用和交易，合理配置市场资源，促进经济社会持续健康发展产生积极影响。</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通过加快审批程序、特事特批，为重点项目调剂富余指标，推动项目落地。</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10</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10</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促进排污单位增强环境意识。</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控制污染物排放总量，树立环境资源有价的理念。</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征收排污权有偿使用费，强化企业环保意识。</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10</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10</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keepNext w:val="0"/>
              <w:keepLines w:val="0"/>
              <w:widowControl/>
              <w:suppressLineNumbers w:val="0"/>
              <w:jc w:val="center"/>
              <w:textAlignment w:val="center"/>
              <w:rPr>
                <w:rFonts w:eastAsia="仿宋_GB2312"/>
                <w:color w:val="000000"/>
                <w:sz w:val="20"/>
                <w:szCs w:val="20"/>
              </w:rPr>
            </w:pPr>
          </w:p>
        </w:tc>
        <w:tc>
          <w:tcPr>
            <w:tcW w:w="1397" w:type="dxa"/>
            <w:gridSpan w:val="2"/>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空气质量改善</w:t>
            </w:r>
          </w:p>
        </w:tc>
        <w:tc>
          <w:tcPr>
            <w:tcW w:w="1053"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提升空气质量的优良率</w:t>
            </w:r>
          </w:p>
        </w:tc>
        <w:tc>
          <w:tcPr>
            <w:tcW w:w="152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提升了空气质量的优良率到96.7%</w:t>
            </w:r>
          </w:p>
        </w:tc>
        <w:tc>
          <w:tcPr>
            <w:tcW w:w="49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10</w:t>
            </w:r>
          </w:p>
        </w:tc>
        <w:tc>
          <w:tcPr>
            <w:tcW w:w="56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10</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90" w:type="dxa"/>
            <w:vMerge w:val="continue"/>
            <w:noWrap w:val="0"/>
            <w:vAlign w:val="center"/>
          </w:tcPr>
          <w:p>
            <w:pPr>
              <w:spacing w:line="240" w:lineRule="exact"/>
              <w:jc w:val="left"/>
              <w:rPr>
                <w:rFonts w:eastAsia="仿宋_GB2312"/>
                <w:color w:val="000000"/>
                <w:sz w:val="20"/>
                <w:szCs w:val="20"/>
              </w:rPr>
            </w:pPr>
          </w:p>
        </w:tc>
        <w:tc>
          <w:tcPr>
            <w:tcW w:w="1220" w:type="dxa"/>
            <w:vMerge w:val="continue"/>
            <w:noWrap w:val="0"/>
            <w:vAlign w:val="center"/>
          </w:tcPr>
          <w:p>
            <w:pPr>
              <w:spacing w:line="240" w:lineRule="exact"/>
              <w:jc w:val="center"/>
              <w:rPr>
                <w:rFonts w:eastAsia="仿宋_GB2312"/>
                <w:color w:val="000000"/>
                <w:sz w:val="20"/>
                <w:szCs w:val="20"/>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r>
              <w:rPr>
                <w:rFonts w:hint="eastAsia" w:ascii="Times New Roman" w:hAnsi="Times New Roman" w:eastAsia="仿宋_GB2312" w:cs="Times New Roman"/>
                <w:color w:val="000000"/>
                <w:sz w:val="18"/>
                <w:szCs w:val="18"/>
                <w:lang w:eastAsia="zh-CN"/>
              </w:rPr>
              <w:t>满意度</w:t>
            </w:r>
          </w:p>
        </w:tc>
        <w:tc>
          <w:tcPr>
            <w:tcW w:w="1397"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仿宋" w:hAnsi="仿宋" w:eastAsia="仿宋" w:cs="仿宋"/>
                <w:i w:val="0"/>
                <w:color w:val="000000"/>
                <w:kern w:val="0"/>
                <w:sz w:val="20"/>
                <w:szCs w:val="20"/>
                <w:u w:val="none"/>
                <w:lang w:val="en-US" w:eastAsia="zh-CN" w:bidi="ar"/>
              </w:rPr>
              <w:t>社会公众满意度</w:t>
            </w:r>
          </w:p>
        </w:tc>
        <w:tc>
          <w:tcPr>
            <w:tcW w:w="1053"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≥90%</w:t>
            </w:r>
          </w:p>
        </w:tc>
        <w:tc>
          <w:tcPr>
            <w:tcW w:w="152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94.2%</w:t>
            </w:r>
          </w:p>
        </w:tc>
        <w:tc>
          <w:tcPr>
            <w:tcW w:w="49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10</w:t>
            </w:r>
          </w:p>
        </w:tc>
        <w:tc>
          <w:tcPr>
            <w:tcW w:w="56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color w:val="000000"/>
                <w:kern w:val="0"/>
                <w:sz w:val="20"/>
                <w:szCs w:val="20"/>
                <w:u w:val="none"/>
                <w:lang w:val="en-US" w:eastAsia="zh-CN" w:bidi="ar"/>
              </w:rPr>
              <w:t>10</w:t>
            </w:r>
          </w:p>
        </w:tc>
        <w:tc>
          <w:tcPr>
            <w:tcW w:w="1443" w:type="dxa"/>
            <w:noWrap w:val="0"/>
            <w:vAlign w:val="center"/>
          </w:tcPr>
          <w:p>
            <w:pPr>
              <w:spacing w:line="24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810" w:type="dxa"/>
            <w:gridSpan w:val="7"/>
            <w:noWrap w:val="0"/>
            <w:vAlign w:val="center"/>
          </w:tcPr>
          <w:p>
            <w:pPr>
              <w:spacing w:line="240" w:lineRule="exact"/>
              <w:jc w:val="center"/>
              <w:rPr>
                <w:rFonts w:eastAsia="仿宋_GB2312"/>
                <w:color w:val="000000"/>
                <w:sz w:val="20"/>
                <w:szCs w:val="20"/>
              </w:rPr>
            </w:pPr>
            <w:r>
              <w:rPr>
                <w:rFonts w:eastAsia="仿宋_GB2312"/>
                <w:color w:val="000000"/>
                <w:sz w:val="20"/>
                <w:szCs w:val="20"/>
              </w:rPr>
              <w:t>总分</w:t>
            </w:r>
          </w:p>
        </w:tc>
        <w:tc>
          <w:tcPr>
            <w:tcW w:w="494" w:type="dxa"/>
            <w:noWrap w:val="0"/>
            <w:vAlign w:val="center"/>
          </w:tcPr>
          <w:p>
            <w:pPr>
              <w:spacing w:line="240" w:lineRule="exact"/>
              <w:jc w:val="center"/>
              <w:rPr>
                <w:rFonts w:hint="default" w:eastAsia="仿宋_GB2312"/>
                <w:color w:val="000000"/>
                <w:sz w:val="20"/>
                <w:szCs w:val="20"/>
                <w:lang w:val="en-US"/>
              </w:rPr>
            </w:pPr>
            <w:r>
              <w:rPr>
                <w:rFonts w:hint="eastAsia" w:eastAsia="仿宋_GB2312"/>
                <w:color w:val="000000"/>
                <w:sz w:val="22"/>
                <w:szCs w:val="22"/>
                <w:lang w:val="en-US" w:eastAsia="zh-CN"/>
              </w:rPr>
              <w:t>100</w:t>
            </w:r>
          </w:p>
        </w:tc>
        <w:tc>
          <w:tcPr>
            <w:tcW w:w="564" w:type="dxa"/>
            <w:noWrap w:val="0"/>
            <w:vAlign w:val="center"/>
          </w:tcPr>
          <w:p>
            <w:pPr>
              <w:spacing w:line="240" w:lineRule="exact"/>
              <w:jc w:val="center"/>
              <w:rPr>
                <w:rFonts w:hint="default" w:eastAsia="仿宋_GB2312"/>
                <w:color w:val="000000"/>
                <w:sz w:val="20"/>
                <w:szCs w:val="20"/>
                <w:lang w:val="en-US"/>
              </w:rPr>
            </w:pPr>
            <w:r>
              <w:rPr>
                <w:rFonts w:hint="eastAsia" w:eastAsia="仿宋_GB2312"/>
                <w:color w:val="000000"/>
                <w:sz w:val="22"/>
                <w:szCs w:val="22"/>
                <w:lang w:val="en-US" w:eastAsia="zh-CN"/>
              </w:rPr>
              <w:t>100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bl>
    <w:p>
      <w:pPr>
        <w:ind w:firstLine="660" w:firstLineChars="300"/>
        <w:rPr>
          <w:rFonts w:eastAsia="仿宋_GB2312"/>
          <w:sz w:val="22"/>
          <w:szCs w:val="22"/>
        </w:rPr>
      </w:pPr>
    </w:p>
    <w:p>
      <w:pPr>
        <w:ind w:firstLine="660" w:firstLineChars="300"/>
        <w:rPr>
          <w:rFonts w:eastAsia="仿宋_GB2312"/>
          <w:sz w:val="20"/>
          <w:szCs w:val="20"/>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2024年4月29日</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r>
        <w:rPr>
          <w:rFonts w:eastAsia="仿宋_GB2312"/>
          <w:sz w:val="22"/>
          <w:szCs w:val="22"/>
        </w:rPr>
        <w:br w:type="page"/>
      </w:r>
    </w:p>
    <w:p>
      <w:pPr>
        <w:ind w:firstLine="883" w:firstLineChars="200"/>
        <w:jc w:val="center"/>
        <w:rPr>
          <w:rFonts w:hint="eastAsia" w:cs="黑体" w:asciiTheme="minorEastAsia" w:hAnsiTheme="minorEastAsia"/>
          <w:b/>
          <w:color w:val="000000"/>
          <w:kern w:val="0"/>
          <w:sz w:val="44"/>
          <w:szCs w:val="44"/>
        </w:rPr>
      </w:pPr>
      <w:r>
        <w:rPr>
          <w:rFonts w:hint="eastAsia" w:cs="黑体" w:asciiTheme="minorEastAsia" w:hAnsiTheme="minorEastAsia"/>
          <w:b/>
          <w:color w:val="000000"/>
          <w:kern w:val="0"/>
          <w:sz w:val="44"/>
          <w:szCs w:val="44"/>
          <w:lang w:eastAsia="zh-CN"/>
        </w:rPr>
        <w:t>永州市生态环境局</w:t>
      </w:r>
      <w:r>
        <w:rPr>
          <w:rFonts w:hint="eastAsia" w:cs="黑体" w:asciiTheme="minorEastAsia" w:hAnsiTheme="minorEastAsia"/>
          <w:b/>
          <w:color w:val="000000"/>
          <w:kern w:val="0"/>
          <w:sz w:val="44"/>
          <w:szCs w:val="44"/>
        </w:rPr>
        <w:t>202</w:t>
      </w:r>
      <w:r>
        <w:rPr>
          <w:rFonts w:hint="default" w:cs="黑体" w:asciiTheme="minorEastAsia" w:hAnsiTheme="minorEastAsia"/>
          <w:b/>
          <w:color w:val="000000"/>
          <w:kern w:val="0"/>
          <w:sz w:val="44"/>
          <w:szCs w:val="44"/>
        </w:rPr>
        <w:t>3</w:t>
      </w:r>
      <w:r>
        <w:rPr>
          <w:rFonts w:hint="eastAsia" w:cs="黑体" w:asciiTheme="minorEastAsia" w:hAnsiTheme="minorEastAsia"/>
          <w:b/>
          <w:color w:val="000000"/>
          <w:kern w:val="0"/>
          <w:sz w:val="44"/>
          <w:szCs w:val="44"/>
        </w:rPr>
        <w:t>年度</w:t>
      </w:r>
      <w:r>
        <w:rPr>
          <w:rFonts w:hint="default" w:cs="黑体" w:asciiTheme="minorEastAsia" w:hAnsiTheme="minorEastAsia"/>
          <w:b/>
          <w:color w:val="000000"/>
          <w:kern w:val="0"/>
          <w:sz w:val="44"/>
          <w:szCs w:val="44"/>
        </w:rPr>
        <w:t>项目</w:t>
      </w:r>
      <w:r>
        <w:rPr>
          <w:rFonts w:hint="eastAsia" w:cs="黑体" w:asciiTheme="minorEastAsia" w:hAnsiTheme="minorEastAsia"/>
          <w:b/>
          <w:color w:val="000000"/>
          <w:kern w:val="0"/>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ind w:firstLine="883" w:firstLineChars="200"/>
        <w:jc w:val="center"/>
        <w:rPr>
          <w:rFonts w:cs="黑体" w:asciiTheme="minorEastAsia" w:hAnsiTheme="minorEastAsia"/>
          <w:b/>
          <w:color w:val="000000"/>
          <w:kern w:val="0"/>
          <w:sz w:val="44"/>
          <w:szCs w:val="44"/>
        </w:rPr>
      </w:pPr>
    </w:p>
    <w:p>
      <w:pPr>
        <w:spacing w:line="320" w:lineRule="atLeast"/>
        <w:jc w:val="left"/>
        <w:rPr>
          <w:rFonts w:eastAsia="仿宋_GB2312"/>
          <w:sz w:val="20"/>
          <w:szCs w:val="20"/>
        </w:rPr>
      </w:pPr>
    </w:p>
    <w:p>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9"/>
        <w:tblpPr w:leftFromText="180" w:rightFromText="180" w:vertAnchor="text" w:horzAnchor="margin" w:tblpXSpec="center" w:tblpY="189"/>
        <w:tblW w:w="9703" w:type="dxa"/>
        <w:tblInd w:w="-4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4"/>
        <w:gridCol w:w="1972"/>
        <w:gridCol w:w="5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94" w:type="dxa"/>
            <w:vMerge w:val="restart"/>
            <w:noWrap w:val="0"/>
            <w:vAlign w:val="center"/>
          </w:tcPr>
          <w:p>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pPr>
              <w:spacing w:line="576" w:lineRule="exact"/>
              <w:jc w:val="center"/>
              <w:rPr>
                <w:rFonts w:eastAsia="仿宋_GB2312"/>
                <w:sz w:val="20"/>
                <w:szCs w:val="20"/>
              </w:rPr>
            </w:pPr>
            <w:r>
              <w:rPr>
                <w:rFonts w:eastAsia="仿宋_GB2312"/>
                <w:sz w:val="20"/>
                <w:szCs w:val="20"/>
              </w:rPr>
              <w:t>专项名称</w:t>
            </w:r>
          </w:p>
        </w:tc>
        <w:tc>
          <w:tcPr>
            <w:tcW w:w="573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执法办案经费专项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94"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年度预算金额</w:t>
            </w:r>
          </w:p>
        </w:tc>
        <w:tc>
          <w:tcPr>
            <w:tcW w:w="573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62.5万元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94"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项目主管部门</w:t>
            </w:r>
          </w:p>
        </w:tc>
        <w:tc>
          <w:tcPr>
            <w:tcW w:w="573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永州市生态环境局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94"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项目立项目的</w:t>
            </w:r>
          </w:p>
        </w:tc>
        <w:tc>
          <w:tcPr>
            <w:tcW w:w="573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加大执法力度，打击环境违法行为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94" w:type="dxa"/>
            <w:vMerge w:val="restart"/>
            <w:noWrap w:val="0"/>
            <w:vAlign w:val="center"/>
          </w:tcPr>
          <w:p>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项目支出管理和使用基本情况</w:t>
            </w:r>
          </w:p>
        </w:tc>
        <w:tc>
          <w:tcPr>
            <w:tcW w:w="573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2023年年初预算62.5万元，项目全年收入为60.52万元（含上年结转资金14.5万），项目支出为60.52万元，主要用于环境执法办案工作中的开支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94"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项目绩效目标完成情况</w:t>
            </w:r>
          </w:p>
        </w:tc>
        <w:tc>
          <w:tcPr>
            <w:tcW w:w="5737"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2023年度，我局强化执法办案和两法衔接，对环境违法行为“零容忍”。我局立案查处环境违法行为31起，行政处罚案件27起，处罚金额76.7万元，责令停产整治1起，开展“两打”专项行动，协同公安部门查处涉危险废物案件3起，并对涉案当事人进行了行政拘留。积极办理环境信访案件，共有效处理了人民群众身边水、气、噪音等环境信访投诉172起。扎实开展了执法大练兵活动，所有执法案件均录入了执法办案系统、环境行政处罚案件办理信息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994" w:type="dxa"/>
            <w:vMerge w:val="restart"/>
            <w:noWrap w:val="0"/>
            <w:vAlign w:val="center"/>
          </w:tcPr>
          <w:p>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pPr>
              <w:spacing w:line="576" w:lineRule="exact"/>
              <w:jc w:val="center"/>
              <w:rPr>
                <w:rFonts w:eastAsia="仿宋_GB2312"/>
                <w:sz w:val="20"/>
                <w:szCs w:val="20"/>
              </w:rPr>
            </w:pPr>
            <w:r>
              <w:rPr>
                <w:rFonts w:eastAsia="仿宋_GB2312"/>
                <w:sz w:val="20"/>
                <w:szCs w:val="20"/>
              </w:rPr>
              <w:t>存在的问题</w:t>
            </w:r>
          </w:p>
        </w:tc>
        <w:tc>
          <w:tcPr>
            <w:tcW w:w="5737" w:type="dxa"/>
            <w:noWrap w:val="0"/>
            <w:vAlign w:val="center"/>
          </w:tcPr>
          <w:p>
            <w:pPr>
              <w:spacing w:line="576" w:lineRule="exact"/>
              <w:ind w:right="880" w:rightChars="419"/>
              <w:jc w:val="center"/>
              <w:rPr>
                <w:sz w:val="22"/>
                <w:szCs w:val="22"/>
              </w:rPr>
            </w:pPr>
            <w:r>
              <w:rPr>
                <w:rFonts w:hint="eastAsia"/>
                <w:sz w:val="22"/>
                <w:szCs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994"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改进措施</w:t>
            </w:r>
          </w:p>
        </w:tc>
        <w:tc>
          <w:tcPr>
            <w:tcW w:w="5737" w:type="dxa"/>
            <w:noWrap w:val="0"/>
            <w:vAlign w:val="center"/>
          </w:tcPr>
          <w:p>
            <w:pPr>
              <w:spacing w:line="576" w:lineRule="exact"/>
              <w:ind w:right="880" w:rightChars="419"/>
              <w:jc w:val="center"/>
              <w:rPr>
                <w:sz w:val="22"/>
                <w:szCs w:val="22"/>
              </w:rPr>
            </w:pPr>
            <w:r>
              <w:rPr>
                <w:rFonts w:hint="eastAsia"/>
                <w:sz w:val="22"/>
                <w:szCs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4" w:hRule="atLeast"/>
        </w:trPr>
        <w:tc>
          <w:tcPr>
            <w:tcW w:w="1994"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其他需要说明问题</w:t>
            </w:r>
          </w:p>
        </w:tc>
        <w:tc>
          <w:tcPr>
            <w:tcW w:w="5737" w:type="dxa"/>
            <w:noWrap w:val="0"/>
            <w:vAlign w:val="center"/>
          </w:tcPr>
          <w:p>
            <w:pPr>
              <w:spacing w:line="576" w:lineRule="exact"/>
              <w:ind w:right="880" w:rightChars="419"/>
              <w:jc w:val="center"/>
              <w:rPr>
                <w:sz w:val="22"/>
                <w:szCs w:val="22"/>
              </w:rPr>
            </w:pPr>
          </w:p>
          <w:p>
            <w:pPr>
              <w:spacing w:line="576" w:lineRule="exact"/>
              <w:ind w:right="880" w:rightChars="419"/>
              <w:jc w:val="center"/>
              <w:rPr>
                <w:sz w:val="22"/>
                <w:szCs w:val="22"/>
              </w:rPr>
            </w:pPr>
            <w:r>
              <w:rPr>
                <w:rFonts w:hint="eastAsia"/>
                <w:sz w:val="22"/>
                <w:szCs w:val="22"/>
                <w:lang w:eastAsia="zh-CN"/>
              </w:rPr>
              <w:t>无</w:t>
            </w:r>
          </w:p>
          <w:p>
            <w:pPr>
              <w:spacing w:line="576" w:lineRule="exact"/>
              <w:ind w:right="880" w:rightChars="419"/>
              <w:jc w:val="center"/>
              <w:rPr>
                <w:sz w:val="22"/>
                <w:szCs w:val="22"/>
              </w:rPr>
            </w:pPr>
          </w:p>
        </w:tc>
      </w:tr>
    </w:tbl>
    <w:p>
      <w:pPr>
        <w:spacing w:line="320" w:lineRule="atLeast"/>
        <w:ind w:firstLine="400" w:firstLineChars="200"/>
        <w:jc w:val="left"/>
        <w:rPr>
          <w:rFonts w:eastAsia="仿宋_GB2312"/>
          <w:sz w:val="20"/>
          <w:szCs w:val="20"/>
        </w:rPr>
      </w:pPr>
      <w:r>
        <w:rPr>
          <w:rFonts w:eastAsia="仿宋_GB2312"/>
          <w:sz w:val="20"/>
          <w:szCs w:val="20"/>
        </w:rPr>
        <w:t>备注：每个项目支出分别填报自评报告和自评表。</w:t>
      </w:r>
    </w:p>
    <w:p>
      <w:pPr>
        <w:spacing w:line="320" w:lineRule="atLeast"/>
        <w:ind w:firstLine="440" w:firstLineChars="200"/>
        <w:jc w:val="left"/>
        <w:rPr>
          <w:rFonts w:eastAsia="仿宋_GB2312"/>
          <w:sz w:val="20"/>
          <w:szCs w:val="20"/>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联系电话：</w:t>
      </w:r>
      <w:r>
        <w:rPr>
          <w:rFonts w:hint="eastAsia" w:eastAsia="仿宋_GB2312"/>
          <w:sz w:val="22"/>
          <w:lang w:val="en-US" w:eastAsia="zh-CN"/>
        </w:rPr>
        <w:t>18390248336</w:t>
      </w:r>
      <w:r>
        <w:rPr>
          <w:rFonts w:eastAsia="仿宋_GB2312"/>
          <w:sz w:val="22"/>
        </w:rPr>
        <w:t xml:space="preserve"> 单位负责人签字：</w:t>
      </w:r>
    </w:p>
    <w:p>
      <w:pPr>
        <w:spacing w:line="320" w:lineRule="atLeast"/>
        <w:jc w:val="left"/>
        <w:rPr>
          <w:rFonts w:eastAsia="仿宋_GB2312"/>
          <w:sz w:val="20"/>
          <w:szCs w:val="20"/>
        </w:rPr>
      </w:pPr>
    </w:p>
    <w:p>
      <w:pPr>
        <w:spacing w:line="320" w:lineRule="atLeast"/>
        <w:jc w:val="left"/>
        <w:rPr>
          <w:rFonts w:eastAsia="仿宋_GB2312"/>
          <w:sz w:val="20"/>
          <w:szCs w:val="20"/>
        </w:rPr>
      </w:pPr>
    </w:p>
    <w:p>
      <w:pPr>
        <w:spacing w:line="320" w:lineRule="atLeast"/>
        <w:jc w:val="left"/>
        <w:rPr>
          <w:rFonts w:eastAsia="仿宋_GB2312"/>
          <w:sz w:val="20"/>
          <w:szCs w:val="20"/>
        </w:rPr>
      </w:pPr>
    </w:p>
    <w:p>
      <w:pPr>
        <w:spacing w:line="320" w:lineRule="atLeast"/>
        <w:jc w:val="left"/>
        <w:rPr>
          <w:rFonts w:eastAsia="仿宋_GB2312"/>
          <w:sz w:val="20"/>
          <w:szCs w:val="20"/>
        </w:rPr>
      </w:pPr>
    </w:p>
    <w:p>
      <w:pPr>
        <w:spacing w:line="600" w:lineRule="exact"/>
        <w:jc w:val="left"/>
        <w:rPr>
          <w:rFonts w:hint="eastAsia" w:ascii="黑体" w:hAnsi="黑体" w:eastAsia="黑体" w:cs="黑体"/>
          <w:sz w:val="32"/>
          <w:szCs w:val="32"/>
        </w:rPr>
      </w:pPr>
    </w:p>
    <w:p>
      <w:pPr>
        <w:spacing w:after="120" w:afterLines="50" w:line="600" w:lineRule="exact"/>
        <w:jc w:val="center"/>
        <w:outlineLvl w:val="1"/>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ascii="方正小标宋简体" w:eastAsia="方正小标宋简体"/>
          <w:sz w:val="44"/>
          <w:szCs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284"/>
        <w:gridCol w:w="688"/>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w:t>
            </w:r>
          </w:p>
          <w:p>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执法办案经费专项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永州市生态环境局新田分局</w:t>
            </w:r>
          </w:p>
        </w:tc>
        <w:tc>
          <w:tcPr>
            <w:tcW w:w="1284"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实施单位</w:t>
            </w:r>
          </w:p>
        </w:tc>
        <w:tc>
          <w:tcPr>
            <w:tcW w:w="2711" w:type="dxa"/>
            <w:gridSpan w:val="3"/>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永州市生态环境局新田分局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项目资金</w:t>
            </w:r>
          </w:p>
          <w:p>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pPr>
              <w:jc w:val="center"/>
              <w:rPr>
                <w:rFonts w:hint="eastAsia" w:eastAsia="仿宋_GB2312"/>
                <w:color w:val="000000"/>
                <w:sz w:val="20"/>
                <w:szCs w:val="20"/>
                <w:lang w:eastAsia="zh-CN"/>
              </w:rPr>
            </w:pPr>
          </w:p>
        </w:tc>
        <w:tc>
          <w:tcPr>
            <w:tcW w:w="1230"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年初</w:t>
            </w:r>
          </w:p>
          <w:p>
            <w:pPr>
              <w:jc w:val="center"/>
              <w:rPr>
                <w:rFonts w:hint="eastAsia" w:eastAsia="仿宋_GB2312"/>
                <w:color w:val="000000"/>
                <w:sz w:val="20"/>
                <w:szCs w:val="20"/>
                <w:lang w:eastAsia="zh-CN"/>
              </w:rPr>
            </w:pPr>
            <w:r>
              <w:rPr>
                <w:rFonts w:hint="eastAsia" w:eastAsia="仿宋_GB2312"/>
                <w:color w:val="000000"/>
                <w:sz w:val="20"/>
                <w:szCs w:val="20"/>
                <w:lang w:eastAsia="zh-CN"/>
              </w:rPr>
              <w:t>预算数</w:t>
            </w:r>
          </w:p>
        </w:tc>
        <w:tc>
          <w:tcPr>
            <w:tcW w:w="1140"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全年</w:t>
            </w:r>
          </w:p>
          <w:p>
            <w:pPr>
              <w:jc w:val="center"/>
              <w:rPr>
                <w:rFonts w:hint="eastAsia" w:eastAsia="仿宋_GB2312"/>
                <w:color w:val="000000"/>
                <w:sz w:val="20"/>
                <w:szCs w:val="20"/>
                <w:lang w:eastAsia="zh-CN"/>
              </w:rPr>
            </w:pPr>
            <w:r>
              <w:rPr>
                <w:rFonts w:hint="eastAsia" w:eastAsia="仿宋_GB2312"/>
                <w:color w:val="000000"/>
                <w:sz w:val="20"/>
                <w:szCs w:val="20"/>
                <w:lang w:eastAsia="zh-CN"/>
              </w:rPr>
              <w:t>预算数</w:t>
            </w:r>
          </w:p>
        </w:tc>
        <w:tc>
          <w:tcPr>
            <w:tcW w:w="1284"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全年</w:t>
            </w:r>
          </w:p>
          <w:p>
            <w:pPr>
              <w:jc w:val="center"/>
              <w:rPr>
                <w:rFonts w:hint="eastAsia" w:eastAsia="仿宋_GB2312"/>
                <w:color w:val="000000"/>
                <w:sz w:val="20"/>
                <w:szCs w:val="20"/>
                <w:lang w:eastAsia="zh-CN"/>
              </w:rPr>
            </w:pPr>
            <w:r>
              <w:rPr>
                <w:rFonts w:hint="eastAsia" w:eastAsia="仿宋_GB2312"/>
                <w:color w:val="000000"/>
                <w:sz w:val="20"/>
                <w:szCs w:val="20"/>
                <w:lang w:eastAsia="zh-CN"/>
              </w:rPr>
              <w:t>执行数</w:t>
            </w:r>
          </w:p>
        </w:tc>
        <w:tc>
          <w:tcPr>
            <w:tcW w:w="688"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分值</w:t>
            </w:r>
          </w:p>
        </w:tc>
        <w:tc>
          <w:tcPr>
            <w:tcW w:w="877"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执行率</w:t>
            </w:r>
          </w:p>
        </w:tc>
        <w:tc>
          <w:tcPr>
            <w:tcW w:w="1146"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年度资金总额</w:t>
            </w:r>
          </w:p>
        </w:tc>
        <w:tc>
          <w:tcPr>
            <w:tcW w:w="123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62.5</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62.5</w:t>
            </w:r>
          </w:p>
        </w:tc>
        <w:tc>
          <w:tcPr>
            <w:tcW w:w="1284" w:type="dxa"/>
            <w:shd w:val="clear" w:color="auto" w:fill="auto"/>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60.52</w:t>
            </w:r>
          </w:p>
        </w:tc>
        <w:tc>
          <w:tcPr>
            <w:tcW w:w="688"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96.00%</w:t>
            </w:r>
          </w:p>
        </w:tc>
        <w:tc>
          <w:tcPr>
            <w:tcW w:w="1146"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9.60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其中：当年财政拨款</w:t>
            </w:r>
          </w:p>
        </w:tc>
        <w:tc>
          <w:tcPr>
            <w:tcW w:w="123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62.5</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62.5</w:t>
            </w:r>
          </w:p>
        </w:tc>
        <w:tc>
          <w:tcPr>
            <w:tcW w:w="1284" w:type="dxa"/>
            <w:shd w:val="clear" w:color="auto" w:fill="auto"/>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val="en-US" w:eastAsia="zh-CN"/>
              </w:rPr>
              <w:t>60.52</w:t>
            </w:r>
          </w:p>
        </w:tc>
        <w:tc>
          <w:tcPr>
            <w:tcW w:w="688"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eastAsia="zh-CN"/>
              </w:rPr>
            </w:pPr>
          </w:p>
        </w:tc>
        <w:tc>
          <w:tcPr>
            <w:tcW w:w="1146" w:type="dxa"/>
            <w:noWrap w:val="0"/>
            <w:vAlign w:val="center"/>
          </w:tcPr>
          <w:p>
            <w:pPr>
              <w:jc w:val="center"/>
              <w:rPr>
                <w:rFonts w:hint="default"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上年结转资金</w:t>
            </w:r>
          </w:p>
        </w:tc>
        <w:tc>
          <w:tcPr>
            <w:tcW w:w="1230" w:type="dxa"/>
            <w:noWrap w:val="0"/>
            <w:vAlign w:val="center"/>
          </w:tcPr>
          <w:p>
            <w:pPr>
              <w:jc w:val="center"/>
              <w:rPr>
                <w:rFonts w:hint="eastAsia" w:eastAsia="仿宋_GB2312"/>
                <w:color w:val="000000"/>
                <w:sz w:val="20"/>
                <w:szCs w:val="20"/>
                <w:lang w:val="en-US" w:eastAsia="zh-CN"/>
              </w:rPr>
            </w:pPr>
          </w:p>
        </w:tc>
        <w:tc>
          <w:tcPr>
            <w:tcW w:w="1140" w:type="dxa"/>
            <w:noWrap w:val="0"/>
            <w:vAlign w:val="center"/>
          </w:tcPr>
          <w:p>
            <w:pPr>
              <w:jc w:val="center"/>
              <w:rPr>
                <w:rFonts w:hint="eastAsia" w:eastAsia="仿宋_GB2312"/>
                <w:color w:val="000000"/>
                <w:sz w:val="20"/>
                <w:szCs w:val="20"/>
                <w:lang w:eastAsia="zh-CN"/>
              </w:rPr>
            </w:pPr>
          </w:p>
        </w:tc>
        <w:tc>
          <w:tcPr>
            <w:tcW w:w="1284" w:type="dxa"/>
            <w:noWrap w:val="0"/>
            <w:vAlign w:val="center"/>
          </w:tcPr>
          <w:p>
            <w:pPr>
              <w:jc w:val="center"/>
              <w:rPr>
                <w:rFonts w:hint="eastAsia" w:eastAsia="仿宋_GB2312"/>
                <w:color w:val="000000"/>
                <w:sz w:val="20"/>
                <w:szCs w:val="20"/>
                <w:lang w:eastAsia="zh-CN"/>
              </w:rPr>
            </w:pPr>
          </w:p>
        </w:tc>
        <w:tc>
          <w:tcPr>
            <w:tcW w:w="688" w:type="dxa"/>
            <w:noWrap w:val="0"/>
            <w:vAlign w:val="center"/>
          </w:tcPr>
          <w:p>
            <w:pPr>
              <w:jc w:val="center"/>
              <w:rPr>
                <w:rFonts w:hint="eastAsia" w:eastAsia="仿宋_GB2312"/>
                <w:color w:val="000000"/>
                <w:sz w:val="20"/>
                <w:szCs w:val="20"/>
                <w:lang w:eastAsia="zh-CN"/>
              </w:rPr>
            </w:pPr>
          </w:p>
        </w:tc>
        <w:tc>
          <w:tcPr>
            <w:tcW w:w="877" w:type="dxa"/>
            <w:noWrap w:val="0"/>
            <w:vAlign w:val="center"/>
          </w:tcPr>
          <w:p>
            <w:pPr>
              <w:jc w:val="center"/>
              <w:rPr>
                <w:rFonts w:hint="eastAsia" w:eastAsia="仿宋_GB2312"/>
                <w:color w:val="000000"/>
                <w:sz w:val="20"/>
                <w:szCs w:val="20"/>
                <w:lang w:eastAsia="zh-CN"/>
              </w:rPr>
            </w:pPr>
          </w:p>
        </w:tc>
        <w:tc>
          <w:tcPr>
            <w:tcW w:w="1146" w:type="dxa"/>
            <w:noWrap w:val="0"/>
            <w:vAlign w:val="center"/>
          </w:tcPr>
          <w:p>
            <w:pPr>
              <w:jc w:val="center"/>
              <w:rPr>
                <w:rFonts w:hint="eastAsia" w:eastAsia="仿宋_GB2312"/>
                <w:color w:val="000000"/>
                <w:sz w:val="20"/>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其他资金</w:t>
            </w:r>
          </w:p>
        </w:tc>
        <w:tc>
          <w:tcPr>
            <w:tcW w:w="1230" w:type="dxa"/>
            <w:noWrap w:val="0"/>
            <w:vAlign w:val="center"/>
          </w:tcPr>
          <w:p>
            <w:pPr>
              <w:jc w:val="center"/>
              <w:rPr>
                <w:rFonts w:hint="eastAsia" w:eastAsia="仿宋_GB2312"/>
                <w:color w:val="000000"/>
                <w:sz w:val="20"/>
                <w:szCs w:val="20"/>
                <w:lang w:val="en-US" w:eastAsia="zh-CN"/>
              </w:rPr>
            </w:pPr>
          </w:p>
        </w:tc>
        <w:tc>
          <w:tcPr>
            <w:tcW w:w="1140" w:type="dxa"/>
            <w:noWrap w:val="0"/>
            <w:vAlign w:val="center"/>
          </w:tcPr>
          <w:p>
            <w:pPr>
              <w:jc w:val="center"/>
              <w:rPr>
                <w:rFonts w:hint="eastAsia" w:eastAsia="仿宋_GB2312"/>
                <w:color w:val="000000"/>
                <w:sz w:val="20"/>
                <w:szCs w:val="20"/>
                <w:lang w:eastAsia="zh-CN"/>
              </w:rPr>
            </w:pPr>
          </w:p>
        </w:tc>
        <w:tc>
          <w:tcPr>
            <w:tcW w:w="1284" w:type="dxa"/>
            <w:noWrap w:val="0"/>
            <w:vAlign w:val="center"/>
          </w:tcPr>
          <w:p>
            <w:pPr>
              <w:jc w:val="center"/>
              <w:rPr>
                <w:rFonts w:hint="eastAsia" w:eastAsia="仿宋_GB2312"/>
                <w:color w:val="000000"/>
                <w:sz w:val="20"/>
                <w:szCs w:val="20"/>
                <w:lang w:eastAsia="zh-CN"/>
              </w:rPr>
            </w:pPr>
          </w:p>
        </w:tc>
        <w:tc>
          <w:tcPr>
            <w:tcW w:w="688" w:type="dxa"/>
            <w:noWrap w:val="0"/>
            <w:vAlign w:val="center"/>
          </w:tcPr>
          <w:p>
            <w:pPr>
              <w:jc w:val="center"/>
              <w:rPr>
                <w:rFonts w:hint="eastAsia" w:eastAsia="仿宋_GB2312"/>
                <w:color w:val="000000"/>
                <w:sz w:val="20"/>
                <w:szCs w:val="20"/>
                <w:lang w:eastAsia="zh-CN"/>
              </w:rPr>
            </w:pPr>
          </w:p>
        </w:tc>
        <w:tc>
          <w:tcPr>
            <w:tcW w:w="877" w:type="dxa"/>
            <w:noWrap w:val="0"/>
            <w:vAlign w:val="center"/>
          </w:tcPr>
          <w:p>
            <w:pPr>
              <w:jc w:val="center"/>
              <w:rPr>
                <w:rFonts w:hint="eastAsia" w:eastAsia="仿宋_GB2312"/>
                <w:color w:val="000000"/>
                <w:sz w:val="20"/>
                <w:szCs w:val="20"/>
                <w:lang w:eastAsia="zh-CN"/>
              </w:rPr>
            </w:pPr>
          </w:p>
        </w:tc>
        <w:tc>
          <w:tcPr>
            <w:tcW w:w="1146" w:type="dxa"/>
            <w:noWrap w:val="0"/>
            <w:vAlign w:val="center"/>
          </w:tcPr>
          <w:p>
            <w:pPr>
              <w:jc w:val="center"/>
              <w:rPr>
                <w:rFonts w:hint="eastAsia" w:eastAsia="仿宋_GB2312"/>
                <w:color w:val="000000"/>
                <w:sz w:val="20"/>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预期目标</w:t>
            </w:r>
          </w:p>
        </w:tc>
        <w:tc>
          <w:tcPr>
            <w:tcW w:w="3995" w:type="dxa"/>
            <w:gridSpan w:val="4"/>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vMerge w:val="continue"/>
            <w:noWrap w:val="0"/>
            <w:vAlign w:val="center"/>
          </w:tcPr>
          <w:p>
            <w:pPr>
              <w:jc w:val="center"/>
              <w:rPr>
                <w:rFonts w:eastAsia="仿宋_GB2312"/>
                <w:color w:val="000000"/>
                <w:sz w:val="20"/>
                <w:szCs w:val="20"/>
              </w:rPr>
            </w:pPr>
          </w:p>
        </w:tc>
        <w:tc>
          <w:tcPr>
            <w:tcW w:w="4540" w:type="dxa"/>
            <w:gridSpan w:val="4"/>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val="en-US" w:eastAsia="zh-CN"/>
              </w:rPr>
              <w:t>加大执法力度，打击环境违法行为。</w:t>
            </w:r>
          </w:p>
        </w:tc>
        <w:tc>
          <w:tcPr>
            <w:tcW w:w="3995" w:type="dxa"/>
            <w:gridSpan w:val="4"/>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2023年年初预算62.5万元，项目全年收入为60.52万元（含上年结转资金14.5万），项目支出为60.52万元，主要用于环境执法办案工作中的开支。2023年度，我局强化执法办案和两法衔接，对环境违法行为“零容忍”。我局立案查处环境违法行为31起，行政处罚案件27起，处罚金额76.7万元，责令停产整治1起，开展“两打”专项行动，协同公安部门查处涉危险废物案件3起，并对涉案当事人进行了行政拘留。积极办理环境信访案件，共有效处理了人民群众身边水、气、噪音等环境信访投诉172起。扎实开展了执法大练兵活动，所有执法案件均录入了执法办案系统、环境行政处罚案件办理信息系统，并在门户网站上进行了公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绩</w:t>
            </w:r>
          </w:p>
          <w:p>
            <w:pPr>
              <w:jc w:val="center"/>
              <w:rPr>
                <w:rFonts w:eastAsia="仿宋_GB2312"/>
                <w:color w:val="000000"/>
                <w:sz w:val="20"/>
                <w:szCs w:val="20"/>
              </w:rPr>
            </w:pPr>
            <w:r>
              <w:rPr>
                <w:rFonts w:eastAsia="仿宋_GB2312"/>
                <w:color w:val="000000"/>
                <w:sz w:val="20"/>
                <w:szCs w:val="20"/>
              </w:rPr>
              <w:t>效</w:t>
            </w:r>
          </w:p>
          <w:p>
            <w:pPr>
              <w:jc w:val="center"/>
              <w:rPr>
                <w:rFonts w:eastAsia="仿宋_GB2312"/>
                <w:color w:val="000000"/>
                <w:sz w:val="20"/>
                <w:szCs w:val="20"/>
              </w:rPr>
            </w:pPr>
            <w:r>
              <w:rPr>
                <w:rFonts w:eastAsia="仿宋_GB2312"/>
                <w:color w:val="000000"/>
                <w:sz w:val="20"/>
                <w:szCs w:val="20"/>
              </w:rPr>
              <w:t>指</w:t>
            </w:r>
          </w:p>
          <w:p>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一级指标</w:t>
            </w:r>
          </w:p>
        </w:tc>
        <w:tc>
          <w:tcPr>
            <w:tcW w:w="1085"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二级指标</w:t>
            </w:r>
          </w:p>
        </w:tc>
        <w:tc>
          <w:tcPr>
            <w:tcW w:w="1230"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三级指标</w:t>
            </w:r>
          </w:p>
        </w:tc>
        <w:tc>
          <w:tcPr>
            <w:tcW w:w="1140"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年度</w:t>
            </w:r>
          </w:p>
          <w:p>
            <w:pPr>
              <w:jc w:val="center"/>
              <w:rPr>
                <w:rFonts w:hint="eastAsia" w:eastAsia="仿宋_GB2312"/>
                <w:color w:val="000000"/>
                <w:sz w:val="20"/>
                <w:szCs w:val="20"/>
                <w:lang w:eastAsia="zh-CN"/>
              </w:rPr>
            </w:pPr>
            <w:r>
              <w:rPr>
                <w:rFonts w:hint="eastAsia" w:eastAsia="仿宋_GB2312"/>
                <w:color w:val="000000"/>
                <w:sz w:val="20"/>
                <w:szCs w:val="20"/>
                <w:lang w:eastAsia="zh-CN"/>
              </w:rPr>
              <w:t>指标值</w:t>
            </w:r>
          </w:p>
        </w:tc>
        <w:tc>
          <w:tcPr>
            <w:tcW w:w="1284"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实际</w:t>
            </w:r>
          </w:p>
          <w:p>
            <w:pPr>
              <w:jc w:val="center"/>
              <w:rPr>
                <w:rFonts w:hint="eastAsia" w:eastAsia="仿宋_GB2312"/>
                <w:color w:val="000000"/>
                <w:sz w:val="20"/>
                <w:szCs w:val="20"/>
                <w:lang w:eastAsia="zh-CN"/>
              </w:rPr>
            </w:pPr>
            <w:r>
              <w:rPr>
                <w:rFonts w:hint="eastAsia" w:eastAsia="仿宋_GB2312"/>
                <w:color w:val="000000"/>
                <w:sz w:val="20"/>
                <w:szCs w:val="20"/>
                <w:lang w:eastAsia="zh-CN"/>
              </w:rPr>
              <w:t>完成值</w:t>
            </w:r>
          </w:p>
        </w:tc>
        <w:tc>
          <w:tcPr>
            <w:tcW w:w="688"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分值</w:t>
            </w:r>
          </w:p>
        </w:tc>
        <w:tc>
          <w:tcPr>
            <w:tcW w:w="877"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得分</w:t>
            </w:r>
          </w:p>
        </w:tc>
        <w:tc>
          <w:tcPr>
            <w:tcW w:w="1146"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偏差原因</w:t>
            </w:r>
          </w:p>
          <w:p>
            <w:pPr>
              <w:jc w:val="center"/>
              <w:rPr>
                <w:rFonts w:hint="eastAsia" w:eastAsia="仿宋_GB2312"/>
                <w:color w:val="000000"/>
                <w:sz w:val="20"/>
                <w:szCs w:val="20"/>
                <w:lang w:eastAsia="zh-CN"/>
              </w:rPr>
            </w:pPr>
            <w:r>
              <w:rPr>
                <w:rFonts w:hint="eastAsia" w:eastAsia="仿宋_GB2312"/>
                <w:color w:val="000000"/>
                <w:sz w:val="20"/>
                <w:szCs w:val="20"/>
                <w:lang w:eastAsia="zh-CN"/>
              </w:rPr>
              <w:t>分析及</w:t>
            </w:r>
          </w:p>
          <w:p>
            <w:pPr>
              <w:jc w:val="center"/>
              <w:rPr>
                <w:rFonts w:hint="eastAsia" w:eastAsia="仿宋_GB2312"/>
                <w:color w:val="000000"/>
                <w:sz w:val="20"/>
                <w:szCs w:val="20"/>
                <w:lang w:eastAsia="zh-CN"/>
              </w:rPr>
            </w:pPr>
            <w:r>
              <w:rPr>
                <w:rFonts w:hint="eastAsia" w:eastAsia="仿宋_GB2312"/>
                <w:color w:val="000000"/>
                <w:sz w:val="20"/>
                <w:szCs w:val="20"/>
                <w:lang w:eastAsia="zh-CN"/>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center"/>
              <w:rPr>
                <w:rFonts w:eastAsia="仿宋_GB2312"/>
                <w:color w:val="000000"/>
                <w:sz w:val="20"/>
                <w:szCs w:val="20"/>
              </w:rPr>
            </w:pPr>
          </w:p>
        </w:tc>
        <w:tc>
          <w:tcPr>
            <w:tcW w:w="1085" w:type="dxa"/>
            <w:vMerge w:val="restart"/>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成本指标</w:t>
            </w:r>
          </w:p>
          <w:p>
            <w:pPr>
              <w:jc w:val="center"/>
              <w:rPr>
                <w:rFonts w:hint="eastAsia" w:eastAsia="仿宋_GB2312"/>
                <w:color w:val="000000"/>
                <w:sz w:val="20"/>
                <w:szCs w:val="20"/>
                <w:lang w:val="en" w:eastAsia="zh-CN"/>
              </w:rPr>
            </w:pPr>
            <w:r>
              <w:rPr>
                <w:rFonts w:hint="eastAsia" w:eastAsia="仿宋_GB2312"/>
                <w:color w:val="000000"/>
                <w:sz w:val="20"/>
                <w:szCs w:val="20"/>
                <w:lang w:val="en" w:eastAsia="zh-CN"/>
              </w:rPr>
              <w:t>（</w:t>
            </w:r>
            <w:r>
              <w:rPr>
                <w:rFonts w:hint="eastAsia" w:eastAsia="仿宋_GB2312"/>
                <w:color w:val="000000"/>
                <w:sz w:val="20"/>
                <w:szCs w:val="20"/>
                <w:lang w:eastAsia="zh-CN"/>
              </w:rPr>
              <w:t>20分</w:t>
            </w:r>
            <w:r>
              <w:rPr>
                <w:rFonts w:hint="eastAsia" w:eastAsia="仿宋_GB2312"/>
                <w:color w:val="000000"/>
                <w:sz w:val="20"/>
                <w:szCs w:val="20"/>
                <w:lang w:val="en" w:eastAsia="zh-CN"/>
              </w:rPr>
              <w:t>）</w:t>
            </w:r>
          </w:p>
        </w:tc>
        <w:tc>
          <w:tcPr>
            <w:tcW w:w="1085"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经济成</w:t>
            </w:r>
          </w:p>
          <w:p>
            <w:pPr>
              <w:jc w:val="center"/>
              <w:rPr>
                <w:rFonts w:hint="eastAsia" w:eastAsia="仿宋_GB2312"/>
                <w:color w:val="000000"/>
                <w:sz w:val="20"/>
                <w:szCs w:val="20"/>
                <w:lang w:eastAsia="zh-CN"/>
              </w:rPr>
            </w:pPr>
            <w:r>
              <w:rPr>
                <w:rFonts w:hint="eastAsia" w:eastAsia="仿宋_GB2312"/>
                <w:color w:val="000000"/>
                <w:sz w:val="20"/>
                <w:szCs w:val="20"/>
                <w:lang w:eastAsia="zh-CN"/>
              </w:rPr>
              <w:t>本指标</w:t>
            </w:r>
          </w:p>
        </w:tc>
        <w:tc>
          <w:tcPr>
            <w:tcW w:w="123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执法办案经费</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控制执法办案经费的支出62.5万元以内</w:t>
            </w:r>
          </w:p>
        </w:tc>
        <w:tc>
          <w:tcPr>
            <w:tcW w:w="1284"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60.52万元</w:t>
            </w:r>
          </w:p>
        </w:tc>
        <w:tc>
          <w:tcPr>
            <w:tcW w:w="688"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center"/>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val="en" w:eastAsia="zh-CN"/>
              </w:rPr>
            </w:pPr>
          </w:p>
        </w:tc>
        <w:tc>
          <w:tcPr>
            <w:tcW w:w="1085"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生态环境成本指标</w:t>
            </w:r>
          </w:p>
        </w:tc>
        <w:tc>
          <w:tcPr>
            <w:tcW w:w="123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生态环境成本指标</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严厉打击环境违法犯罪行为</w:t>
            </w:r>
          </w:p>
        </w:tc>
        <w:tc>
          <w:tcPr>
            <w:tcW w:w="1284"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严厉打击了环境违法犯罪行为，保持生态环境执法高压态势</w:t>
            </w:r>
          </w:p>
        </w:tc>
        <w:tc>
          <w:tcPr>
            <w:tcW w:w="688"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3" w:hRule="atLeast"/>
          <w:jc w:val="center"/>
        </w:trPr>
        <w:tc>
          <w:tcPr>
            <w:tcW w:w="921" w:type="dxa"/>
            <w:vMerge w:val="continue"/>
            <w:noWrap w:val="0"/>
            <w:vAlign w:val="center"/>
          </w:tcPr>
          <w:p>
            <w:pPr>
              <w:jc w:val="center"/>
              <w:rPr>
                <w:rFonts w:eastAsia="仿宋_GB2312"/>
                <w:color w:val="000000"/>
                <w:sz w:val="20"/>
                <w:szCs w:val="20"/>
              </w:rPr>
            </w:pPr>
          </w:p>
        </w:tc>
        <w:tc>
          <w:tcPr>
            <w:tcW w:w="1085" w:type="dxa"/>
            <w:vMerge w:val="restart"/>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产出指标</w:t>
            </w:r>
          </w:p>
          <w:p>
            <w:pPr>
              <w:jc w:val="center"/>
              <w:rPr>
                <w:rFonts w:hint="eastAsia" w:eastAsia="仿宋_GB2312"/>
                <w:color w:val="000000"/>
                <w:sz w:val="20"/>
                <w:szCs w:val="20"/>
                <w:lang w:eastAsia="zh-CN"/>
              </w:rPr>
            </w:pPr>
            <w:r>
              <w:rPr>
                <w:rFonts w:hint="eastAsia" w:eastAsia="仿宋_GB2312"/>
                <w:color w:val="000000"/>
                <w:sz w:val="20"/>
                <w:szCs w:val="20"/>
                <w:lang w:eastAsia="zh-CN"/>
              </w:rPr>
              <w:t>（40分）</w:t>
            </w:r>
          </w:p>
        </w:tc>
        <w:tc>
          <w:tcPr>
            <w:tcW w:w="1085"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数量指标</w:t>
            </w:r>
          </w:p>
        </w:tc>
        <w:tc>
          <w:tcPr>
            <w:tcW w:w="123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排查企业完成数</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一般企业1年2次，重点企业1季度一次</w:t>
            </w:r>
          </w:p>
        </w:tc>
        <w:tc>
          <w:tcPr>
            <w:tcW w:w="1284"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完成了一般企业1年2次，重点企业1季度一次的排查</w:t>
            </w:r>
          </w:p>
        </w:tc>
        <w:tc>
          <w:tcPr>
            <w:tcW w:w="688"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15</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15.00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921" w:type="dxa"/>
            <w:vMerge w:val="continue"/>
            <w:noWrap w:val="0"/>
            <w:vAlign w:val="center"/>
          </w:tcPr>
          <w:p>
            <w:pPr>
              <w:jc w:val="center"/>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eastAsia="zh-CN"/>
              </w:rPr>
            </w:pPr>
          </w:p>
        </w:tc>
        <w:tc>
          <w:tcPr>
            <w:tcW w:w="1085"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质量指标</w:t>
            </w:r>
          </w:p>
        </w:tc>
        <w:tc>
          <w:tcPr>
            <w:tcW w:w="123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环境信访案件结案率</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1284"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688"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15</w:t>
            </w:r>
          </w:p>
        </w:tc>
        <w:tc>
          <w:tcPr>
            <w:tcW w:w="877"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val="en-US" w:eastAsia="zh-CN"/>
              </w:rPr>
              <w:t>15.00</w:t>
            </w:r>
          </w:p>
        </w:tc>
        <w:tc>
          <w:tcPr>
            <w:tcW w:w="1146" w:type="dxa"/>
            <w:noWrap w:val="0"/>
            <w:vAlign w:val="center"/>
          </w:tcPr>
          <w:p>
            <w:pPr>
              <w:jc w:val="center"/>
              <w:rPr>
                <w:rFonts w:hint="eastAsia" w:eastAsia="仿宋_GB2312"/>
                <w:color w:val="000000"/>
                <w:sz w:val="20"/>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3" w:hRule="atLeast"/>
          <w:jc w:val="center"/>
        </w:trPr>
        <w:tc>
          <w:tcPr>
            <w:tcW w:w="921" w:type="dxa"/>
            <w:vMerge w:val="continue"/>
            <w:noWrap w:val="0"/>
            <w:vAlign w:val="center"/>
          </w:tcPr>
          <w:p>
            <w:pPr>
              <w:jc w:val="center"/>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eastAsia="zh-CN"/>
              </w:rPr>
            </w:pPr>
          </w:p>
        </w:tc>
        <w:tc>
          <w:tcPr>
            <w:tcW w:w="1085" w:type="dxa"/>
            <w:noWrap w:val="0"/>
            <w:vAlign w:val="center"/>
          </w:tcPr>
          <w:p>
            <w:pPr>
              <w:jc w:val="center"/>
              <w:rPr>
                <w:rFonts w:hint="eastAsia" w:eastAsia="仿宋_GB2312"/>
                <w:color w:val="000000"/>
                <w:sz w:val="20"/>
                <w:szCs w:val="20"/>
                <w:lang w:eastAsia="zh-CN"/>
              </w:rPr>
            </w:pPr>
            <w:r>
              <w:rPr>
                <w:rFonts w:hint="eastAsia" w:eastAsia="仿宋_GB2312"/>
                <w:color w:val="000000"/>
                <w:sz w:val="20"/>
                <w:szCs w:val="20"/>
                <w:lang w:eastAsia="zh-CN"/>
              </w:rPr>
              <w:t>时效指标</w:t>
            </w:r>
          </w:p>
        </w:tc>
        <w:tc>
          <w:tcPr>
            <w:tcW w:w="123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规定时间内完成2022年度罚没收入计划</w:t>
            </w:r>
          </w:p>
        </w:tc>
        <w:tc>
          <w:tcPr>
            <w:tcW w:w="1140"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202</w:t>
            </w:r>
            <w:r>
              <w:rPr>
                <w:rFonts w:hint="eastAsia" w:eastAsia="仿宋_GB2312"/>
                <w:color w:val="000000"/>
                <w:sz w:val="20"/>
                <w:szCs w:val="20"/>
                <w:lang w:val="en-US" w:eastAsia="zh-CN"/>
              </w:rPr>
              <w:t>2</w:t>
            </w:r>
            <w:r>
              <w:rPr>
                <w:rFonts w:hint="default" w:eastAsia="仿宋_GB2312"/>
                <w:color w:val="000000"/>
                <w:sz w:val="20"/>
                <w:szCs w:val="20"/>
                <w:lang w:val="en-US" w:eastAsia="zh-CN"/>
              </w:rPr>
              <w:t>年12月31日前完成</w:t>
            </w:r>
          </w:p>
        </w:tc>
        <w:tc>
          <w:tcPr>
            <w:tcW w:w="1284"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202</w:t>
            </w:r>
            <w:r>
              <w:rPr>
                <w:rFonts w:hint="eastAsia" w:eastAsia="仿宋_GB2312"/>
                <w:color w:val="000000"/>
                <w:sz w:val="20"/>
                <w:szCs w:val="20"/>
                <w:lang w:val="en-US" w:eastAsia="zh-CN"/>
              </w:rPr>
              <w:t>2</w:t>
            </w:r>
            <w:r>
              <w:rPr>
                <w:rFonts w:hint="default" w:eastAsia="仿宋_GB2312"/>
                <w:color w:val="000000"/>
                <w:sz w:val="20"/>
                <w:szCs w:val="20"/>
                <w:lang w:val="en-US" w:eastAsia="zh-CN"/>
              </w:rPr>
              <w:t>年12月31日前完成</w:t>
            </w:r>
          </w:p>
        </w:tc>
        <w:tc>
          <w:tcPr>
            <w:tcW w:w="688" w:type="dxa"/>
            <w:noWrap w:val="0"/>
            <w:vAlign w:val="center"/>
          </w:tcPr>
          <w:p>
            <w:pPr>
              <w:jc w:val="center"/>
              <w:rPr>
                <w:rFonts w:hint="eastAsia" w:eastAsia="仿宋_GB2312"/>
                <w:color w:val="000000"/>
                <w:sz w:val="20"/>
                <w:szCs w:val="20"/>
                <w:lang w:val="en-US" w:eastAsia="zh-CN"/>
              </w:rPr>
            </w:pPr>
            <w:r>
              <w:rPr>
                <w:rFonts w:hint="default"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146" w:type="dxa"/>
            <w:noWrap w:val="0"/>
            <w:vAlign w:val="center"/>
          </w:tcPr>
          <w:p>
            <w:pPr>
              <w:jc w:val="center"/>
              <w:rPr>
                <w:rFonts w:hint="eastAsia" w:eastAsia="仿宋_GB2312"/>
                <w:color w:val="000000"/>
                <w:sz w:val="20"/>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eastAsia="仿宋_GB2312"/>
                <w:color w:val="000000"/>
                <w:sz w:val="20"/>
                <w:szCs w:val="20"/>
              </w:rPr>
            </w:pPr>
          </w:p>
        </w:tc>
        <w:tc>
          <w:tcPr>
            <w:tcW w:w="1085" w:type="dxa"/>
            <w:vMerge w:val="restart"/>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效益指标</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（20分）</w:t>
            </w: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生态效益指标</w:t>
            </w:r>
          </w:p>
        </w:tc>
        <w:tc>
          <w:tcPr>
            <w:tcW w:w="123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水、气、土环境治理目标</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不发生重大环境污染和生态环境破坏事件</w:t>
            </w:r>
          </w:p>
        </w:tc>
        <w:tc>
          <w:tcPr>
            <w:tcW w:w="1284"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未发生重大环境污染和生态环境破坏事件</w:t>
            </w:r>
          </w:p>
        </w:tc>
        <w:tc>
          <w:tcPr>
            <w:tcW w:w="688"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5.00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经济效益指标</w:t>
            </w:r>
          </w:p>
        </w:tc>
        <w:tc>
          <w:tcPr>
            <w:tcW w:w="123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全年罚没收入总数</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80万元</w:t>
            </w:r>
          </w:p>
        </w:tc>
        <w:tc>
          <w:tcPr>
            <w:tcW w:w="1284"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76.7万元</w:t>
            </w:r>
          </w:p>
        </w:tc>
        <w:tc>
          <w:tcPr>
            <w:tcW w:w="688"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9.60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pPr>
              <w:jc w:val="center"/>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社会效益指标</w:t>
            </w:r>
          </w:p>
        </w:tc>
        <w:tc>
          <w:tcPr>
            <w:tcW w:w="123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公民生态环境意识</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通过加强环境执法，增强社会公民的环境意识，使公民传统的生产、生活方式和价值观向环境友好、资源节约的生态化方向转变。</w:t>
            </w:r>
          </w:p>
        </w:tc>
        <w:tc>
          <w:tcPr>
            <w:tcW w:w="1284"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我县生态环境执法工作以优化执法方式为重心，完善执法机制、规范执法行为、提升守法水平，全面提高生态环境执法效能，切实改善生态环境质量，保障人民群众环境权益。</w:t>
            </w:r>
          </w:p>
        </w:tc>
        <w:tc>
          <w:tcPr>
            <w:tcW w:w="688"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5.00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pPr>
              <w:jc w:val="center"/>
              <w:rPr>
                <w:rFonts w:eastAsia="仿宋_GB2312"/>
                <w:color w:val="000000"/>
                <w:sz w:val="20"/>
                <w:szCs w:val="20"/>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满意度</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指标</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（10分）</w:t>
            </w: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服务对象满意度指标</w:t>
            </w:r>
          </w:p>
        </w:tc>
        <w:tc>
          <w:tcPr>
            <w:tcW w:w="123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群众</w:t>
            </w:r>
            <w:r>
              <w:rPr>
                <w:rFonts w:hint="default" w:eastAsia="仿宋_GB2312"/>
                <w:color w:val="000000"/>
                <w:sz w:val="20"/>
                <w:szCs w:val="20"/>
                <w:lang w:val="en-US" w:eastAsia="zh-CN"/>
              </w:rPr>
              <w:t>满意度</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我县群众满意度达到</w:t>
            </w:r>
            <w:r>
              <w:rPr>
                <w:rFonts w:hint="default" w:eastAsia="仿宋_GB2312"/>
                <w:color w:val="000000"/>
                <w:sz w:val="20"/>
                <w:szCs w:val="20"/>
                <w:lang w:val="en-US" w:eastAsia="zh-CN"/>
              </w:rPr>
              <w:t>9</w:t>
            </w:r>
            <w:r>
              <w:rPr>
                <w:rFonts w:hint="eastAsia" w:eastAsia="仿宋_GB2312"/>
                <w:color w:val="000000"/>
                <w:sz w:val="20"/>
                <w:szCs w:val="20"/>
                <w:lang w:val="en-US" w:eastAsia="zh-CN"/>
              </w:rPr>
              <w:t>5</w:t>
            </w:r>
            <w:r>
              <w:rPr>
                <w:rFonts w:hint="default" w:eastAsia="仿宋_GB2312"/>
                <w:color w:val="000000"/>
                <w:sz w:val="20"/>
                <w:szCs w:val="20"/>
                <w:lang w:val="en-US" w:eastAsia="zh-CN"/>
              </w:rPr>
              <w:t>%</w:t>
            </w:r>
            <w:r>
              <w:rPr>
                <w:rFonts w:hint="eastAsia" w:eastAsia="仿宋_GB2312"/>
                <w:color w:val="000000"/>
                <w:sz w:val="20"/>
                <w:szCs w:val="20"/>
                <w:lang w:val="en-US" w:eastAsia="zh-CN"/>
              </w:rPr>
              <w:t>以上</w:t>
            </w:r>
          </w:p>
        </w:tc>
        <w:tc>
          <w:tcPr>
            <w:tcW w:w="1284"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我县群众</w:t>
            </w:r>
            <w:r>
              <w:rPr>
                <w:rFonts w:hint="default" w:eastAsia="仿宋_GB2312"/>
                <w:color w:val="000000"/>
                <w:sz w:val="20"/>
                <w:szCs w:val="20"/>
                <w:lang w:val="en-US" w:eastAsia="zh-CN"/>
              </w:rPr>
              <w:t>满意度达到9</w:t>
            </w:r>
            <w:r>
              <w:rPr>
                <w:rFonts w:hint="eastAsia" w:eastAsia="仿宋_GB2312"/>
                <w:color w:val="000000"/>
                <w:sz w:val="20"/>
                <w:szCs w:val="20"/>
                <w:lang w:val="en-US" w:eastAsia="zh-CN"/>
              </w:rPr>
              <w:t>6.7</w:t>
            </w:r>
            <w:r>
              <w:rPr>
                <w:rFonts w:hint="default" w:eastAsia="仿宋_GB2312"/>
                <w:color w:val="000000"/>
                <w:sz w:val="20"/>
                <w:szCs w:val="20"/>
                <w:lang w:val="en-US" w:eastAsia="zh-CN"/>
              </w:rPr>
              <w:t>%</w:t>
            </w:r>
          </w:p>
        </w:tc>
        <w:tc>
          <w:tcPr>
            <w:tcW w:w="688" w:type="dxa"/>
            <w:noWrap w:val="0"/>
            <w:vAlign w:val="center"/>
          </w:tcPr>
          <w:p>
            <w:pPr>
              <w:jc w:val="center"/>
              <w:rPr>
                <w:rFonts w:hint="eastAsia" w:eastAsia="仿宋_GB2312"/>
                <w:color w:val="000000"/>
                <w:sz w:val="20"/>
                <w:szCs w:val="20"/>
                <w:lang w:val="en-US" w:eastAsia="zh-CN"/>
              </w:rPr>
            </w:pPr>
            <w:r>
              <w:rPr>
                <w:rFonts w:hint="default"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default" w:eastAsia="仿宋_GB2312"/>
                <w:color w:val="000000"/>
                <w:sz w:val="20"/>
                <w:szCs w:val="20"/>
                <w:lang w:val="en-US" w:eastAsia="zh-CN"/>
              </w:rPr>
              <w:t>10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745" w:type="dxa"/>
            <w:gridSpan w:val="6"/>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总分</w:t>
            </w:r>
          </w:p>
        </w:tc>
        <w:tc>
          <w:tcPr>
            <w:tcW w:w="688"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99.20</w:t>
            </w:r>
          </w:p>
        </w:tc>
        <w:tc>
          <w:tcPr>
            <w:tcW w:w="1146" w:type="dxa"/>
            <w:noWrap w:val="0"/>
            <w:vAlign w:val="center"/>
          </w:tcPr>
          <w:p>
            <w:pPr>
              <w:jc w:val="center"/>
              <w:rPr>
                <w:rFonts w:hint="eastAsia" w:eastAsia="仿宋_GB2312"/>
                <w:color w:val="000000"/>
                <w:sz w:val="20"/>
                <w:szCs w:val="20"/>
                <w:lang w:val="en-US" w:eastAsia="zh-CN"/>
              </w:rPr>
            </w:pPr>
          </w:p>
        </w:tc>
      </w:tr>
    </w:tbl>
    <w:p>
      <w:pPr>
        <w:ind w:firstLine="400" w:firstLineChars="200"/>
        <w:jc w:val="left"/>
        <w:rPr>
          <w:rFonts w:eastAsia="仿宋_GB2312"/>
          <w:sz w:val="20"/>
          <w:szCs w:val="20"/>
        </w:rPr>
      </w:pPr>
      <w:r>
        <w:rPr>
          <w:rFonts w:eastAsia="仿宋_GB2312"/>
          <w:sz w:val="20"/>
          <w:szCs w:val="20"/>
        </w:rPr>
        <w:t>备注：每个项目支出分别填报自评报告和自评表。</w:t>
      </w:r>
    </w:p>
    <w:p>
      <w:pPr>
        <w:jc w:val="left"/>
        <w:rPr>
          <w:rFonts w:eastAsia="仿宋_GB2312"/>
          <w:sz w:val="20"/>
          <w:szCs w:val="20"/>
        </w:rPr>
      </w:pPr>
    </w:p>
    <w:p>
      <w:pPr>
        <w:ind w:firstLine="440" w:firstLineChars="200"/>
        <w:jc w:val="left"/>
        <w:rPr>
          <w:rFonts w:eastAsia="仿宋_GB2312"/>
          <w:sz w:val="22"/>
          <w:szCs w:val="22"/>
        </w:rPr>
        <w:sectPr>
          <w:footerReference r:id="rId3" w:type="default"/>
          <w:footerReference r:id="rId4" w:type="even"/>
          <w:pgSz w:w="11905" w:h="16838"/>
          <w:pgMar w:top="720" w:right="720" w:bottom="170" w:left="720" w:header="851" w:footer="1474" w:gutter="0"/>
          <w:pgNumType w:fmt="numberInDash" w:start="1"/>
          <w:cols w:space="0" w:num="1"/>
          <w:rtlGutter w:val="0"/>
          <w:docGrid w:linePitch="636" w:charSpace="0"/>
        </w:sect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2024年4月29日</w:t>
      </w:r>
      <w:r>
        <w:rPr>
          <w:rFonts w:eastAsia="仿宋_GB2312"/>
          <w:sz w:val="22"/>
        </w:rPr>
        <w:t xml:space="preserve">  联系电话：</w:t>
      </w:r>
      <w:r>
        <w:rPr>
          <w:rFonts w:hint="eastAsia" w:eastAsia="仿宋_GB2312"/>
          <w:sz w:val="22"/>
          <w:lang w:val="en-US" w:eastAsia="zh-CN"/>
        </w:rPr>
        <w:t>18390248336</w:t>
      </w:r>
      <w:r>
        <w:rPr>
          <w:rFonts w:eastAsia="仿宋_GB2312"/>
          <w:sz w:val="22"/>
          <w:szCs w:val="22"/>
        </w:rPr>
        <w:t xml:space="preserve">  单位负责人签字：</w:t>
      </w:r>
    </w:p>
    <w:p>
      <w:pPr>
        <w:spacing w:after="120" w:afterLines="50" w:line="600" w:lineRule="exact"/>
        <w:jc w:val="center"/>
        <w:outlineLvl w:val="1"/>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ascii="方正小标宋简体" w:eastAsia="方正小标宋简体"/>
          <w:sz w:val="44"/>
          <w:szCs w:val="44"/>
        </w:rPr>
        <w:t>年度项目支出绩效自评报告</w:t>
      </w:r>
    </w:p>
    <w:tbl>
      <w:tblPr>
        <w:tblStyle w:val="9"/>
        <w:tblpPr w:leftFromText="180" w:rightFromText="180" w:vertAnchor="text" w:horzAnchor="margin" w:tblpXSpec="center" w:tblpY="189"/>
        <w:tblW w:w="96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60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部门概况</w:t>
            </w: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专项名称</w:t>
            </w:r>
          </w:p>
        </w:tc>
        <w:tc>
          <w:tcPr>
            <w:tcW w:w="607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基本监测经费专项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年度预算金额</w:t>
            </w:r>
          </w:p>
        </w:tc>
        <w:tc>
          <w:tcPr>
            <w:tcW w:w="6076"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38.5万元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项目主管部门</w:t>
            </w:r>
          </w:p>
        </w:tc>
        <w:tc>
          <w:tcPr>
            <w:tcW w:w="607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永州市生态环境局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项目立项目的</w:t>
            </w:r>
          </w:p>
        </w:tc>
        <w:tc>
          <w:tcPr>
            <w:tcW w:w="607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xml:space="preserve">  通过对新田县地表水、地下水、饮用水源地水质、重点污染源以及农村环境质量的监测，掌握我县生态环境质量状况，为国家重点生态功能区县域生态环境质量考核提供规范、有效的环境质量监测数据；为县生态环境局统一行使生态和城乡各类污染排放监管与行政执法职责、切实履行监管责任、全面落实大气、水、土壤污染防治行动计划提供依据。</w:t>
            </w:r>
          </w:p>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绩效情况</w:t>
            </w: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项目支出管理和使用基本情况</w:t>
            </w:r>
          </w:p>
        </w:tc>
        <w:tc>
          <w:tcPr>
            <w:tcW w:w="6076"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2023年年初预算38.5万元，项目收入为38.5万元，项目支出为38.5万元，主要用于环境监测设备和耗材试剂的购买。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项目绩效目标完成情况</w:t>
            </w:r>
          </w:p>
        </w:tc>
        <w:tc>
          <w:tcPr>
            <w:tcW w:w="607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服务于县区河流水质、饮用水源地水质常规监测以及环境执法监测，掌握我县水环境质量状况和企业排污情况，为各项考核和监察执法提供规范、有效的环境质量监测数据。完成集中式饮用水源监测次数17次，千吨万人饮用水源地监测次数34次，经费购置生态环境保护监测技术装备作业用车工具车一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存在的问题分析及改进措施</w:t>
            </w: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存在的问题</w:t>
            </w:r>
          </w:p>
        </w:tc>
        <w:tc>
          <w:tcPr>
            <w:tcW w:w="607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改进措施</w:t>
            </w:r>
          </w:p>
        </w:tc>
        <w:tc>
          <w:tcPr>
            <w:tcW w:w="6076"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其他需要说明问题</w:t>
            </w:r>
          </w:p>
        </w:tc>
        <w:tc>
          <w:tcPr>
            <w:tcW w:w="6076"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无</w:t>
            </w:r>
          </w:p>
          <w:p>
            <w:pPr>
              <w:jc w:val="center"/>
              <w:rPr>
                <w:rFonts w:hint="default" w:eastAsia="仿宋_GB2312"/>
                <w:color w:val="000000"/>
                <w:sz w:val="20"/>
                <w:szCs w:val="20"/>
                <w:lang w:val="en-US" w:eastAsia="zh-CN"/>
              </w:rPr>
            </w:pPr>
          </w:p>
        </w:tc>
      </w:tr>
    </w:tbl>
    <w:p>
      <w:pPr>
        <w:spacing w:line="320" w:lineRule="atLeast"/>
        <w:jc w:val="left"/>
        <w:rPr>
          <w:rFonts w:eastAsia="仿宋_GB2312"/>
          <w:sz w:val="20"/>
          <w:szCs w:val="20"/>
        </w:rPr>
      </w:pPr>
      <w:r>
        <w:rPr>
          <w:rFonts w:eastAsia="仿宋_GB2312"/>
          <w:sz w:val="20"/>
          <w:szCs w:val="20"/>
        </w:rPr>
        <w:t>备注：每个项目支出分别填报自评报告和自评表。</w:t>
      </w:r>
    </w:p>
    <w:p>
      <w:pPr>
        <w:spacing w:line="320" w:lineRule="atLeast"/>
        <w:jc w:val="left"/>
        <w:rPr>
          <w:sz w:val="32"/>
          <w:szCs w:val="3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2024年4月29日</w:t>
      </w:r>
      <w:r>
        <w:rPr>
          <w:rFonts w:eastAsia="仿宋_GB2312"/>
          <w:sz w:val="22"/>
        </w:rPr>
        <w:t xml:space="preserve">    联系电话：</w:t>
      </w:r>
      <w:r>
        <w:rPr>
          <w:rFonts w:hint="eastAsia" w:eastAsia="仿宋_GB2312"/>
          <w:sz w:val="22"/>
          <w:lang w:val="en-US" w:eastAsia="zh-CN"/>
        </w:rPr>
        <w:t>18390248336</w:t>
      </w:r>
      <w:r>
        <w:rPr>
          <w:rFonts w:eastAsia="仿宋_GB2312"/>
          <w:sz w:val="22"/>
          <w:szCs w:val="22"/>
        </w:rPr>
        <w:t xml:space="preserve">   单位负责人签字：</w:t>
      </w:r>
    </w:p>
    <w:p>
      <w:pPr>
        <w:spacing w:line="600" w:lineRule="exact"/>
        <w:jc w:val="left"/>
        <w:rPr>
          <w:rFonts w:eastAsia="黑体"/>
          <w:sz w:val="32"/>
          <w:szCs w:val="32"/>
        </w:rPr>
      </w:pPr>
    </w:p>
    <w:p>
      <w:pPr>
        <w:spacing w:after="120" w:afterLines="50" w:line="600" w:lineRule="exact"/>
        <w:jc w:val="center"/>
        <w:outlineLvl w:val="1"/>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spacing w:after="120" w:afterLines="50" w:line="600" w:lineRule="exact"/>
        <w:jc w:val="center"/>
        <w:outlineLvl w:val="1"/>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ascii="方正小标宋简体" w:eastAsia="方正小标宋简体"/>
          <w:sz w:val="44"/>
          <w:szCs w:val="44"/>
        </w:rPr>
        <w:t>年度项目支出绩效自评表</w:t>
      </w:r>
    </w:p>
    <w:tbl>
      <w:tblPr>
        <w:tblStyle w:val="9"/>
        <w:tblW w:w="95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8"/>
        <w:gridCol w:w="1070"/>
        <w:gridCol w:w="1063"/>
        <w:gridCol w:w="1709"/>
        <w:gridCol w:w="1148"/>
        <w:gridCol w:w="943"/>
        <w:gridCol w:w="789"/>
        <w:gridCol w:w="696"/>
        <w:gridCol w:w="12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08"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w:t>
            </w:r>
          </w:p>
          <w:p>
            <w:pPr>
              <w:spacing w:line="260" w:lineRule="exact"/>
              <w:jc w:val="center"/>
              <w:rPr>
                <w:rFonts w:eastAsia="仿宋_GB2312"/>
                <w:color w:val="000000"/>
                <w:sz w:val="20"/>
                <w:szCs w:val="20"/>
              </w:rPr>
            </w:pPr>
            <w:r>
              <w:rPr>
                <w:rFonts w:eastAsia="仿宋_GB2312"/>
                <w:color w:val="000000"/>
                <w:sz w:val="20"/>
                <w:szCs w:val="20"/>
              </w:rPr>
              <w:t>出名称</w:t>
            </w:r>
          </w:p>
        </w:tc>
        <w:tc>
          <w:tcPr>
            <w:tcW w:w="8622" w:type="dxa"/>
            <w:gridSpan w:val="8"/>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基本监测经费专项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jc w:val="center"/>
        </w:trPr>
        <w:tc>
          <w:tcPr>
            <w:tcW w:w="908" w:type="dxa"/>
            <w:noWrap w:val="0"/>
            <w:vAlign w:val="center"/>
          </w:tcPr>
          <w:p>
            <w:pPr>
              <w:jc w:val="center"/>
              <w:rPr>
                <w:rFonts w:eastAsia="仿宋_GB2312"/>
                <w:color w:val="000000"/>
                <w:sz w:val="20"/>
                <w:szCs w:val="20"/>
              </w:rPr>
            </w:pPr>
            <w:r>
              <w:rPr>
                <w:rFonts w:eastAsia="仿宋_GB2312"/>
                <w:color w:val="000000"/>
                <w:sz w:val="20"/>
                <w:szCs w:val="20"/>
              </w:rPr>
              <w:t>主管部门</w:t>
            </w:r>
          </w:p>
        </w:tc>
        <w:tc>
          <w:tcPr>
            <w:tcW w:w="4990" w:type="dxa"/>
            <w:gridSpan w:val="4"/>
            <w:noWrap w:val="0"/>
            <w:vAlign w:val="center"/>
          </w:tcPr>
          <w:p>
            <w:pPr>
              <w:jc w:val="center"/>
              <w:rPr>
                <w:rFonts w:hint="eastAsia" w:eastAsia="仿宋_GB2312"/>
                <w:color w:val="000000"/>
                <w:sz w:val="20"/>
                <w:szCs w:val="20"/>
                <w:lang w:val="en-US" w:eastAsia="zh-CN"/>
              </w:rPr>
            </w:pPr>
            <w:r>
              <w:rPr>
                <w:rFonts w:hint="default" w:eastAsia="仿宋_GB2312"/>
                <w:color w:val="000000"/>
                <w:sz w:val="20"/>
                <w:szCs w:val="20"/>
                <w:lang w:val="en-US" w:eastAsia="zh-CN"/>
              </w:rPr>
              <w:t>　</w:t>
            </w:r>
            <w:r>
              <w:rPr>
                <w:rFonts w:hint="eastAsia" w:eastAsia="仿宋_GB2312"/>
                <w:color w:val="000000"/>
                <w:sz w:val="20"/>
                <w:szCs w:val="20"/>
                <w:lang w:val="en-US" w:eastAsia="zh-CN"/>
              </w:rPr>
              <w:t xml:space="preserve">     永州市生态环境局新田分局</w:t>
            </w:r>
          </w:p>
        </w:tc>
        <w:tc>
          <w:tcPr>
            <w:tcW w:w="943"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实施单位</w:t>
            </w:r>
          </w:p>
        </w:tc>
        <w:tc>
          <w:tcPr>
            <w:tcW w:w="2689" w:type="dxa"/>
            <w:gridSpan w:val="3"/>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r>
              <w:rPr>
                <w:rFonts w:hint="eastAsia" w:eastAsia="仿宋_GB2312"/>
                <w:color w:val="000000"/>
                <w:sz w:val="20"/>
                <w:szCs w:val="20"/>
                <w:lang w:val="en-US" w:eastAsia="zh-CN"/>
              </w:rPr>
              <w:t>永州市生态环境局新田分局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08" w:type="dxa"/>
            <w:vMerge w:val="restart"/>
            <w:noWrap w:val="0"/>
            <w:vAlign w:val="center"/>
          </w:tcPr>
          <w:p>
            <w:pPr>
              <w:jc w:val="center"/>
              <w:rPr>
                <w:rFonts w:eastAsia="仿宋_GB2312"/>
                <w:color w:val="000000"/>
                <w:sz w:val="20"/>
                <w:szCs w:val="20"/>
              </w:rPr>
            </w:pPr>
            <w:r>
              <w:rPr>
                <w:rFonts w:eastAsia="仿宋_GB2312"/>
                <w:color w:val="000000"/>
                <w:sz w:val="20"/>
                <w:szCs w:val="20"/>
              </w:rPr>
              <w:t>项目资金</w:t>
            </w:r>
          </w:p>
          <w:p>
            <w:pPr>
              <w:jc w:val="center"/>
              <w:rPr>
                <w:rFonts w:eastAsia="仿宋_GB2312"/>
                <w:color w:val="000000"/>
                <w:sz w:val="20"/>
                <w:szCs w:val="20"/>
              </w:rPr>
            </w:pPr>
            <w:r>
              <w:rPr>
                <w:rFonts w:eastAsia="仿宋_GB2312"/>
                <w:color w:val="000000"/>
                <w:sz w:val="20"/>
                <w:szCs w:val="20"/>
              </w:rPr>
              <w:t>（万元）</w:t>
            </w:r>
          </w:p>
        </w:tc>
        <w:tc>
          <w:tcPr>
            <w:tcW w:w="2133"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1709"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年初</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预算数</w:t>
            </w:r>
          </w:p>
        </w:tc>
        <w:tc>
          <w:tcPr>
            <w:tcW w:w="1148"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全年</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预算数</w:t>
            </w:r>
          </w:p>
        </w:tc>
        <w:tc>
          <w:tcPr>
            <w:tcW w:w="943"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全年</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执行数</w:t>
            </w:r>
          </w:p>
        </w:tc>
        <w:tc>
          <w:tcPr>
            <w:tcW w:w="789"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分值</w:t>
            </w:r>
          </w:p>
        </w:tc>
        <w:tc>
          <w:tcPr>
            <w:tcW w:w="69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执行率</w:t>
            </w:r>
          </w:p>
        </w:tc>
        <w:tc>
          <w:tcPr>
            <w:tcW w:w="1204"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08" w:type="dxa"/>
            <w:vMerge w:val="continue"/>
            <w:noWrap w:val="0"/>
            <w:vAlign w:val="center"/>
          </w:tcPr>
          <w:p>
            <w:pPr>
              <w:jc w:val="center"/>
              <w:rPr>
                <w:rFonts w:eastAsia="仿宋_GB2312"/>
                <w:color w:val="000000"/>
                <w:sz w:val="20"/>
                <w:szCs w:val="20"/>
              </w:rPr>
            </w:pPr>
          </w:p>
        </w:tc>
        <w:tc>
          <w:tcPr>
            <w:tcW w:w="2133"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年度资金总额　</w:t>
            </w:r>
          </w:p>
        </w:tc>
        <w:tc>
          <w:tcPr>
            <w:tcW w:w="1709"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38.5</w:t>
            </w:r>
          </w:p>
        </w:tc>
        <w:tc>
          <w:tcPr>
            <w:tcW w:w="1148"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38.5</w:t>
            </w:r>
          </w:p>
        </w:tc>
        <w:tc>
          <w:tcPr>
            <w:tcW w:w="94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38.5</w:t>
            </w:r>
          </w:p>
        </w:tc>
        <w:tc>
          <w:tcPr>
            <w:tcW w:w="789"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696"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100.00%</w:t>
            </w:r>
          </w:p>
        </w:tc>
        <w:tc>
          <w:tcPr>
            <w:tcW w:w="1204"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08" w:type="dxa"/>
            <w:vMerge w:val="continue"/>
            <w:noWrap w:val="0"/>
            <w:vAlign w:val="center"/>
          </w:tcPr>
          <w:p>
            <w:pPr>
              <w:jc w:val="center"/>
              <w:rPr>
                <w:rFonts w:eastAsia="仿宋_GB2312"/>
                <w:color w:val="000000"/>
                <w:sz w:val="20"/>
                <w:szCs w:val="20"/>
              </w:rPr>
            </w:pPr>
          </w:p>
        </w:tc>
        <w:tc>
          <w:tcPr>
            <w:tcW w:w="2133"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其中：当年财政拨款　</w:t>
            </w:r>
          </w:p>
        </w:tc>
        <w:tc>
          <w:tcPr>
            <w:tcW w:w="1709"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38.5</w:t>
            </w:r>
          </w:p>
        </w:tc>
        <w:tc>
          <w:tcPr>
            <w:tcW w:w="1148"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38.5</w:t>
            </w:r>
          </w:p>
        </w:tc>
        <w:tc>
          <w:tcPr>
            <w:tcW w:w="94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38.5</w:t>
            </w:r>
          </w:p>
        </w:tc>
        <w:tc>
          <w:tcPr>
            <w:tcW w:w="789"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696" w:type="dxa"/>
            <w:noWrap w:val="0"/>
            <w:vAlign w:val="center"/>
          </w:tcPr>
          <w:p>
            <w:pPr>
              <w:jc w:val="center"/>
              <w:rPr>
                <w:rFonts w:hint="default" w:eastAsia="仿宋_GB2312"/>
                <w:color w:val="000000"/>
                <w:sz w:val="20"/>
                <w:szCs w:val="20"/>
                <w:lang w:val="en-US" w:eastAsia="zh-CN"/>
              </w:rPr>
            </w:pPr>
          </w:p>
        </w:tc>
        <w:tc>
          <w:tcPr>
            <w:tcW w:w="1204"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08" w:type="dxa"/>
            <w:vMerge w:val="continue"/>
            <w:noWrap w:val="0"/>
            <w:vAlign w:val="center"/>
          </w:tcPr>
          <w:p>
            <w:pPr>
              <w:jc w:val="center"/>
              <w:rPr>
                <w:rFonts w:eastAsia="仿宋_GB2312"/>
                <w:color w:val="000000"/>
                <w:sz w:val="20"/>
                <w:szCs w:val="20"/>
              </w:rPr>
            </w:pPr>
          </w:p>
        </w:tc>
        <w:tc>
          <w:tcPr>
            <w:tcW w:w="2133"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上年结转资金　</w:t>
            </w:r>
          </w:p>
        </w:tc>
        <w:tc>
          <w:tcPr>
            <w:tcW w:w="1709"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1148"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94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789"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69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1204"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08" w:type="dxa"/>
            <w:vMerge w:val="continue"/>
            <w:noWrap w:val="0"/>
            <w:vAlign w:val="center"/>
          </w:tcPr>
          <w:p>
            <w:pPr>
              <w:jc w:val="center"/>
              <w:rPr>
                <w:rFonts w:eastAsia="仿宋_GB2312"/>
                <w:color w:val="000000"/>
                <w:sz w:val="20"/>
                <w:szCs w:val="20"/>
              </w:rPr>
            </w:pPr>
          </w:p>
        </w:tc>
        <w:tc>
          <w:tcPr>
            <w:tcW w:w="2133"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其他资金</w:t>
            </w:r>
          </w:p>
        </w:tc>
        <w:tc>
          <w:tcPr>
            <w:tcW w:w="1709"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1148"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94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789"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69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1204"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08" w:type="dxa"/>
            <w:vMerge w:val="restart"/>
            <w:noWrap w:val="0"/>
            <w:vAlign w:val="center"/>
          </w:tcPr>
          <w:p>
            <w:pPr>
              <w:jc w:val="center"/>
              <w:rPr>
                <w:rFonts w:eastAsia="仿宋_GB2312"/>
                <w:color w:val="000000"/>
                <w:sz w:val="20"/>
                <w:szCs w:val="20"/>
              </w:rPr>
            </w:pPr>
            <w:r>
              <w:rPr>
                <w:rFonts w:eastAsia="仿宋_GB2312"/>
                <w:color w:val="000000"/>
                <w:sz w:val="20"/>
                <w:szCs w:val="20"/>
              </w:rPr>
              <w:t>年度总体目标</w:t>
            </w:r>
          </w:p>
        </w:tc>
        <w:tc>
          <w:tcPr>
            <w:tcW w:w="4990" w:type="dxa"/>
            <w:gridSpan w:val="4"/>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预期目标</w:t>
            </w:r>
          </w:p>
        </w:tc>
        <w:tc>
          <w:tcPr>
            <w:tcW w:w="3632" w:type="dxa"/>
            <w:gridSpan w:val="4"/>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08" w:type="dxa"/>
            <w:vMerge w:val="continue"/>
            <w:noWrap w:val="0"/>
            <w:vAlign w:val="center"/>
          </w:tcPr>
          <w:p>
            <w:pPr>
              <w:jc w:val="center"/>
              <w:rPr>
                <w:rFonts w:eastAsia="仿宋_GB2312"/>
                <w:color w:val="000000"/>
                <w:sz w:val="20"/>
                <w:szCs w:val="20"/>
              </w:rPr>
            </w:pPr>
          </w:p>
        </w:tc>
        <w:tc>
          <w:tcPr>
            <w:tcW w:w="49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仿宋_GB2312"/>
                <w:color w:val="000000"/>
                <w:sz w:val="21"/>
                <w:szCs w:val="21"/>
                <w:lang w:val="en-US" w:eastAsia="zh-CN"/>
              </w:rPr>
            </w:pPr>
            <w:r>
              <w:rPr>
                <w:rFonts w:hint="eastAsia" w:eastAsia="仿宋_GB2312"/>
                <w:color w:val="000000"/>
                <w:sz w:val="21"/>
                <w:szCs w:val="21"/>
                <w:lang w:val="en-US" w:eastAsia="zh-CN"/>
              </w:rPr>
              <w:t>通过对新田县地表水、地下水、饮用水源地水质、重点污染源以及农村环境质量的监测，掌握我县生态环境质量状况，为国家重点生态功能区县域生态环境质量考核提供规范、有效的环境质量监测数据；为县生态环境局统一行使生态和城乡各类污染排放监管与行政执法职责、切实履行监管责任、全面落实大气、水、土壤污染防治行动计划提供依据。</w:t>
            </w:r>
          </w:p>
        </w:tc>
        <w:tc>
          <w:tcPr>
            <w:tcW w:w="363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仿宋_GB2312"/>
                <w:color w:val="000000"/>
                <w:sz w:val="21"/>
                <w:szCs w:val="21"/>
                <w:lang w:val="en-US" w:eastAsia="zh-CN"/>
              </w:rPr>
            </w:pPr>
            <w:r>
              <w:rPr>
                <w:rFonts w:hint="eastAsia" w:eastAsia="仿宋_GB2312"/>
                <w:color w:val="000000"/>
                <w:sz w:val="21"/>
                <w:szCs w:val="21"/>
                <w:lang w:val="en-US" w:eastAsia="zh-CN"/>
              </w:rPr>
              <w:t>服务于县区河流水质、饮用水源地水质常规监测以及环境执法监测，掌握我县水环境质量状况和企业排污情况，为各项考核和监察执法提供规范、有效的环境质量监测数据。完成集中式饮用水源监测次数17次，千吨万人饮用水源地监测次数34次，经费购置生态环境保护监测技术装备作业用车工具车一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08" w:type="dxa"/>
            <w:vMerge w:val="restart"/>
            <w:noWrap w:val="0"/>
            <w:vAlign w:val="center"/>
          </w:tcPr>
          <w:p>
            <w:pPr>
              <w:jc w:val="center"/>
              <w:rPr>
                <w:rFonts w:eastAsia="仿宋_GB2312"/>
                <w:color w:val="000000"/>
                <w:sz w:val="20"/>
                <w:szCs w:val="20"/>
              </w:rPr>
            </w:pPr>
            <w:r>
              <w:rPr>
                <w:rFonts w:eastAsia="仿宋_GB2312"/>
                <w:color w:val="000000"/>
                <w:sz w:val="20"/>
                <w:szCs w:val="20"/>
              </w:rPr>
              <w:t>绩</w:t>
            </w:r>
          </w:p>
          <w:p>
            <w:pPr>
              <w:jc w:val="center"/>
              <w:rPr>
                <w:rFonts w:eastAsia="仿宋_GB2312"/>
                <w:color w:val="000000"/>
                <w:sz w:val="20"/>
                <w:szCs w:val="20"/>
              </w:rPr>
            </w:pPr>
            <w:r>
              <w:rPr>
                <w:rFonts w:eastAsia="仿宋_GB2312"/>
                <w:color w:val="000000"/>
                <w:sz w:val="20"/>
                <w:szCs w:val="20"/>
              </w:rPr>
              <w:t>效</w:t>
            </w:r>
          </w:p>
          <w:p>
            <w:pPr>
              <w:jc w:val="center"/>
              <w:rPr>
                <w:rFonts w:eastAsia="仿宋_GB2312"/>
                <w:color w:val="000000"/>
                <w:sz w:val="20"/>
                <w:szCs w:val="20"/>
              </w:rPr>
            </w:pPr>
            <w:r>
              <w:rPr>
                <w:rFonts w:eastAsia="仿宋_GB2312"/>
                <w:color w:val="000000"/>
                <w:sz w:val="20"/>
                <w:szCs w:val="20"/>
              </w:rPr>
              <w:t>指</w:t>
            </w:r>
          </w:p>
          <w:p>
            <w:pPr>
              <w:jc w:val="center"/>
              <w:rPr>
                <w:rFonts w:eastAsia="仿宋_GB2312"/>
                <w:color w:val="000000"/>
                <w:sz w:val="20"/>
                <w:szCs w:val="20"/>
              </w:rPr>
            </w:pPr>
            <w:r>
              <w:rPr>
                <w:rFonts w:eastAsia="仿宋_GB2312"/>
                <w:color w:val="000000"/>
                <w:sz w:val="20"/>
                <w:szCs w:val="20"/>
              </w:rPr>
              <w:t>标</w:t>
            </w:r>
          </w:p>
        </w:tc>
        <w:tc>
          <w:tcPr>
            <w:tcW w:w="1070"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一级指标</w:t>
            </w:r>
          </w:p>
        </w:tc>
        <w:tc>
          <w:tcPr>
            <w:tcW w:w="1063"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二级指标</w:t>
            </w:r>
          </w:p>
        </w:tc>
        <w:tc>
          <w:tcPr>
            <w:tcW w:w="1709"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三级指标</w:t>
            </w:r>
          </w:p>
        </w:tc>
        <w:tc>
          <w:tcPr>
            <w:tcW w:w="1148"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年度</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指标值</w:t>
            </w:r>
          </w:p>
        </w:tc>
        <w:tc>
          <w:tcPr>
            <w:tcW w:w="943"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实际</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完成值</w:t>
            </w:r>
          </w:p>
        </w:tc>
        <w:tc>
          <w:tcPr>
            <w:tcW w:w="789"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分值</w:t>
            </w:r>
          </w:p>
        </w:tc>
        <w:tc>
          <w:tcPr>
            <w:tcW w:w="69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得分</w:t>
            </w:r>
          </w:p>
        </w:tc>
        <w:tc>
          <w:tcPr>
            <w:tcW w:w="1204"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偏差原因</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分析及</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eastAsia="仿宋_GB2312"/>
                <w:color w:val="000000"/>
                <w:sz w:val="20"/>
                <w:szCs w:val="20"/>
              </w:rPr>
            </w:pPr>
          </w:p>
        </w:tc>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成本指标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 w:eastAsia="zh-CN"/>
              </w:rPr>
            </w:pPr>
            <w:r>
              <w:rPr>
                <w:rFonts w:hint="eastAsia" w:eastAsia="仿宋_GB2312"/>
                <w:color w:val="000000"/>
                <w:sz w:val="20"/>
                <w:szCs w:val="20"/>
                <w:lang w:val="en-US" w:eastAsia="zh-CN"/>
              </w:rPr>
              <w:t>（20分）</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经济成</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本指标</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控制在预算金额以内</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38.5万元</w:t>
            </w: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38.5万元</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20</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20.00</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eastAsia="仿宋_GB2312"/>
                <w:color w:val="000000"/>
                <w:sz w:val="20"/>
                <w:szCs w:val="20"/>
              </w:rPr>
            </w:pPr>
          </w:p>
        </w:tc>
        <w:tc>
          <w:tcPr>
            <w:tcW w:w="10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产出指标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（40分）</w:t>
            </w: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数量指标</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监测车辆购置辆数</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w:t>
            </w: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eastAsia="仿宋_GB2312"/>
                <w:color w:val="000000"/>
                <w:sz w:val="20"/>
                <w:szCs w:val="20"/>
              </w:rPr>
            </w:pPr>
          </w:p>
        </w:tc>
        <w:tc>
          <w:tcPr>
            <w:tcW w:w="10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集中式饮用水源监测次数</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17</w:t>
            </w: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17</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10.00</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eastAsia="仿宋_GB2312"/>
                <w:color w:val="000000"/>
                <w:sz w:val="20"/>
                <w:szCs w:val="20"/>
              </w:rPr>
            </w:pPr>
          </w:p>
        </w:tc>
        <w:tc>
          <w:tcPr>
            <w:tcW w:w="10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千吨万人饮用水源地监测次数</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34</w:t>
            </w: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34</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5.00</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eastAsia="仿宋_GB2312"/>
                <w:color w:val="000000"/>
                <w:sz w:val="20"/>
                <w:szCs w:val="20"/>
              </w:rPr>
            </w:pPr>
          </w:p>
        </w:tc>
        <w:tc>
          <w:tcPr>
            <w:tcW w:w="10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质量指标</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集中式饮用水源地水质、地表水水质达标率</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eastAsia="仿宋_GB2312"/>
                <w:color w:val="000000"/>
                <w:sz w:val="20"/>
                <w:szCs w:val="20"/>
              </w:rPr>
            </w:pPr>
          </w:p>
        </w:tc>
        <w:tc>
          <w:tcPr>
            <w:tcW w:w="10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时效指标</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在规定年度内完成</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2023年底</w:t>
            </w: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2023年底</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5.00</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eastAsia="仿宋_GB2312"/>
                <w:color w:val="000000"/>
                <w:sz w:val="20"/>
                <w:szCs w:val="20"/>
              </w:rPr>
            </w:pPr>
          </w:p>
        </w:tc>
        <w:tc>
          <w:tcPr>
            <w:tcW w:w="10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效益指标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（20分）</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经济效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益指标</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水、气、土壤环境监测数据准确率</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0"/>
                <w:szCs w:val="20"/>
              </w:rPr>
            </w:pPr>
          </w:p>
        </w:tc>
        <w:tc>
          <w:tcPr>
            <w:tcW w:w="10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生态效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益指标</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水、气、土壤环境质量</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达到国家二级标准</w:t>
            </w: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达到国家二级标准</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eastAsia="仿宋_GB2312"/>
                <w:color w:val="000000"/>
                <w:sz w:val="20"/>
                <w:szCs w:val="20"/>
              </w:rPr>
            </w:pPr>
          </w:p>
        </w:tc>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满意度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（10分）</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服务对象满意度指标</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000000"/>
                <w:sz w:val="20"/>
                <w:szCs w:val="20"/>
                <w:lang w:val="en-US" w:eastAsia="zh-CN"/>
              </w:rPr>
            </w:pPr>
            <w:r>
              <w:rPr>
                <w:rFonts w:hint="eastAsia" w:eastAsia="仿宋_GB2312"/>
                <w:color w:val="000000"/>
                <w:sz w:val="20"/>
                <w:szCs w:val="20"/>
                <w:lang w:val="en-US" w:eastAsia="zh-CN"/>
              </w:rPr>
              <w:t>服务对象满意度</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90%以上</w:t>
            </w: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94%</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841" w:type="dxa"/>
            <w:gridSpan w:val="6"/>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总分</w:t>
            </w:r>
          </w:p>
        </w:tc>
        <w:tc>
          <w:tcPr>
            <w:tcW w:w="789"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696"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100.00</w:t>
            </w:r>
          </w:p>
        </w:tc>
        <w:tc>
          <w:tcPr>
            <w:tcW w:w="1204"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bl>
    <w:p>
      <w:pPr>
        <w:ind w:firstLine="200" w:firstLineChars="100"/>
        <w:jc w:val="left"/>
        <w:rPr>
          <w:rFonts w:eastAsia="仿宋_GB2312"/>
          <w:sz w:val="22"/>
        </w:rPr>
      </w:pPr>
      <w:r>
        <w:rPr>
          <w:rFonts w:eastAsia="仿宋_GB2312"/>
          <w:sz w:val="20"/>
          <w:szCs w:val="20"/>
        </w:rPr>
        <w:t>备注：每个项目支出分别填报自评报告和自评表。</w:t>
      </w:r>
    </w:p>
    <w:p>
      <w:pPr>
        <w:snapToGrid w:val="0"/>
        <w:spacing w:line="380" w:lineRule="atLeast"/>
        <w:ind w:firstLine="220" w:firstLineChars="100"/>
        <w:rPr>
          <w:sz w:val="32"/>
          <w:szCs w:val="3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2024年4月29日</w:t>
      </w:r>
      <w:r>
        <w:rPr>
          <w:rFonts w:eastAsia="仿宋_GB2312"/>
          <w:sz w:val="22"/>
        </w:rPr>
        <w:t xml:space="preserve">  联系电话：</w:t>
      </w:r>
      <w:r>
        <w:rPr>
          <w:rFonts w:hint="eastAsia" w:eastAsia="仿宋_GB2312"/>
          <w:sz w:val="22"/>
          <w:lang w:val="en-US" w:eastAsia="zh-CN"/>
        </w:rPr>
        <w:t>18390248336</w:t>
      </w:r>
      <w:r>
        <w:rPr>
          <w:rFonts w:eastAsia="仿宋_GB2312"/>
          <w:sz w:val="22"/>
          <w:szCs w:val="22"/>
        </w:rPr>
        <w:t xml:space="preserve">  单位负责人签字：</w:t>
      </w:r>
    </w:p>
    <w:p>
      <w:pPr>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br w:type="page"/>
      </w:r>
    </w:p>
    <w:p>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9"/>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部门概况</w:t>
            </w: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专项名称</w:t>
            </w:r>
          </w:p>
        </w:tc>
        <w:tc>
          <w:tcPr>
            <w:tcW w:w="563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永州市生态环境局新田分局环保督察支出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年度预算金额</w:t>
            </w:r>
          </w:p>
        </w:tc>
        <w:tc>
          <w:tcPr>
            <w:tcW w:w="563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52.14万元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项目主管部门</w:t>
            </w:r>
          </w:p>
        </w:tc>
        <w:tc>
          <w:tcPr>
            <w:tcW w:w="563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永州市生态环境局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项目立项目的</w:t>
            </w:r>
          </w:p>
        </w:tc>
        <w:tc>
          <w:tcPr>
            <w:tcW w:w="563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通过环保督察、专项督查工作，严厉打击环境违法行为，解决本地区突出环境问题，改善环境质量。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绩效情况</w:t>
            </w: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项目支出管理和使用基本情况</w:t>
            </w:r>
          </w:p>
        </w:tc>
        <w:tc>
          <w:tcPr>
            <w:tcW w:w="563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2023年度项目收入为52.14万元，来源于地方非同级财政拨款收入。项目支出为52.14万元，主要用于环保督察、专项督查工作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项目绩效目标完成情况</w:t>
            </w:r>
          </w:p>
        </w:tc>
        <w:tc>
          <w:tcPr>
            <w:tcW w:w="563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对2017年来历次中央、省环保督察指出的近100个问题开展了地毯式回头看，确保问题不反弹、整改见实效。统筹推进突出生态环境问题整改，2023年必须完成的5个和力争高质量提前完成的19个问题整改任务均已完成；历次中央、省环保督察及信访件指出我县问题共97个，86项完成整改，11项达到时序进度，年度任务完成率达到100%。5月在省生态环境厅组织召开湘南片区生态环境保护督察工作联席会议上，新田等2个县区作典型经验交流发言。二是防范风险，严守生态安全底线。持续推进“利剑”行动及“一单五制”工作落实，“利剑”行动共发现风险隐患56个全部实现调级，“一单五制”排查环境问题132个全部整改到位，全县未发生较大及以上突发环境事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存在的问题分析及改进措施</w:t>
            </w: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存在的问题</w:t>
            </w:r>
          </w:p>
        </w:tc>
        <w:tc>
          <w:tcPr>
            <w:tcW w:w="563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改进措施</w:t>
            </w:r>
          </w:p>
        </w:tc>
        <w:tc>
          <w:tcPr>
            <w:tcW w:w="563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其他需要说明问题</w:t>
            </w:r>
          </w:p>
        </w:tc>
        <w:tc>
          <w:tcPr>
            <w:tcW w:w="5633" w:type="dxa"/>
            <w:noWrap w:val="0"/>
            <w:vAlign w:val="center"/>
          </w:tcPr>
          <w:p>
            <w:pPr>
              <w:jc w:val="center"/>
              <w:rPr>
                <w:rFonts w:hint="default" w:eastAsia="仿宋_GB2312"/>
                <w:color w:val="000000"/>
                <w:sz w:val="20"/>
                <w:szCs w:val="20"/>
                <w:lang w:val="en-US" w:eastAsia="zh-CN"/>
              </w:rPr>
            </w:pPr>
          </w:p>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无</w:t>
            </w:r>
          </w:p>
          <w:p>
            <w:pPr>
              <w:jc w:val="center"/>
              <w:rPr>
                <w:rFonts w:hint="default" w:eastAsia="仿宋_GB2312"/>
                <w:color w:val="000000"/>
                <w:sz w:val="20"/>
                <w:szCs w:val="20"/>
                <w:lang w:val="en-US" w:eastAsia="zh-CN"/>
              </w:rPr>
            </w:pPr>
          </w:p>
        </w:tc>
      </w:tr>
    </w:tbl>
    <w:p>
      <w:pPr>
        <w:spacing w:line="320" w:lineRule="atLeast"/>
        <w:ind w:firstLine="200" w:firstLineChars="100"/>
        <w:jc w:val="left"/>
        <w:rPr>
          <w:rFonts w:eastAsia="仿宋_GB2312"/>
          <w:sz w:val="20"/>
          <w:szCs w:val="20"/>
        </w:rPr>
      </w:pPr>
      <w:r>
        <w:rPr>
          <w:rFonts w:eastAsia="仿宋_GB2312"/>
          <w:sz w:val="20"/>
          <w:szCs w:val="20"/>
        </w:rPr>
        <w:t>备注：每个项目支出分别填报自评报告和自评表。</w:t>
      </w:r>
    </w:p>
    <w:p>
      <w:pPr>
        <w:ind w:firstLine="220" w:firstLineChars="100"/>
        <w:rPr>
          <w:rFonts w:hint="eastAsia" w:eastAsia="黑体"/>
          <w:sz w:val="32"/>
          <w:szCs w:val="3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p>
    <w:p>
      <w:pPr>
        <w:rPr>
          <w:rFonts w:hint="eastAsia" w:ascii="黑体" w:hAnsi="黑体" w:eastAsia="黑体" w:cs="黑体"/>
          <w:sz w:val="32"/>
          <w:szCs w:val="32"/>
        </w:rPr>
      </w:pPr>
      <w:r>
        <w:rPr>
          <w:rFonts w:hint="eastAsia" w:ascii="黑体" w:hAnsi="黑体" w:eastAsia="黑体" w:cs="黑体"/>
          <w:sz w:val="32"/>
          <w:szCs w:val="32"/>
        </w:rPr>
        <w:br w:type="page"/>
      </w:r>
    </w:p>
    <w:p>
      <w:pPr>
        <w:spacing w:after="120" w:afterLines="50" w:line="56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089"/>
        <w:gridCol w:w="141"/>
        <w:gridCol w:w="1140"/>
        <w:gridCol w:w="108"/>
        <w:gridCol w:w="1032"/>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项目支</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出名称</w:t>
            </w:r>
          </w:p>
        </w:tc>
        <w:tc>
          <w:tcPr>
            <w:tcW w:w="8535" w:type="dxa"/>
            <w:gridSpan w:val="10"/>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永州市生态环境局新田分局环保督察支出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主管部门</w:t>
            </w:r>
          </w:p>
        </w:tc>
        <w:tc>
          <w:tcPr>
            <w:tcW w:w="3259" w:type="dxa"/>
            <w:gridSpan w:val="3"/>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永州市生态环境局</w:t>
            </w:r>
          </w:p>
        </w:tc>
        <w:tc>
          <w:tcPr>
            <w:tcW w:w="1389" w:type="dxa"/>
            <w:gridSpan w:val="3"/>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实施单位</w:t>
            </w:r>
          </w:p>
        </w:tc>
        <w:tc>
          <w:tcPr>
            <w:tcW w:w="3887" w:type="dxa"/>
            <w:gridSpan w:val="4"/>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永州市生态环境局新田分局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项目资金</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（万元）</w:t>
            </w:r>
          </w:p>
        </w:tc>
        <w:tc>
          <w:tcPr>
            <w:tcW w:w="217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123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年初</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预算数</w:t>
            </w:r>
          </w:p>
        </w:tc>
        <w:tc>
          <w:tcPr>
            <w:tcW w:w="1140"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全年</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预算数</w:t>
            </w:r>
          </w:p>
        </w:tc>
        <w:tc>
          <w:tcPr>
            <w:tcW w:w="114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全年</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执行数</w:t>
            </w:r>
          </w:p>
        </w:tc>
        <w:tc>
          <w:tcPr>
            <w:tcW w:w="83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分值</w:t>
            </w:r>
          </w:p>
        </w:tc>
        <w:tc>
          <w:tcPr>
            <w:tcW w:w="877"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执行率</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217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年度资金总额　</w:t>
            </w: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52.14</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52.14</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52.14</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100.00%</w:t>
            </w:r>
          </w:p>
        </w:tc>
        <w:tc>
          <w:tcPr>
            <w:tcW w:w="1146"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217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其中：当年财政拨款　</w:t>
            </w:r>
          </w:p>
        </w:tc>
        <w:tc>
          <w:tcPr>
            <w:tcW w:w="123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1140"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114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83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877"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217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上年结转资金　</w:t>
            </w:r>
          </w:p>
        </w:tc>
        <w:tc>
          <w:tcPr>
            <w:tcW w:w="123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1140"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114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83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877"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217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其他资金</w:t>
            </w: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52.14</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52.14</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52.14</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p>
        </w:tc>
        <w:tc>
          <w:tcPr>
            <w:tcW w:w="1146"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年度总体目标</w:t>
            </w:r>
          </w:p>
        </w:tc>
        <w:tc>
          <w:tcPr>
            <w:tcW w:w="4540" w:type="dxa"/>
            <w:gridSpan w:val="5"/>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预期目标</w:t>
            </w:r>
          </w:p>
        </w:tc>
        <w:tc>
          <w:tcPr>
            <w:tcW w:w="3995" w:type="dxa"/>
            <w:gridSpan w:val="5"/>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4540" w:type="dxa"/>
            <w:gridSpan w:val="5"/>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通过环保督察、专项督查工作，严厉打击环境违法行为，解决本地区突出环境问题，改善环境质量。</w:t>
            </w:r>
          </w:p>
        </w:tc>
        <w:tc>
          <w:tcPr>
            <w:tcW w:w="3995" w:type="dxa"/>
            <w:gridSpan w:val="5"/>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2023年度项目收入为52.14万元，来源于地方非同级财政拨款收入。对2017年来历次中央、省环保督察指出的近100个问题开展了地毯式回头看，确保问题不反弹、整改见实效。统筹推进突出生态环境问题整改，2023年必须完成的5个和力争高质量提前完成的19个问题整改任务均已完成；历次中央、省环保督察及信访件指出我县问题共97个，86项完成整改，11项达到时序进度，年度任务完成率达到100%。5月在省生态环境厅组织召开湘南片区生态环境保护督察工作联席会议上，新田等2个县区作典型经验交流发言。二是防范风险，严守生态安全底线。持续推进“利剑”行动及“一单五制”工作落实，“利剑”行动共发现风险隐患56个全部实现调级，“一单五制”排查环境问题132个全部整改到位，全县未发生较大及以上突发环境事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绩</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效</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指</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标</w:t>
            </w:r>
          </w:p>
        </w:tc>
        <w:tc>
          <w:tcPr>
            <w:tcW w:w="1085"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一级指标</w:t>
            </w:r>
          </w:p>
        </w:tc>
        <w:tc>
          <w:tcPr>
            <w:tcW w:w="1085"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二级指标</w:t>
            </w:r>
          </w:p>
        </w:tc>
        <w:tc>
          <w:tcPr>
            <w:tcW w:w="123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三级指标</w:t>
            </w:r>
          </w:p>
        </w:tc>
        <w:tc>
          <w:tcPr>
            <w:tcW w:w="1140"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年度</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指标值</w:t>
            </w:r>
          </w:p>
        </w:tc>
        <w:tc>
          <w:tcPr>
            <w:tcW w:w="1140" w:type="dxa"/>
            <w:gridSpan w:val="2"/>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实际</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完成值</w:t>
            </w:r>
          </w:p>
        </w:tc>
        <w:tc>
          <w:tcPr>
            <w:tcW w:w="83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分值</w:t>
            </w:r>
          </w:p>
        </w:tc>
        <w:tc>
          <w:tcPr>
            <w:tcW w:w="877"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得分</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偏差原因</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分析及</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成本指标</w:t>
            </w:r>
          </w:p>
          <w:p>
            <w:pPr>
              <w:jc w:val="center"/>
              <w:rPr>
                <w:rFonts w:hint="eastAsia" w:eastAsia="仿宋_GB2312"/>
                <w:color w:val="000000"/>
                <w:sz w:val="20"/>
                <w:szCs w:val="20"/>
                <w:lang w:val="en" w:eastAsia="zh-CN"/>
              </w:rPr>
            </w:pPr>
            <w:r>
              <w:rPr>
                <w:rFonts w:hint="eastAsia" w:eastAsia="仿宋_GB2312"/>
                <w:color w:val="000000"/>
                <w:sz w:val="20"/>
                <w:szCs w:val="20"/>
                <w:lang w:val="en" w:eastAsia="zh-CN"/>
              </w:rPr>
              <w:t>（</w:t>
            </w:r>
            <w:r>
              <w:rPr>
                <w:rFonts w:hint="eastAsia" w:eastAsia="仿宋_GB2312"/>
                <w:color w:val="000000"/>
                <w:sz w:val="20"/>
                <w:szCs w:val="20"/>
                <w:lang w:val="en-US" w:eastAsia="zh-CN"/>
              </w:rPr>
              <w:t>20分</w:t>
            </w:r>
            <w:r>
              <w:rPr>
                <w:rFonts w:hint="eastAsia" w:eastAsia="仿宋_GB2312"/>
                <w:color w:val="000000"/>
                <w:sz w:val="20"/>
                <w:szCs w:val="20"/>
                <w:lang w:val="en" w:eastAsia="zh-CN"/>
              </w:rPr>
              <w:t>）</w:t>
            </w: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经济成</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本指标</w:t>
            </w: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控制预算金额内支出</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52.14</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52.14</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20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20.00</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1085" w:type="dxa"/>
            <w:vMerge w:val="restart"/>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产出指标</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（40分）</w:t>
            </w:r>
          </w:p>
        </w:tc>
        <w:tc>
          <w:tcPr>
            <w:tcW w:w="1085" w:type="dxa"/>
            <w:vMerge w:val="restart"/>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数量指标</w:t>
            </w: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力争高质量提前完成的问题整改任务</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19</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19</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6"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“一单五制”排查环境问题</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132</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132</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质量指标</w:t>
            </w: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交办问题整改完成率</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时效指标</w:t>
            </w: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交办或反馈问题在规定时间完成</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2023年底</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2023年底</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生态效</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益指标</w:t>
            </w: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环境质量得到保护与改善</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提升</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提升</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社会效</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益指标</w:t>
            </w: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群众对环境保护工作得到认可</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认可</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认可</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default"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pPr>
              <w:jc w:val="center"/>
              <w:rPr>
                <w:rFonts w:hint="default" w:eastAsia="仿宋_GB2312"/>
                <w:color w:val="000000"/>
                <w:sz w:val="20"/>
                <w:szCs w:val="20"/>
                <w:lang w:val="en-US" w:eastAsia="zh-CN"/>
              </w:rPr>
            </w:pPr>
          </w:p>
        </w:tc>
        <w:tc>
          <w:tcPr>
            <w:tcW w:w="1085"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满意度</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指标</w:t>
            </w:r>
          </w:p>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（10分）</w:t>
            </w:r>
          </w:p>
        </w:tc>
        <w:tc>
          <w:tcPr>
            <w:tcW w:w="1085"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服务对象满意度指标</w:t>
            </w:r>
          </w:p>
        </w:tc>
        <w:tc>
          <w:tcPr>
            <w:tcW w:w="123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服务对象满意度指标</w:t>
            </w:r>
          </w:p>
        </w:tc>
        <w:tc>
          <w:tcPr>
            <w:tcW w:w="1140"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社会公众满意度在95%以上</w:t>
            </w:r>
          </w:p>
        </w:tc>
        <w:tc>
          <w:tcPr>
            <w:tcW w:w="1140" w:type="dxa"/>
            <w:gridSpan w:val="2"/>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95.4%</w:t>
            </w:r>
          </w:p>
        </w:tc>
        <w:tc>
          <w:tcPr>
            <w:tcW w:w="832"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8"/>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总分</w:t>
            </w:r>
          </w:p>
        </w:tc>
        <w:tc>
          <w:tcPr>
            <w:tcW w:w="83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100</w:t>
            </w:r>
          </w:p>
        </w:tc>
        <w:tc>
          <w:tcPr>
            <w:tcW w:w="877"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r>
              <w:rPr>
                <w:rFonts w:hint="eastAsia" w:eastAsia="仿宋_GB2312"/>
                <w:color w:val="000000"/>
                <w:sz w:val="20"/>
                <w:szCs w:val="20"/>
                <w:lang w:val="en-US" w:eastAsia="zh-CN"/>
              </w:rPr>
              <w:t>100</w:t>
            </w:r>
          </w:p>
        </w:tc>
        <w:tc>
          <w:tcPr>
            <w:tcW w:w="1146"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　</w:t>
            </w:r>
          </w:p>
        </w:tc>
      </w:tr>
    </w:tbl>
    <w:p>
      <w:pPr>
        <w:ind w:firstLine="200" w:firstLineChars="100"/>
        <w:jc w:val="left"/>
        <w:rPr>
          <w:rFonts w:eastAsia="仿宋_GB2312"/>
          <w:sz w:val="20"/>
          <w:szCs w:val="20"/>
        </w:rPr>
      </w:pPr>
      <w:r>
        <w:rPr>
          <w:rFonts w:eastAsia="仿宋_GB2312"/>
          <w:sz w:val="20"/>
          <w:szCs w:val="20"/>
        </w:rPr>
        <w:t>备注：每个项目支出分别填报自评报告和自评表。</w:t>
      </w:r>
    </w:p>
    <w:p>
      <w:pPr>
        <w:spacing w:line="200" w:lineRule="exact"/>
        <w:ind w:firstLine="220" w:firstLineChars="100"/>
        <w:rPr>
          <w:rFonts w:hint="eastAsia" w:ascii="仿宋_GB2312" w:hAnsi="宋体" w:eastAsia="仿宋_GB2312"/>
          <w:color w:val="000000"/>
          <w:sz w:val="32"/>
          <w:szCs w:val="3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联系电话：</w:t>
      </w:r>
      <w:r>
        <w:rPr>
          <w:rFonts w:hint="eastAsia" w:eastAsia="仿宋_GB2312"/>
          <w:sz w:val="22"/>
          <w:lang w:val="en-US" w:eastAsia="zh-CN"/>
        </w:rPr>
        <w:t>18390248336</w:t>
      </w:r>
      <w:r>
        <w:rPr>
          <w:rFonts w:eastAsia="仿宋_GB2312"/>
          <w:sz w:val="22"/>
        </w:rPr>
        <w:t xml:space="preserve"> 单位负责人签字：</w:t>
      </w:r>
    </w:p>
    <w:p>
      <w:pPr>
        <w:spacing w:line="200" w:lineRule="exact"/>
        <w:jc w:val="right"/>
        <w:rPr>
          <w:rFonts w:hint="eastAsia" w:ascii="仿宋_GB2312" w:hAnsi="宋体" w:eastAsia="仿宋_GB2312"/>
          <w:color w:val="000000"/>
          <w:sz w:val="32"/>
          <w:szCs w:val="32"/>
        </w:rPr>
      </w:pPr>
    </w:p>
    <w:p>
      <w:pPr>
        <w:rPr>
          <w:rFonts w:ascii="方正小标宋简体" w:eastAsia="方正小标宋简体"/>
          <w:sz w:val="44"/>
          <w:szCs w:val="44"/>
        </w:rPr>
      </w:pPr>
      <w:r>
        <w:rPr>
          <w:rFonts w:ascii="方正小标宋简体" w:eastAsia="方正小标宋简体"/>
          <w:sz w:val="44"/>
          <w:szCs w:val="44"/>
        </w:rPr>
        <w:br w:type="page"/>
      </w:r>
    </w:p>
    <w:p>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9"/>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部门概况</w:t>
            </w: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专项名称</w:t>
            </w:r>
          </w:p>
        </w:tc>
        <w:tc>
          <w:tcPr>
            <w:tcW w:w="563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新田县区生态环境保护宣传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年度预算金额</w:t>
            </w:r>
          </w:p>
        </w:tc>
        <w:tc>
          <w:tcPr>
            <w:tcW w:w="563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16.62万元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项目主管部门</w:t>
            </w:r>
          </w:p>
        </w:tc>
        <w:tc>
          <w:tcPr>
            <w:tcW w:w="563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永州市生态环境局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项目立项目的</w:t>
            </w:r>
          </w:p>
        </w:tc>
        <w:tc>
          <w:tcPr>
            <w:tcW w:w="563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宣传我县的生态环境保护工作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绩效情况</w:t>
            </w: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项目支出管理和使用基本情况</w:t>
            </w:r>
          </w:p>
        </w:tc>
        <w:tc>
          <w:tcPr>
            <w:tcW w:w="563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项目经费主要来源于非同级财政拨款收入，项目收入共16.62万元，支出为16.62万元，主要用于宣传。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项目绩效目标完成情况</w:t>
            </w:r>
          </w:p>
        </w:tc>
        <w:tc>
          <w:tcPr>
            <w:tcW w:w="5633"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突出意识形态领域主体责任，压实意识形态工作责任制，牢牢掌握意识形态工作的领导权和主动权，充分发挥生态环境主管部门意识形态引领作用。2023年全年共开展12次理论学习中心组学习、组织支部集中学习24次。我局先后发表新闻信息50余篇，持续开展防范重大生态环境风险隐患“利剑”行动新闻宣传，发动全县各级各部门共发表新闻信息141篇，有效地宣传了我县的生态环境保护工作，做好了正向引导。六五世界环境日期间，开展系列环境保护宣传活动，加强环境保护宣传，引导动员全社会参与生态文明建设、践行绿色生产生活方式。</w:t>
            </w:r>
          </w:p>
          <w:p>
            <w:pPr>
              <w:jc w:val="center"/>
              <w:rPr>
                <w:rFonts w:hint="default" w:eastAsia="仿宋_GB2312"/>
                <w:color w:val="000000"/>
                <w:sz w:val="20"/>
                <w:szCs w:val="20"/>
                <w:lang w:val="en-US" w:eastAsia="zh-CN"/>
              </w:rPr>
            </w:pPr>
          </w:p>
          <w:p>
            <w:pPr>
              <w:jc w:val="center"/>
              <w:rPr>
                <w:rFonts w:hint="default"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存在的问题分析及改进措施</w:t>
            </w: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存在的问题</w:t>
            </w:r>
          </w:p>
        </w:tc>
        <w:tc>
          <w:tcPr>
            <w:tcW w:w="563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p>
            <w:pPr>
              <w:jc w:val="center"/>
              <w:rPr>
                <w:rFonts w:hint="default"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改进措施</w:t>
            </w:r>
          </w:p>
        </w:tc>
        <w:tc>
          <w:tcPr>
            <w:tcW w:w="5633"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p>
            <w:pPr>
              <w:jc w:val="center"/>
              <w:rPr>
                <w:rFonts w:hint="default"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jc w:val="center"/>
              <w:rPr>
                <w:rFonts w:hint="default" w:eastAsia="仿宋_GB2312"/>
                <w:color w:val="000000"/>
                <w:sz w:val="20"/>
                <w:szCs w:val="20"/>
                <w:lang w:val="en-US" w:eastAsia="zh-CN"/>
              </w:rPr>
            </w:pPr>
          </w:p>
        </w:tc>
        <w:tc>
          <w:tcPr>
            <w:tcW w:w="1972" w:type="dxa"/>
            <w:noWrap w:val="0"/>
            <w:vAlign w:val="center"/>
          </w:tcPr>
          <w:p>
            <w:pPr>
              <w:jc w:val="center"/>
              <w:rPr>
                <w:rFonts w:hint="default" w:eastAsia="仿宋_GB2312"/>
                <w:color w:val="000000"/>
                <w:sz w:val="20"/>
                <w:szCs w:val="20"/>
                <w:lang w:val="en-US" w:eastAsia="zh-CN"/>
              </w:rPr>
            </w:pPr>
            <w:r>
              <w:rPr>
                <w:rFonts w:hint="default" w:eastAsia="仿宋_GB2312"/>
                <w:color w:val="000000"/>
                <w:sz w:val="20"/>
                <w:szCs w:val="20"/>
                <w:lang w:val="en-US" w:eastAsia="zh-CN"/>
              </w:rPr>
              <w:t>其他需要说明问题</w:t>
            </w:r>
          </w:p>
        </w:tc>
        <w:tc>
          <w:tcPr>
            <w:tcW w:w="5633" w:type="dxa"/>
            <w:noWrap w:val="0"/>
            <w:vAlign w:val="center"/>
          </w:tcPr>
          <w:p>
            <w:pPr>
              <w:jc w:val="center"/>
              <w:rPr>
                <w:rFonts w:hint="default" w:eastAsia="仿宋_GB2312"/>
                <w:color w:val="000000"/>
                <w:sz w:val="20"/>
                <w:szCs w:val="20"/>
                <w:lang w:val="en-US" w:eastAsia="zh-CN"/>
              </w:rPr>
            </w:pP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p>
            <w:pPr>
              <w:jc w:val="center"/>
              <w:rPr>
                <w:rFonts w:hint="default" w:eastAsia="仿宋_GB2312"/>
                <w:color w:val="000000"/>
                <w:sz w:val="20"/>
                <w:szCs w:val="20"/>
                <w:lang w:val="en-US" w:eastAsia="zh-CN"/>
              </w:rPr>
            </w:pPr>
          </w:p>
          <w:p>
            <w:pPr>
              <w:jc w:val="center"/>
              <w:rPr>
                <w:rFonts w:hint="default" w:eastAsia="仿宋_GB2312"/>
                <w:color w:val="000000"/>
                <w:sz w:val="20"/>
                <w:szCs w:val="20"/>
                <w:lang w:val="en-US" w:eastAsia="zh-CN"/>
              </w:rPr>
            </w:pPr>
          </w:p>
        </w:tc>
      </w:tr>
    </w:tbl>
    <w:p>
      <w:pPr>
        <w:spacing w:line="320" w:lineRule="atLeast"/>
        <w:jc w:val="left"/>
        <w:rPr>
          <w:rFonts w:eastAsia="仿宋_GB2312"/>
          <w:sz w:val="20"/>
          <w:szCs w:val="20"/>
        </w:rPr>
      </w:pPr>
      <w:r>
        <w:rPr>
          <w:rFonts w:eastAsia="仿宋_GB2312"/>
          <w:sz w:val="20"/>
          <w:szCs w:val="20"/>
        </w:rPr>
        <w:t>备注：每个项目支出分别填报自评报告和自评表。</w:t>
      </w:r>
    </w:p>
    <w:p>
      <w:pPr>
        <w:spacing w:line="600" w:lineRule="exact"/>
        <w:jc w:val="left"/>
        <w:rPr>
          <w:rFonts w:hint="eastAsia" w:eastAsia="黑体"/>
          <w:sz w:val="32"/>
          <w:szCs w:val="3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p>
    <w:p>
      <w:pPr>
        <w:rPr>
          <w:rFonts w:hint="eastAsia" w:ascii="黑体" w:hAnsi="黑体" w:eastAsia="黑体" w:cs="黑体"/>
          <w:sz w:val="32"/>
          <w:szCs w:val="32"/>
        </w:rPr>
      </w:pPr>
      <w:r>
        <w:rPr>
          <w:rFonts w:hint="eastAsia" w:ascii="黑体" w:hAnsi="黑体" w:eastAsia="黑体" w:cs="黑体"/>
          <w:sz w:val="32"/>
          <w:szCs w:val="32"/>
        </w:rPr>
        <w:br w:type="page"/>
      </w:r>
    </w:p>
    <w:p>
      <w:pPr>
        <w:spacing w:after="120" w:afterLines="50" w:line="56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089"/>
        <w:gridCol w:w="141"/>
        <w:gridCol w:w="1140"/>
        <w:gridCol w:w="108"/>
        <w:gridCol w:w="1032"/>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w:t>
            </w:r>
          </w:p>
          <w:p>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10"/>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新田县区生态环境保护宣传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rPr>
            </w:pPr>
            <w:r>
              <w:rPr>
                <w:rFonts w:eastAsia="仿宋_GB2312"/>
                <w:color w:val="000000"/>
                <w:sz w:val="20"/>
                <w:szCs w:val="20"/>
              </w:rPr>
              <w:t>主管部门</w:t>
            </w:r>
          </w:p>
        </w:tc>
        <w:tc>
          <w:tcPr>
            <w:tcW w:w="3259" w:type="dxa"/>
            <w:gridSpan w:val="3"/>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永州市生态环境局</w:t>
            </w:r>
          </w:p>
        </w:tc>
        <w:tc>
          <w:tcPr>
            <w:tcW w:w="1389" w:type="dxa"/>
            <w:gridSpan w:val="3"/>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实施单位</w:t>
            </w:r>
          </w:p>
        </w:tc>
        <w:tc>
          <w:tcPr>
            <w:tcW w:w="3887" w:type="dxa"/>
            <w:gridSpan w:val="4"/>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永州市生态环境局新田分局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项目资金</w:t>
            </w:r>
          </w:p>
          <w:p>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年初</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预算数</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全年</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预算数</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全年</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执行数</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分值</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执行率</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年度资金总额　</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16.62</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16.62</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16.62</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100.00%</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其中：当年财政拨款　</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上年结转资金　</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其他资金</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16.62</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16.62</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16.62</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年度总体目标</w:t>
            </w:r>
          </w:p>
        </w:tc>
        <w:tc>
          <w:tcPr>
            <w:tcW w:w="4540" w:type="dxa"/>
            <w:gridSpan w:val="5"/>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预期目标</w:t>
            </w:r>
          </w:p>
        </w:tc>
        <w:tc>
          <w:tcPr>
            <w:tcW w:w="3995" w:type="dxa"/>
            <w:gridSpan w:val="5"/>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4540" w:type="dxa"/>
            <w:gridSpan w:val="5"/>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宣传了我县的生态环境保护工作</w:t>
            </w:r>
          </w:p>
        </w:tc>
        <w:tc>
          <w:tcPr>
            <w:tcW w:w="3995" w:type="dxa"/>
            <w:gridSpan w:val="5"/>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突出意识形态领域主体责任，压实意识形态工作责任制，牢牢掌握意识形态工作的领导权和主动权，充分发挥生态环境主管部门意识形态引领作用。2023年全年共开展12次理论学习中心组学习、组织支部集中学习24次。我局先后发表新闻信息50余篇，持续开展防范重大生态环境风险隐患“利剑”行动新闻宣传，发动全县各级各部门共发表新闻信息141篇，有效地宣传了我县的生态环境保护工作，做好了正向引导。六五世界环境日期间，开展系列环境保护宣传活动，加强环境保护宣传，引导动员全社会参与生态文明建设、践行绿色生产生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绩</w:t>
            </w:r>
          </w:p>
          <w:p>
            <w:pPr>
              <w:jc w:val="center"/>
              <w:rPr>
                <w:rFonts w:eastAsia="仿宋_GB2312"/>
                <w:color w:val="000000"/>
                <w:sz w:val="20"/>
                <w:szCs w:val="20"/>
              </w:rPr>
            </w:pPr>
            <w:r>
              <w:rPr>
                <w:rFonts w:eastAsia="仿宋_GB2312"/>
                <w:color w:val="000000"/>
                <w:sz w:val="20"/>
                <w:szCs w:val="20"/>
              </w:rPr>
              <w:t>效</w:t>
            </w:r>
          </w:p>
          <w:p>
            <w:pPr>
              <w:jc w:val="center"/>
              <w:rPr>
                <w:rFonts w:eastAsia="仿宋_GB2312"/>
                <w:color w:val="000000"/>
                <w:sz w:val="20"/>
                <w:szCs w:val="20"/>
              </w:rPr>
            </w:pPr>
            <w:r>
              <w:rPr>
                <w:rFonts w:eastAsia="仿宋_GB2312"/>
                <w:color w:val="000000"/>
                <w:sz w:val="20"/>
                <w:szCs w:val="20"/>
              </w:rPr>
              <w:t>指</w:t>
            </w:r>
          </w:p>
          <w:p>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一级指标</w:t>
            </w: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二级指标</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三级指标</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年度</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指标值</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实际完成值</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分值</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得分</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偏差原因</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分析及</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left"/>
              <w:rPr>
                <w:rFonts w:eastAsia="仿宋_GB2312"/>
                <w:color w:val="000000"/>
                <w:sz w:val="20"/>
                <w:szCs w:val="20"/>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成本指标</w:t>
            </w:r>
          </w:p>
          <w:p>
            <w:pPr>
              <w:jc w:val="center"/>
              <w:rPr>
                <w:rFonts w:hint="eastAsia" w:eastAsia="仿宋_GB2312"/>
                <w:color w:val="000000"/>
                <w:sz w:val="20"/>
                <w:szCs w:val="20"/>
                <w:lang w:val="en" w:eastAsia="zh-CN"/>
              </w:rPr>
            </w:pPr>
            <w:r>
              <w:rPr>
                <w:rFonts w:hint="eastAsia" w:eastAsia="仿宋_GB2312"/>
                <w:color w:val="000000"/>
                <w:sz w:val="20"/>
                <w:szCs w:val="20"/>
                <w:lang w:val="en" w:eastAsia="zh-CN"/>
              </w:rPr>
              <w:t>（</w:t>
            </w:r>
            <w:r>
              <w:rPr>
                <w:rFonts w:hint="eastAsia" w:eastAsia="仿宋_GB2312"/>
                <w:color w:val="000000"/>
                <w:sz w:val="20"/>
                <w:szCs w:val="20"/>
                <w:lang w:val="en-US" w:eastAsia="zh-CN"/>
              </w:rPr>
              <w:t>20分</w:t>
            </w:r>
            <w:r>
              <w:rPr>
                <w:rFonts w:hint="eastAsia" w:eastAsia="仿宋_GB2312"/>
                <w:color w:val="000000"/>
                <w:sz w:val="20"/>
                <w:szCs w:val="20"/>
                <w:lang w:val="en" w:eastAsia="zh-CN"/>
              </w:rPr>
              <w:t>）</w:t>
            </w: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经济成</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本指标</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控制在预算金额以内（万元）</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16.62</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16.62</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20.00</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restart"/>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产出指标</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（40分）</w:t>
            </w:r>
          </w:p>
        </w:tc>
        <w:tc>
          <w:tcPr>
            <w:tcW w:w="1085" w:type="dxa"/>
            <w:vMerge w:val="restart"/>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数量指标</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开展六五环境宣传活动</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生态环境风险隐患“利剑”行动新闻宣传稿件</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50</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53</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理论学习中心组学习</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12</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12</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3</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3.00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组织支部集中学习</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24</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24</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5.00</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质量指标</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县区范围生态文明知识宣传普及率</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70%以上</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76.3%</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时效指标</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在规定时间内完成</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2023年底</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2023年底</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restart"/>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效益指标</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（20分）</w:t>
            </w: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生态效</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益指标</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有效宣传我县生态环境保护工作</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有效宣传</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有效宣传</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jc w:val="center"/>
              <w:rPr>
                <w:rFonts w:hint="eastAsia" w:eastAsia="仿宋_GB2312"/>
                <w:color w:val="000000"/>
                <w:sz w:val="20"/>
                <w:szCs w:val="20"/>
                <w:lang w:val="en-US" w:eastAsia="zh-CN"/>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社会效</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益指标</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提升公众环保意识</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提升</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提升</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pPr>
              <w:jc w:val="left"/>
              <w:rPr>
                <w:rFonts w:eastAsia="仿宋_GB2312"/>
                <w:color w:val="000000"/>
                <w:sz w:val="20"/>
                <w:szCs w:val="20"/>
              </w:rPr>
            </w:pP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满意度</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指标</w:t>
            </w:r>
          </w:p>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（10分）</w:t>
            </w:r>
          </w:p>
        </w:tc>
        <w:tc>
          <w:tcPr>
            <w:tcW w:w="1085"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服务对象满意度指标</w:t>
            </w:r>
          </w:p>
        </w:tc>
        <w:tc>
          <w:tcPr>
            <w:tcW w:w="123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公众满意度</w:t>
            </w:r>
          </w:p>
        </w:tc>
        <w:tc>
          <w:tcPr>
            <w:tcW w:w="1140"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90%以上</w:t>
            </w:r>
          </w:p>
        </w:tc>
        <w:tc>
          <w:tcPr>
            <w:tcW w:w="1140" w:type="dxa"/>
            <w:gridSpan w:val="2"/>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92%</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8"/>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总分</w:t>
            </w:r>
          </w:p>
        </w:tc>
        <w:tc>
          <w:tcPr>
            <w:tcW w:w="832"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100</w:t>
            </w:r>
          </w:p>
        </w:tc>
        <w:tc>
          <w:tcPr>
            <w:tcW w:w="877" w:type="dxa"/>
            <w:noWrap w:val="0"/>
            <w:vAlign w:val="center"/>
          </w:tcPr>
          <w:p>
            <w:pPr>
              <w:jc w:val="center"/>
              <w:rPr>
                <w:rFonts w:hint="default" w:eastAsia="仿宋_GB2312"/>
                <w:color w:val="000000"/>
                <w:sz w:val="20"/>
                <w:szCs w:val="20"/>
                <w:lang w:val="en-US" w:eastAsia="zh-CN"/>
              </w:rPr>
            </w:pPr>
            <w:r>
              <w:rPr>
                <w:rFonts w:hint="eastAsia" w:eastAsia="仿宋_GB2312"/>
                <w:color w:val="000000"/>
                <w:sz w:val="20"/>
                <w:szCs w:val="20"/>
                <w:lang w:val="en-US" w:eastAsia="zh-CN"/>
              </w:rPr>
              <w:t>　100</w:t>
            </w:r>
          </w:p>
        </w:tc>
        <w:tc>
          <w:tcPr>
            <w:tcW w:w="1146" w:type="dxa"/>
            <w:noWrap w:val="0"/>
            <w:vAlign w:val="center"/>
          </w:tcPr>
          <w:p>
            <w:pPr>
              <w:jc w:val="center"/>
              <w:rPr>
                <w:rFonts w:hint="eastAsia" w:eastAsia="仿宋_GB2312"/>
                <w:color w:val="000000"/>
                <w:sz w:val="20"/>
                <w:szCs w:val="20"/>
                <w:lang w:val="en-US" w:eastAsia="zh-CN"/>
              </w:rPr>
            </w:pPr>
            <w:r>
              <w:rPr>
                <w:rFonts w:hint="eastAsia" w:eastAsia="仿宋_GB2312"/>
                <w:color w:val="000000"/>
                <w:sz w:val="20"/>
                <w:szCs w:val="20"/>
                <w:lang w:val="en-US" w:eastAsia="zh-CN"/>
              </w:rPr>
              <w:t>　</w:t>
            </w:r>
          </w:p>
        </w:tc>
      </w:tr>
    </w:tbl>
    <w:p>
      <w:pPr>
        <w:ind w:firstLine="200" w:firstLineChars="100"/>
        <w:jc w:val="left"/>
        <w:rPr>
          <w:rFonts w:eastAsia="仿宋_GB2312"/>
          <w:sz w:val="20"/>
          <w:szCs w:val="20"/>
        </w:rPr>
      </w:pPr>
      <w:r>
        <w:rPr>
          <w:rFonts w:eastAsia="仿宋_GB2312"/>
          <w:sz w:val="20"/>
          <w:szCs w:val="20"/>
        </w:rPr>
        <w:t>备注：每个项目支出分别填报自评报告和自评表。</w:t>
      </w:r>
    </w:p>
    <w:p>
      <w:pPr>
        <w:spacing w:after="120" w:afterLines="50" w:line="600" w:lineRule="exact"/>
        <w:ind w:firstLine="220" w:firstLineChars="100"/>
        <w:jc w:val="both"/>
        <w:rPr>
          <w:rFonts w:eastAsia="仿宋_GB2312"/>
          <w:sz w:val="2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p>
    <w:p>
      <w:pPr>
        <w:rPr>
          <w:rFonts w:eastAsia="仿宋_GB2312"/>
          <w:sz w:val="22"/>
        </w:rPr>
      </w:pPr>
      <w:r>
        <w:rPr>
          <w:rFonts w:eastAsia="仿宋_GB2312"/>
          <w:sz w:val="22"/>
        </w:rPr>
        <w:br w:type="page"/>
      </w:r>
    </w:p>
    <w:p>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9"/>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pPr>
              <w:spacing w:line="576" w:lineRule="exact"/>
              <w:jc w:val="center"/>
              <w:rPr>
                <w:rFonts w:hint="eastAsia" w:eastAsia="仿宋_GB2312"/>
                <w:sz w:val="20"/>
                <w:szCs w:val="20"/>
                <w:lang w:eastAsia="zh-CN"/>
              </w:rPr>
            </w:pPr>
            <w:r>
              <w:rPr>
                <w:rFonts w:hint="eastAsia" w:eastAsia="仿宋_GB2312"/>
                <w:sz w:val="20"/>
                <w:szCs w:val="20"/>
                <w:lang w:eastAsia="zh-CN"/>
              </w:rPr>
              <w:t>新田县区行政管理事务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pPr>
              <w:spacing w:line="576" w:lineRule="exact"/>
              <w:jc w:val="center"/>
              <w:rPr>
                <w:rFonts w:hint="default" w:eastAsia="仿宋_GB2312"/>
                <w:sz w:val="20"/>
                <w:szCs w:val="20"/>
                <w:lang w:val="en-US" w:eastAsia="zh-CN"/>
              </w:rPr>
            </w:pPr>
            <w:r>
              <w:rPr>
                <w:rFonts w:hint="eastAsia" w:eastAsia="仿宋_GB2312"/>
                <w:sz w:val="20"/>
                <w:szCs w:val="20"/>
                <w:lang w:val="en-US" w:eastAsia="zh-CN"/>
              </w:rPr>
              <w:t>17.5万元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pPr>
              <w:spacing w:line="576" w:lineRule="exact"/>
              <w:jc w:val="center"/>
              <w:rPr>
                <w:rFonts w:eastAsia="仿宋_GB2312"/>
                <w:sz w:val="20"/>
                <w:szCs w:val="20"/>
              </w:rPr>
            </w:pPr>
            <w:r>
              <w:rPr>
                <w:rFonts w:hint="eastAsia" w:eastAsia="仿宋_GB2312"/>
                <w:sz w:val="20"/>
                <w:szCs w:val="20"/>
              </w:rPr>
              <w:t>永州市生态环境局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pPr>
              <w:spacing w:line="576" w:lineRule="exact"/>
              <w:jc w:val="center"/>
              <w:rPr>
                <w:rFonts w:eastAsia="仿宋_GB2312"/>
                <w:sz w:val="20"/>
                <w:szCs w:val="20"/>
              </w:rPr>
            </w:pPr>
            <w:r>
              <w:rPr>
                <w:rFonts w:hint="eastAsia" w:eastAsia="仿宋_GB2312"/>
                <w:sz w:val="20"/>
                <w:szCs w:val="20"/>
              </w:rPr>
              <w:t>全面完成水、土、气污染防治目标，改善环境质量。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pPr>
              <w:spacing w:line="576" w:lineRule="exact"/>
              <w:jc w:val="center"/>
              <w:rPr>
                <w:rFonts w:hint="default" w:eastAsia="仿宋_GB2312"/>
                <w:sz w:val="20"/>
                <w:szCs w:val="20"/>
                <w:lang w:val="en-US" w:eastAsia="zh-CN"/>
              </w:rPr>
            </w:pPr>
            <w:r>
              <w:rPr>
                <w:rFonts w:hint="eastAsia" w:eastAsia="仿宋_GB2312"/>
                <w:sz w:val="20"/>
                <w:szCs w:val="20"/>
                <w:lang w:eastAsia="zh-CN"/>
              </w:rPr>
              <w:t>项目来源为非同级财政拨款收入，收入共计</w:t>
            </w:r>
            <w:r>
              <w:rPr>
                <w:rFonts w:hint="eastAsia" w:eastAsia="仿宋_GB2312"/>
                <w:sz w:val="20"/>
                <w:szCs w:val="20"/>
                <w:lang w:val="en-US" w:eastAsia="zh-CN"/>
              </w:rPr>
              <w:t>17.5万元，支出共17.5万元。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pPr>
              <w:spacing w:line="260" w:lineRule="exact"/>
              <w:jc w:val="center"/>
              <w:rPr>
                <w:rFonts w:hint="eastAsia" w:eastAsia="仿宋_GB2312"/>
                <w:color w:val="000000"/>
                <w:sz w:val="20"/>
                <w:szCs w:val="20"/>
                <w:lang w:val="en-US" w:eastAsia="zh-CN"/>
              </w:rPr>
            </w:pPr>
          </w:p>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2023年，新田县水环境质量获省政府真抓实干督查激励表扬，获评2023年度全市污染防治攻坚战优秀等次，排全市第二名，斩获水环境质量、突出环境问题整改优秀县区奖。</w:t>
            </w:r>
          </w:p>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生态环境质量显著改善，空气质量综合指数同比改善0.7%，环境空气优良率同比提升4.1%；地表水考核断面水质达标率100%，同比改善排名全市第1、全省第3；土壤环境总体安全，未发生土壤污染事故。突出环境问题整改年度任务完成达到100%，在省生态环境厅组织召开湘南片区生态环境保护督察工作联席会议上作典型经验交流发言。十大生态环保项目合计完成工程投资2.768亿元，连续4个季度获市政府督查通报表扬。污染防治攻坚战“2023夏季攻势”79项任务全面完成，“利剑”行动56个生态环境风险隐患有效管控，“一单五制”排查132个生态环境问题全部整改到位，生态环境安全实现“三个不发生”。</w:t>
            </w:r>
          </w:p>
          <w:p>
            <w:pPr>
              <w:spacing w:line="260" w:lineRule="exact"/>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pPr>
              <w:spacing w:line="260" w:lineRule="exact"/>
              <w:jc w:val="center"/>
              <w:rPr>
                <w:rFonts w:hint="eastAsia" w:eastAsia="仿宋_GB2312"/>
                <w:color w:val="000000"/>
                <w:sz w:val="20"/>
                <w:szCs w:val="20"/>
                <w:lang w:val="en-US" w:eastAsia="zh-CN"/>
              </w:rPr>
            </w:pPr>
          </w:p>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pPr>
              <w:spacing w:line="260" w:lineRule="exact"/>
              <w:jc w:val="center"/>
              <w:rPr>
                <w:rFonts w:hint="eastAsia" w:eastAsia="仿宋_GB2312"/>
                <w:color w:val="000000"/>
                <w:sz w:val="20"/>
                <w:szCs w:val="20"/>
                <w:lang w:val="en-US" w:eastAsia="zh-CN"/>
              </w:rPr>
            </w:pPr>
          </w:p>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p>
            <w:pPr>
              <w:spacing w:line="260" w:lineRule="exact"/>
              <w:jc w:val="center"/>
              <w:rPr>
                <w:rFonts w:hint="eastAsia" w:eastAsia="仿宋_GB2312"/>
                <w:color w:val="000000"/>
                <w:sz w:val="20"/>
                <w:szCs w:val="20"/>
                <w:lang w:val="en-US" w:eastAsia="zh-CN"/>
              </w:rPr>
            </w:pPr>
          </w:p>
        </w:tc>
      </w:tr>
    </w:tbl>
    <w:p>
      <w:pPr>
        <w:spacing w:line="320" w:lineRule="atLeast"/>
        <w:jc w:val="left"/>
        <w:rPr>
          <w:rFonts w:eastAsia="仿宋_GB2312"/>
          <w:sz w:val="20"/>
          <w:szCs w:val="20"/>
        </w:rPr>
      </w:pPr>
      <w:r>
        <w:rPr>
          <w:rFonts w:eastAsia="仿宋_GB2312"/>
          <w:sz w:val="20"/>
          <w:szCs w:val="20"/>
        </w:rPr>
        <w:t>备注：每个项目支出分别填报自评报告和自评表。</w:t>
      </w:r>
    </w:p>
    <w:p>
      <w:pPr>
        <w:spacing w:line="600" w:lineRule="exact"/>
        <w:jc w:val="left"/>
        <w:rPr>
          <w:rFonts w:hint="eastAsia" w:eastAsia="黑体"/>
          <w:sz w:val="32"/>
          <w:szCs w:val="3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p>
    <w:p>
      <w:pPr>
        <w:rPr>
          <w:rFonts w:hint="eastAsia" w:ascii="黑体" w:hAnsi="黑体" w:eastAsia="黑体" w:cs="黑体"/>
          <w:sz w:val="32"/>
          <w:szCs w:val="32"/>
        </w:rPr>
      </w:pPr>
      <w:r>
        <w:rPr>
          <w:rFonts w:hint="eastAsia" w:ascii="黑体" w:hAnsi="黑体" w:eastAsia="黑体" w:cs="黑体"/>
          <w:sz w:val="32"/>
          <w:szCs w:val="32"/>
        </w:rPr>
        <w:br w:type="page"/>
      </w:r>
    </w:p>
    <w:p>
      <w:pPr>
        <w:spacing w:after="120" w:afterLines="50" w:line="56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04"/>
        <w:gridCol w:w="1029"/>
        <w:gridCol w:w="891"/>
        <w:gridCol w:w="1456"/>
        <w:gridCol w:w="447"/>
        <w:gridCol w:w="754"/>
        <w:gridCol w:w="122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04"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w:t>
            </w:r>
          </w:p>
          <w:p>
            <w:pPr>
              <w:spacing w:line="260" w:lineRule="exact"/>
              <w:jc w:val="center"/>
              <w:rPr>
                <w:rFonts w:eastAsia="仿宋_GB2312"/>
                <w:color w:val="000000"/>
                <w:sz w:val="20"/>
                <w:szCs w:val="20"/>
              </w:rPr>
            </w:pPr>
            <w:r>
              <w:rPr>
                <w:rFonts w:eastAsia="仿宋_GB2312"/>
                <w:color w:val="000000"/>
                <w:sz w:val="20"/>
                <w:szCs w:val="20"/>
              </w:rPr>
              <w:t>出名称</w:t>
            </w:r>
          </w:p>
        </w:tc>
        <w:tc>
          <w:tcPr>
            <w:tcW w:w="8652" w:type="dxa"/>
            <w:gridSpan w:val="9"/>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新田县区行政管理事务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804" w:type="dxa"/>
            <w:noWrap w:val="0"/>
            <w:vAlign w:val="center"/>
          </w:tcPr>
          <w:p>
            <w:pPr>
              <w:jc w:val="center"/>
              <w:rPr>
                <w:rFonts w:eastAsia="仿宋_GB2312"/>
                <w:color w:val="000000"/>
                <w:sz w:val="20"/>
                <w:szCs w:val="20"/>
              </w:rPr>
            </w:pPr>
            <w:r>
              <w:rPr>
                <w:rFonts w:eastAsia="仿宋_GB2312"/>
                <w:color w:val="000000"/>
                <w:sz w:val="20"/>
                <w:szCs w:val="20"/>
              </w:rPr>
              <w:t>主管</w:t>
            </w:r>
          </w:p>
          <w:p>
            <w:pPr>
              <w:jc w:val="center"/>
              <w:rPr>
                <w:rFonts w:eastAsia="仿宋_GB2312"/>
                <w:color w:val="000000"/>
                <w:sz w:val="20"/>
                <w:szCs w:val="20"/>
              </w:rPr>
            </w:pPr>
            <w:r>
              <w:rPr>
                <w:rFonts w:eastAsia="仿宋_GB2312"/>
                <w:color w:val="000000"/>
                <w:sz w:val="20"/>
                <w:szCs w:val="20"/>
              </w:rPr>
              <w:t>部门</w:t>
            </w:r>
          </w:p>
        </w:tc>
        <w:tc>
          <w:tcPr>
            <w:tcW w:w="3376" w:type="dxa"/>
            <w:gridSpan w:val="3"/>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永州市生态环境局</w:t>
            </w:r>
          </w:p>
        </w:tc>
        <w:tc>
          <w:tcPr>
            <w:tcW w:w="1201"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实施单位</w:t>
            </w:r>
          </w:p>
        </w:tc>
        <w:tc>
          <w:tcPr>
            <w:tcW w:w="4075" w:type="dxa"/>
            <w:gridSpan w:val="4"/>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永州市生态环境局新田分局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04" w:type="dxa"/>
            <w:vMerge w:val="restart"/>
            <w:noWrap w:val="0"/>
            <w:vAlign w:val="center"/>
          </w:tcPr>
          <w:p>
            <w:pPr>
              <w:jc w:val="center"/>
              <w:rPr>
                <w:rFonts w:eastAsia="仿宋_GB2312"/>
                <w:color w:val="000000"/>
                <w:sz w:val="20"/>
                <w:szCs w:val="20"/>
              </w:rPr>
            </w:pPr>
            <w:r>
              <w:rPr>
                <w:rFonts w:eastAsia="仿宋_GB2312"/>
                <w:color w:val="000000"/>
                <w:sz w:val="20"/>
                <w:szCs w:val="20"/>
              </w:rPr>
              <w:t>项目资金</w:t>
            </w:r>
          </w:p>
          <w:p>
            <w:pPr>
              <w:jc w:val="center"/>
              <w:rPr>
                <w:rFonts w:eastAsia="仿宋_GB2312"/>
                <w:color w:val="000000"/>
                <w:sz w:val="20"/>
                <w:szCs w:val="20"/>
              </w:rPr>
            </w:pPr>
            <w:r>
              <w:rPr>
                <w:rFonts w:eastAsia="仿宋_GB2312"/>
                <w:color w:val="000000"/>
                <w:sz w:val="20"/>
                <w:szCs w:val="20"/>
              </w:rPr>
              <w:t>（万元）</w:t>
            </w:r>
          </w:p>
        </w:tc>
        <w:tc>
          <w:tcPr>
            <w:tcW w:w="192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903"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年初</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754"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122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执行数</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执行率</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4" w:type="dxa"/>
            <w:vMerge w:val="continue"/>
            <w:noWrap w:val="0"/>
            <w:vAlign w:val="center"/>
          </w:tcPr>
          <w:p>
            <w:pPr>
              <w:jc w:val="center"/>
              <w:rPr>
                <w:rFonts w:eastAsia="仿宋_GB2312"/>
                <w:color w:val="000000"/>
                <w:sz w:val="20"/>
                <w:szCs w:val="20"/>
              </w:rPr>
            </w:pPr>
          </w:p>
        </w:tc>
        <w:tc>
          <w:tcPr>
            <w:tcW w:w="192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年度资金总额　</w:t>
            </w:r>
          </w:p>
        </w:tc>
        <w:tc>
          <w:tcPr>
            <w:tcW w:w="1903"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17.5</w:t>
            </w:r>
          </w:p>
        </w:tc>
        <w:tc>
          <w:tcPr>
            <w:tcW w:w="754"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17.5</w:t>
            </w:r>
          </w:p>
        </w:tc>
        <w:tc>
          <w:tcPr>
            <w:tcW w:w="122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17.5</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4" w:type="dxa"/>
            <w:vMerge w:val="continue"/>
            <w:noWrap w:val="0"/>
            <w:vAlign w:val="center"/>
          </w:tcPr>
          <w:p>
            <w:pPr>
              <w:jc w:val="center"/>
              <w:rPr>
                <w:rFonts w:eastAsia="仿宋_GB2312"/>
                <w:color w:val="000000"/>
                <w:sz w:val="20"/>
                <w:szCs w:val="20"/>
              </w:rPr>
            </w:pPr>
          </w:p>
        </w:tc>
        <w:tc>
          <w:tcPr>
            <w:tcW w:w="192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其中：当年财政拨款　</w:t>
            </w:r>
          </w:p>
        </w:tc>
        <w:tc>
          <w:tcPr>
            <w:tcW w:w="1903"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754"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22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4" w:type="dxa"/>
            <w:vMerge w:val="continue"/>
            <w:noWrap w:val="0"/>
            <w:vAlign w:val="center"/>
          </w:tcPr>
          <w:p>
            <w:pPr>
              <w:jc w:val="center"/>
              <w:rPr>
                <w:rFonts w:eastAsia="仿宋_GB2312"/>
                <w:color w:val="000000"/>
                <w:sz w:val="20"/>
                <w:szCs w:val="20"/>
              </w:rPr>
            </w:pPr>
          </w:p>
        </w:tc>
        <w:tc>
          <w:tcPr>
            <w:tcW w:w="192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上年结转资金　</w:t>
            </w:r>
          </w:p>
        </w:tc>
        <w:tc>
          <w:tcPr>
            <w:tcW w:w="1903"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754"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22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4" w:type="dxa"/>
            <w:vMerge w:val="continue"/>
            <w:noWrap w:val="0"/>
            <w:vAlign w:val="center"/>
          </w:tcPr>
          <w:p>
            <w:pPr>
              <w:jc w:val="center"/>
              <w:rPr>
                <w:rFonts w:eastAsia="仿宋_GB2312"/>
                <w:color w:val="000000"/>
                <w:sz w:val="20"/>
                <w:szCs w:val="20"/>
              </w:rPr>
            </w:pPr>
          </w:p>
        </w:tc>
        <w:tc>
          <w:tcPr>
            <w:tcW w:w="192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其他资金</w:t>
            </w:r>
          </w:p>
        </w:tc>
        <w:tc>
          <w:tcPr>
            <w:tcW w:w="1903"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17.5</w:t>
            </w:r>
          </w:p>
        </w:tc>
        <w:tc>
          <w:tcPr>
            <w:tcW w:w="754"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17.5</w:t>
            </w:r>
          </w:p>
        </w:tc>
        <w:tc>
          <w:tcPr>
            <w:tcW w:w="122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17.5</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04" w:type="dxa"/>
            <w:vMerge w:val="restart"/>
            <w:noWrap w:val="0"/>
            <w:vAlign w:val="center"/>
          </w:tcPr>
          <w:p>
            <w:pPr>
              <w:jc w:val="center"/>
              <w:rPr>
                <w:rFonts w:eastAsia="仿宋_GB2312"/>
                <w:color w:val="000000"/>
                <w:sz w:val="20"/>
                <w:szCs w:val="20"/>
              </w:rPr>
            </w:pPr>
            <w:r>
              <w:rPr>
                <w:rFonts w:eastAsia="仿宋_GB2312"/>
                <w:color w:val="000000"/>
                <w:sz w:val="20"/>
                <w:szCs w:val="20"/>
              </w:rPr>
              <w:t>年度总体目标</w:t>
            </w:r>
          </w:p>
        </w:tc>
        <w:tc>
          <w:tcPr>
            <w:tcW w:w="4577" w:type="dxa"/>
            <w:gridSpan w:val="5"/>
            <w:noWrap w:val="0"/>
            <w:vAlign w:val="center"/>
          </w:tcPr>
          <w:p>
            <w:pPr>
              <w:spacing w:line="260" w:lineRule="exact"/>
              <w:jc w:val="center"/>
              <w:rPr>
                <w:rFonts w:eastAsia="仿宋_GB2312"/>
                <w:color w:val="000000"/>
                <w:sz w:val="20"/>
                <w:szCs w:val="20"/>
              </w:rPr>
            </w:pPr>
            <w:r>
              <w:rPr>
                <w:rFonts w:eastAsia="仿宋_GB2312"/>
                <w:color w:val="000000"/>
                <w:sz w:val="20"/>
                <w:szCs w:val="20"/>
              </w:rPr>
              <w:t>预期目标</w:t>
            </w:r>
          </w:p>
        </w:tc>
        <w:tc>
          <w:tcPr>
            <w:tcW w:w="4075" w:type="dxa"/>
            <w:gridSpan w:val="4"/>
            <w:noWrap w:val="0"/>
            <w:vAlign w:val="center"/>
          </w:tcPr>
          <w:p>
            <w:pPr>
              <w:spacing w:line="260" w:lineRule="exact"/>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4" w:type="dxa"/>
            <w:vMerge w:val="continue"/>
            <w:noWrap w:val="0"/>
            <w:vAlign w:val="center"/>
          </w:tcPr>
          <w:p>
            <w:pPr>
              <w:jc w:val="center"/>
              <w:rPr>
                <w:rFonts w:eastAsia="仿宋_GB2312"/>
                <w:color w:val="000000"/>
                <w:sz w:val="20"/>
                <w:szCs w:val="20"/>
              </w:rPr>
            </w:pPr>
          </w:p>
        </w:tc>
        <w:tc>
          <w:tcPr>
            <w:tcW w:w="4577" w:type="dxa"/>
            <w:gridSpan w:val="5"/>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　全面完成水、土、气污染防治目标，改善环境质量。</w:t>
            </w:r>
          </w:p>
        </w:tc>
        <w:tc>
          <w:tcPr>
            <w:tcW w:w="4075" w:type="dxa"/>
            <w:gridSpan w:val="4"/>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新田县水环境质量获省政府真抓实干督查激励表扬，获评2023年度全市污染防治攻坚战优秀等次，排全市第二名。生态环境质量显著改善，空气质量综合指数同比改善0.7%，环境空气优良率同比提升4.1%；地表水考核断面水质达标率100%，同比改善排名全市第1、全省第3；土壤环境总体安全，未发生土壤污染事故。突出环境问题整改年度任务完成达到100%，在省生态环境厅组织召开湘南片区生态环境保护督察工作联席会议上作典型经验交流发言。十大生态环保项目合计完成工程投资2.768亿元，连续4个季度获市政府督查通报表扬。污染防治攻坚战“2023夏季攻势”79项任务全面完成，“利剑”行动56个生态环境风险隐患有效管控，“一单五制”排查132个生态环境问题全部整改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04" w:type="dxa"/>
            <w:vMerge w:val="restart"/>
            <w:noWrap w:val="0"/>
            <w:vAlign w:val="center"/>
          </w:tcPr>
          <w:p>
            <w:pPr>
              <w:jc w:val="center"/>
              <w:rPr>
                <w:rFonts w:eastAsia="仿宋_GB2312"/>
                <w:color w:val="000000"/>
                <w:sz w:val="20"/>
                <w:szCs w:val="20"/>
              </w:rPr>
            </w:pPr>
            <w:r>
              <w:rPr>
                <w:rFonts w:eastAsia="仿宋_GB2312"/>
                <w:color w:val="000000"/>
                <w:sz w:val="20"/>
                <w:szCs w:val="20"/>
              </w:rPr>
              <w:t>绩</w:t>
            </w:r>
          </w:p>
          <w:p>
            <w:pPr>
              <w:jc w:val="center"/>
              <w:rPr>
                <w:rFonts w:eastAsia="仿宋_GB2312"/>
                <w:color w:val="000000"/>
                <w:sz w:val="20"/>
                <w:szCs w:val="20"/>
              </w:rPr>
            </w:pPr>
            <w:r>
              <w:rPr>
                <w:rFonts w:eastAsia="仿宋_GB2312"/>
                <w:color w:val="000000"/>
                <w:sz w:val="20"/>
                <w:szCs w:val="20"/>
              </w:rPr>
              <w:t>效</w:t>
            </w:r>
          </w:p>
          <w:p>
            <w:pPr>
              <w:jc w:val="center"/>
              <w:rPr>
                <w:rFonts w:eastAsia="仿宋_GB2312"/>
                <w:color w:val="000000"/>
                <w:sz w:val="20"/>
                <w:szCs w:val="20"/>
              </w:rPr>
            </w:pPr>
            <w:r>
              <w:rPr>
                <w:rFonts w:eastAsia="仿宋_GB2312"/>
                <w:color w:val="000000"/>
                <w:sz w:val="20"/>
                <w:szCs w:val="20"/>
              </w:rPr>
              <w:t>指</w:t>
            </w:r>
          </w:p>
          <w:p>
            <w:pPr>
              <w:jc w:val="center"/>
              <w:rPr>
                <w:rFonts w:eastAsia="仿宋_GB2312"/>
                <w:color w:val="000000"/>
                <w:sz w:val="20"/>
                <w:szCs w:val="20"/>
              </w:rPr>
            </w:pPr>
            <w:r>
              <w:rPr>
                <w:rFonts w:eastAsia="仿宋_GB2312"/>
                <w:color w:val="000000"/>
                <w:sz w:val="20"/>
                <w:szCs w:val="20"/>
              </w:rPr>
              <w:t>标</w:t>
            </w:r>
          </w:p>
        </w:tc>
        <w:tc>
          <w:tcPr>
            <w:tcW w:w="1029"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一级指标</w:t>
            </w:r>
          </w:p>
        </w:tc>
        <w:tc>
          <w:tcPr>
            <w:tcW w:w="891"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二级指标</w:t>
            </w:r>
          </w:p>
        </w:tc>
        <w:tc>
          <w:tcPr>
            <w:tcW w:w="1903"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三级指标</w:t>
            </w:r>
          </w:p>
        </w:tc>
        <w:tc>
          <w:tcPr>
            <w:tcW w:w="754"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年度</w:t>
            </w:r>
          </w:p>
          <w:p>
            <w:pPr>
              <w:spacing w:line="260" w:lineRule="exact"/>
              <w:jc w:val="center"/>
              <w:rPr>
                <w:rFonts w:eastAsia="仿宋_GB2312"/>
                <w:color w:val="000000"/>
                <w:sz w:val="20"/>
                <w:szCs w:val="20"/>
              </w:rPr>
            </w:pPr>
            <w:r>
              <w:rPr>
                <w:rFonts w:eastAsia="仿宋_GB2312"/>
                <w:color w:val="000000"/>
                <w:sz w:val="20"/>
                <w:szCs w:val="20"/>
              </w:rPr>
              <w:t>指标值</w:t>
            </w:r>
          </w:p>
        </w:tc>
        <w:tc>
          <w:tcPr>
            <w:tcW w:w="122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实际</w:t>
            </w:r>
          </w:p>
          <w:p>
            <w:pPr>
              <w:spacing w:line="26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偏差原因</w:t>
            </w:r>
          </w:p>
          <w:p>
            <w:pPr>
              <w:spacing w:line="260" w:lineRule="exact"/>
              <w:jc w:val="center"/>
              <w:rPr>
                <w:rFonts w:eastAsia="仿宋_GB2312"/>
                <w:color w:val="000000"/>
                <w:sz w:val="20"/>
                <w:szCs w:val="20"/>
              </w:rPr>
            </w:pPr>
            <w:r>
              <w:rPr>
                <w:rFonts w:eastAsia="仿宋_GB2312"/>
                <w:color w:val="000000"/>
                <w:sz w:val="20"/>
                <w:szCs w:val="20"/>
              </w:rPr>
              <w:t>分析及</w:t>
            </w:r>
          </w:p>
          <w:p>
            <w:pPr>
              <w:spacing w:line="260" w:lineRule="exact"/>
              <w:jc w:val="center"/>
              <w:rPr>
                <w:rFonts w:eastAsia="仿宋_GB2312"/>
                <w:color w:val="000000"/>
                <w:sz w:val="20"/>
                <w:szCs w:val="20"/>
              </w:rPr>
            </w:pPr>
            <w:r>
              <w:rPr>
                <w:rFonts w:eastAsia="仿宋_GB2312"/>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04" w:type="dxa"/>
            <w:vMerge w:val="continue"/>
            <w:noWrap w:val="0"/>
            <w:vAlign w:val="center"/>
          </w:tcPr>
          <w:p>
            <w:pPr>
              <w:jc w:val="left"/>
              <w:rPr>
                <w:rFonts w:eastAsia="仿宋_GB2312"/>
                <w:color w:val="000000"/>
                <w:sz w:val="20"/>
                <w:szCs w:val="20"/>
              </w:rPr>
            </w:pPr>
          </w:p>
        </w:tc>
        <w:tc>
          <w:tcPr>
            <w:tcW w:w="1029" w:type="dxa"/>
            <w:vMerge w:val="restart"/>
            <w:noWrap w:val="0"/>
            <w:vAlign w:val="center"/>
          </w:tcPr>
          <w:p>
            <w:pPr>
              <w:spacing w:line="260" w:lineRule="exact"/>
              <w:jc w:val="center"/>
              <w:rPr>
                <w:rFonts w:hint="eastAsia" w:eastAsia="仿宋_GB2312"/>
                <w:color w:val="000000"/>
                <w:sz w:val="20"/>
                <w:szCs w:val="20"/>
                <w:lang w:val="en"/>
              </w:rPr>
            </w:pPr>
            <w:r>
              <w:rPr>
                <w:rFonts w:hint="eastAsia" w:eastAsia="仿宋_GB2312"/>
                <w:color w:val="000000"/>
                <w:sz w:val="20"/>
                <w:szCs w:val="20"/>
                <w:lang w:val="en-US" w:eastAsia="zh-CN"/>
              </w:rPr>
              <w:t>产出指标</w:t>
            </w:r>
          </w:p>
        </w:tc>
        <w:tc>
          <w:tcPr>
            <w:tcW w:w="891"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数量指标</w:t>
            </w:r>
          </w:p>
        </w:tc>
        <w:tc>
          <w:tcPr>
            <w:tcW w:w="1903"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污染防治攻坚战“2023夏季攻势”任务</w:t>
            </w:r>
          </w:p>
        </w:tc>
        <w:tc>
          <w:tcPr>
            <w:tcW w:w="754"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79</w:t>
            </w:r>
          </w:p>
        </w:tc>
        <w:tc>
          <w:tcPr>
            <w:tcW w:w="122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79</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15.00</w:t>
            </w:r>
          </w:p>
        </w:tc>
        <w:tc>
          <w:tcPr>
            <w:tcW w:w="1146" w:type="dxa"/>
            <w:vMerge w:val="restart"/>
            <w:noWrap w:val="0"/>
            <w:vAlign w:val="center"/>
          </w:tcPr>
          <w:p>
            <w:pPr>
              <w:spacing w:line="260" w:lineRule="exact"/>
              <w:jc w:val="center"/>
              <w:rPr>
                <w:rFonts w:ascii="Times New Roman" w:hAnsi="Times New Roman" w:eastAsia="仿宋_GB2312" w:cs="Times New Roman"/>
                <w:color w:val="000000"/>
                <w:kern w:val="2"/>
                <w:sz w:val="20"/>
                <w:szCs w:val="20"/>
                <w:lang w:val="en-US" w:eastAsia="zh-CN" w:bidi="ar-SA"/>
              </w:rPr>
            </w:pPr>
            <w:r>
              <w:rPr>
                <w:rFonts w:eastAsia="仿宋_GB2312"/>
                <w:color w:val="000000"/>
                <w:sz w:val="20"/>
                <w:szCs w:val="20"/>
              </w:rPr>
              <w:t>　</w:t>
            </w:r>
          </w:p>
          <w:p>
            <w:pPr>
              <w:spacing w:line="260" w:lineRule="exact"/>
              <w:jc w:val="center"/>
              <w:rPr>
                <w:rFonts w:ascii="Times New Roman" w:hAnsi="Times New Roman" w:eastAsia="仿宋_GB2312" w:cs="Times New Roman"/>
                <w:color w:val="000000"/>
                <w:kern w:val="2"/>
                <w:sz w:val="20"/>
                <w:szCs w:val="20"/>
                <w:lang w:val="en-US" w:eastAsia="zh-CN" w:bidi="ar-SA"/>
              </w:rPr>
            </w:pPr>
            <w:r>
              <w:rPr>
                <w:rFonts w:eastAsia="仿宋_GB2312"/>
                <w:color w:val="000000"/>
                <w:sz w:val="20"/>
                <w:szCs w:val="20"/>
              </w:rPr>
              <w:t>　</w:t>
            </w:r>
          </w:p>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804" w:type="dxa"/>
            <w:vMerge w:val="continue"/>
            <w:noWrap w:val="0"/>
            <w:vAlign w:val="center"/>
          </w:tcPr>
          <w:p>
            <w:pPr>
              <w:jc w:val="left"/>
              <w:rPr>
                <w:rFonts w:eastAsia="仿宋_GB2312"/>
                <w:color w:val="000000"/>
                <w:sz w:val="20"/>
                <w:szCs w:val="20"/>
              </w:rPr>
            </w:pPr>
          </w:p>
        </w:tc>
        <w:tc>
          <w:tcPr>
            <w:tcW w:w="1029" w:type="dxa"/>
            <w:vMerge w:val="continue"/>
            <w:noWrap w:val="0"/>
            <w:vAlign w:val="center"/>
          </w:tcPr>
          <w:p>
            <w:pPr>
              <w:spacing w:line="260" w:lineRule="exact"/>
              <w:jc w:val="center"/>
              <w:rPr>
                <w:rFonts w:hint="eastAsia" w:eastAsia="仿宋_GB2312"/>
                <w:color w:val="000000"/>
                <w:sz w:val="20"/>
                <w:szCs w:val="20"/>
              </w:rPr>
            </w:pPr>
          </w:p>
        </w:tc>
        <w:tc>
          <w:tcPr>
            <w:tcW w:w="891"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质量指标</w:t>
            </w:r>
          </w:p>
        </w:tc>
        <w:tc>
          <w:tcPr>
            <w:tcW w:w="1903"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地表水考核断面水质达标率</w:t>
            </w:r>
          </w:p>
        </w:tc>
        <w:tc>
          <w:tcPr>
            <w:tcW w:w="754"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22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15.00</w:t>
            </w:r>
          </w:p>
        </w:tc>
        <w:tc>
          <w:tcPr>
            <w:tcW w:w="1146" w:type="dxa"/>
            <w:vMerge w:val="continue"/>
            <w:noWrap w:val="0"/>
            <w:vAlign w:val="center"/>
          </w:tcPr>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4" w:hRule="exact"/>
          <w:jc w:val="center"/>
        </w:trPr>
        <w:tc>
          <w:tcPr>
            <w:tcW w:w="804" w:type="dxa"/>
            <w:vMerge w:val="continue"/>
            <w:noWrap w:val="0"/>
            <w:vAlign w:val="center"/>
          </w:tcPr>
          <w:p>
            <w:pPr>
              <w:jc w:val="left"/>
              <w:rPr>
                <w:rFonts w:eastAsia="仿宋_GB2312"/>
                <w:color w:val="000000"/>
                <w:sz w:val="20"/>
                <w:szCs w:val="20"/>
              </w:rPr>
            </w:pPr>
          </w:p>
        </w:tc>
        <w:tc>
          <w:tcPr>
            <w:tcW w:w="1029" w:type="dxa"/>
            <w:vMerge w:val="continue"/>
            <w:noWrap w:val="0"/>
            <w:vAlign w:val="center"/>
          </w:tcPr>
          <w:p>
            <w:pPr>
              <w:spacing w:line="260" w:lineRule="exact"/>
              <w:jc w:val="center"/>
              <w:rPr>
                <w:rFonts w:hint="eastAsia" w:eastAsia="仿宋_GB2312"/>
                <w:color w:val="000000"/>
                <w:sz w:val="20"/>
                <w:szCs w:val="20"/>
              </w:rPr>
            </w:pPr>
          </w:p>
        </w:tc>
        <w:tc>
          <w:tcPr>
            <w:tcW w:w="891"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时效指标</w:t>
            </w:r>
          </w:p>
        </w:tc>
        <w:tc>
          <w:tcPr>
            <w:tcW w:w="1903"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在规定时间内完成</w:t>
            </w:r>
          </w:p>
        </w:tc>
        <w:tc>
          <w:tcPr>
            <w:tcW w:w="754"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122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vMerge w:val="continue"/>
            <w:noWrap w:val="0"/>
            <w:vAlign w:val="center"/>
          </w:tcPr>
          <w:p>
            <w:pPr>
              <w:spacing w:line="260" w:lineRule="exact"/>
              <w:jc w:val="center"/>
              <w:rPr>
                <w:rFonts w:hint="eastAsia" w:ascii="Times New Roman" w:hAnsi="Times New Roman" w:eastAsia="仿宋_GB2312" w:cs="Times New Roman"/>
                <w:color w:val="000000"/>
                <w:kern w:val="2"/>
                <w:sz w:val="20"/>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04" w:type="dxa"/>
            <w:vMerge w:val="continue"/>
            <w:noWrap w:val="0"/>
            <w:vAlign w:val="center"/>
          </w:tcPr>
          <w:p>
            <w:pPr>
              <w:jc w:val="left"/>
              <w:rPr>
                <w:rFonts w:eastAsia="仿宋_GB2312"/>
                <w:color w:val="000000"/>
                <w:sz w:val="20"/>
                <w:szCs w:val="20"/>
              </w:rPr>
            </w:pPr>
          </w:p>
        </w:tc>
        <w:tc>
          <w:tcPr>
            <w:tcW w:w="1029" w:type="dxa"/>
            <w:vMerge w:val="restart"/>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效益指标</w:t>
            </w:r>
          </w:p>
        </w:tc>
        <w:tc>
          <w:tcPr>
            <w:tcW w:w="891"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经济效益指标</w:t>
            </w:r>
          </w:p>
        </w:tc>
        <w:tc>
          <w:tcPr>
            <w:tcW w:w="1903"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新田县水环境质量获省政府真抓实干督查激励表扬</w:t>
            </w:r>
          </w:p>
        </w:tc>
        <w:tc>
          <w:tcPr>
            <w:tcW w:w="754"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22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vMerge w:val="restart"/>
            <w:noWrap w:val="0"/>
            <w:vAlign w:val="center"/>
          </w:tcPr>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804" w:type="dxa"/>
            <w:vMerge w:val="continue"/>
            <w:noWrap w:val="0"/>
            <w:vAlign w:val="center"/>
          </w:tcPr>
          <w:p>
            <w:pPr>
              <w:jc w:val="left"/>
              <w:rPr>
                <w:rFonts w:eastAsia="仿宋_GB2312"/>
                <w:color w:val="000000"/>
                <w:sz w:val="20"/>
                <w:szCs w:val="20"/>
              </w:rPr>
            </w:pPr>
          </w:p>
        </w:tc>
        <w:tc>
          <w:tcPr>
            <w:tcW w:w="1029" w:type="dxa"/>
            <w:vMerge w:val="continue"/>
            <w:noWrap w:val="0"/>
            <w:vAlign w:val="center"/>
          </w:tcPr>
          <w:p>
            <w:pPr>
              <w:spacing w:line="260" w:lineRule="exact"/>
              <w:jc w:val="center"/>
              <w:rPr>
                <w:rFonts w:hint="eastAsia" w:eastAsia="仿宋_GB2312"/>
                <w:color w:val="000000"/>
                <w:sz w:val="20"/>
                <w:szCs w:val="20"/>
              </w:rPr>
            </w:pPr>
          </w:p>
        </w:tc>
        <w:tc>
          <w:tcPr>
            <w:tcW w:w="891"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生态效益指标</w:t>
            </w:r>
          </w:p>
        </w:tc>
        <w:tc>
          <w:tcPr>
            <w:tcW w:w="1903"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生态环境质量显著改善</w:t>
            </w:r>
          </w:p>
        </w:tc>
        <w:tc>
          <w:tcPr>
            <w:tcW w:w="754"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改善</w:t>
            </w:r>
          </w:p>
        </w:tc>
        <w:tc>
          <w:tcPr>
            <w:tcW w:w="122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改善</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vMerge w:val="continue"/>
            <w:noWrap w:val="0"/>
            <w:vAlign w:val="center"/>
          </w:tcPr>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04" w:type="dxa"/>
            <w:vMerge w:val="continue"/>
            <w:noWrap w:val="0"/>
            <w:vAlign w:val="center"/>
          </w:tcPr>
          <w:p>
            <w:pPr>
              <w:jc w:val="left"/>
              <w:rPr>
                <w:rFonts w:eastAsia="仿宋_GB2312"/>
                <w:color w:val="000000"/>
                <w:sz w:val="20"/>
                <w:szCs w:val="20"/>
              </w:rPr>
            </w:pPr>
          </w:p>
        </w:tc>
        <w:tc>
          <w:tcPr>
            <w:tcW w:w="1029"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满意度指标</w:t>
            </w:r>
          </w:p>
        </w:tc>
        <w:tc>
          <w:tcPr>
            <w:tcW w:w="891"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服务对象满意度指标</w:t>
            </w:r>
          </w:p>
        </w:tc>
        <w:tc>
          <w:tcPr>
            <w:tcW w:w="1903"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服务对象满意度</w:t>
            </w:r>
          </w:p>
        </w:tc>
        <w:tc>
          <w:tcPr>
            <w:tcW w:w="754"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90%以上</w:t>
            </w:r>
          </w:p>
        </w:tc>
        <w:tc>
          <w:tcPr>
            <w:tcW w:w="122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92.3%</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04" w:type="dxa"/>
            <w:vMerge w:val="continue"/>
            <w:noWrap w:val="0"/>
            <w:vAlign w:val="center"/>
          </w:tcPr>
          <w:p>
            <w:pPr>
              <w:jc w:val="left"/>
              <w:rPr>
                <w:rFonts w:eastAsia="仿宋_GB2312"/>
                <w:color w:val="000000"/>
                <w:sz w:val="20"/>
                <w:szCs w:val="20"/>
              </w:rPr>
            </w:pPr>
          </w:p>
        </w:tc>
        <w:tc>
          <w:tcPr>
            <w:tcW w:w="1029"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成本指标</w:t>
            </w:r>
          </w:p>
        </w:tc>
        <w:tc>
          <w:tcPr>
            <w:tcW w:w="891"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经济成本指标</w:t>
            </w:r>
          </w:p>
        </w:tc>
        <w:tc>
          <w:tcPr>
            <w:tcW w:w="1903"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控制在预算成本以内（万元）</w:t>
            </w:r>
          </w:p>
        </w:tc>
        <w:tc>
          <w:tcPr>
            <w:tcW w:w="754"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17.5</w:t>
            </w:r>
          </w:p>
        </w:tc>
        <w:tc>
          <w:tcPr>
            <w:tcW w:w="122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17.5</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20.00</w:t>
            </w:r>
          </w:p>
        </w:tc>
        <w:tc>
          <w:tcPr>
            <w:tcW w:w="1146" w:type="dxa"/>
            <w:noWrap w:val="0"/>
            <w:vAlign w:val="center"/>
          </w:tcPr>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7"/>
            <w:noWrap w:val="0"/>
            <w:vAlign w:val="center"/>
          </w:tcPr>
          <w:p>
            <w:pPr>
              <w:spacing w:line="260" w:lineRule="exact"/>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pPr>
              <w:spacing w:line="260" w:lineRule="exact"/>
              <w:jc w:val="center"/>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bl>
    <w:p>
      <w:pPr>
        <w:jc w:val="left"/>
        <w:rPr>
          <w:rFonts w:eastAsia="仿宋_GB2312"/>
          <w:sz w:val="20"/>
          <w:szCs w:val="20"/>
        </w:rPr>
      </w:pPr>
      <w:r>
        <w:rPr>
          <w:rFonts w:eastAsia="仿宋_GB2312"/>
          <w:sz w:val="20"/>
          <w:szCs w:val="20"/>
        </w:rPr>
        <w:t>备注：每个项目支出分别填报自评报告和自评表。</w:t>
      </w:r>
    </w:p>
    <w:p>
      <w:pPr>
        <w:jc w:val="left"/>
        <w:rPr>
          <w:rFonts w:hint="eastAsia" w:ascii="Times New Roman" w:hAnsi="Times New Roman" w:eastAsia="仿宋_GB2312" w:cs="Times New Roman"/>
          <w:b w:val="0"/>
          <w:bCs w:val="0"/>
          <w:kern w:val="2"/>
          <w:sz w:val="20"/>
          <w:szCs w:val="20"/>
          <w:lang w:val="en-US" w:eastAsia="zh-CN" w:bidi="ar-SA"/>
        </w:rPr>
      </w:pPr>
      <w:r>
        <w:rPr>
          <w:rFonts w:hint="eastAsia" w:ascii="Times New Roman" w:hAnsi="Times New Roman" w:eastAsia="仿宋_GB2312" w:cs="Times New Roman"/>
          <w:b w:val="0"/>
          <w:bCs w:val="0"/>
          <w:kern w:val="2"/>
          <w:sz w:val="20"/>
          <w:szCs w:val="20"/>
          <w:lang w:val="en-US" w:eastAsia="zh-CN" w:bidi="ar-SA"/>
        </w:rPr>
        <w:t>填表人：陈楚樨   填报日期：2024年4月29日  联系电话：18390248336  单位负责人签字：</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9"/>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260" w:lineRule="exact"/>
              <w:jc w:val="center"/>
              <w:rPr>
                <w:rFonts w:eastAsia="仿宋_GB2312"/>
                <w:color w:val="000000"/>
                <w:sz w:val="20"/>
                <w:szCs w:val="20"/>
              </w:rPr>
            </w:pPr>
            <w:r>
              <w:rPr>
                <w:rFonts w:eastAsia="仿宋_GB2312"/>
                <w:color w:val="000000"/>
                <w:sz w:val="20"/>
                <w:szCs w:val="20"/>
              </w:rPr>
              <w:t>部门概况</w:t>
            </w: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专项名称</w:t>
            </w:r>
          </w:p>
        </w:tc>
        <w:tc>
          <w:tcPr>
            <w:tcW w:w="5633" w:type="dxa"/>
            <w:noWrap w:val="0"/>
            <w:vAlign w:val="center"/>
          </w:tcPr>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排污权有偿使用收入安排的支出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年度预算金额</w:t>
            </w:r>
          </w:p>
        </w:tc>
        <w:tc>
          <w:tcPr>
            <w:tcW w:w="5633" w:type="dxa"/>
            <w:noWrap w:val="0"/>
            <w:vAlign w:val="center"/>
          </w:tcPr>
          <w:p>
            <w:pPr>
              <w:spacing w:line="26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6.51万元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项目主管部门</w:t>
            </w:r>
          </w:p>
        </w:tc>
        <w:tc>
          <w:tcPr>
            <w:tcW w:w="5633" w:type="dxa"/>
            <w:noWrap w:val="0"/>
            <w:vAlign w:val="center"/>
          </w:tcPr>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永州市生态环境局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项目立项目的</w:t>
            </w:r>
          </w:p>
        </w:tc>
        <w:tc>
          <w:tcPr>
            <w:tcW w:w="5633"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rPr>
              <w:t>规范企业排污行为，约束企业达标排放，保障生态环境质量。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260" w:lineRule="exact"/>
              <w:jc w:val="center"/>
              <w:rPr>
                <w:rFonts w:eastAsia="仿宋_GB2312"/>
                <w:color w:val="000000"/>
                <w:sz w:val="20"/>
                <w:szCs w:val="20"/>
              </w:rPr>
            </w:pPr>
            <w:r>
              <w:rPr>
                <w:rFonts w:eastAsia="仿宋_GB2312"/>
                <w:color w:val="000000"/>
                <w:sz w:val="20"/>
                <w:szCs w:val="20"/>
              </w:rPr>
              <w:t>绩效情况</w:t>
            </w: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项目支出管理和使用基本情况</w:t>
            </w:r>
          </w:p>
        </w:tc>
        <w:tc>
          <w:tcPr>
            <w:tcW w:w="5633"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rPr>
              <w:t>2023年度收入为6.51万，含上年结转资金1.09万元，全年支出为6.51万元。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项目绩效目标完成情况</w:t>
            </w:r>
          </w:p>
        </w:tc>
        <w:tc>
          <w:tcPr>
            <w:tcW w:w="5633" w:type="dxa"/>
            <w:noWrap w:val="0"/>
            <w:vAlign w:val="center"/>
          </w:tcPr>
          <w:p>
            <w:pPr>
              <w:spacing w:line="260" w:lineRule="exact"/>
              <w:jc w:val="both"/>
              <w:rPr>
                <w:rFonts w:eastAsia="仿宋_GB2312"/>
                <w:color w:val="000000"/>
                <w:sz w:val="20"/>
                <w:szCs w:val="20"/>
              </w:rPr>
            </w:pPr>
            <w:r>
              <w:rPr>
                <w:rFonts w:hint="eastAsia" w:eastAsia="仿宋_GB2312"/>
                <w:color w:val="000000"/>
                <w:sz w:val="20"/>
                <w:szCs w:val="20"/>
              </w:rPr>
              <w:t>实行排污许可证一站式发放，将环评审批纳入一站式服务管理内容。严格实施“三线一单”工作，严把环境准入关口，从源头把好守护生态环境的第一道“关卡”，为区域规划环评、项目环评审批提供硬约束。2023年共受理环境影响审批项目21件，其中实施告知承诺制审批项目2个，退回不符合准入清单项目0个。为园区调区扩区、空间规划、产业政策、项目发展提供了“绿色标尺”， 为园区高标准高质量发展注入“绿色能量”。2023年度收取排污权有偿使用费9.0986万元。</w:t>
            </w:r>
          </w:p>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spacing w:line="260" w:lineRule="exact"/>
              <w:jc w:val="center"/>
              <w:rPr>
                <w:rFonts w:eastAsia="仿宋_GB2312"/>
                <w:color w:val="000000"/>
                <w:sz w:val="20"/>
                <w:szCs w:val="20"/>
              </w:rPr>
            </w:pPr>
            <w:r>
              <w:rPr>
                <w:rFonts w:eastAsia="仿宋_GB2312"/>
                <w:color w:val="000000"/>
                <w:sz w:val="20"/>
                <w:szCs w:val="20"/>
              </w:rPr>
              <w:t>存在的问题分析及改进措施</w:t>
            </w: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存在的问题</w:t>
            </w:r>
          </w:p>
        </w:tc>
        <w:tc>
          <w:tcPr>
            <w:tcW w:w="5633" w:type="dxa"/>
            <w:noWrap w:val="0"/>
            <w:vAlign w:val="center"/>
          </w:tcPr>
          <w:p>
            <w:pPr>
              <w:spacing w:line="260" w:lineRule="exact"/>
              <w:jc w:val="center"/>
              <w:rPr>
                <w:rFonts w:eastAsia="仿宋_GB2312"/>
                <w:color w:val="000000"/>
                <w:sz w:val="20"/>
                <w:szCs w:val="20"/>
              </w:rPr>
            </w:pPr>
          </w:p>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改进措施</w:t>
            </w:r>
          </w:p>
        </w:tc>
        <w:tc>
          <w:tcPr>
            <w:tcW w:w="5633" w:type="dxa"/>
            <w:noWrap w:val="0"/>
            <w:vAlign w:val="center"/>
          </w:tcPr>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其他需要说明问题</w:t>
            </w:r>
          </w:p>
        </w:tc>
        <w:tc>
          <w:tcPr>
            <w:tcW w:w="5633" w:type="dxa"/>
            <w:noWrap w:val="0"/>
            <w:vAlign w:val="center"/>
          </w:tcPr>
          <w:p>
            <w:pPr>
              <w:spacing w:line="260" w:lineRule="exact"/>
              <w:jc w:val="center"/>
              <w:rPr>
                <w:rFonts w:eastAsia="仿宋_GB2312"/>
                <w:color w:val="000000"/>
                <w:sz w:val="20"/>
                <w:szCs w:val="20"/>
              </w:rPr>
            </w:pPr>
          </w:p>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无</w:t>
            </w:r>
          </w:p>
          <w:p>
            <w:pPr>
              <w:spacing w:line="260" w:lineRule="exact"/>
              <w:jc w:val="center"/>
              <w:rPr>
                <w:rFonts w:eastAsia="仿宋_GB2312"/>
                <w:color w:val="000000"/>
                <w:sz w:val="20"/>
                <w:szCs w:val="20"/>
              </w:rPr>
            </w:pPr>
          </w:p>
        </w:tc>
      </w:tr>
    </w:tbl>
    <w:p>
      <w:pPr>
        <w:spacing w:line="260" w:lineRule="exact"/>
        <w:ind w:firstLine="400" w:firstLineChars="200"/>
        <w:jc w:val="both"/>
        <w:rPr>
          <w:rFonts w:eastAsia="仿宋_GB2312"/>
          <w:sz w:val="20"/>
          <w:szCs w:val="20"/>
        </w:rPr>
      </w:pPr>
      <w:r>
        <w:rPr>
          <w:rFonts w:eastAsia="仿宋_GB2312"/>
          <w:color w:val="000000"/>
          <w:sz w:val="20"/>
          <w:szCs w:val="20"/>
        </w:rPr>
        <w:t>备注：每个项目支出分别填报自评报告和自评表。</w:t>
      </w:r>
    </w:p>
    <w:p>
      <w:pPr>
        <w:snapToGrid w:val="0"/>
        <w:spacing w:line="380" w:lineRule="atLeast"/>
        <w:ind w:firstLine="440" w:firstLineChars="200"/>
        <w:rPr>
          <w:sz w:val="32"/>
          <w:szCs w:val="32"/>
        </w:rPr>
      </w:pPr>
      <w:r>
        <w:rPr>
          <w:rFonts w:eastAsia="仿宋_GB2312"/>
          <w:sz w:val="22"/>
          <w:szCs w:val="22"/>
        </w:rPr>
        <w:t>填表人：       填报日期：         联系电话：         单位负责人签字：</w:t>
      </w:r>
    </w:p>
    <w:p>
      <w:pPr>
        <w:spacing w:line="600" w:lineRule="exact"/>
        <w:jc w:val="left"/>
        <w:rPr>
          <w:rFonts w:hint="eastAsia" w:eastAsia="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spacing w:after="120" w:afterLines="50"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 </w:t>
      </w:r>
    </w:p>
    <w:p>
      <w:pPr>
        <w:spacing w:after="120" w:afterLines="50" w:line="56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089"/>
        <w:gridCol w:w="141"/>
        <w:gridCol w:w="1140"/>
        <w:gridCol w:w="108"/>
        <w:gridCol w:w="1032"/>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w:t>
            </w:r>
          </w:p>
          <w:p>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10"/>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排污权有偿使用收入安排的支出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主管部门</w:t>
            </w:r>
          </w:p>
        </w:tc>
        <w:tc>
          <w:tcPr>
            <w:tcW w:w="3259" w:type="dxa"/>
            <w:gridSpan w:val="3"/>
            <w:noWrap w:val="0"/>
            <w:vAlign w:val="center"/>
          </w:tcPr>
          <w:p>
            <w:pPr>
              <w:spacing w:line="260" w:lineRule="exact"/>
              <w:jc w:val="center"/>
              <w:rPr>
                <w:rFonts w:eastAsia="仿宋_GB2312"/>
                <w:color w:val="000000"/>
                <w:sz w:val="20"/>
                <w:szCs w:val="20"/>
              </w:rPr>
            </w:pPr>
          </w:p>
        </w:tc>
        <w:tc>
          <w:tcPr>
            <w:tcW w:w="1389" w:type="dxa"/>
            <w:gridSpan w:val="3"/>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实施单位</w:t>
            </w:r>
          </w:p>
        </w:tc>
        <w:tc>
          <w:tcPr>
            <w:tcW w:w="3887" w:type="dxa"/>
            <w:gridSpan w:val="4"/>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永州市生态环境局新田分局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spacing w:line="260" w:lineRule="exact"/>
              <w:jc w:val="center"/>
              <w:rPr>
                <w:rFonts w:eastAsia="仿宋_GB2312"/>
                <w:color w:val="000000"/>
                <w:sz w:val="20"/>
                <w:szCs w:val="20"/>
              </w:rPr>
            </w:pPr>
            <w:r>
              <w:rPr>
                <w:rFonts w:eastAsia="仿宋_GB2312"/>
                <w:color w:val="000000"/>
                <w:sz w:val="20"/>
                <w:szCs w:val="20"/>
              </w:rPr>
              <w:t>项目资金</w:t>
            </w:r>
          </w:p>
          <w:p>
            <w:pPr>
              <w:spacing w:line="260" w:lineRule="exact"/>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年初</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执行数</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执行率</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年度资金总额　</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0</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6.51</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6.51</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100.00%</w:t>
            </w:r>
          </w:p>
        </w:tc>
        <w:tc>
          <w:tcPr>
            <w:tcW w:w="1146" w:type="dxa"/>
            <w:noWrap w:val="0"/>
            <w:vAlign w:val="center"/>
          </w:tcPr>
          <w:p>
            <w:pPr>
              <w:spacing w:line="260" w:lineRule="exact"/>
              <w:jc w:val="center"/>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其中：当年财政拨款　</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0</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6.51</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6.51</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p>
        </w:tc>
        <w:tc>
          <w:tcPr>
            <w:tcW w:w="1146"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上年结转资金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其他资金</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spacing w:line="260" w:lineRule="exact"/>
              <w:jc w:val="center"/>
              <w:rPr>
                <w:rFonts w:eastAsia="仿宋_GB2312"/>
                <w:color w:val="000000"/>
                <w:sz w:val="20"/>
                <w:szCs w:val="20"/>
              </w:rPr>
            </w:pPr>
            <w:r>
              <w:rPr>
                <w:rFonts w:eastAsia="仿宋_GB2312"/>
                <w:color w:val="000000"/>
                <w:sz w:val="20"/>
                <w:szCs w:val="20"/>
              </w:rPr>
              <w:t>年度总体目标</w:t>
            </w:r>
          </w:p>
        </w:tc>
        <w:tc>
          <w:tcPr>
            <w:tcW w:w="4540" w:type="dxa"/>
            <w:gridSpan w:val="5"/>
            <w:noWrap w:val="0"/>
            <w:vAlign w:val="center"/>
          </w:tcPr>
          <w:p>
            <w:pPr>
              <w:spacing w:line="260" w:lineRule="exact"/>
              <w:jc w:val="center"/>
              <w:rPr>
                <w:rFonts w:eastAsia="仿宋_GB2312"/>
                <w:color w:val="000000"/>
                <w:sz w:val="20"/>
                <w:szCs w:val="20"/>
              </w:rPr>
            </w:pPr>
            <w:r>
              <w:rPr>
                <w:rFonts w:eastAsia="仿宋_GB2312"/>
                <w:color w:val="000000"/>
                <w:sz w:val="20"/>
                <w:szCs w:val="20"/>
              </w:rPr>
              <w:t>预期目标</w:t>
            </w:r>
          </w:p>
        </w:tc>
        <w:tc>
          <w:tcPr>
            <w:tcW w:w="3995" w:type="dxa"/>
            <w:gridSpan w:val="5"/>
            <w:noWrap w:val="0"/>
            <w:vAlign w:val="center"/>
          </w:tcPr>
          <w:p>
            <w:pPr>
              <w:spacing w:line="260" w:lineRule="exact"/>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4540" w:type="dxa"/>
            <w:gridSpan w:val="5"/>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规范企业排污行为，约束企业达标排放，保障生态环境质量。</w:t>
            </w:r>
          </w:p>
        </w:tc>
        <w:tc>
          <w:tcPr>
            <w:tcW w:w="3995" w:type="dxa"/>
            <w:gridSpan w:val="5"/>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度收入为6.51万，含上年结转资金1.09万元，全年支出为6.51万元。全力服务稳住经济大局。实行排污许可证一站式发放，将环评审批纳入一站式服务管理内容。严格实施“三线一单”工作，严把环境准入关口，从源头把好守护生态环境的第一道“关卡”，为区域规划环评、项目环评审批提供硬约束。2023年共受理环境影响审批项目21件，其中实施告知承诺制审批项目2个，退回不符合准入清单项目0个。为园区调区扩区、空间规划、产业政策、项目发展提供了“绿色标尺”， 为园区高标准高质量发展注入“绿色能量”。2023年度收取排污权有偿使用费9.0986万元。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spacing w:line="260" w:lineRule="exact"/>
              <w:jc w:val="center"/>
              <w:rPr>
                <w:rFonts w:eastAsia="仿宋_GB2312"/>
                <w:color w:val="000000"/>
                <w:sz w:val="20"/>
                <w:szCs w:val="20"/>
              </w:rPr>
            </w:pPr>
            <w:r>
              <w:rPr>
                <w:rFonts w:eastAsia="仿宋_GB2312"/>
                <w:color w:val="000000"/>
                <w:sz w:val="20"/>
                <w:szCs w:val="20"/>
              </w:rPr>
              <w:t>绩</w:t>
            </w:r>
          </w:p>
          <w:p>
            <w:pPr>
              <w:spacing w:line="260" w:lineRule="exact"/>
              <w:jc w:val="center"/>
              <w:rPr>
                <w:rFonts w:eastAsia="仿宋_GB2312"/>
                <w:color w:val="000000"/>
                <w:sz w:val="20"/>
                <w:szCs w:val="20"/>
              </w:rPr>
            </w:pPr>
            <w:r>
              <w:rPr>
                <w:rFonts w:eastAsia="仿宋_GB2312"/>
                <w:color w:val="000000"/>
                <w:sz w:val="20"/>
                <w:szCs w:val="20"/>
              </w:rPr>
              <w:t>效</w:t>
            </w:r>
          </w:p>
          <w:p>
            <w:pPr>
              <w:spacing w:line="260" w:lineRule="exact"/>
              <w:jc w:val="center"/>
              <w:rPr>
                <w:rFonts w:eastAsia="仿宋_GB2312"/>
                <w:color w:val="000000"/>
                <w:sz w:val="20"/>
                <w:szCs w:val="20"/>
              </w:rPr>
            </w:pPr>
            <w:r>
              <w:rPr>
                <w:rFonts w:eastAsia="仿宋_GB2312"/>
                <w:color w:val="000000"/>
                <w:sz w:val="20"/>
                <w:szCs w:val="20"/>
              </w:rPr>
              <w:t>指</w:t>
            </w:r>
          </w:p>
          <w:p>
            <w:pPr>
              <w:spacing w:line="260" w:lineRule="exact"/>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二级指标</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年度</w:t>
            </w:r>
          </w:p>
          <w:p>
            <w:pPr>
              <w:spacing w:line="260" w:lineRule="exact"/>
              <w:jc w:val="center"/>
              <w:rPr>
                <w:rFonts w:eastAsia="仿宋_GB2312"/>
                <w:color w:val="000000"/>
                <w:sz w:val="20"/>
                <w:szCs w:val="20"/>
              </w:rPr>
            </w:pPr>
            <w:r>
              <w:rPr>
                <w:rFonts w:eastAsia="仿宋_GB2312"/>
                <w:color w:val="000000"/>
                <w:sz w:val="20"/>
                <w:szCs w:val="20"/>
              </w:rPr>
              <w:t>指标值</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实际</w:t>
            </w:r>
          </w:p>
          <w:p>
            <w:pPr>
              <w:spacing w:line="26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偏差原因</w:t>
            </w:r>
          </w:p>
          <w:p>
            <w:pPr>
              <w:spacing w:line="260" w:lineRule="exact"/>
              <w:jc w:val="center"/>
              <w:rPr>
                <w:rFonts w:eastAsia="仿宋_GB2312"/>
                <w:color w:val="000000"/>
                <w:sz w:val="20"/>
                <w:szCs w:val="20"/>
              </w:rPr>
            </w:pPr>
            <w:r>
              <w:rPr>
                <w:rFonts w:eastAsia="仿宋_GB2312"/>
                <w:color w:val="000000"/>
                <w:sz w:val="20"/>
                <w:szCs w:val="20"/>
              </w:rPr>
              <w:t>分析及</w:t>
            </w:r>
          </w:p>
          <w:p>
            <w:pPr>
              <w:spacing w:line="260" w:lineRule="exact"/>
              <w:jc w:val="center"/>
              <w:rPr>
                <w:rFonts w:eastAsia="仿宋_GB2312"/>
                <w:color w:val="000000"/>
                <w:sz w:val="20"/>
                <w:szCs w:val="20"/>
              </w:rPr>
            </w:pPr>
            <w:r>
              <w:rPr>
                <w:rFonts w:eastAsia="仿宋_GB2312"/>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lang w:val="en"/>
              </w:rPr>
            </w:pPr>
            <w:r>
              <w:rPr>
                <w:rFonts w:hint="eastAsia" w:eastAsia="仿宋_GB2312"/>
                <w:color w:val="000000"/>
                <w:sz w:val="20"/>
                <w:szCs w:val="20"/>
                <w:lang w:val="en-US" w:eastAsia="zh-CN"/>
              </w:rPr>
              <w:t>成本指标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经济成本指标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控制在预算金额内</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6.51万元以内</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6.51</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1085" w:type="dxa"/>
            <w:vMerge w:val="restart"/>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产出指标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数量指标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受理环境影响审批项目</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21</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21</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质量指标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主要污染物排放受让、转让、初始分配审核</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无违规行为</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无违规行为</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时效指标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规定时间内完成年度工作任务</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2023年12月31日之前</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2023年12月31日之前</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3"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1085" w:type="dxa"/>
            <w:vMerge w:val="restart"/>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效益指标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经济效益指标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推动污染物排污权有偿使用和交易，合理配置市场资源，促进经济社会持续健康发展产生积极影响。</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促进经济发展</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通过加快审批程序、特事特批，为重点项目调剂富余指标，推动项目落地</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社会效益指标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树立环境资源有价的理念</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促进排污单位增强环境意识</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征收排污权有偿使用费，强化企业环保意识。</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生态效益指标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推动减排、保护环境</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持续减排</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做好主要污染物排污权交易服务事项，为企业进行排污权总量受让、转让审核</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可持续影响指标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环境质量</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持续改善</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持续改善</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noWrap w:val="0"/>
            <w:vAlign w:val="center"/>
          </w:tcPr>
          <w:p>
            <w:pPr>
              <w:spacing w:line="260" w:lineRule="exact"/>
              <w:jc w:val="center"/>
              <w:rPr>
                <w:rFonts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满意度指标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服务对象满意度指标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服务对象满意度</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达到90%以上</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93.8%</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8"/>
            <w:noWrap w:val="0"/>
            <w:vAlign w:val="center"/>
          </w:tcPr>
          <w:p>
            <w:pPr>
              <w:spacing w:line="260" w:lineRule="exact"/>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bl>
    <w:p>
      <w:pPr>
        <w:jc w:val="left"/>
        <w:rPr>
          <w:rFonts w:eastAsia="仿宋_GB2312"/>
          <w:sz w:val="20"/>
          <w:szCs w:val="20"/>
        </w:rPr>
      </w:pPr>
      <w:r>
        <w:rPr>
          <w:rFonts w:eastAsia="仿宋_GB2312"/>
          <w:sz w:val="20"/>
          <w:szCs w:val="20"/>
        </w:rPr>
        <w:t>备注：每个项目支出分别填报自评报告和自评表。</w:t>
      </w:r>
    </w:p>
    <w:p>
      <w:pPr>
        <w:pStyle w:val="2"/>
        <w:ind w:left="0" w:leftChars="0" w:firstLine="0" w:firstLineChars="0"/>
        <w:jc w:val="both"/>
        <w:rPr>
          <w:rFonts w:hint="eastAsia" w:ascii="Times New Roman" w:hAnsi="Times New Roman" w:eastAsia="仿宋_GB2312" w:cs="Times New Roman"/>
          <w:b w:val="0"/>
          <w:bCs w:val="0"/>
          <w:kern w:val="2"/>
          <w:sz w:val="20"/>
          <w:szCs w:val="20"/>
          <w:lang w:val="en-US" w:eastAsia="zh-CN" w:bidi="ar-SA"/>
        </w:rPr>
      </w:pPr>
      <w:r>
        <w:rPr>
          <w:rFonts w:hint="eastAsia" w:ascii="Times New Roman" w:hAnsi="Times New Roman" w:eastAsia="仿宋_GB2312" w:cs="Times New Roman"/>
          <w:b w:val="0"/>
          <w:bCs w:val="0"/>
          <w:kern w:val="2"/>
          <w:sz w:val="20"/>
          <w:szCs w:val="20"/>
          <w:lang w:val="en-US" w:eastAsia="zh-CN" w:bidi="ar-SA"/>
        </w:rPr>
        <w:t>填表人：陈楚樨   填报日期：2024年4月29日  联系电话：18390248336  单位负责人签字：</w:t>
      </w:r>
    </w:p>
    <w:p>
      <w:pPr>
        <w:rPr>
          <w:rFonts w:ascii="方正小标宋简体" w:eastAsia="方正小标宋简体"/>
          <w:sz w:val="44"/>
          <w:szCs w:val="44"/>
        </w:rPr>
      </w:pPr>
      <w:r>
        <w:rPr>
          <w:rFonts w:ascii="方正小标宋简体" w:eastAsia="方正小标宋简体"/>
          <w:sz w:val="44"/>
          <w:szCs w:val="44"/>
        </w:rPr>
        <w:br w:type="page"/>
      </w:r>
    </w:p>
    <w:p>
      <w:pPr>
        <w:spacing w:after="120" w:afterLines="50" w:line="600" w:lineRule="exact"/>
        <w:jc w:val="center"/>
        <w:rPr>
          <w:rFonts w:ascii="方正小标宋简体" w:eastAsia="方正小标宋简体"/>
          <w:sz w:val="44"/>
          <w:szCs w:val="44"/>
        </w:rPr>
      </w:pPr>
    </w:p>
    <w:p>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9"/>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260" w:lineRule="exact"/>
              <w:jc w:val="center"/>
              <w:rPr>
                <w:rFonts w:eastAsia="仿宋_GB2312"/>
                <w:color w:val="000000"/>
                <w:sz w:val="20"/>
                <w:szCs w:val="20"/>
              </w:rPr>
            </w:pPr>
            <w:r>
              <w:rPr>
                <w:rFonts w:eastAsia="仿宋_GB2312"/>
                <w:color w:val="000000"/>
                <w:sz w:val="20"/>
                <w:szCs w:val="20"/>
              </w:rPr>
              <w:t>部门概况</w:t>
            </w: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专项名称</w:t>
            </w:r>
          </w:p>
        </w:tc>
        <w:tc>
          <w:tcPr>
            <w:tcW w:w="5633" w:type="dxa"/>
            <w:noWrap w:val="0"/>
            <w:vAlign w:val="center"/>
          </w:tcPr>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农村生活污水治理项目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年度预算金额</w:t>
            </w:r>
          </w:p>
        </w:tc>
        <w:tc>
          <w:tcPr>
            <w:tcW w:w="5633" w:type="dxa"/>
            <w:noWrap w:val="0"/>
            <w:vAlign w:val="center"/>
          </w:tcPr>
          <w:p>
            <w:pPr>
              <w:spacing w:line="26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336.16万元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项目主管部门</w:t>
            </w:r>
          </w:p>
        </w:tc>
        <w:tc>
          <w:tcPr>
            <w:tcW w:w="5633"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rPr>
              <w:t>永州市生态环境局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项目立项目的</w:t>
            </w:r>
          </w:p>
        </w:tc>
        <w:tc>
          <w:tcPr>
            <w:tcW w:w="5633"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rPr>
              <w:t>用于新田县各村农村生活污水治理任务。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260" w:lineRule="exact"/>
              <w:jc w:val="center"/>
              <w:rPr>
                <w:rFonts w:eastAsia="仿宋_GB2312"/>
                <w:color w:val="000000"/>
                <w:sz w:val="20"/>
                <w:szCs w:val="20"/>
              </w:rPr>
            </w:pPr>
            <w:r>
              <w:rPr>
                <w:rFonts w:eastAsia="仿宋_GB2312"/>
                <w:color w:val="000000"/>
                <w:sz w:val="20"/>
                <w:szCs w:val="20"/>
              </w:rPr>
              <w:t>绩效情况</w:t>
            </w: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项目支出管理和使用基本情况</w:t>
            </w:r>
          </w:p>
        </w:tc>
        <w:tc>
          <w:tcPr>
            <w:tcW w:w="5633"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rPr>
              <w:t>2023年度该项目地方自筹336.16万元，项目支出为336.16万元。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项目绩效目标完成情况</w:t>
            </w:r>
          </w:p>
        </w:tc>
        <w:tc>
          <w:tcPr>
            <w:tcW w:w="5633" w:type="dxa"/>
            <w:noWrap w:val="0"/>
            <w:vAlign w:val="center"/>
          </w:tcPr>
          <w:p>
            <w:pPr>
              <w:spacing w:line="260" w:lineRule="exact"/>
              <w:jc w:val="center"/>
              <w:rPr>
                <w:rFonts w:eastAsia="仿宋_GB2312"/>
                <w:color w:val="000000"/>
                <w:sz w:val="20"/>
                <w:szCs w:val="20"/>
              </w:rPr>
            </w:pPr>
          </w:p>
          <w:p>
            <w:pPr>
              <w:spacing w:line="260" w:lineRule="exact"/>
              <w:jc w:val="center"/>
              <w:rPr>
                <w:rFonts w:eastAsia="仿宋_GB2312"/>
                <w:color w:val="000000"/>
                <w:sz w:val="20"/>
                <w:szCs w:val="20"/>
              </w:rPr>
            </w:pPr>
            <w:r>
              <w:rPr>
                <w:rFonts w:hint="eastAsia" w:eastAsia="仿宋_GB2312"/>
                <w:color w:val="000000"/>
                <w:sz w:val="20"/>
                <w:szCs w:val="20"/>
              </w:rPr>
              <w:t>2022年新田县农村污水治理项目总投资336.16万，完成了新隆镇佃湾村、侯桥村、神桥村、陶岭镇合福坊村、刘何村等5个村农村生活污水治理任务；持续开展重点行业企业用地检查，强化重点建设用地安全利用监管，按要求完成2个优先监管地块的管控任务；严格落实2023年受污染耕地安全利用任务，严格分类管理，建立管理清单，受污染耕地安全利用率达91%。该项目的建设解决了9000余人左右的生活污水无序排放问题，通过该项工程改善农村生活用水条件和人居环境，提高农村生活质量。</w:t>
            </w:r>
          </w:p>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spacing w:line="260" w:lineRule="exact"/>
              <w:jc w:val="center"/>
              <w:rPr>
                <w:rFonts w:eastAsia="仿宋_GB2312"/>
                <w:color w:val="000000"/>
                <w:sz w:val="20"/>
                <w:szCs w:val="20"/>
              </w:rPr>
            </w:pPr>
            <w:r>
              <w:rPr>
                <w:rFonts w:eastAsia="仿宋_GB2312"/>
                <w:color w:val="000000"/>
                <w:sz w:val="20"/>
                <w:szCs w:val="20"/>
              </w:rPr>
              <w:t>存在的问题分析及改进措施</w:t>
            </w: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存在的问题</w:t>
            </w:r>
          </w:p>
        </w:tc>
        <w:tc>
          <w:tcPr>
            <w:tcW w:w="5633" w:type="dxa"/>
            <w:noWrap w:val="0"/>
            <w:vAlign w:val="center"/>
          </w:tcPr>
          <w:p>
            <w:pPr>
              <w:spacing w:line="260" w:lineRule="exact"/>
              <w:jc w:val="center"/>
              <w:rPr>
                <w:rFonts w:eastAsia="仿宋_GB2312"/>
                <w:color w:val="000000"/>
                <w:sz w:val="20"/>
                <w:szCs w:val="20"/>
              </w:rPr>
            </w:pPr>
          </w:p>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改进措施</w:t>
            </w:r>
          </w:p>
        </w:tc>
        <w:tc>
          <w:tcPr>
            <w:tcW w:w="5633" w:type="dxa"/>
            <w:noWrap w:val="0"/>
            <w:vAlign w:val="center"/>
          </w:tcPr>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spacing w:line="260" w:lineRule="exact"/>
              <w:jc w:val="center"/>
              <w:rPr>
                <w:rFonts w:eastAsia="仿宋_GB2312"/>
                <w:color w:val="000000"/>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其他需要说明问题</w:t>
            </w:r>
          </w:p>
        </w:tc>
        <w:tc>
          <w:tcPr>
            <w:tcW w:w="5633" w:type="dxa"/>
            <w:noWrap w:val="0"/>
            <w:vAlign w:val="center"/>
          </w:tcPr>
          <w:p>
            <w:pPr>
              <w:spacing w:line="260" w:lineRule="exact"/>
              <w:jc w:val="center"/>
              <w:rPr>
                <w:rFonts w:eastAsia="仿宋_GB2312"/>
                <w:color w:val="000000"/>
                <w:sz w:val="20"/>
                <w:szCs w:val="20"/>
              </w:rPr>
            </w:pPr>
          </w:p>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无</w:t>
            </w:r>
          </w:p>
          <w:p>
            <w:pPr>
              <w:spacing w:line="260" w:lineRule="exact"/>
              <w:jc w:val="center"/>
              <w:rPr>
                <w:rFonts w:eastAsia="仿宋_GB2312"/>
                <w:color w:val="000000"/>
                <w:sz w:val="20"/>
                <w:szCs w:val="20"/>
              </w:rPr>
            </w:pPr>
          </w:p>
        </w:tc>
      </w:tr>
    </w:tbl>
    <w:p>
      <w:pPr>
        <w:spacing w:line="320" w:lineRule="atLeast"/>
        <w:jc w:val="left"/>
        <w:rPr>
          <w:rFonts w:eastAsia="仿宋_GB2312"/>
          <w:sz w:val="20"/>
          <w:szCs w:val="20"/>
        </w:rPr>
      </w:pPr>
      <w:r>
        <w:rPr>
          <w:rFonts w:eastAsia="仿宋_GB2312"/>
          <w:sz w:val="20"/>
          <w:szCs w:val="20"/>
        </w:rPr>
        <w:t>备注：每个项目支出分别填报自评报告和自评表。</w:t>
      </w:r>
    </w:p>
    <w:p>
      <w:pPr>
        <w:spacing w:line="600" w:lineRule="exact"/>
        <w:jc w:val="left"/>
        <w:rPr>
          <w:rFonts w:hint="eastAsia" w:eastAsia="黑体"/>
          <w:sz w:val="32"/>
          <w:szCs w:val="3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p>
    <w:p>
      <w:pPr>
        <w:rPr>
          <w:rFonts w:hint="eastAsia" w:ascii="黑体" w:hAnsi="黑体" w:eastAsia="黑体" w:cs="黑体"/>
          <w:sz w:val="32"/>
          <w:szCs w:val="32"/>
        </w:rPr>
      </w:pPr>
      <w:r>
        <w:rPr>
          <w:rFonts w:hint="eastAsia" w:ascii="黑体" w:hAnsi="黑体" w:eastAsia="黑体" w:cs="黑体"/>
          <w:sz w:val="32"/>
          <w:szCs w:val="32"/>
        </w:rPr>
        <w:br w:type="page"/>
      </w:r>
    </w:p>
    <w:p>
      <w:pPr>
        <w:spacing w:after="120" w:afterLines="50" w:line="56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089"/>
        <w:gridCol w:w="141"/>
        <w:gridCol w:w="1140"/>
        <w:gridCol w:w="108"/>
        <w:gridCol w:w="1032"/>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w:t>
            </w:r>
          </w:p>
          <w:p>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10"/>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农村生活污水治理项目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rPr>
            </w:pPr>
            <w:r>
              <w:rPr>
                <w:rFonts w:eastAsia="仿宋_GB2312"/>
                <w:color w:val="000000"/>
                <w:sz w:val="20"/>
                <w:szCs w:val="20"/>
              </w:rPr>
              <w:t>主管部门</w:t>
            </w:r>
          </w:p>
        </w:tc>
        <w:tc>
          <w:tcPr>
            <w:tcW w:w="3259" w:type="dxa"/>
            <w:gridSpan w:val="3"/>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永州市生态环境局</w:t>
            </w:r>
          </w:p>
        </w:tc>
        <w:tc>
          <w:tcPr>
            <w:tcW w:w="1389" w:type="dxa"/>
            <w:gridSpan w:val="3"/>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实施单位</w:t>
            </w:r>
          </w:p>
        </w:tc>
        <w:tc>
          <w:tcPr>
            <w:tcW w:w="3887" w:type="dxa"/>
            <w:gridSpan w:val="4"/>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永州市生态环境局新田分局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项目资金</w:t>
            </w:r>
          </w:p>
          <w:p>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年初</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执行数</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执行率</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年度资金总额　</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336.16</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336.16</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336.15</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99.00%</w:t>
            </w:r>
          </w:p>
        </w:tc>
        <w:tc>
          <w:tcPr>
            <w:tcW w:w="1146"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其中：当年财政拨款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上年结转资金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其他资金</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336.16</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336.16</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336.15</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p>
        </w:tc>
        <w:tc>
          <w:tcPr>
            <w:tcW w:w="1146" w:type="dxa"/>
            <w:noWrap w:val="0"/>
            <w:vAlign w:val="center"/>
          </w:tcPr>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年度总体目标</w:t>
            </w:r>
          </w:p>
        </w:tc>
        <w:tc>
          <w:tcPr>
            <w:tcW w:w="4540" w:type="dxa"/>
            <w:gridSpan w:val="5"/>
            <w:noWrap w:val="0"/>
            <w:vAlign w:val="center"/>
          </w:tcPr>
          <w:p>
            <w:pPr>
              <w:spacing w:line="260" w:lineRule="exact"/>
              <w:jc w:val="center"/>
              <w:rPr>
                <w:rFonts w:eastAsia="仿宋_GB2312"/>
                <w:color w:val="000000"/>
                <w:sz w:val="20"/>
                <w:szCs w:val="20"/>
              </w:rPr>
            </w:pPr>
            <w:r>
              <w:rPr>
                <w:rFonts w:eastAsia="仿宋_GB2312"/>
                <w:color w:val="000000"/>
                <w:sz w:val="20"/>
                <w:szCs w:val="20"/>
              </w:rPr>
              <w:t>预期目标</w:t>
            </w:r>
          </w:p>
        </w:tc>
        <w:tc>
          <w:tcPr>
            <w:tcW w:w="3995" w:type="dxa"/>
            <w:gridSpan w:val="5"/>
            <w:noWrap w:val="0"/>
            <w:vAlign w:val="center"/>
          </w:tcPr>
          <w:p>
            <w:pPr>
              <w:spacing w:line="260" w:lineRule="exact"/>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4540" w:type="dxa"/>
            <w:gridSpan w:val="5"/>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2023年度该项目地方自筹336.16万元，项目支出为336.16万元，主要用于新田县各村农村生活污水治理任务。</w:t>
            </w:r>
          </w:p>
        </w:tc>
        <w:tc>
          <w:tcPr>
            <w:tcW w:w="3995" w:type="dxa"/>
            <w:gridSpan w:val="5"/>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 xml:space="preserve"> 2022年新田县农村污水治理项目总投资336.16万，完成了新隆镇佃湾村、侯桥村、神桥村、陶岭镇合福坊村、刘何村等5个村农村生活污水治理任务；持续开展重点行业企业用地检查，强化重点建设用地安全利用监管，按要求完成2个优先监管地块的管控任务；严格落实2023年受污染耕地安全利用任务，严格分类管理，建立管理清单，受污染耕地安全利用率达91%。该项目的建设解决了9000余人左右的生活污水无序排放问题，通过该项工程改善农村生活用水条件和人居环境，提高农村生活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绩</w:t>
            </w:r>
          </w:p>
          <w:p>
            <w:pPr>
              <w:jc w:val="center"/>
              <w:rPr>
                <w:rFonts w:eastAsia="仿宋_GB2312"/>
                <w:color w:val="000000"/>
                <w:sz w:val="20"/>
                <w:szCs w:val="20"/>
              </w:rPr>
            </w:pPr>
            <w:r>
              <w:rPr>
                <w:rFonts w:eastAsia="仿宋_GB2312"/>
                <w:color w:val="000000"/>
                <w:sz w:val="20"/>
                <w:szCs w:val="20"/>
              </w:rPr>
              <w:t>效</w:t>
            </w:r>
          </w:p>
          <w:p>
            <w:pPr>
              <w:jc w:val="center"/>
              <w:rPr>
                <w:rFonts w:eastAsia="仿宋_GB2312"/>
                <w:color w:val="000000"/>
                <w:sz w:val="20"/>
                <w:szCs w:val="20"/>
              </w:rPr>
            </w:pPr>
            <w:r>
              <w:rPr>
                <w:rFonts w:eastAsia="仿宋_GB2312"/>
                <w:color w:val="000000"/>
                <w:sz w:val="20"/>
                <w:szCs w:val="20"/>
              </w:rPr>
              <w:t>指</w:t>
            </w:r>
          </w:p>
          <w:p>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二级指标</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年度</w:t>
            </w:r>
          </w:p>
          <w:p>
            <w:pPr>
              <w:spacing w:line="260" w:lineRule="exact"/>
              <w:jc w:val="center"/>
              <w:rPr>
                <w:rFonts w:eastAsia="仿宋_GB2312"/>
                <w:color w:val="000000"/>
                <w:sz w:val="20"/>
                <w:szCs w:val="20"/>
              </w:rPr>
            </w:pPr>
            <w:r>
              <w:rPr>
                <w:rFonts w:eastAsia="仿宋_GB2312"/>
                <w:color w:val="000000"/>
                <w:sz w:val="20"/>
                <w:szCs w:val="20"/>
              </w:rPr>
              <w:t>指标值</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实际</w:t>
            </w:r>
          </w:p>
          <w:p>
            <w:pPr>
              <w:spacing w:line="26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偏差原因</w:t>
            </w:r>
          </w:p>
          <w:p>
            <w:pPr>
              <w:spacing w:line="260" w:lineRule="exact"/>
              <w:jc w:val="center"/>
              <w:rPr>
                <w:rFonts w:eastAsia="仿宋_GB2312"/>
                <w:color w:val="000000"/>
                <w:sz w:val="20"/>
                <w:szCs w:val="20"/>
              </w:rPr>
            </w:pPr>
            <w:r>
              <w:rPr>
                <w:rFonts w:eastAsia="仿宋_GB2312"/>
                <w:color w:val="000000"/>
                <w:sz w:val="20"/>
                <w:szCs w:val="20"/>
              </w:rPr>
              <w:t>分析及</w:t>
            </w:r>
          </w:p>
          <w:p>
            <w:pPr>
              <w:spacing w:line="260" w:lineRule="exact"/>
              <w:jc w:val="center"/>
              <w:rPr>
                <w:rFonts w:eastAsia="仿宋_GB2312"/>
                <w:color w:val="000000"/>
                <w:sz w:val="20"/>
                <w:szCs w:val="20"/>
              </w:rPr>
            </w:pPr>
            <w:r>
              <w:rPr>
                <w:rFonts w:eastAsia="仿宋_GB2312"/>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restart"/>
            <w:noWrap w:val="0"/>
            <w:vAlign w:val="center"/>
          </w:tcPr>
          <w:p>
            <w:pPr>
              <w:spacing w:line="260" w:lineRule="exact"/>
              <w:jc w:val="center"/>
              <w:rPr>
                <w:rFonts w:hint="eastAsia" w:eastAsia="仿宋_GB2312"/>
                <w:color w:val="000000"/>
                <w:sz w:val="20"/>
                <w:szCs w:val="20"/>
                <w:lang w:val="en"/>
              </w:rPr>
            </w:pPr>
            <w:r>
              <w:rPr>
                <w:rFonts w:hint="eastAsia" w:eastAsia="仿宋_GB2312"/>
                <w:color w:val="000000"/>
                <w:sz w:val="20"/>
                <w:szCs w:val="20"/>
                <w:lang w:val="en-US" w:eastAsia="zh-CN"/>
              </w:rPr>
              <w:t>产出指标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数量指标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集中式污水处理设施</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15（台/套）</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15（台/套）</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质量指标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受污染耕地安全利用率</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90%以上</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91%</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2" w:hRule="exac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时效指标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在规定时间内完成</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restart"/>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效益指标</w:t>
            </w:r>
          </w:p>
        </w:tc>
        <w:tc>
          <w:tcPr>
            <w:tcW w:w="1085" w:type="dxa"/>
            <w:noWrap w:val="0"/>
            <w:vAlign w:val="center"/>
          </w:tcPr>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社会效益指标</w:t>
            </w:r>
          </w:p>
        </w:tc>
        <w:tc>
          <w:tcPr>
            <w:tcW w:w="1230" w:type="dxa"/>
            <w:gridSpan w:val="2"/>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不发生重大以上污染和生态环境破坏事件</w:t>
            </w:r>
          </w:p>
        </w:tc>
        <w:tc>
          <w:tcPr>
            <w:tcW w:w="1140" w:type="dxa"/>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不发生重大以上污染和生态环境破坏事件</w:t>
            </w:r>
          </w:p>
        </w:tc>
        <w:tc>
          <w:tcPr>
            <w:tcW w:w="1140" w:type="dxa"/>
            <w:gridSpan w:val="2"/>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未</w:t>
            </w:r>
            <w:bookmarkStart w:id="11" w:name="_GoBack"/>
            <w:bookmarkEnd w:id="11"/>
            <w:r>
              <w:rPr>
                <w:rFonts w:hint="eastAsia" w:eastAsia="仿宋_GB2312"/>
                <w:color w:val="000000"/>
                <w:sz w:val="20"/>
                <w:szCs w:val="20"/>
                <w:lang w:val="en-US" w:eastAsia="zh-CN"/>
              </w:rPr>
              <w:t>发生重大以上污染和生态环境破坏事件</w:t>
            </w:r>
          </w:p>
        </w:tc>
        <w:tc>
          <w:tcPr>
            <w:tcW w:w="832" w:type="dxa"/>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生态效益指标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改善农村水环境</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提升</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提升</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满意度指标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服务对象满意度指标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？群众满意度</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≥90%</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93.4%</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成本指标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经济成本指标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控制在年初预算或专项资金拨付的金额内</w:t>
            </w:r>
          </w:p>
        </w:tc>
        <w:tc>
          <w:tcPr>
            <w:tcW w:w="1140" w:type="dxa"/>
            <w:noWrap w:val="0"/>
            <w:vAlign w:val="center"/>
          </w:tcPr>
          <w:p>
            <w:pPr>
              <w:spacing w:line="26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336.16</w:t>
            </w:r>
          </w:p>
        </w:tc>
        <w:tc>
          <w:tcPr>
            <w:tcW w:w="1140" w:type="dxa"/>
            <w:gridSpan w:val="2"/>
            <w:noWrap w:val="0"/>
            <w:vAlign w:val="center"/>
          </w:tcPr>
          <w:p>
            <w:pPr>
              <w:spacing w:line="26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336.16</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8"/>
            <w:noWrap w:val="0"/>
            <w:vAlign w:val="center"/>
          </w:tcPr>
          <w:p>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99.9</w:t>
            </w:r>
          </w:p>
        </w:tc>
        <w:tc>
          <w:tcPr>
            <w:tcW w:w="1146" w:type="dxa"/>
            <w:noWrap w:val="0"/>
            <w:vAlign w:val="center"/>
          </w:tcPr>
          <w:p>
            <w:pPr>
              <w:jc w:val="left"/>
              <w:rPr>
                <w:rFonts w:eastAsia="仿宋_GB2312"/>
                <w:color w:val="000000"/>
                <w:sz w:val="20"/>
                <w:szCs w:val="20"/>
              </w:rPr>
            </w:pPr>
            <w:r>
              <w:rPr>
                <w:rFonts w:eastAsia="仿宋_GB2312"/>
                <w:color w:val="000000"/>
                <w:sz w:val="20"/>
                <w:szCs w:val="20"/>
              </w:rPr>
              <w:t>　</w:t>
            </w:r>
          </w:p>
        </w:tc>
      </w:tr>
    </w:tbl>
    <w:p>
      <w:pPr>
        <w:jc w:val="left"/>
        <w:rPr>
          <w:rFonts w:eastAsia="仿宋_GB2312"/>
          <w:sz w:val="20"/>
          <w:szCs w:val="20"/>
        </w:rPr>
      </w:pPr>
      <w:r>
        <w:rPr>
          <w:rFonts w:eastAsia="仿宋_GB2312"/>
          <w:sz w:val="20"/>
          <w:szCs w:val="20"/>
        </w:rPr>
        <w:t>备注：每个项目支出分别填报自评报告和自评表。</w:t>
      </w:r>
    </w:p>
    <w:p>
      <w:pPr>
        <w:jc w:val="left"/>
        <w:rPr>
          <w:rFonts w:hint="eastAsia"/>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p>
    <w:p>
      <w:pPr>
        <w:rPr>
          <w:rFonts w:ascii="方正小标宋简体" w:eastAsia="方正小标宋简体"/>
          <w:sz w:val="44"/>
          <w:szCs w:val="44"/>
        </w:rPr>
      </w:pPr>
      <w:r>
        <w:rPr>
          <w:rFonts w:ascii="方正小标宋简体" w:eastAsia="方正小标宋简体"/>
          <w:sz w:val="44"/>
          <w:szCs w:val="44"/>
        </w:rPr>
        <w:br w:type="page"/>
      </w:r>
    </w:p>
    <w:p>
      <w:pPr>
        <w:spacing w:after="120" w:afterLines="50" w:line="600" w:lineRule="exact"/>
        <w:jc w:val="center"/>
        <w:rPr>
          <w:rFonts w:ascii="方正小标宋简体" w:eastAsia="方正小标宋简体"/>
          <w:sz w:val="44"/>
          <w:szCs w:val="44"/>
        </w:rPr>
      </w:pPr>
    </w:p>
    <w:p>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9"/>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专项名称</w:t>
            </w:r>
          </w:p>
        </w:tc>
        <w:tc>
          <w:tcPr>
            <w:tcW w:w="5633" w:type="dxa"/>
            <w:noWrap w:val="0"/>
            <w:vAlign w:val="center"/>
          </w:tcPr>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环境质量监测外包服务经费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年度预算金额</w:t>
            </w:r>
          </w:p>
        </w:tc>
        <w:tc>
          <w:tcPr>
            <w:tcW w:w="5633" w:type="dxa"/>
            <w:noWrap w:val="0"/>
            <w:vAlign w:val="center"/>
          </w:tcPr>
          <w:p>
            <w:pPr>
              <w:spacing w:line="26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34.13万元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项目主管部门</w:t>
            </w:r>
          </w:p>
        </w:tc>
        <w:tc>
          <w:tcPr>
            <w:tcW w:w="5633"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rPr>
              <w:t>永州市生态环境局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项目立项目的</w:t>
            </w:r>
          </w:p>
        </w:tc>
        <w:tc>
          <w:tcPr>
            <w:tcW w:w="5633"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rPr>
              <w:t>委托第三方检测机构开展新田县环境质量检测税费、技术服务费及相关工作。开展常规的生态环境质量监测能科学、客观地反应出区域的生态环境质量和环境污染程度及原因，为地方政府环境保护管理提供精准数据支撑，让环境保护工作有针对性的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项目支出管理和使用基本情况</w:t>
            </w:r>
          </w:p>
        </w:tc>
        <w:tc>
          <w:tcPr>
            <w:tcW w:w="5633" w:type="dxa"/>
            <w:noWrap w:val="0"/>
            <w:vAlign w:val="center"/>
          </w:tcPr>
          <w:p>
            <w:pPr>
              <w:spacing w:line="260" w:lineRule="exact"/>
              <w:jc w:val="center"/>
              <w:rPr>
                <w:rFonts w:hint="default" w:eastAsia="仿宋_GB2312"/>
                <w:color w:val="000000"/>
                <w:sz w:val="20"/>
                <w:szCs w:val="20"/>
                <w:lang w:val="en-US" w:eastAsia="zh-CN"/>
              </w:rPr>
            </w:pPr>
            <w:r>
              <w:rPr>
                <w:rFonts w:hint="eastAsia" w:eastAsia="仿宋_GB2312"/>
                <w:color w:val="000000"/>
                <w:sz w:val="20"/>
                <w:szCs w:val="20"/>
                <w:lang w:eastAsia="zh-CN"/>
              </w:rPr>
              <w:t>项目来源为非同级财政拨款收入，项目收入共计</w:t>
            </w:r>
            <w:r>
              <w:rPr>
                <w:rFonts w:hint="eastAsia" w:eastAsia="仿宋_GB2312"/>
                <w:color w:val="000000"/>
                <w:sz w:val="20"/>
                <w:szCs w:val="20"/>
                <w:lang w:val="en-US" w:eastAsia="zh-CN"/>
              </w:rPr>
              <w:t>34.13万元，项目支出为34.13万元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项目绩效目标完成情况</w:t>
            </w:r>
          </w:p>
        </w:tc>
        <w:tc>
          <w:tcPr>
            <w:tcW w:w="5633"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rPr>
              <w:t>通过委托第三方检测机构开展新田县环境质量检测，动态掌握了县域环境质量情况，为相关环境保护工作提供了强有力的技术支撑；保护了人类健康、保护环境，合理使用自然资源，制订环境法规、标准、规划等服务。对全县3处地表水断面、饮用水源地、重点污染源、万人千吨饮用水源地、农村环境等项目的实施提供技术支撑。</w:t>
            </w:r>
          </w:p>
          <w:p>
            <w:pPr>
              <w:spacing w:line="260" w:lineRule="exact"/>
              <w:jc w:val="center"/>
              <w:rPr>
                <w:rFonts w:eastAsia="仿宋_GB2312"/>
                <w:color w:val="000000"/>
                <w:sz w:val="20"/>
                <w:szCs w:val="20"/>
              </w:rPr>
            </w:pPr>
          </w:p>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存在的问题</w:t>
            </w:r>
          </w:p>
        </w:tc>
        <w:tc>
          <w:tcPr>
            <w:tcW w:w="5633" w:type="dxa"/>
            <w:noWrap w:val="0"/>
            <w:vAlign w:val="center"/>
          </w:tcPr>
          <w:p>
            <w:pPr>
              <w:spacing w:line="260" w:lineRule="exact"/>
              <w:jc w:val="center"/>
              <w:rPr>
                <w:rFonts w:eastAsia="仿宋_GB2312"/>
                <w:color w:val="000000"/>
                <w:sz w:val="20"/>
                <w:szCs w:val="20"/>
              </w:rPr>
            </w:pPr>
          </w:p>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改进措施</w:t>
            </w:r>
          </w:p>
        </w:tc>
        <w:tc>
          <w:tcPr>
            <w:tcW w:w="5633" w:type="dxa"/>
            <w:noWrap w:val="0"/>
            <w:vAlign w:val="center"/>
          </w:tcPr>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rPr>
                <w:rFonts w:eastAsia="仿宋_GB2312"/>
                <w:sz w:val="20"/>
                <w:szCs w:val="20"/>
              </w:rPr>
            </w:pPr>
          </w:p>
        </w:tc>
        <w:tc>
          <w:tcPr>
            <w:tcW w:w="197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其他需要说明问题</w:t>
            </w:r>
          </w:p>
        </w:tc>
        <w:tc>
          <w:tcPr>
            <w:tcW w:w="5633" w:type="dxa"/>
            <w:noWrap w:val="0"/>
            <w:vAlign w:val="center"/>
          </w:tcPr>
          <w:p>
            <w:pPr>
              <w:spacing w:line="260" w:lineRule="exact"/>
              <w:jc w:val="center"/>
              <w:rPr>
                <w:rFonts w:eastAsia="仿宋_GB2312"/>
                <w:color w:val="000000"/>
                <w:sz w:val="20"/>
                <w:szCs w:val="20"/>
              </w:rPr>
            </w:pPr>
          </w:p>
          <w:p>
            <w:pPr>
              <w:spacing w:line="260" w:lineRule="exact"/>
              <w:jc w:val="center"/>
              <w:rPr>
                <w:rFonts w:hint="eastAsia" w:eastAsia="仿宋_GB2312"/>
                <w:color w:val="000000"/>
                <w:sz w:val="20"/>
                <w:szCs w:val="20"/>
                <w:lang w:eastAsia="zh-CN"/>
              </w:rPr>
            </w:pPr>
            <w:r>
              <w:rPr>
                <w:rFonts w:hint="eastAsia" w:eastAsia="仿宋_GB2312"/>
                <w:color w:val="000000"/>
                <w:sz w:val="20"/>
                <w:szCs w:val="20"/>
                <w:lang w:eastAsia="zh-CN"/>
              </w:rPr>
              <w:t>无</w:t>
            </w:r>
          </w:p>
          <w:p>
            <w:pPr>
              <w:spacing w:line="260" w:lineRule="exact"/>
              <w:jc w:val="center"/>
              <w:rPr>
                <w:rFonts w:eastAsia="仿宋_GB2312"/>
                <w:color w:val="000000"/>
                <w:sz w:val="20"/>
                <w:szCs w:val="20"/>
              </w:rPr>
            </w:pPr>
          </w:p>
        </w:tc>
      </w:tr>
    </w:tbl>
    <w:p>
      <w:pPr>
        <w:spacing w:line="320" w:lineRule="atLeast"/>
        <w:jc w:val="left"/>
        <w:rPr>
          <w:rFonts w:eastAsia="仿宋_GB2312"/>
          <w:sz w:val="20"/>
          <w:szCs w:val="20"/>
        </w:rPr>
      </w:pPr>
      <w:r>
        <w:rPr>
          <w:rFonts w:eastAsia="仿宋_GB2312"/>
          <w:sz w:val="20"/>
          <w:szCs w:val="20"/>
        </w:rPr>
        <w:t>备注：每个项目支出分别填报自评报告和自评表。</w:t>
      </w:r>
    </w:p>
    <w:p>
      <w:pPr>
        <w:spacing w:line="600" w:lineRule="exact"/>
        <w:jc w:val="left"/>
        <w:rPr>
          <w:rFonts w:hint="eastAsia" w:eastAsia="黑体"/>
          <w:sz w:val="32"/>
          <w:szCs w:val="3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p>
    <w:p>
      <w:pPr>
        <w:rPr>
          <w:rFonts w:hint="eastAsia" w:ascii="黑体" w:hAnsi="黑体" w:eastAsia="黑体" w:cs="黑体"/>
          <w:sz w:val="32"/>
          <w:szCs w:val="32"/>
        </w:rPr>
      </w:pPr>
      <w:r>
        <w:rPr>
          <w:rFonts w:hint="eastAsia" w:ascii="黑体" w:hAnsi="黑体" w:eastAsia="黑体" w:cs="黑体"/>
          <w:sz w:val="32"/>
          <w:szCs w:val="32"/>
        </w:rPr>
        <w:br w:type="page"/>
      </w:r>
    </w:p>
    <w:p>
      <w:pPr>
        <w:spacing w:after="120" w:afterLines="50" w:line="560" w:lineRule="exact"/>
        <w:jc w:val="center"/>
        <w:rPr>
          <w:rFonts w:ascii="方正小标宋简体" w:eastAsia="方正小标宋简体"/>
          <w:sz w:val="44"/>
          <w:szCs w:val="44"/>
        </w:rPr>
      </w:pPr>
    </w:p>
    <w:p>
      <w:pPr>
        <w:spacing w:after="120" w:afterLines="50" w:line="56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089"/>
        <w:gridCol w:w="141"/>
        <w:gridCol w:w="1140"/>
        <w:gridCol w:w="108"/>
        <w:gridCol w:w="1032"/>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w:t>
            </w:r>
          </w:p>
          <w:p>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10"/>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环境质量监测外包服务经费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rPr>
            </w:pPr>
            <w:r>
              <w:rPr>
                <w:rFonts w:eastAsia="仿宋_GB2312"/>
                <w:color w:val="000000"/>
                <w:sz w:val="20"/>
                <w:szCs w:val="20"/>
              </w:rPr>
              <w:t>主管部门</w:t>
            </w:r>
          </w:p>
        </w:tc>
        <w:tc>
          <w:tcPr>
            <w:tcW w:w="3259" w:type="dxa"/>
            <w:gridSpan w:val="3"/>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永州市生态环境局</w:t>
            </w:r>
          </w:p>
        </w:tc>
        <w:tc>
          <w:tcPr>
            <w:tcW w:w="1389" w:type="dxa"/>
            <w:gridSpan w:val="3"/>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实施单位</w:t>
            </w:r>
          </w:p>
        </w:tc>
        <w:tc>
          <w:tcPr>
            <w:tcW w:w="3887" w:type="dxa"/>
            <w:gridSpan w:val="4"/>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永州市生态环境局新田分局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项目资金</w:t>
            </w:r>
          </w:p>
          <w:p>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年初</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执行数</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执行率</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年度资金总额　</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34.13</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34.13</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34.13</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100.00%</w:t>
            </w:r>
          </w:p>
        </w:tc>
        <w:tc>
          <w:tcPr>
            <w:tcW w:w="1146"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其中：当年财政拨款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上年结转资金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其他资金</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34.13</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34.13</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34.13</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p>
        </w:tc>
        <w:tc>
          <w:tcPr>
            <w:tcW w:w="1146"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年度总体目标</w:t>
            </w:r>
          </w:p>
        </w:tc>
        <w:tc>
          <w:tcPr>
            <w:tcW w:w="4540" w:type="dxa"/>
            <w:gridSpan w:val="5"/>
            <w:noWrap w:val="0"/>
            <w:vAlign w:val="center"/>
          </w:tcPr>
          <w:p>
            <w:pPr>
              <w:spacing w:line="260" w:lineRule="exact"/>
              <w:jc w:val="center"/>
              <w:rPr>
                <w:rFonts w:eastAsia="仿宋_GB2312"/>
                <w:color w:val="000000"/>
                <w:sz w:val="20"/>
                <w:szCs w:val="20"/>
              </w:rPr>
            </w:pPr>
            <w:r>
              <w:rPr>
                <w:rFonts w:eastAsia="仿宋_GB2312"/>
                <w:color w:val="000000"/>
                <w:sz w:val="20"/>
                <w:szCs w:val="20"/>
              </w:rPr>
              <w:t>预期目标</w:t>
            </w:r>
          </w:p>
        </w:tc>
        <w:tc>
          <w:tcPr>
            <w:tcW w:w="3995" w:type="dxa"/>
            <w:gridSpan w:val="5"/>
            <w:noWrap w:val="0"/>
            <w:vAlign w:val="center"/>
          </w:tcPr>
          <w:p>
            <w:pPr>
              <w:spacing w:line="260" w:lineRule="exact"/>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4540" w:type="dxa"/>
            <w:gridSpan w:val="5"/>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委托第三方检测机构开展新田县环境质量检测税费、技术服务费及相关工作。开展常规的生态环境质量监测能科学、客观地反应出区域的生态环境质量和环境污染程度及原因，为地方政府环境保护管理提供精准数据支撑，让环境保护工作有针对性的进行。</w:t>
            </w:r>
          </w:p>
        </w:tc>
        <w:tc>
          <w:tcPr>
            <w:tcW w:w="3995" w:type="dxa"/>
            <w:gridSpan w:val="5"/>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通过委托第三方检测机构开展新田县环境质量检测，动态掌握了县域环境质量情况，为相关环境保护工作提供了强有力的技术支撑；保护了人类健康、保护环境，合理使用自然资源，制订环境法规、标准、规划等服务。对全县3处地表水断面、饮用水源地、重点污染源、万人千吨饮用水源地、农村环境等项目的实施提供技术支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绩</w:t>
            </w:r>
          </w:p>
          <w:p>
            <w:pPr>
              <w:jc w:val="center"/>
              <w:rPr>
                <w:rFonts w:eastAsia="仿宋_GB2312"/>
                <w:color w:val="000000"/>
                <w:sz w:val="20"/>
                <w:szCs w:val="20"/>
              </w:rPr>
            </w:pPr>
            <w:r>
              <w:rPr>
                <w:rFonts w:eastAsia="仿宋_GB2312"/>
                <w:color w:val="000000"/>
                <w:sz w:val="20"/>
                <w:szCs w:val="20"/>
              </w:rPr>
              <w:t>效</w:t>
            </w:r>
          </w:p>
          <w:p>
            <w:pPr>
              <w:jc w:val="center"/>
              <w:rPr>
                <w:rFonts w:eastAsia="仿宋_GB2312"/>
                <w:color w:val="000000"/>
                <w:sz w:val="20"/>
                <w:szCs w:val="20"/>
              </w:rPr>
            </w:pPr>
            <w:r>
              <w:rPr>
                <w:rFonts w:eastAsia="仿宋_GB2312"/>
                <w:color w:val="000000"/>
                <w:sz w:val="20"/>
                <w:szCs w:val="20"/>
              </w:rPr>
              <w:t>指</w:t>
            </w:r>
          </w:p>
          <w:p>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二级指标</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年度</w:t>
            </w:r>
          </w:p>
          <w:p>
            <w:pPr>
              <w:spacing w:line="260" w:lineRule="exact"/>
              <w:jc w:val="center"/>
              <w:rPr>
                <w:rFonts w:eastAsia="仿宋_GB2312"/>
                <w:color w:val="000000"/>
                <w:sz w:val="20"/>
                <w:szCs w:val="20"/>
              </w:rPr>
            </w:pPr>
            <w:r>
              <w:rPr>
                <w:rFonts w:eastAsia="仿宋_GB2312"/>
                <w:color w:val="000000"/>
                <w:sz w:val="20"/>
                <w:szCs w:val="20"/>
              </w:rPr>
              <w:t>指标值</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实际</w:t>
            </w:r>
          </w:p>
          <w:p>
            <w:pPr>
              <w:spacing w:line="26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偏差原因</w:t>
            </w:r>
          </w:p>
          <w:p>
            <w:pPr>
              <w:spacing w:line="260" w:lineRule="exact"/>
              <w:jc w:val="center"/>
              <w:rPr>
                <w:rFonts w:eastAsia="仿宋_GB2312"/>
                <w:color w:val="000000"/>
                <w:sz w:val="20"/>
                <w:szCs w:val="20"/>
              </w:rPr>
            </w:pPr>
            <w:r>
              <w:rPr>
                <w:rFonts w:eastAsia="仿宋_GB2312"/>
                <w:color w:val="000000"/>
                <w:sz w:val="20"/>
                <w:szCs w:val="20"/>
              </w:rPr>
              <w:t>分析及</w:t>
            </w:r>
          </w:p>
          <w:p>
            <w:pPr>
              <w:spacing w:line="260" w:lineRule="exact"/>
              <w:jc w:val="center"/>
              <w:rPr>
                <w:rFonts w:eastAsia="仿宋_GB2312"/>
                <w:color w:val="000000"/>
                <w:sz w:val="20"/>
                <w:szCs w:val="20"/>
              </w:rPr>
            </w:pPr>
            <w:r>
              <w:rPr>
                <w:rFonts w:eastAsia="仿宋_GB2312"/>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restart"/>
            <w:noWrap w:val="0"/>
            <w:vAlign w:val="center"/>
          </w:tcPr>
          <w:p>
            <w:pPr>
              <w:spacing w:line="260" w:lineRule="exact"/>
              <w:jc w:val="center"/>
              <w:rPr>
                <w:rFonts w:hint="eastAsia" w:eastAsia="仿宋_GB2312"/>
                <w:color w:val="000000"/>
                <w:sz w:val="20"/>
                <w:szCs w:val="20"/>
                <w:lang w:val="en"/>
              </w:rPr>
            </w:pPr>
            <w:r>
              <w:rPr>
                <w:rFonts w:hint="eastAsia" w:eastAsia="仿宋_GB2312"/>
                <w:color w:val="000000"/>
                <w:sz w:val="20"/>
                <w:szCs w:val="20"/>
                <w:lang w:val="en-US" w:eastAsia="zh-CN"/>
              </w:rPr>
              <w:t>产出指标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数量指标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3处地表水断面、饮用水源地、重点污染源、万人千吨饮用水源地、农村环境等地，共10处场所进行环境质量监测</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10处</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10处</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质量指标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3处地表水断面、饮用水源地、重点污染源、万人千吨饮用水源地、农村环境等地的检测数据有效，且各项检测指标达标率</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2" w:hRule="exac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时效指标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在规定时间完成</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restart"/>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效益指标</w:t>
            </w:r>
          </w:p>
        </w:tc>
        <w:tc>
          <w:tcPr>
            <w:tcW w:w="1085" w:type="dxa"/>
            <w:noWrap w:val="0"/>
            <w:vAlign w:val="center"/>
          </w:tcPr>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社会效益指标</w:t>
            </w:r>
          </w:p>
        </w:tc>
        <w:tc>
          <w:tcPr>
            <w:tcW w:w="1230" w:type="dxa"/>
            <w:gridSpan w:val="2"/>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为地方政府环境保护管理提供精准数据支撑</w:t>
            </w:r>
          </w:p>
        </w:tc>
        <w:tc>
          <w:tcPr>
            <w:tcW w:w="1140" w:type="dxa"/>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开展常规的生态环境质量监测能科学、客观地反应出区域的生态环境质量和环境污染程度及原因，为地方政府环境保护管理提供精准数据支撑，让环境保护工作有针对性的进行</w:t>
            </w:r>
          </w:p>
        </w:tc>
        <w:tc>
          <w:tcPr>
            <w:tcW w:w="1140" w:type="dxa"/>
            <w:gridSpan w:val="2"/>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开展常规的生态环境质量监测能科学、客观地反应出区域的生态环境质量和环境污染程度及原因，为地方政府环境保护管理提供精准数据支撑，让环境保护工作有针对性的进行</w:t>
            </w:r>
          </w:p>
        </w:tc>
        <w:tc>
          <w:tcPr>
            <w:tcW w:w="832" w:type="dxa"/>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生态效益指标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通过环境监测，了解污染物排放情况，为环境执法、监督管理和控制污染提供依据；为保护人类健康、保护环境、合理使用自然资源，制定环境法规等服务</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持续</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持续</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满意度指标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服务对象满意度指标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受监测地的群众满意度</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90%以上</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93.1%</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成本指标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经济成本指标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控制预算金额内支出（万元）</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34.13</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34.13</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8"/>
            <w:noWrap w:val="0"/>
            <w:vAlign w:val="center"/>
          </w:tcPr>
          <w:p>
            <w:pPr>
              <w:spacing w:line="260" w:lineRule="exact"/>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pPr>
              <w:spacing w:line="260" w:lineRule="exact"/>
              <w:jc w:val="center"/>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bl>
    <w:p>
      <w:pPr>
        <w:jc w:val="left"/>
        <w:rPr>
          <w:rFonts w:eastAsia="仿宋_GB2312"/>
          <w:sz w:val="20"/>
          <w:szCs w:val="20"/>
        </w:rPr>
      </w:pPr>
      <w:r>
        <w:rPr>
          <w:rFonts w:eastAsia="仿宋_GB2312"/>
          <w:sz w:val="20"/>
          <w:szCs w:val="20"/>
        </w:rPr>
        <w:t>备注：每个项目支出分别填报自评报告和自评表。</w:t>
      </w:r>
    </w:p>
    <w:p>
      <w:pPr>
        <w:jc w:val="left"/>
        <w:rPr>
          <w:rFonts w:eastAsia="仿宋_GB2312"/>
          <w:sz w:val="20"/>
          <w:szCs w:val="20"/>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p>
    <w:p>
      <w:pPr>
        <w:pStyle w:val="2"/>
        <w:rPr>
          <w:rFonts w:hint="eastAsia"/>
        </w:rPr>
      </w:pPr>
    </w:p>
    <w:p>
      <w:pPr>
        <w:rPr>
          <w:rFonts w:ascii="方正小标宋简体" w:eastAsia="方正小标宋简体"/>
          <w:sz w:val="44"/>
          <w:szCs w:val="44"/>
        </w:rPr>
      </w:pPr>
      <w:r>
        <w:rPr>
          <w:rFonts w:ascii="方正小标宋简体" w:eastAsia="方正小标宋简体"/>
          <w:sz w:val="44"/>
          <w:szCs w:val="44"/>
        </w:rPr>
        <w:br w:type="page"/>
      </w:r>
    </w:p>
    <w:p>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9"/>
        <w:tblpPr w:leftFromText="180" w:rightFromText="180" w:vertAnchor="text" w:horzAnchor="page" w:tblpX="878" w:tblpY="187"/>
        <w:tblW w:w="970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9"/>
        <w:gridCol w:w="1972"/>
        <w:gridCol w:w="57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39" w:type="dxa"/>
            <w:vMerge w:val="restart"/>
            <w:noWrap w:val="0"/>
            <w:vAlign w:val="center"/>
          </w:tcPr>
          <w:p>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pPr>
              <w:spacing w:line="576" w:lineRule="exact"/>
              <w:jc w:val="center"/>
              <w:rPr>
                <w:rFonts w:eastAsia="仿宋_GB2312"/>
                <w:sz w:val="20"/>
                <w:szCs w:val="20"/>
              </w:rPr>
            </w:pPr>
            <w:r>
              <w:rPr>
                <w:rFonts w:eastAsia="仿宋_GB2312"/>
                <w:sz w:val="20"/>
                <w:szCs w:val="20"/>
              </w:rPr>
              <w:t>专项名称</w:t>
            </w:r>
          </w:p>
        </w:tc>
        <w:tc>
          <w:tcPr>
            <w:tcW w:w="5792" w:type="dxa"/>
            <w:noWrap w:val="0"/>
            <w:vAlign w:val="center"/>
          </w:tcPr>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大气质量服务外包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39"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年度预算金额</w:t>
            </w:r>
          </w:p>
        </w:tc>
        <w:tc>
          <w:tcPr>
            <w:tcW w:w="5792" w:type="dxa"/>
            <w:noWrap w:val="0"/>
            <w:vAlign w:val="center"/>
          </w:tcPr>
          <w:p>
            <w:pPr>
              <w:spacing w:line="26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32.1万元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39"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项目主管部门</w:t>
            </w:r>
          </w:p>
        </w:tc>
        <w:tc>
          <w:tcPr>
            <w:tcW w:w="5792" w:type="dxa"/>
            <w:noWrap w:val="0"/>
            <w:vAlign w:val="center"/>
          </w:tcPr>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永州市生态环境局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39"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项目立项目的</w:t>
            </w:r>
          </w:p>
        </w:tc>
        <w:tc>
          <w:tcPr>
            <w:tcW w:w="5792" w:type="dxa"/>
            <w:noWrap w:val="0"/>
            <w:vAlign w:val="center"/>
          </w:tcPr>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压紧压实责任，深入推进大气污染防治九大攻坚行动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939" w:type="dxa"/>
            <w:vMerge w:val="restart"/>
            <w:noWrap w:val="0"/>
            <w:vAlign w:val="center"/>
          </w:tcPr>
          <w:p>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项目支出管理和使用基本情况</w:t>
            </w:r>
          </w:p>
        </w:tc>
        <w:tc>
          <w:tcPr>
            <w:tcW w:w="5792" w:type="dxa"/>
            <w:noWrap w:val="0"/>
            <w:vAlign w:val="center"/>
          </w:tcPr>
          <w:p>
            <w:pPr>
              <w:spacing w:line="26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项目来源为非同级财政拨款收入，项目收入共计32.1万元，项目支出共计32.1万元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939"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项目绩效目标完成情况</w:t>
            </w:r>
          </w:p>
        </w:tc>
        <w:tc>
          <w:tcPr>
            <w:tcW w:w="5792" w:type="dxa"/>
            <w:noWrap w:val="0"/>
            <w:vAlign w:val="center"/>
          </w:tcPr>
          <w:p>
            <w:pPr>
              <w:spacing w:line="260" w:lineRule="exact"/>
              <w:jc w:val="center"/>
              <w:rPr>
                <w:rFonts w:hint="eastAsia" w:eastAsia="仿宋_GB2312"/>
                <w:color w:val="000000"/>
                <w:sz w:val="20"/>
                <w:szCs w:val="20"/>
                <w:lang w:val="en-US" w:eastAsia="zh-CN"/>
              </w:rPr>
            </w:pPr>
          </w:p>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深入贯彻落实省、市大气污染治理专项行动，成立工作专班，出台工作方案，压紧压实责任，深入推进大气污染防治九大攻坚行动。持续实施石化、人造板、家具涂装等重点行业治理，完成2家企业VOCs治理。完成了160辆柴油货车路检路查任务和80台非道路移动机械尾气监测任务，在全市率先达成目标。对辖区内涉气企业进行专项排查整治及帮扶指导，共执法检查涉工业炉窑、锅炉企业122次，发现并整改到位问题8个；涉VOCs重点行业企业132次，发现并整改到位问题9个。2023年新田空气质量继续保持国家二级标准，综合指数2.77，同比改善0.7%，PM2.5浓度维持在30微克/立方米以下，优良率95.6%，同比改善4.1%，未出现重度污染天气。</w:t>
            </w:r>
          </w:p>
          <w:p>
            <w:pPr>
              <w:spacing w:line="260" w:lineRule="exact"/>
              <w:jc w:val="center"/>
              <w:rPr>
                <w:rFonts w:hint="eastAsia" w:eastAsia="仿宋_GB2312"/>
                <w:color w:val="00000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939" w:type="dxa"/>
            <w:vMerge w:val="restart"/>
            <w:noWrap w:val="0"/>
            <w:vAlign w:val="center"/>
          </w:tcPr>
          <w:p>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pPr>
              <w:spacing w:line="576" w:lineRule="exact"/>
              <w:jc w:val="center"/>
              <w:rPr>
                <w:rFonts w:eastAsia="仿宋_GB2312"/>
                <w:sz w:val="20"/>
                <w:szCs w:val="20"/>
              </w:rPr>
            </w:pPr>
            <w:r>
              <w:rPr>
                <w:rFonts w:eastAsia="仿宋_GB2312"/>
                <w:sz w:val="20"/>
                <w:szCs w:val="20"/>
              </w:rPr>
              <w:t>存在的问题</w:t>
            </w:r>
          </w:p>
        </w:tc>
        <w:tc>
          <w:tcPr>
            <w:tcW w:w="5792" w:type="dxa"/>
            <w:noWrap w:val="0"/>
            <w:vAlign w:val="center"/>
          </w:tcPr>
          <w:p>
            <w:pPr>
              <w:spacing w:line="576" w:lineRule="exact"/>
              <w:ind w:right="879" w:rightChars="419"/>
              <w:jc w:val="center"/>
              <w:rPr>
                <w:rFonts w:hint="eastAsia" w:eastAsia="宋体"/>
                <w:sz w:val="22"/>
                <w:szCs w:val="22"/>
                <w:lang w:eastAsia="zh-CN"/>
              </w:rPr>
            </w:pPr>
            <w:r>
              <w:rPr>
                <w:rFonts w:hint="eastAsia"/>
                <w:sz w:val="22"/>
                <w:szCs w:val="22"/>
                <w:lang w:eastAsia="zh-CN"/>
              </w:rPr>
              <w:t>无</w:t>
            </w:r>
          </w:p>
          <w:p>
            <w:pPr>
              <w:spacing w:line="576" w:lineRule="exact"/>
              <w:ind w:right="879" w:rightChars="419"/>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939"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改进措施</w:t>
            </w:r>
          </w:p>
        </w:tc>
        <w:tc>
          <w:tcPr>
            <w:tcW w:w="5792" w:type="dxa"/>
            <w:noWrap w:val="0"/>
            <w:vAlign w:val="center"/>
          </w:tcPr>
          <w:p>
            <w:pPr>
              <w:spacing w:line="576" w:lineRule="exact"/>
              <w:ind w:right="879" w:rightChars="419"/>
              <w:jc w:val="center"/>
              <w:rPr>
                <w:rFonts w:hint="eastAsia" w:eastAsia="宋体"/>
                <w:sz w:val="22"/>
                <w:szCs w:val="22"/>
                <w:lang w:eastAsia="zh-CN"/>
              </w:rPr>
            </w:pPr>
            <w:r>
              <w:rPr>
                <w:rFonts w:hint="eastAsia"/>
                <w:sz w:val="22"/>
                <w:szCs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939" w:type="dxa"/>
            <w:vMerge w:val="continue"/>
            <w:noWrap w:val="0"/>
            <w:vAlign w:val="top"/>
          </w:tcPr>
          <w:p>
            <w:pPr>
              <w:rPr>
                <w:rFonts w:eastAsia="仿宋_GB2312"/>
                <w:sz w:val="20"/>
                <w:szCs w:val="20"/>
              </w:rPr>
            </w:pPr>
          </w:p>
        </w:tc>
        <w:tc>
          <w:tcPr>
            <w:tcW w:w="1972" w:type="dxa"/>
            <w:noWrap w:val="0"/>
            <w:vAlign w:val="center"/>
          </w:tcPr>
          <w:p>
            <w:pPr>
              <w:spacing w:line="576" w:lineRule="exact"/>
              <w:jc w:val="center"/>
              <w:rPr>
                <w:rFonts w:eastAsia="仿宋_GB2312"/>
                <w:sz w:val="20"/>
                <w:szCs w:val="20"/>
              </w:rPr>
            </w:pPr>
            <w:r>
              <w:rPr>
                <w:rFonts w:eastAsia="仿宋_GB2312"/>
                <w:sz w:val="20"/>
                <w:szCs w:val="20"/>
              </w:rPr>
              <w:t>其他需要说明问题</w:t>
            </w:r>
          </w:p>
        </w:tc>
        <w:tc>
          <w:tcPr>
            <w:tcW w:w="5792" w:type="dxa"/>
            <w:noWrap w:val="0"/>
            <w:vAlign w:val="center"/>
          </w:tcPr>
          <w:p>
            <w:pPr>
              <w:spacing w:line="576" w:lineRule="exact"/>
              <w:ind w:right="879" w:rightChars="419"/>
              <w:rPr>
                <w:sz w:val="22"/>
                <w:szCs w:val="22"/>
              </w:rPr>
            </w:pPr>
          </w:p>
          <w:p>
            <w:pPr>
              <w:spacing w:line="576" w:lineRule="exact"/>
              <w:ind w:right="879" w:rightChars="419"/>
              <w:rPr>
                <w:rFonts w:hint="eastAsia" w:eastAsia="宋体"/>
                <w:sz w:val="22"/>
                <w:szCs w:val="22"/>
                <w:lang w:eastAsia="zh-CN"/>
              </w:rPr>
            </w:pPr>
            <w:r>
              <w:rPr>
                <w:rFonts w:hint="eastAsia"/>
                <w:sz w:val="22"/>
                <w:szCs w:val="22"/>
                <w:lang w:eastAsia="zh-CN"/>
              </w:rPr>
              <w:t>无</w:t>
            </w:r>
          </w:p>
          <w:p>
            <w:pPr>
              <w:spacing w:line="576" w:lineRule="exact"/>
              <w:ind w:right="879" w:rightChars="419"/>
              <w:rPr>
                <w:sz w:val="22"/>
                <w:szCs w:val="22"/>
              </w:rPr>
            </w:pPr>
          </w:p>
        </w:tc>
      </w:tr>
    </w:tbl>
    <w:p>
      <w:pPr>
        <w:spacing w:line="320" w:lineRule="atLeast"/>
        <w:jc w:val="left"/>
        <w:rPr>
          <w:rFonts w:eastAsia="仿宋_GB2312"/>
          <w:sz w:val="20"/>
          <w:szCs w:val="20"/>
        </w:rPr>
      </w:pPr>
      <w:r>
        <w:rPr>
          <w:rFonts w:eastAsia="仿宋_GB2312"/>
          <w:sz w:val="20"/>
          <w:szCs w:val="20"/>
        </w:rPr>
        <w:t>备注：每个项目支出分别填报自评报告和自评表。</w:t>
      </w:r>
    </w:p>
    <w:p>
      <w:pPr>
        <w:spacing w:after="240" w:afterLines="100" w:line="600" w:lineRule="exact"/>
        <w:jc w:val="left"/>
        <w:rPr>
          <w:rFonts w:eastAsia="仿宋_GB2312"/>
          <w:sz w:val="22"/>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w:t>
      </w:r>
      <w:r>
        <w:rPr>
          <w:rFonts w:hint="eastAsia" w:eastAsia="仿宋_GB2312"/>
          <w:sz w:val="22"/>
          <w:lang w:val="en-US" w:eastAsia="zh-CN"/>
        </w:rPr>
        <w:t xml:space="preserve">       </w:t>
      </w:r>
      <w:r>
        <w:rPr>
          <w:rFonts w:eastAsia="仿宋_GB2312"/>
          <w:sz w:val="22"/>
        </w:rPr>
        <w:t>话：</w:t>
      </w:r>
      <w:r>
        <w:rPr>
          <w:rFonts w:hint="eastAsia" w:eastAsia="仿宋_GB2312"/>
          <w:sz w:val="22"/>
          <w:lang w:val="en-US" w:eastAsia="zh-CN"/>
        </w:rPr>
        <w:t>18390248336</w:t>
      </w:r>
      <w:r>
        <w:rPr>
          <w:rFonts w:eastAsia="仿宋_GB2312"/>
          <w:sz w:val="22"/>
        </w:rPr>
        <w:t xml:space="preserve">  单位负责人签字：</w:t>
      </w:r>
    </w:p>
    <w:p>
      <w:pPr>
        <w:rPr>
          <w:rFonts w:eastAsia="仿宋_GB2312"/>
          <w:sz w:val="22"/>
        </w:rPr>
      </w:pPr>
      <w:r>
        <w:rPr>
          <w:rFonts w:eastAsia="仿宋_GB2312"/>
          <w:sz w:val="22"/>
        </w:rPr>
        <w:br w:type="page"/>
      </w:r>
    </w:p>
    <w:p>
      <w:pPr>
        <w:spacing w:after="120" w:afterLines="50" w:line="560" w:lineRule="exact"/>
        <w:jc w:val="center"/>
        <w:rPr>
          <w:rFonts w:ascii="方正小标宋简体" w:eastAsia="方正小标宋简体"/>
          <w:sz w:val="44"/>
          <w:szCs w:val="44"/>
        </w:rPr>
      </w:pPr>
    </w:p>
    <w:p>
      <w:pPr>
        <w:spacing w:after="120" w:afterLines="50" w:line="56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089"/>
        <w:gridCol w:w="141"/>
        <w:gridCol w:w="1140"/>
        <w:gridCol w:w="108"/>
        <w:gridCol w:w="1032"/>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项目支</w:t>
            </w:r>
          </w:p>
          <w:p>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10"/>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大气质量服务外包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rPr>
            </w:pPr>
            <w:r>
              <w:rPr>
                <w:rFonts w:eastAsia="仿宋_GB2312"/>
                <w:color w:val="000000"/>
                <w:sz w:val="20"/>
                <w:szCs w:val="20"/>
              </w:rPr>
              <w:t>主管部门</w:t>
            </w:r>
          </w:p>
        </w:tc>
        <w:tc>
          <w:tcPr>
            <w:tcW w:w="3259" w:type="dxa"/>
            <w:gridSpan w:val="3"/>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永州市生态环境局</w:t>
            </w:r>
          </w:p>
        </w:tc>
        <w:tc>
          <w:tcPr>
            <w:tcW w:w="1389" w:type="dxa"/>
            <w:gridSpan w:val="3"/>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实施单位</w:t>
            </w:r>
          </w:p>
        </w:tc>
        <w:tc>
          <w:tcPr>
            <w:tcW w:w="3887" w:type="dxa"/>
            <w:gridSpan w:val="4"/>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永州市生态环境局新田分局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项目资金</w:t>
            </w:r>
          </w:p>
          <w:p>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年初</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预算数</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全年</w:t>
            </w:r>
          </w:p>
          <w:p>
            <w:pPr>
              <w:spacing w:line="260" w:lineRule="exact"/>
              <w:jc w:val="center"/>
              <w:rPr>
                <w:rFonts w:eastAsia="仿宋_GB2312"/>
                <w:color w:val="000000"/>
                <w:sz w:val="20"/>
                <w:szCs w:val="20"/>
              </w:rPr>
            </w:pPr>
            <w:r>
              <w:rPr>
                <w:rFonts w:eastAsia="仿宋_GB2312"/>
                <w:color w:val="000000"/>
                <w:sz w:val="20"/>
                <w:szCs w:val="20"/>
              </w:rPr>
              <w:t>执行数</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执行率</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年度资金总额　</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32.1</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32.1</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32.1</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100.00%</w:t>
            </w:r>
          </w:p>
        </w:tc>
        <w:tc>
          <w:tcPr>
            <w:tcW w:w="1146"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其中：当年财政拨款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上年结转资金　</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217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其他资金</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32.1</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32.1</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32.1</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年度总体目标</w:t>
            </w:r>
          </w:p>
        </w:tc>
        <w:tc>
          <w:tcPr>
            <w:tcW w:w="4540" w:type="dxa"/>
            <w:gridSpan w:val="5"/>
            <w:noWrap w:val="0"/>
            <w:vAlign w:val="center"/>
          </w:tcPr>
          <w:p>
            <w:pPr>
              <w:spacing w:line="260" w:lineRule="exact"/>
              <w:jc w:val="center"/>
              <w:rPr>
                <w:rFonts w:eastAsia="仿宋_GB2312"/>
                <w:color w:val="000000"/>
                <w:sz w:val="20"/>
                <w:szCs w:val="20"/>
              </w:rPr>
            </w:pPr>
            <w:r>
              <w:rPr>
                <w:rFonts w:eastAsia="仿宋_GB2312"/>
                <w:color w:val="000000"/>
                <w:sz w:val="20"/>
                <w:szCs w:val="20"/>
              </w:rPr>
              <w:t>预期目标</w:t>
            </w:r>
          </w:p>
        </w:tc>
        <w:tc>
          <w:tcPr>
            <w:tcW w:w="3995" w:type="dxa"/>
            <w:gridSpan w:val="5"/>
            <w:noWrap w:val="0"/>
            <w:vAlign w:val="center"/>
          </w:tcPr>
          <w:p>
            <w:pPr>
              <w:spacing w:line="260" w:lineRule="exact"/>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rPr>
            </w:pPr>
          </w:p>
        </w:tc>
        <w:tc>
          <w:tcPr>
            <w:tcW w:w="4540" w:type="dxa"/>
            <w:gridSpan w:val="5"/>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压紧压实责任，深入推进大气污染防治九大攻坚行动</w:t>
            </w:r>
          </w:p>
        </w:tc>
        <w:tc>
          <w:tcPr>
            <w:tcW w:w="3995" w:type="dxa"/>
            <w:gridSpan w:val="5"/>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深入贯彻落实省、市大气污染治理专项行动，成立工作专班，出台工作方案，压紧压实责任，深入推进大气污染防治九大攻坚行动。持续实施石化、人造板、家具涂装等重点行业治理，完成2家企业VOCs治理。完成了160辆柴油货车路检路查任务和80台非道路移动机械尾气监测任务，在全市率先达成目标。对辖区内涉气企业进行专项排查整治及帮扶指导，共执法检查涉工业炉窑、锅炉企业122次，发现并整改到位问题8个；涉VOCs重点行业企业132次，发现并整改到位问题9个。2023年新田空气质量继续保持国家二级标准，综合指数2.77，同比改善0.7%，PM2.5浓度维持在30微克/立方米以下，优良率95.6%，同比改善4.1%，未出现重度污染天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rPr>
            </w:pPr>
            <w:r>
              <w:rPr>
                <w:rFonts w:eastAsia="仿宋_GB2312"/>
                <w:color w:val="000000"/>
                <w:sz w:val="20"/>
                <w:szCs w:val="20"/>
              </w:rPr>
              <w:t>绩</w:t>
            </w:r>
          </w:p>
          <w:p>
            <w:pPr>
              <w:jc w:val="center"/>
              <w:rPr>
                <w:rFonts w:eastAsia="仿宋_GB2312"/>
                <w:color w:val="000000"/>
                <w:sz w:val="20"/>
                <w:szCs w:val="20"/>
              </w:rPr>
            </w:pPr>
            <w:r>
              <w:rPr>
                <w:rFonts w:eastAsia="仿宋_GB2312"/>
                <w:color w:val="000000"/>
                <w:sz w:val="20"/>
                <w:szCs w:val="20"/>
              </w:rPr>
              <w:t>效</w:t>
            </w:r>
          </w:p>
          <w:p>
            <w:pPr>
              <w:jc w:val="center"/>
              <w:rPr>
                <w:rFonts w:eastAsia="仿宋_GB2312"/>
                <w:color w:val="000000"/>
                <w:sz w:val="20"/>
                <w:szCs w:val="20"/>
              </w:rPr>
            </w:pPr>
            <w:r>
              <w:rPr>
                <w:rFonts w:eastAsia="仿宋_GB2312"/>
                <w:color w:val="000000"/>
                <w:sz w:val="20"/>
                <w:szCs w:val="20"/>
              </w:rPr>
              <w:t>指</w:t>
            </w:r>
          </w:p>
          <w:p>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二级指标</w:t>
            </w:r>
          </w:p>
        </w:tc>
        <w:tc>
          <w:tcPr>
            <w:tcW w:w="123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年度</w:t>
            </w:r>
          </w:p>
          <w:p>
            <w:pPr>
              <w:spacing w:line="260" w:lineRule="exact"/>
              <w:jc w:val="center"/>
              <w:rPr>
                <w:rFonts w:eastAsia="仿宋_GB2312"/>
                <w:color w:val="000000"/>
                <w:sz w:val="20"/>
                <w:szCs w:val="20"/>
              </w:rPr>
            </w:pPr>
            <w:r>
              <w:rPr>
                <w:rFonts w:eastAsia="仿宋_GB2312"/>
                <w:color w:val="000000"/>
                <w:sz w:val="20"/>
                <w:szCs w:val="20"/>
              </w:rPr>
              <w:t>指标值</w:t>
            </w:r>
          </w:p>
        </w:tc>
        <w:tc>
          <w:tcPr>
            <w:tcW w:w="1140" w:type="dxa"/>
            <w:gridSpan w:val="2"/>
            <w:noWrap w:val="0"/>
            <w:vAlign w:val="center"/>
          </w:tcPr>
          <w:p>
            <w:pPr>
              <w:spacing w:line="260" w:lineRule="exact"/>
              <w:jc w:val="center"/>
              <w:rPr>
                <w:rFonts w:eastAsia="仿宋_GB2312"/>
                <w:color w:val="000000"/>
                <w:sz w:val="20"/>
                <w:szCs w:val="20"/>
              </w:rPr>
            </w:pPr>
            <w:r>
              <w:rPr>
                <w:rFonts w:eastAsia="仿宋_GB2312"/>
                <w:color w:val="000000"/>
                <w:sz w:val="20"/>
                <w:szCs w:val="20"/>
              </w:rPr>
              <w:t>实际</w:t>
            </w:r>
          </w:p>
          <w:p>
            <w:pPr>
              <w:spacing w:line="26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偏差原因</w:t>
            </w:r>
          </w:p>
          <w:p>
            <w:pPr>
              <w:spacing w:line="260" w:lineRule="exact"/>
              <w:jc w:val="center"/>
              <w:rPr>
                <w:rFonts w:eastAsia="仿宋_GB2312"/>
                <w:color w:val="000000"/>
                <w:sz w:val="20"/>
                <w:szCs w:val="20"/>
              </w:rPr>
            </w:pPr>
            <w:r>
              <w:rPr>
                <w:rFonts w:eastAsia="仿宋_GB2312"/>
                <w:color w:val="000000"/>
                <w:sz w:val="20"/>
                <w:szCs w:val="20"/>
              </w:rPr>
              <w:t>分析及</w:t>
            </w:r>
          </w:p>
          <w:p>
            <w:pPr>
              <w:spacing w:line="260" w:lineRule="exact"/>
              <w:jc w:val="center"/>
              <w:rPr>
                <w:rFonts w:eastAsia="仿宋_GB2312"/>
                <w:color w:val="000000"/>
                <w:sz w:val="20"/>
                <w:szCs w:val="20"/>
              </w:rPr>
            </w:pPr>
            <w:r>
              <w:rPr>
                <w:rFonts w:eastAsia="仿宋_GB2312"/>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restart"/>
            <w:noWrap w:val="0"/>
            <w:vAlign w:val="center"/>
          </w:tcPr>
          <w:p>
            <w:pPr>
              <w:spacing w:line="260" w:lineRule="exact"/>
              <w:jc w:val="center"/>
              <w:rPr>
                <w:rFonts w:hint="eastAsia" w:eastAsia="仿宋_GB2312"/>
                <w:color w:val="000000"/>
                <w:sz w:val="20"/>
                <w:szCs w:val="20"/>
                <w:lang w:val="en"/>
              </w:rPr>
            </w:pPr>
            <w:r>
              <w:rPr>
                <w:rFonts w:hint="eastAsia" w:eastAsia="仿宋_GB2312"/>
                <w:color w:val="000000"/>
                <w:sz w:val="20"/>
                <w:szCs w:val="20"/>
                <w:lang w:val="en-US" w:eastAsia="zh-CN"/>
              </w:rPr>
              <w:t>产出指标</w:t>
            </w:r>
          </w:p>
        </w:tc>
        <w:tc>
          <w:tcPr>
            <w:tcW w:w="1085" w:type="dxa"/>
            <w:vMerge w:val="restart"/>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数量指标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企业VOCs治理</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柴油货车路检路查</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160</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160</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35" w:hRule="exac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非道路移动机械尾气监测</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80</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80</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质量指标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空气质量优良率</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90%以上</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95.6%</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5"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时效指标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在规定时间内完成</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restart"/>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效益指标</w:t>
            </w:r>
          </w:p>
        </w:tc>
        <w:tc>
          <w:tcPr>
            <w:tcW w:w="1085" w:type="dxa"/>
            <w:noWrap w:val="0"/>
            <w:vAlign w:val="center"/>
          </w:tcPr>
          <w:p>
            <w:pPr>
              <w:spacing w:line="26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社会效益指标</w:t>
            </w:r>
          </w:p>
        </w:tc>
        <w:tc>
          <w:tcPr>
            <w:tcW w:w="1230" w:type="dxa"/>
            <w:gridSpan w:val="2"/>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公众生态环保意识提升</w:t>
            </w:r>
          </w:p>
        </w:tc>
        <w:tc>
          <w:tcPr>
            <w:tcW w:w="1140" w:type="dxa"/>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提升</w:t>
            </w:r>
          </w:p>
        </w:tc>
        <w:tc>
          <w:tcPr>
            <w:tcW w:w="1140" w:type="dxa"/>
            <w:gridSpan w:val="2"/>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提升</w:t>
            </w:r>
          </w:p>
        </w:tc>
        <w:tc>
          <w:tcPr>
            <w:tcW w:w="832" w:type="dxa"/>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lang w:val="en-US" w:eastAsia="zh-CN"/>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生态效益指标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环境质量得到保护与改善</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改善</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改善</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noWrap w:val="0"/>
            <w:vAlign w:val="center"/>
          </w:tcPr>
          <w:p>
            <w:pPr>
              <w:jc w:val="left"/>
              <w:rPr>
                <w:rFonts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满意度指标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服务对象满意度指标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社会公众满意度</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90%以上</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91.6%</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成本指标</w:t>
            </w: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经济成本指标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控制在预算金额以内（万元）</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32.1</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32.1</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restart"/>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产出指标</w:t>
            </w:r>
          </w:p>
        </w:tc>
        <w:tc>
          <w:tcPr>
            <w:tcW w:w="1085" w:type="dxa"/>
            <w:vMerge w:val="restart"/>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数量指标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企业VOCs治理</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柴油货车路检路查</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160</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160</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非道路移动机械尾气监测</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80</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80</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5.00</w:t>
            </w:r>
          </w:p>
        </w:tc>
        <w:tc>
          <w:tcPr>
            <w:tcW w:w="1146" w:type="dxa"/>
            <w:noWrap w:val="0"/>
            <w:vAlign w:val="center"/>
          </w:tcPr>
          <w:p>
            <w:pPr>
              <w:spacing w:line="260" w:lineRule="exact"/>
              <w:jc w:val="center"/>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hint="eastAsia" w:eastAsia="仿宋_GB2312"/>
                <w:color w:val="000000"/>
                <w:sz w:val="20"/>
                <w:szCs w:val="20"/>
              </w:rPr>
            </w:pPr>
          </w:p>
        </w:tc>
        <w:tc>
          <w:tcPr>
            <w:tcW w:w="1085" w:type="dxa"/>
            <w:noWrap w:val="0"/>
            <w:vAlign w:val="center"/>
          </w:tcPr>
          <w:p>
            <w:pPr>
              <w:spacing w:line="260" w:lineRule="exact"/>
              <w:jc w:val="center"/>
              <w:rPr>
                <w:rFonts w:hint="eastAsia" w:eastAsia="仿宋_GB2312"/>
                <w:color w:val="000000"/>
                <w:sz w:val="20"/>
                <w:szCs w:val="20"/>
              </w:rPr>
            </w:pPr>
            <w:r>
              <w:rPr>
                <w:rFonts w:hint="eastAsia" w:eastAsia="仿宋_GB2312"/>
                <w:color w:val="000000"/>
                <w:sz w:val="20"/>
                <w:szCs w:val="20"/>
                <w:lang w:val="en-US" w:eastAsia="zh-CN"/>
              </w:rPr>
              <w:t>质量指标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空气质量优良率</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90%以上</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95.6%</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10.00</w:t>
            </w:r>
          </w:p>
        </w:tc>
        <w:tc>
          <w:tcPr>
            <w:tcW w:w="1146" w:type="dxa"/>
            <w:noWrap w:val="0"/>
            <w:vAlign w:val="center"/>
          </w:tcPr>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rPr>
            </w:pPr>
          </w:p>
        </w:tc>
        <w:tc>
          <w:tcPr>
            <w:tcW w:w="1085" w:type="dxa"/>
            <w:vMerge w:val="continue"/>
            <w:noWrap w:val="0"/>
            <w:vAlign w:val="center"/>
          </w:tcPr>
          <w:p>
            <w:pPr>
              <w:spacing w:line="260" w:lineRule="exact"/>
              <w:jc w:val="center"/>
              <w:rPr>
                <w:rFonts w:eastAsia="仿宋_GB2312"/>
                <w:color w:val="000000"/>
                <w:sz w:val="20"/>
                <w:szCs w:val="20"/>
              </w:rPr>
            </w:pPr>
          </w:p>
        </w:tc>
        <w:tc>
          <w:tcPr>
            <w:tcW w:w="1085"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时效指标</w:t>
            </w:r>
          </w:p>
        </w:tc>
        <w:tc>
          <w:tcPr>
            <w:tcW w:w="123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在规定时间内完成</w:t>
            </w:r>
          </w:p>
        </w:tc>
        <w:tc>
          <w:tcPr>
            <w:tcW w:w="1140"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1140" w:type="dxa"/>
            <w:gridSpan w:val="2"/>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2023年底</w:t>
            </w:r>
          </w:p>
        </w:tc>
        <w:tc>
          <w:tcPr>
            <w:tcW w:w="832"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w:t>
            </w:r>
          </w:p>
        </w:tc>
        <w:tc>
          <w:tcPr>
            <w:tcW w:w="877" w:type="dxa"/>
            <w:noWrap w:val="0"/>
            <w:vAlign w:val="center"/>
          </w:tcPr>
          <w:p>
            <w:pPr>
              <w:spacing w:line="260" w:lineRule="exact"/>
              <w:jc w:val="center"/>
              <w:rPr>
                <w:rFonts w:eastAsia="仿宋_GB2312"/>
                <w:color w:val="000000"/>
                <w:sz w:val="20"/>
                <w:szCs w:val="20"/>
              </w:rPr>
            </w:pPr>
            <w:r>
              <w:rPr>
                <w:rFonts w:hint="eastAsia" w:eastAsia="仿宋_GB2312"/>
                <w:color w:val="000000"/>
                <w:sz w:val="20"/>
                <w:szCs w:val="20"/>
                <w:lang w:val="en-US" w:eastAsia="zh-CN"/>
              </w:rPr>
              <w:t>5.00</w:t>
            </w:r>
          </w:p>
        </w:tc>
        <w:tc>
          <w:tcPr>
            <w:tcW w:w="1146" w:type="dxa"/>
            <w:noWrap w:val="0"/>
            <w:vAlign w:val="center"/>
          </w:tcPr>
          <w:p>
            <w:pPr>
              <w:spacing w:line="260" w:lineRule="exact"/>
              <w:jc w:val="center"/>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8"/>
            <w:noWrap w:val="0"/>
            <w:vAlign w:val="center"/>
          </w:tcPr>
          <w:p>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pPr>
              <w:jc w:val="left"/>
              <w:rPr>
                <w:rFonts w:eastAsia="仿宋_GB2312"/>
                <w:color w:val="000000"/>
                <w:sz w:val="20"/>
                <w:szCs w:val="20"/>
              </w:rPr>
            </w:pPr>
            <w:r>
              <w:rPr>
                <w:rFonts w:eastAsia="仿宋_GB2312"/>
                <w:color w:val="000000"/>
                <w:sz w:val="20"/>
                <w:szCs w:val="20"/>
              </w:rPr>
              <w:t>　</w:t>
            </w:r>
          </w:p>
        </w:tc>
      </w:tr>
    </w:tbl>
    <w:p>
      <w:pPr>
        <w:jc w:val="left"/>
        <w:rPr>
          <w:rFonts w:eastAsia="仿宋_GB2312"/>
          <w:sz w:val="20"/>
          <w:szCs w:val="20"/>
        </w:rPr>
      </w:pPr>
      <w:r>
        <w:rPr>
          <w:rFonts w:eastAsia="仿宋_GB2312"/>
          <w:sz w:val="20"/>
          <w:szCs w:val="20"/>
        </w:rPr>
        <w:t>备注：每个项目支出分别填报自评报告和自评表。</w:t>
      </w:r>
    </w:p>
    <w:p>
      <w:pPr>
        <w:jc w:val="left"/>
        <w:rPr>
          <w:rFonts w:hint="eastAsia" w:ascii="Times New Roman" w:hAnsi="Times New Roman" w:eastAsia="仿宋_GB2312" w:cs="黑体"/>
          <w:b/>
          <w:bCs/>
          <w:color w:val="FF0000"/>
          <w:kern w:val="0"/>
          <w:sz w:val="36"/>
          <w:szCs w:val="36"/>
          <w:lang w:val="en-US" w:eastAsia="zh-CN" w:bidi="ar-SA"/>
        </w:rPr>
      </w:pPr>
      <w:r>
        <w:rPr>
          <w:rFonts w:eastAsia="仿宋_GB2312"/>
          <w:sz w:val="22"/>
        </w:rPr>
        <w:t>填表人：</w:t>
      </w:r>
      <w:r>
        <w:rPr>
          <w:rFonts w:hint="eastAsia" w:eastAsia="仿宋_GB2312"/>
          <w:sz w:val="22"/>
          <w:lang w:eastAsia="zh-CN"/>
        </w:rPr>
        <w:t>陈楚樨</w:t>
      </w:r>
      <w:r>
        <w:rPr>
          <w:rFonts w:eastAsia="仿宋_GB2312"/>
          <w:sz w:val="22"/>
        </w:rPr>
        <w:t xml:space="preserve">   填报日期：</w:t>
      </w:r>
      <w:r>
        <w:rPr>
          <w:rFonts w:hint="eastAsia" w:eastAsia="仿宋_GB2312"/>
          <w:sz w:val="22"/>
          <w:lang w:val="en-US" w:eastAsia="zh-CN"/>
        </w:rPr>
        <w:t xml:space="preserve">2024年4月29日 </w:t>
      </w:r>
      <w:r>
        <w:rPr>
          <w:rFonts w:eastAsia="仿宋_GB2312"/>
          <w:sz w:val="22"/>
        </w:rPr>
        <w:t xml:space="preserve"> 联系电话：</w:t>
      </w:r>
      <w:r>
        <w:rPr>
          <w:rFonts w:hint="eastAsia" w:eastAsia="仿宋_GB2312"/>
          <w:sz w:val="22"/>
          <w:lang w:val="en-US" w:eastAsia="zh-CN"/>
        </w:rPr>
        <w:t>18390248336</w:t>
      </w:r>
      <w:r>
        <w:rPr>
          <w:rFonts w:eastAsia="仿宋_GB2312"/>
          <w:sz w:val="22"/>
        </w:rPr>
        <w:t xml:space="preserve">  单位负责人签字</w:t>
      </w:r>
      <w:r>
        <w:rPr>
          <w:rFonts w:hint="eastAsia" w:eastAsia="仿宋_GB2312"/>
          <w:sz w:val="22"/>
          <w:lang w:eastAsia="zh-CN"/>
        </w:rPr>
        <w:t>：</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永中宋体">
    <w:altName w:val="宋体"/>
    <w:panose1 w:val="00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Cs w:val="28"/>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CD72"/>
    <w:multiLevelType w:val="singleLevel"/>
    <w:tmpl w:val="955BCD72"/>
    <w:lvl w:ilvl="0" w:tentative="0">
      <w:start w:val="4"/>
      <w:numFmt w:val="chineseCounting"/>
      <w:suff w:val="nothing"/>
      <w:lvlText w:val="（%1）"/>
      <w:lvlJc w:val="left"/>
      <w:rPr>
        <w:rFonts w:hint="eastAsia"/>
      </w:rPr>
    </w:lvl>
  </w:abstractNum>
  <w:abstractNum w:abstractNumId="1">
    <w:nsid w:val="D9E3DA24"/>
    <w:multiLevelType w:val="singleLevel"/>
    <w:tmpl w:val="D9E3DA24"/>
    <w:lvl w:ilvl="0" w:tentative="0">
      <w:start w:val="1"/>
      <w:numFmt w:val="chineseCounting"/>
      <w:suff w:val="nothing"/>
      <w:lvlText w:val="%1、"/>
      <w:lvlJc w:val="left"/>
      <w:rPr>
        <w:rFonts w:hint="eastAsia"/>
      </w:rPr>
    </w:lvl>
  </w:abstractNum>
  <w:abstractNum w:abstractNumId="2">
    <w:nsid w:val="EFB36017"/>
    <w:multiLevelType w:val="singleLevel"/>
    <w:tmpl w:val="EFB36017"/>
    <w:lvl w:ilvl="0" w:tentative="0">
      <w:start w:val="7"/>
      <w:numFmt w:val="chineseCounting"/>
      <w:suff w:val="nothing"/>
      <w:lvlText w:val="%1、"/>
      <w:lvlJc w:val="left"/>
      <w:rPr>
        <w:rFonts w:hint="eastAsia"/>
      </w:rPr>
    </w:lvl>
  </w:abstractNum>
  <w:abstractNum w:abstractNumId="3">
    <w:nsid w:val="F29DD6DC"/>
    <w:multiLevelType w:val="singleLevel"/>
    <w:tmpl w:val="F29DD6DC"/>
    <w:lvl w:ilvl="0" w:tentative="0">
      <w:start w:val="2"/>
      <w:numFmt w:val="chineseCounting"/>
      <w:suff w:val="nothing"/>
      <w:lvlText w:val="（%1）"/>
      <w:lvlJc w:val="left"/>
      <w:rPr>
        <w:rFonts w:hint="eastAsia"/>
      </w:rPr>
    </w:lvl>
  </w:abstractNum>
  <w:abstractNum w:abstractNumId="4">
    <w:nsid w:val="132E6CAB"/>
    <w:multiLevelType w:val="singleLevel"/>
    <w:tmpl w:val="132E6CAB"/>
    <w:lvl w:ilvl="0" w:tentative="0">
      <w:start w:val="8"/>
      <w:numFmt w:val="chineseCounting"/>
      <w:suff w:val="nothing"/>
      <w:lvlText w:val="%1、"/>
      <w:lvlJc w:val="left"/>
      <w:rPr>
        <w:rFonts w:hint="eastAsia"/>
      </w:rPr>
    </w:lvl>
  </w:abstractNum>
  <w:abstractNum w:abstractNumId="5">
    <w:nsid w:val="2B80CD16"/>
    <w:multiLevelType w:val="singleLevel"/>
    <w:tmpl w:val="2B80CD16"/>
    <w:lvl w:ilvl="0" w:tentative="0">
      <w:start w:val="3"/>
      <w:numFmt w:val="chineseCounting"/>
      <w:suff w:val="nothing"/>
      <w:lvlText w:val="%1、"/>
      <w:lvlJc w:val="left"/>
      <w:rPr>
        <w:rFonts w:hint="eastAsia"/>
      </w:rPr>
    </w:lvl>
  </w:abstractNum>
  <w:abstractNum w:abstractNumId="6">
    <w:nsid w:val="2C67DE69"/>
    <w:multiLevelType w:val="singleLevel"/>
    <w:tmpl w:val="2C67DE69"/>
    <w:lvl w:ilvl="0" w:tentative="0">
      <w:start w:val="1"/>
      <w:numFmt w:val="chineseCounting"/>
      <w:suff w:val="nothing"/>
      <w:lvlText w:val="（%1）"/>
      <w:lvlJc w:val="left"/>
      <w:rPr>
        <w:rFonts w:hint="eastAsia"/>
      </w:rPr>
    </w:lvl>
  </w:abstractNum>
  <w:abstractNum w:abstractNumId="7">
    <w:nsid w:val="4D8F11A6"/>
    <w:multiLevelType w:val="singleLevel"/>
    <w:tmpl w:val="4D8F11A6"/>
    <w:lvl w:ilvl="0" w:tentative="0">
      <w:start w:val="4"/>
      <w:numFmt w:val="chineseCounting"/>
      <w:suff w:val="nothing"/>
      <w:lvlText w:val="%1、"/>
      <w:lvlJc w:val="left"/>
      <w:rPr>
        <w:rFonts w:hint="eastAsia"/>
      </w:rPr>
    </w:lvl>
  </w:abstractNum>
  <w:abstractNum w:abstractNumId="8">
    <w:nsid w:val="5E321020"/>
    <w:multiLevelType w:val="singleLevel"/>
    <w:tmpl w:val="5E321020"/>
    <w:lvl w:ilvl="0" w:tentative="0">
      <w:start w:val="3"/>
      <w:numFmt w:val="decimal"/>
      <w:suff w:val="nothing"/>
      <w:lvlText w:val="%1、"/>
      <w:lvlJc w:val="left"/>
    </w:lvl>
  </w:abstractNum>
  <w:abstractNum w:abstractNumId="9">
    <w:nsid w:val="63416DE2"/>
    <w:multiLevelType w:val="singleLevel"/>
    <w:tmpl w:val="63416DE2"/>
    <w:lvl w:ilvl="0" w:tentative="0">
      <w:start w:val="1"/>
      <w:numFmt w:val="chineseCounting"/>
      <w:suff w:val="space"/>
      <w:lvlText w:val="（%1）"/>
      <w:lvlJc w:val="left"/>
      <w:rPr>
        <w:rFonts w:hint="eastAsia"/>
      </w:rPr>
    </w:lvl>
  </w:abstractNum>
  <w:abstractNum w:abstractNumId="10">
    <w:nsid w:val="65C7E125"/>
    <w:multiLevelType w:val="singleLevel"/>
    <w:tmpl w:val="65C7E125"/>
    <w:lvl w:ilvl="0" w:tentative="0">
      <w:start w:val="1"/>
      <w:numFmt w:val="decimal"/>
      <w:lvlText w:val="%1."/>
      <w:lvlJc w:val="left"/>
      <w:pPr>
        <w:ind w:left="425" w:hanging="425"/>
      </w:pPr>
      <w:rPr>
        <w:rFonts w:hint="default"/>
      </w:rPr>
    </w:lvl>
  </w:abstractNum>
  <w:num w:numId="1">
    <w:abstractNumId w:val="9"/>
  </w:num>
  <w:num w:numId="2">
    <w:abstractNumId w:val="8"/>
  </w:num>
  <w:num w:numId="3">
    <w:abstractNumId w:val="2"/>
  </w:num>
  <w:num w:numId="4">
    <w:abstractNumId w:val="5"/>
  </w:num>
  <w:num w:numId="5">
    <w:abstractNumId w:val="6"/>
  </w:num>
  <w:num w:numId="6">
    <w:abstractNumId w:val="0"/>
  </w:num>
  <w:num w:numId="7">
    <w:abstractNumId w:val="1"/>
  </w:num>
  <w:num w:numId="8">
    <w:abstractNumId w:val="3"/>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ZTZlNzg3ZTdlMzI2NjA4Yjk1ZTQ1MGViODEzZT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27CB1"/>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8C71ED"/>
    <w:rsid w:val="047B04DC"/>
    <w:rsid w:val="0BEE7CFD"/>
    <w:rsid w:val="0D6F3D3F"/>
    <w:rsid w:val="0DE10621"/>
    <w:rsid w:val="16FB7986"/>
    <w:rsid w:val="182C111E"/>
    <w:rsid w:val="18AD22E9"/>
    <w:rsid w:val="19FB22BA"/>
    <w:rsid w:val="1A0E3AB4"/>
    <w:rsid w:val="1B9E0A03"/>
    <w:rsid w:val="1E0D658A"/>
    <w:rsid w:val="1EC97ED9"/>
    <w:rsid w:val="1FFA970A"/>
    <w:rsid w:val="20126062"/>
    <w:rsid w:val="22A70964"/>
    <w:rsid w:val="234B3323"/>
    <w:rsid w:val="23C860B3"/>
    <w:rsid w:val="245D1763"/>
    <w:rsid w:val="283536C5"/>
    <w:rsid w:val="29F70417"/>
    <w:rsid w:val="2D04265A"/>
    <w:rsid w:val="2FDB53C0"/>
    <w:rsid w:val="303D3A92"/>
    <w:rsid w:val="319E0088"/>
    <w:rsid w:val="3425795C"/>
    <w:rsid w:val="351E0FBF"/>
    <w:rsid w:val="3A263E74"/>
    <w:rsid w:val="3ADB707B"/>
    <w:rsid w:val="3D792D3C"/>
    <w:rsid w:val="3DBB7565"/>
    <w:rsid w:val="3ED862C8"/>
    <w:rsid w:val="40A610D2"/>
    <w:rsid w:val="44052AA3"/>
    <w:rsid w:val="442C432A"/>
    <w:rsid w:val="45101210"/>
    <w:rsid w:val="473A07C7"/>
    <w:rsid w:val="477409A8"/>
    <w:rsid w:val="4B02564D"/>
    <w:rsid w:val="4B183DBB"/>
    <w:rsid w:val="4B3B4304"/>
    <w:rsid w:val="4F304531"/>
    <w:rsid w:val="52374280"/>
    <w:rsid w:val="52CB6777"/>
    <w:rsid w:val="55B36192"/>
    <w:rsid w:val="5777D4F5"/>
    <w:rsid w:val="581B3CFC"/>
    <w:rsid w:val="589570CB"/>
    <w:rsid w:val="59FD5A9E"/>
    <w:rsid w:val="5C6507D2"/>
    <w:rsid w:val="5EBD5B0D"/>
    <w:rsid w:val="5FC6BB1E"/>
    <w:rsid w:val="5FF720F1"/>
    <w:rsid w:val="623103B6"/>
    <w:rsid w:val="62740FFB"/>
    <w:rsid w:val="63A42C52"/>
    <w:rsid w:val="65B04F76"/>
    <w:rsid w:val="65C9550E"/>
    <w:rsid w:val="66A933C3"/>
    <w:rsid w:val="67F178E9"/>
    <w:rsid w:val="6883735F"/>
    <w:rsid w:val="6920312E"/>
    <w:rsid w:val="6A730DAD"/>
    <w:rsid w:val="6A905686"/>
    <w:rsid w:val="6C82105C"/>
    <w:rsid w:val="6E5A3E2A"/>
    <w:rsid w:val="6F80296B"/>
    <w:rsid w:val="71931FAF"/>
    <w:rsid w:val="72F5A3EB"/>
    <w:rsid w:val="737D59BA"/>
    <w:rsid w:val="74DD43BC"/>
    <w:rsid w:val="767C4C05"/>
    <w:rsid w:val="77C37683"/>
    <w:rsid w:val="784009BC"/>
    <w:rsid w:val="79FF515B"/>
    <w:rsid w:val="7A0A6111"/>
    <w:rsid w:val="7A6301DE"/>
    <w:rsid w:val="7B275BDA"/>
    <w:rsid w:val="7B3C0229"/>
    <w:rsid w:val="7B854078"/>
    <w:rsid w:val="7C9377BD"/>
    <w:rsid w:val="7E9F11B4"/>
    <w:rsid w:val="7FC69637"/>
    <w:rsid w:val="7FF9B886"/>
    <w:rsid w:val="7FFDB408"/>
    <w:rsid w:val="96BBC9BF"/>
    <w:rsid w:val="BE9FCAFC"/>
    <w:rsid w:val="BEBEFB19"/>
    <w:rsid w:val="CBFF70E0"/>
    <w:rsid w:val="D6DF3925"/>
    <w:rsid w:val="DFD3FD59"/>
    <w:rsid w:val="EEABED75"/>
    <w:rsid w:val="F7FCE77C"/>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2"/>
    <w:qFormat/>
    <w:uiPriority w:val="99"/>
    <w:pPr>
      <w:shd w:val="clear" w:color="auto" w:fill="FFFFFF"/>
      <w:spacing w:before="100" w:beforeAutospacing="1" w:after="100" w:afterAutospacing="1"/>
      <w:ind w:left="562"/>
      <w:jc w:val="center"/>
    </w:pPr>
    <w:rPr>
      <w:rFonts w:ascii="宋体" w:hAnsi="Times New Roman" w:eastAsia="宋体" w:cs="宋体"/>
      <w:b/>
      <w:bCs/>
      <w:kern w:val="2"/>
      <w:sz w:val="32"/>
      <w:szCs w:val="32"/>
      <w:lang w:val="en-US" w:eastAsia="zh-CN" w:bidi="ar-SA"/>
    </w:rPr>
  </w:style>
  <w:style w:type="paragraph" w:styleId="4">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5">
    <w:name w:val="Body Text"/>
    <w:basedOn w:val="1"/>
    <w:next w:val="4"/>
    <w:qFormat/>
    <w:uiPriority w:val="0"/>
    <w:pPr>
      <w:widowControl w:val="0"/>
      <w:spacing w:before="0" w:after="120"/>
      <w:ind w:left="0" w:right="0"/>
      <w:jc w:val="both"/>
    </w:pPr>
    <w:rPr>
      <w:rFonts w:ascii="Calibri" w:hAnsi="Calibri" w:eastAsia="楷体_GB2312" w:cs="永中宋体"/>
      <w:kern w:val="0"/>
      <w:sz w:val="20"/>
      <w:szCs w:val="20"/>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29012</Words>
  <Characters>32225</Characters>
  <Lines>63</Lines>
  <Paragraphs>18</Paragraphs>
  <TotalTime>9</TotalTime>
  <ScaleCrop>false</ScaleCrop>
  <LinksUpToDate>false</LinksUpToDate>
  <CharactersWithSpaces>32691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2020-07-05T10:32:00Z</dcterms:created>
  <dc:creator>李航 null</dc:creator>
  <cp:lastModifiedBy>Lemo.</cp:lastModifiedBy>
  <cp:lastPrinted>2023-08-16T01:28:00Z</cp:lastPrinted>
  <dcterms:modified xsi:type="dcterms:W3CDTF">2025-10-27T08:43:53Z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230884672202452CB3C84256A3802FF2_13</vt:lpwstr>
  </property>
</Properties>
</file>