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adjustRightInd/>
        <w:snapToGrid/>
        <w:spacing w:line="240" w:lineRule="auto"/>
        <w:ind w:firstLine="0" w:firstLineChars="0"/>
        <w:jc w:val="center"/>
        <w:rPr>
          <w:rFonts w:hint="eastAsia" w:ascii="Calibri" w:hAnsi="Calibri" w:eastAsia="宋体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Calibri" w:hAnsi="Calibri" w:eastAsia="宋体" w:cs="Times New Roman"/>
          <w:b/>
          <w:bCs/>
          <w:sz w:val="32"/>
          <w:szCs w:val="32"/>
          <w:lang w:val="en-US" w:eastAsia="zh-CN"/>
        </w:rPr>
        <w:t>修改清单</w:t>
      </w:r>
    </w:p>
    <w:tbl>
      <w:tblPr>
        <w:tblStyle w:val="4"/>
        <w:tblW w:w="4996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4401"/>
        <w:gridCol w:w="476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221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专家意见</w:t>
            </w:r>
          </w:p>
        </w:tc>
        <w:tc>
          <w:tcPr>
            <w:tcW w:w="2391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修改说明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（修改的地方在报告中用下划线标示出来）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9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21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进一步调查、核实项目内容，特别要进一步说明租用的土地面积（进一步核实养殖面积）、所用饲料的主要成分及用量、所用药物的种类及用量、产量等内容；进一步论述项目特点，特别要说明如何实现稻蛙共作生态养殖方式</w:t>
            </w:r>
          </w:p>
        </w:tc>
        <w:tc>
          <w:tcPr>
            <w:tcW w:w="2391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已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进一步调查、核实项目内容，特别要进一步说明租用的土地面积（进一步核实养殖面积）、所用饲料的主要成分及用量、所用药物的种类及用量、产量等内容</w:t>
            </w: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，详见P5、P7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；进一步论述项目特点，特别要说明如何实现稻蛙共作生态养殖方式，详见P</w:t>
            </w: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9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21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强化工程分析、产排污分析，特别要注意以下几个方面：强化水平衡分析，核实废水量及废水中主要污染物，介绍水污染特征；核实污泥、死蛙等废物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产生量及污染特征；补充噪声源强；调查项目气味的污染特征等</w:t>
            </w:r>
          </w:p>
        </w:tc>
        <w:tc>
          <w:tcPr>
            <w:tcW w:w="2391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已强化工程分析、产排污分析，特别要注意以下几个方面：已强化水平衡分析</w:t>
            </w: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，详见P33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，已核实废水量及废水中主要污染物，介绍水污染特征，详见P</w:t>
            </w: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31-33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；已核实污泥、死蛙等废物产生量及污染特征，详见P</w:t>
            </w: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34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；已补充噪声源强，详见P2</w:t>
            </w: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；已调查项目气味的污染特征等，详见P</w:t>
            </w: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23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39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21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强化项目区的环境现状的调查、监测，特别注意：详细调查租用土地的类别、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水系及水功能区划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项目地的生态管控单位类别及管控要求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、项目与敏感区域的位置关系等；进一调查、核实环保目标；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要根据纳污水体的功能要求，核实污水的处理程度和所要求的标准；进一步论证项目选址的合理性</w:t>
            </w:r>
          </w:p>
        </w:tc>
        <w:tc>
          <w:tcPr>
            <w:tcW w:w="2391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已强化项目区的环境现状的调查、监测，特别注意：详细调查租用土地的类别、水系及水功能区划、项目地的生态管控单位类别及管控要求、项目与敏感区域的位置关系等</w:t>
            </w: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，详见P5、P13、P2-P4、P15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；已进一调查、核实环保目标</w:t>
            </w: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，详见P15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；已根据纳污水体的功能要求，核实污水的处理程度和所要求的标准，详见</w:t>
            </w: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P15、P17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；已进一步论证项目选址的合理性，详见P</w:t>
            </w: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1-P2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9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221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强化环境影响评价，进一步强化水环境影响评价、生态环境影响评价、声环境影响评价、异味对环境的影响、固废对环境的影响等</w:t>
            </w:r>
          </w:p>
        </w:tc>
        <w:tc>
          <w:tcPr>
            <w:tcW w:w="2391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已强化环境影响评价，进一步强化水环境影响评价、生态环境影响评价、声环境影响评价、异味对环境的影响、固废对环境的影响等</w:t>
            </w: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，详见P23-P26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21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细化、强化环保措施，建设高质量的环保设施，特别要重视污水的处理、污泥及死蛙的处理等。补充、完善环保投资及“三同时”验收内容</w:t>
            </w:r>
          </w:p>
        </w:tc>
        <w:tc>
          <w:tcPr>
            <w:tcW w:w="2391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已细化、强化环保措施，建设高质量的环保设施，特别要重视污水的处理、污泥及死蛙的处理等</w:t>
            </w: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，详见P23、P25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。已补充、完善环保投资及“三同时”验收内容</w:t>
            </w: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，详见P36</w:t>
            </w:r>
            <w:bookmarkStart w:id="0" w:name="_GoBack"/>
            <w:bookmarkEnd w:id="0"/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、P35-P36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21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补充、完善相关的附图、附件</w:t>
            </w:r>
          </w:p>
        </w:tc>
        <w:tc>
          <w:tcPr>
            <w:tcW w:w="2391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已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补充、完善相关的附图、附件</w:t>
            </w:r>
          </w:p>
        </w:tc>
      </w:tr>
    </w:tbl>
    <w:p/>
    <w:sectPr>
      <w:pgSz w:w="11906" w:h="16838"/>
      <w:pgMar w:top="1440" w:right="1080" w:bottom="1440" w:left="10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80885"/>
    <w:rsid w:val="02B00F38"/>
    <w:rsid w:val="03114D73"/>
    <w:rsid w:val="2C787B3A"/>
    <w:rsid w:val="308B2942"/>
    <w:rsid w:val="506077BB"/>
    <w:rsid w:val="60F36F44"/>
    <w:rsid w:val="63217E52"/>
    <w:rsid w:val="6F5507C5"/>
    <w:rsid w:val="7D7B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line="360" w:lineRule="auto"/>
      <w:ind w:firstLine="1446" w:firstLineChars="200"/>
      <w:jc w:val="both"/>
    </w:pPr>
    <w:rPr>
      <w:rFonts w:ascii="Times New Roman" w:hAnsi="Times New Roman" w:eastAsia="宋体" w:cs="Times New Roman"/>
      <w:kern w:val="2"/>
      <w:sz w:val="24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widowControl w:val="0"/>
      <w:ind w:left="420" w:leftChars="20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1031</Words>
  <Characters>1093</Characters>
  <Lines>0</Lines>
  <Paragraphs>0</Paragraphs>
  <TotalTime>2</TotalTime>
  <ScaleCrop>false</ScaleCrop>
  <LinksUpToDate>false</LinksUpToDate>
  <CharactersWithSpaces>1093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2021-09-24T07:19:00Z</dcterms:created>
  <dc:creator>hp</dc:creator>
  <cp:lastModifiedBy>zey</cp:lastModifiedBy>
  <dcterms:modified xsi:type="dcterms:W3CDTF">2022-04-27T12:31:09Z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19A3470F705E43BCA6E3AD94F6E8A674</vt:lpwstr>
  </property>
</Properties>
</file>